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2年2月6日惠州市博罗县石坝1排2档 档主:范水兰，上海青,有机磷和氨基甲酸酯不合格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上海青有机磷和氨基甲酸酯不合格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购进15.5kg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销毁7.18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78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0825" cy="5414010"/>
                  <wp:effectExtent l="0" t="0" r="15875" b="15240"/>
                  <wp:docPr id="1" name="图片 1" descr="销毁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销毁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541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2" name="图片 2" descr="样品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样品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3" name="图片 3" descr="档主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档主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5865" cy="6687820"/>
                  <wp:effectExtent l="0" t="0" r="13335" b="17780"/>
                  <wp:docPr id="4" name="图片 4" descr="销毁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销毁过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65" cy="668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5" name="图片 5" descr="销毁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销毁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6" name="图片 6" descr="工商所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工商所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9B0262F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FEF73C4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2022-02-14T06:09:53Z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A6DB17B2F0F54826AC96D55BB0FEA55F</vt:lpwstr>
  </property>
</Properties>
</file>