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b/>
          <w:bCs/>
          <w:sz w:val="72"/>
          <w:szCs w:val="72"/>
        </w:rPr>
      </w:pPr>
    </w:p>
    <w:p>
      <w:pPr>
        <w:adjustRightInd w:val="0"/>
        <w:snapToGrid w:val="0"/>
        <w:jc w:val="center"/>
        <w:outlineLvl w:val="0"/>
        <w:rPr>
          <w:b/>
          <w:bCs/>
          <w:sz w:val="72"/>
          <w:szCs w:val="72"/>
        </w:rPr>
      </w:pPr>
    </w:p>
    <w:p>
      <w:pPr>
        <w:adjustRightInd w:val="0"/>
        <w:snapToGrid w:val="0"/>
        <w:jc w:val="center"/>
        <w:outlineLvl w:val="0"/>
        <w:rPr>
          <w:b/>
          <w:bCs/>
          <w:sz w:val="72"/>
          <w:szCs w:val="72"/>
        </w:rPr>
      </w:pPr>
    </w:p>
    <w:p>
      <w:pPr>
        <w:adjustRightInd w:val="0"/>
        <w:snapToGrid w:val="0"/>
        <w:jc w:val="center"/>
        <w:outlineLvl w:val="0"/>
        <w:rPr>
          <w:b/>
          <w:bCs/>
          <w:sz w:val="72"/>
          <w:szCs w:val="72"/>
        </w:rPr>
      </w:pPr>
      <w:r>
        <w:rPr>
          <w:b/>
          <w:bCs/>
          <w:sz w:val="72"/>
          <w:szCs w:val="72"/>
        </w:rPr>
        <w:t>建设项目环境影响报告表</w:t>
      </w:r>
    </w:p>
    <w:p>
      <w:pPr>
        <w:adjustRightInd w:val="0"/>
        <w:snapToGrid w:val="0"/>
        <w:spacing w:before="192" w:beforeLines="80"/>
        <w:jc w:val="center"/>
        <w:rPr>
          <w:b/>
          <w:bCs/>
          <w:sz w:val="48"/>
          <w:szCs w:val="48"/>
        </w:rPr>
      </w:pPr>
      <w:r>
        <w:rPr>
          <w:b/>
          <w:bCs/>
          <w:sz w:val="48"/>
          <w:szCs w:val="48"/>
        </w:rPr>
        <w:t>（污染影响类）</w:t>
      </w:r>
    </w:p>
    <w:p>
      <w:pPr>
        <w:adjustRightInd w:val="0"/>
        <w:snapToGrid w:val="0"/>
        <w:spacing w:line="288" w:lineRule="auto"/>
        <w:jc w:val="center"/>
        <w:rPr>
          <w:kern w:val="44"/>
          <w:sz w:val="44"/>
          <w:szCs w:val="44"/>
        </w:rPr>
      </w:pPr>
    </w:p>
    <w:p>
      <w:pPr>
        <w:jc w:val="center"/>
        <w:rPr>
          <w:sz w:val="52"/>
          <w:szCs w:val="52"/>
        </w:rPr>
      </w:pPr>
    </w:p>
    <w:p>
      <w:pPr>
        <w:ind w:firstLine="1040"/>
        <w:rPr>
          <w:sz w:val="44"/>
          <w:szCs w:val="44"/>
        </w:rPr>
      </w:pPr>
    </w:p>
    <w:p>
      <w:pPr>
        <w:ind w:firstLine="1040"/>
        <w:rPr>
          <w:sz w:val="44"/>
          <w:szCs w:val="44"/>
        </w:rPr>
      </w:pPr>
    </w:p>
    <w:p>
      <w:pPr>
        <w:ind w:firstLine="1040"/>
        <w:rPr>
          <w:sz w:val="44"/>
          <w:szCs w:val="44"/>
        </w:rPr>
      </w:pPr>
    </w:p>
    <w:p>
      <w:pPr>
        <w:spacing w:line="312" w:lineRule="auto"/>
        <w:ind w:firstLine="1040"/>
        <w:rPr>
          <w:sz w:val="44"/>
          <w:szCs w:val="44"/>
        </w:rPr>
      </w:pPr>
    </w:p>
    <w:p>
      <w:pPr>
        <w:adjustRightInd w:val="0"/>
        <w:snapToGrid w:val="0"/>
        <w:spacing w:line="312" w:lineRule="auto"/>
        <w:jc w:val="center"/>
        <w:rPr>
          <w:b/>
          <w:sz w:val="32"/>
          <w:szCs w:val="32"/>
          <w:u w:val="single"/>
        </w:rPr>
      </w:pPr>
      <w:r>
        <w:rPr>
          <w:rFonts w:hint="eastAsia"/>
          <w:b/>
          <w:sz w:val="32"/>
          <w:szCs w:val="36"/>
        </w:rPr>
        <w:t xml:space="preserve">   </w:t>
      </w:r>
      <w:r>
        <w:rPr>
          <w:b/>
          <w:sz w:val="32"/>
          <w:szCs w:val="36"/>
        </w:rPr>
        <w:t>项目名称：</w:t>
      </w:r>
      <w:r>
        <w:rPr>
          <w:rFonts w:hint="eastAsia"/>
          <w:b/>
          <w:sz w:val="32"/>
          <w:szCs w:val="32"/>
          <w:u w:val="single"/>
        </w:rPr>
        <w:t>嘉贺光电科技（惠州）有限公司建设项目</w:t>
      </w:r>
    </w:p>
    <w:p>
      <w:pPr>
        <w:adjustRightInd w:val="0"/>
        <w:snapToGrid w:val="0"/>
        <w:spacing w:line="312" w:lineRule="auto"/>
        <w:ind w:left="601" w:leftChars="286" w:firstLine="321" w:firstLineChars="100"/>
        <w:jc w:val="center"/>
        <w:rPr>
          <w:b/>
          <w:sz w:val="32"/>
          <w:szCs w:val="36"/>
          <w:u w:val="single"/>
        </w:rPr>
      </w:pPr>
      <w:r>
        <w:rPr>
          <w:b/>
          <w:sz w:val="32"/>
          <w:szCs w:val="36"/>
        </w:rPr>
        <w:t>建设单位（盖章）：</w:t>
      </w:r>
      <w:r>
        <w:rPr>
          <w:rFonts w:hint="eastAsia"/>
          <w:b/>
          <w:sz w:val="32"/>
          <w:szCs w:val="32"/>
          <w:u w:val="single"/>
        </w:rPr>
        <w:t>嘉贺光电科技（惠州）有限公司</w:t>
      </w:r>
    </w:p>
    <w:p>
      <w:pPr>
        <w:adjustRightInd w:val="0"/>
        <w:snapToGrid w:val="0"/>
        <w:spacing w:line="312" w:lineRule="auto"/>
        <w:ind w:firstLine="1767" w:firstLineChars="550"/>
        <w:rPr>
          <w:b/>
          <w:sz w:val="32"/>
          <w:szCs w:val="36"/>
          <w:u w:val="single"/>
        </w:rPr>
      </w:pPr>
      <w:r>
        <w:rPr>
          <w:b/>
          <w:sz w:val="32"/>
          <w:szCs w:val="36"/>
        </w:rPr>
        <w:t>编制日期：</w:t>
      </w:r>
      <w:r>
        <w:rPr>
          <w:b/>
          <w:sz w:val="32"/>
          <w:szCs w:val="36"/>
          <w:u w:val="single"/>
        </w:rPr>
        <w:t xml:space="preserve">       2022年9月</w:t>
      </w:r>
    </w:p>
    <w:p>
      <w:pPr>
        <w:adjustRightInd w:val="0"/>
        <w:snapToGrid w:val="0"/>
        <w:spacing w:line="480" w:lineRule="auto"/>
        <w:ind w:firstLine="1040"/>
        <w:rPr>
          <w:b/>
          <w:sz w:val="36"/>
          <w:szCs w:val="36"/>
          <w:u w:val="single"/>
        </w:rPr>
      </w:pPr>
      <w:bookmarkStart w:id="0" w:name="_Hlk57884087"/>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bookmarkEnd w:id="0"/>
    <w:p>
      <w:pPr>
        <w:adjustRightInd w:val="0"/>
        <w:snapToGrid w:val="0"/>
        <w:spacing w:line="288" w:lineRule="auto"/>
        <w:jc w:val="center"/>
        <w:rPr>
          <w:b/>
          <w:sz w:val="36"/>
          <w:szCs w:val="36"/>
        </w:rPr>
      </w:pPr>
      <w:r>
        <w:rPr>
          <w:b/>
          <w:sz w:val="36"/>
          <w:szCs w:val="36"/>
        </w:rPr>
        <w:t>中华人民共和国生态环境部制</w:t>
      </w:r>
    </w:p>
    <w:p>
      <w:pPr>
        <w:jc w:val="center"/>
        <w:rPr>
          <w:sz w:val="36"/>
          <w:szCs w:val="36"/>
        </w:rPr>
        <w:sectPr>
          <w:footerReference r:id="rId3" w:type="default"/>
          <w:footerReference r:id="rId4" w:type="even"/>
          <w:pgSz w:w="11906" w:h="16838"/>
          <w:pgMar w:top="720" w:right="720" w:bottom="720" w:left="720" w:header="851" w:footer="1077" w:gutter="0"/>
          <w:pgNumType w:start="3"/>
          <w:cols w:space="720" w:num="1"/>
          <w:docGrid w:linePitch="312" w:charSpace="0"/>
        </w:sectPr>
      </w:pPr>
    </w:p>
    <w:p/>
    <w:p>
      <w:pPr>
        <w:pStyle w:val="43"/>
        <w:rPr>
          <w:rFonts w:ascii="Times New Roman" w:hAnsi="Times New Roman"/>
          <w:color w:val="auto"/>
        </w:rPr>
      </w:pPr>
    </w:p>
    <w:p>
      <w:pPr>
        <w:adjustRightInd w:val="0"/>
        <w:snapToGrid w:val="0"/>
        <w:spacing w:line="288" w:lineRule="auto"/>
        <w:rPr>
          <w:rFonts w:eastAsia="仿宋_GB2312"/>
          <w:sz w:val="36"/>
          <w:szCs w:val="36"/>
        </w:rPr>
        <w:sectPr>
          <w:pgSz w:w="11906" w:h="16838"/>
          <w:pgMar w:top="720" w:right="720" w:bottom="720" w:left="720" w:header="851" w:footer="1077" w:gutter="0"/>
          <w:pgNumType w:start="3"/>
          <w:cols w:space="720" w:num="1"/>
          <w:docGrid w:linePitch="312" w:charSpace="0"/>
        </w:sect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73"/>
        <w:gridCol w:w="2564"/>
        <w:gridCol w:w="1851"/>
        <w:gridCol w:w="3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建设项目名称</w:t>
            </w:r>
          </w:p>
        </w:tc>
        <w:tc>
          <w:tcPr>
            <w:tcW w:w="4311" w:type="pct"/>
            <w:gridSpan w:val="3"/>
            <w:vAlign w:val="center"/>
          </w:tcPr>
          <w:p>
            <w:pPr>
              <w:adjustRightInd w:val="0"/>
              <w:snapToGrid w:val="0"/>
              <w:jc w:val="center"/>
              <w:rPr>
                <w:szCs w:val="21"/>
              </w:rPr>
            </w:pPr>
            <w:r>
              <w:rPr>
                <w:szCs w:val="21"/>
              </w:rPr>
              <w:t>嘉贺光电科技（惠州）有限公司建设项目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项目代码</w:t>
            </w:r>
          </w:p>
        </w:tc>
        <w:tc>
          <w:tcPr>
            <w:tcW w:w="4311" w:type="pct"/>
            <w:gridSpan w:val="3"/>
            <w:vAlign w:val="center"/>
          </w:tcPr>
          <w:p>
            <w:pPr>
              <w:adjustRightInd w:val="0"/>
              <w:snapToGrid w:val="0"/>
              <w:jc w:val="center"/>
              <w:rPr>
                <w:szCs w:val="21"/>
              </w:rPr>
            </w:pPr>
            <w:r>
              <w:rPr>
                <w:rFonts w:hint="eastAsia"/>
                <w:szCs w:val="21"/>
                <w:lang w:val="en-US" w:eastAsia="zh-CN"/>
              </w:rPr>
              <w:t>2209-441322-04-01-707891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建设单位联系人</w:t>
            </w:r>
          </w:p>
        </w:tc>
        <w:tc>
          <w:tcPr>
            <w:tcW w:w="1388" w:type="pct"/>
            <w:vAlign w:val="center"/>
          </w:tcPr>
          <w:p>
            <w:pPr>
              <w:adjustRightInd w:val="0"/>
              <w:snapToGrid w:val="0"/>
              <w:jc w:val="center"/>
              <w:rPr>
                <w:szCs w:val="21"/>
              </w:rPr>
            </w:pPr>
          </w:p>
        </w:tc>
        <w:tc>
          <w:tcPr>
            <w:tcW w:w="1002" w:type="pct"/>
            <w:vAlign w:val="center"/>
          </w:tcPr>
          <w:p>
            <w:pPr>
              <w:adjustRightInd w:val="0"/>
              <w:snapToGrid w:val="0"/>
              <w:jc w:val="center"/>
              <w:rPr>
                <w:szCs w:val="21"/>
              </w:rPr>
            </w:pPr>
            <w:r>
              <w:rPr>
                <w:szCs w:val="21"/>
              </w:rPr>
              <w:t>联系方式</w:t>
            </w:r>
          </w:p>
        </w:tc>
        <w:tc>
          <w:tcPr>
            <w:tcW w:w="1922" w:type="pct"/>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建设地点</w:t>
            </w:r>
          </w:p>
        </w:tc>
        <w:tc>
          <w:tcPr>
            <w:tcW w:w="4311" w:type="pct"/>
            <w:gridSpan w:val="3"/>
            <w:vAlign w:val="center"/>
          </w:tcPr>
          <w:p>
            <w:pPr>
              <w:adjustRightInd w:val="0"/>
              <w:snapToGrid w:val="0"/>
              <w:jc w:val="center"/>
              <w:rPr>
                <w:szCs w:val="21"/>
              </w:rPr>
            </w:pPr>
            <w:r>
              <w:rPr>
                <w:kern w:val="44"/>
              </w:rPr>
              <w:t>广东省惠州市博罗县杨侨镇十二岭办事处广梅公路边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地理坐标</w:t>
            </w:r>
          </w:p>
        </w:tc>
        <w:tc>
          <w:tcPr>
            <w:tcW w:w="4311" w:type="pct"/>
            <w:gridSpan w:val="3"/>
            <w:vAlign w:val="center"/>
          </w:tcPr>
          <w:p>
            <w:pPr>
              <w:jc w:val="center"/>
              <w:rPr>
                <w:szCs w:val="21"/>
              </w:rPr>
            </w:pPr>
            <w:r>
              <w:rPr>
                <w:szCs w:val="21"/>
              </w:rPr>
              <w:t>（东经</w:t>
            </w:r>
            <w:r>
              <w:rPr>
                <w:kern w:val="44"/>
                <w:szCs w:val="21"/>
                <w:u w:val="single"/>
              </w:rPr>
              <w:t>114</w:t>
            </w:r>
            <w:r>
              <w:rPr>
                <w:kern w:val="44"/>
                <w:szCs w:val="21"/>
              </w:rPr>
              <w:t>度</w:t>
            </w:r>
            <w:r>
              <w:rPr>
                <w:kern w:val="44"/>
                <w:szCs w:val="21"/>
                <w:u w:val="single"/>
              </w:rPr>
              <w:t xml:space="preserve"> 26 </w:t>
            </w:r>
            <w:r>
              <w:rPr>
                <w:kern w:val="44"/>
                <w:szCs w:val="21"/>
              </w:rPr>
              <w:t>分</w:t>
            </w:r>
            <w:r>
              <w:rPr>
                <w:kern w:val="44"/>
                <w:szCs w:val="21"/>
                <w:u w:val="single"/>
              </w:rPr>
              <w:t xml:space="preserve"> 2.184</w:t>
            </w:r>
            <w:r>
              <w:rPr>
                <w:kern w:val="44"/>
                <w:szCs w:val="21"/>
              </w:rPr>
              <w:t>秒</w:t>
            </w:r>
            <w:r>
              <w:rPr>
                <w:szCs w:val="21"/>
              </w:rPr>
              <w:t>，北纬</w:t>
            </w:r>
            <w:r>
              <w:rPr>
                <w:szCs w:val="21"/>
                <w:u w:val="single"/>
              </w:rPr>
              <w:t xml:space="preserve"> </w:t>
            </w:r>
            <w:r>
              <w:rPr>
                <w:kern w:val="44"/>
                <w:szCs w:val="21"/>
                <w:u w:val="single"/>
              </w:rPr>
              <w:t>23</w:t>
            </w:r>
            <w:r>
              <w:rPr>
                <w:kern w:val="44"/>
                <w:szCs w:val="21"/>
              </w:rPr>
              <w:t>度</w:t>
            </w:r>
            <w:r>
              <w:rPr>
                <w:kern w:val="44"/>
                <w:szCs w:val="21"/>
                <w:u w:val="single"/>
              </w:rPr>
              <w:t xml:space="preserve"> 24</w:t>
            </w:r>
            <w:r>
              <w:rPr>
                <w:kern w:val="44"/>
                <w:szCs w:val="21"/>
              </w:rPr>
              <w:t>分</w:t>
            </w:r>
            <w:r>
              <w:rPr>
                <w:kern w:val="44"/>
                <w:szCs w:val="21"/>
                <w:u w:val="single"/>
              </w:rPr>
              <w:t>24.984</w:t>
            </w:r>
            <w:r>
              <w:rPr>
                <w:kern w:val="44"/>
                <w:szCs w:val="21"/>
              </w:rPr>
              <w:t>秒</w:t>
            </w: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国民经济</w:t>
            </w:r>
          </w:p>
          <w:p>
            <w:pPr>
              <w:adjustRightInd w:val="0"/>
              <w:snapToGrid w:val="0"/>
              <w:jc w:val="center"/>
              <w:rPr>
                <w:szCs w:val="21"/>
              </w:rPr>
            </w:pPr>
            <w:r>
              <w:rPr>
                <w:szCs w:val="21"/>
              </w:rPr>
              <w:t>行业类别</w:t>
            </w:r>
          </w:p>
        </w:tc>
        <w:tc>
          <w:tcPr>
            <w:tcW w:w="1388" w:type="pct"/>
            <w:vAlign w:val="center"/>
          </w:tcPr>
          <w:p>
            <w:pPr>
              <w:adjustRightInd w:val="0"/>
              <w:snapToGrid w:val="0"/>
              <w:jc w:val="center"/>
              <w:rPr>
                <w:szCs w:val="21"/>
              </w:rPr>
            </w:pPr>
            <w:r>
              <w:rPr>
                <w:rFonts w:hint="eastAsia"/>
                <w:bCs/>
                <w:szCs w:val="21"/>
              </w:rPr>
              <w:t>C2929 塑料零件及其他塑料制品制造</w:t>
            </w:r>
          </w:p>
        </w:tc>
        <w:tc>
          <w:tcPr>
            <w:tcW w:w="1002" w:type="pct"/>
            <w:vAlign w:val="center"/>
          </w:tcPr>
          <w:p>
            <w:pPr>
              <w:adjustRightInd w:val="0"/>
              <w:snapToGrid w:val="0"/>
              <w:jc w:val="center"/>
              <w:rPr>
                <w:szCs w:val="21"/>
              </w:rPr>
            </w:pPr>
            <w:bookmarkStart w:id="1" w:name="_Hlk49843745"/>
            <w:r>
              <w:rPr>
                <w:szCs w:val="21"/>
              </w:rPr>
              <w:t>建设项目</w:t>
            </w:r>
          </w:p>
          <w:p>
            <w:pPr>
              <w:adjustRightInd w:val="0"/>
              <w:snapToGrid w:val="0"/>
              <w:jc w:val="center"/>
              <w:rPr>
                <w:szCs w:val="21"/>
              </w:rPr>
            </w:pPr>
            <w:r>
              <w:rPr>
                <w:szCs w:val="21"/>
              </w:rPr>
              <w:t>行业类别</w:t>
            </w:r>
            <w:bookmarkEnd w:id="1"/>
          </w:p>
        </w:tc>
        <w:tc>
          <w:tcPr>
            <w:tcW w:w="1922" w:type="pct"/>
            <w:vAlign w:val="center"/>
          </w:tcPr>
          <w:p>
            <w:pPr>
              <w:adjustRightInd w:val="0"/>
              <w:snapToGrid w:val="0"/>
              <w:jc w:val="center"/>
              <w:rPr>
                <w:kern w:val="0"/>
                <w:szCs w:val="21"/>
              </w:rPr>
            </w:pPr>
            <w:r>
              <w:rPr>
                <w:kern w:val="0"/>
                <w:szCs w:val="21"/>
              </w:rPr>
              <w:t xml:space="preserve">53 塑料制品业-其他（年用非溶剂型低 VOCs 含量涂料 10吨以下的除外）；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9"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建设性质</w:t>
            </w:r>
          </w:p>
        </w:tc>
        <w:tc>
          <w:tcPr>
            <w:tcW w:w="1388" w:type="pct"/>
            <w:vAlign w:val="center"/>
          </w:tcPr>
          <w:p>
            <w:pPr>
              <w:jc w:val="left"/>
              <w:rPr>
                <w:szCs w:val="21"/>
              </w:rPr>
            </w:pPr>
            <w:r>
              <w:rPr>
                <w:szCs w:val="21"/>
              </w:rPr>
              <w:sym w:font="Wingdings 2" w:char="0052"/>
            </w:r>
            <w:r>
              <w:rPr>
                <w:szCs w:val="21"/>
              </w:rPr>
              <w:t>新建（迁建）</w:t>
            </w:r>
          </w:p>
          <w:p>
            <w:pPr>
              <w:jc w:val="left"/>
              <w:rPr>
                <w:szCs w:val="21"/>
              </w:rPr>
            </w:pPr>
            <w:r>
              <w:rPr>
                <w:szCs w:val="21"/>
              </w:rPr>
              <w:t>□改建</w:t>
            </w:r>
          </w:p>
          <w:p>
            <w:pPr>
              <w:jc w:val="left"/>
              <w:rPr>
                <w:szCs w:val="21"/>
              </w:rPr>
            </w:pPr>
            <w:r>
              <w:rPr>
                <w:szCs w:val="21"/>
              </w:rPr>
              <w:t>□扩建</w:t>
            </w:r>
          </w:p>
          <w:p>
            <w:pPr>
              <w:jc w:val="left"/>
              <w:rPr>
                <w:szCs w:val="21"/>
              </w:rPr>
            </w:pPr>
            <w:r>
              <w:rPr>
                <w:szCs w:val="21"/>
              </w:rPr>
              <w:t>□技术改造</w:t>
            </w:r>
          </w:p>
        </w:tc>
        <w:tc>
          <w:tcPr>
            <w:tcW w:w="1002" w:type="pct"/>
            <w:vAlign w:val="center"/>
          </w:tcPr>
          <w:p>
            <w:pPr>
              <w:adjustRightInd w:val="0"/>
              <w:snapToGrid w:val="0"/>
              <w:jc w:val="center"/>
              <w:rPr>
                <w:szCs w:val="21"/>
              </w:rPr>
            </w:pPr>
            <w:r>
              <w:rPr>
                <w:szCs w:val="21"/>
              </w:rPr>
              <w:t>建设项目</w:t>
            </w:r>
          </w:p>
          <w:p>
            <w:pPr>
              <w:adjustRightInd w:val="0"/>
              <w:snapToGrid w:val="0"/>
              <w:jc w:val="center"/>
              <w:rPr>
                <w:szCs w:val="21"/>
              </w:rPr>
            </w:pPr>
            <w:r>
              <w:rPr>
                <w:szCs w:val="21"/>
              </w:rPr>
              <w:t>申报情形</w:t>
            </w:r>
          </w:p>
        </w:tc>
        <w:tc>
          <w:tcPr>
            <w:tcW w:w="1922" w:type="pct"/>
            <w:vAlign w:val="center"/>
          </w:tcPr>
          <w:p>
            <w:pPr>
              <w:jc w:val="left"/>
              <w:rPr>
                <w:szCs w:val="21"/>
              </w:rPr>
            </w:pPr>
            <w:r>
              <w:rPr>
                <w:szCs w:val="21"/>
              </w:rPr>
              <w:sym w:font="Wingdings 2" w:char="0052"/>
            </w:r>
            <w:r>
              <w:rPr>
                <w:szCs w:val="21"/>
              </w:rPr>
              <w:t xml:space="preserve">首次申报项目             </w:t>
            </w:r>
          </w:p>
          <w:p>
            <w:pPr>
              <w:jc w:val="left"/>
              <w:rPr>
                <w:szCs w:val="21"/>
              </w:rPr>
            </w:pPr>
            <w:r>
              <w:rPr>
                <w:szCs w:val="21"/>
              </w:rPr>
              <w:t>□不予批准后再次申报项目</w:t>
            </w:r>
          </w:p>
          <w:p>
            <w:pPr>
              <w:jc w:val="left"/>
              <w:rPr>
                <w:szCs w:val="21"/>
              </w:rPr>
            </w:pPr>
            <w:r>
              <w:rPr>
                <w:szCs w:val="21"/>
              </w:rPr>
              <w:t xml:space="preserve">□超五年重新审核项目     </w:t>
            </w:r>
          </w:p>
          <w:p>
            <w:pPr>
              <w:jc w:val="left"/>
              <w:rPr>
                <w:szCs w:val="21"/>
              </w:rPr>
            </w:pPr>
            <w:r>
              <w:rPr>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项目审批（核准/备案）部门（选填）</w:t>
            </w:r>
          </w:p>
        </w:tc>
        <w:tc>
          <w:tcPr>
            <w:tcW w:w="1388" w:type="pct"/>
            <w:vAlign w:val="center"/>
          </w:tcPr>
          <w:p>
            <w:pPr>
              <w:adjustRightInd w:val="0"/>
              <w:snapToGrid w:val="0"/>
              <w:jc w:val="center"/>
              <w:rPr>
                <w:szCs w:val="21"/>
              </w:rPr>
            </w:pPr>
            <w:r>
              <w:rPr>
                <w:szCs w:val="21"/>
              </w:rPr>
              <w:t>/</w:t>
            </w:r>
          </w:p>
        </w:tc>
        <w:tc>
          <w:tcPr>
            <w:tcW w:w="1002" w:type="pct"/>
            <w:vAlign w:val="center"/>
          </w:tcPr>
          <w:p>
            <w:pPr>
              <w:adjustRightInd w:val="0"/>
              <w:snapToGrid w:val="0"/>
              <w:jc w:val="center"/>
              <w:rPr>
                <w:szCs w:val="21"/>
              </w:rPr>
            </w:pPr>
            <w:r>
              <w:rPr>
                <w:szCs w:val="21"/>
              </w:rPr>
              <w:t>项目审批（核准/备案）文号（选填）</w:t>
            </w:r>
          </w:p>
        </w:tc>
        <w:tc>
          <w:tcPr>
            <w:tcW w:w="1922" w:type="pct"/>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总投资（万元）</w:t>
            </w:r>
          </w:p>
        </w:tc>
        <w:tc>
          <w:tcPr>
            <w:tcW w:w="1388" w:type="pct"/>
            <w:vAlign w:val="center"/>
          </w:tcPr>
          <w:p>
            <w:pPr>
              <w:adjustRightInd w:val="0"/>
              <w:snapToGrid w:val="0"/>
              <w:jc w:val="center"/>
              <w:rPr>
                <w:szCs w:val="21"/>
              </w:rPr>
            </w:pPr>
            <w:r>
              <w:rPr>
                <w:szCs w:val="21"/>
              </w:rPr>
              <w:t>200.0</w:t>
            </w:r>
          </w:p>
        </w:tc>
        <w:tc>
          <w:tcPr>
            <w:tcW w:w="1002" w:type="pct"/>
            <w:tcMar>
              <w:top w:w="16" w:type="dxa"/>
              <w:left w:w="16" w:type="dxa"/>
              <w:right w:w="16" w:type="dxa"/>
            </w:tcMar>
            <w:vAlign w:val="center"/>
          </w:tcPr>
          <w:p>
            <w:pPr>
              <w:adjustRightInd w:val="0"/>
              <w:snapToGrid w:val="0"/>
              <w:jc w:val="center"/>
              <w:rPr>
                <w:szCs w:val="21"/>
              </w:rPr>
            </w:pPr>
            <w:r>
              <w:rPr>
                <w:szCs w:val="21"/>
              </w:rPr>
              <w:t>环保投资（万元）</w:t>
            </w:r>
          </w:p>
        </w:tc>
        <w:tc>
          <w:tcPr>
            <w:tcW w:w="1922" w:type="pct"/>
            <w:vAlign w:val="center"/>
          </w:tcPr>
          <w:p>
            <w:pPr>
              <w:adjustRightInd w:val="0"/>
              <w:snapToGrid w:val="0"/>
              <w:jc w:val="center"/>
              <w:rPr>
                <w:szCs w:val="21"/>
              </w:rPr>
            </w:pPr>
            <w:r>
              <w:rPr>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环保投资占比（%）</w:t>
            </w:r>
          </w:p>
        </w:tc>
        <w:tc>
          <w:tcPr>
            <w:tcW w:w="1388" w:type="pct"/>
            <w:vAlign w:val="center"/>
          </w:tcPr>
          <w:p>
            <w:pPr>
              <w:adjustRightInd w:val="0"/>
              <w:snapToGrid w:val="0"/>
              <w:jc w:val="center"/>
              <w:rPr>
                <w:szCs w:val="21"/>
              </w:rPr>
            </w:pPr>
            <w:r>
              <w:rPr>
                <w:szCs w:val="21"/>
              </w:rPr>
              <w:t>15</w:t>
            </w:r>
          </w:p>
        </w:tc>
        <w:tc>
          <w:tcPr>
            <w:tcW w:w="1002" w:type="pct"/>
            <w:tcMar>
              <w:top w:w="16" w:type="dxa"/>
              <w:left w:w="16" w:type="dxa"/>
              <w:right w:w="16" w:type="dxa"/>
            </w:tcMar>
            <w:vAlign w:val="center"/>
          </w:tcPr>
          <w:p>
            <w:pPr>
              <w:adjustRightInd w:val="0"/>
              <w:snapToGrid w:val="0"/>
              <w:jc w:val="center"/>
              <w:rPr>
                <w:szCs w:val="21"/>
              </w:rPr>
            </w:pPr>
            <w:r>
              <w:rPr>
                <w:szCs w:val="21"/>
              </w:rPr>
              <w:t>施工工期</w:t>
            </w:r>
          </w:p>
        </w:tc>
        <w:tc>
          <w:tcPr>
            <w:tcW w:w="1922" w:type="pct"/>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9" w:type="pct"/>
            <w:tcMar>
              <w:top w:w="16" w:type="dxa"/>
              <w:left w:w="16" w:type="dxa"/>
              <w:right w:w="16" w:type="dxa"/>
            </w:tcMar>
            <w:vAlign w:val="center"/>
          </w:tcPr>
          <w:p>
            <w:pPr>
              <w:adjustRightInd w:val="0"/>
              <w:snapToGrid w:val="0"/>
              <w:jc w:val="center"/>
              <w:rPr>
                <w:szCs w:val="21"/>
              </w:rPr>
            </w:pPr>
            <w:r>
              <w:rPr>
                <w:szCs w:val="21"/>
              </w:rPr>
              <w:t>是否开工建设</w:t>
            </w:r>
          </w:p>
        </w:tc>
        <w:tc>
          <w:tcPr>
            <w:tcW w:w="1388" w:type="pct"/>
            <w:vAlign w:val="center"/>
          </w:tcPr>
          <w:p>
            <w:pPr>
              <w:adjustRightInd w:val="0"/>
              <w:snapToGrid w:val="0"/>
              <w:rPr>
                <w:szCs w:val="21"/>
              </w:rPr>
            </w:pPr>
            <w:r>
              <w:rPr>
                <w:szCs w:val="21"/>
              </w:rPr>
              <w:sym w:font="Wingdings 2" w:char="0052"/>
            </w:r>
            <w:r>
              <w:rPr>
                <w:szCs w:val="21"/>
              </w:rPr>
              <w:t>否</w:t>
            </w:r>
          </w:p>
          <w:p>
            <w:pPr>
              <w:adjustRightInd w:val="0"/>
              <w:snapToGrid w:val="0"/>
              <w:rPr>
                <w:szCs w:val="21"/>
              </w:rPr>
            </w:pPr>
            <w:r>
              <w:rPr>
                <w:szCs w:val="21"/>
              </w:rPr>
              <w:sym w:font="Wingdings 2" w:char="00A3"/>
            </w:r>
            <w:r>
              <w:rPr>
                <w:szCs w:val="21"/>
              </w:rPr>
              <w:t>是：</w:t>
            </w:r>
            <w:r>
              <w:rPr>
                <w:szCs w:val="21"/>
                <w:u w:val="single"/>
              </w:rPr>
              <w:t xml:space="preserve">             </w:t>
            </w:r>
          </w:p>
        </w:tc>
        <w:tc>
          <w:tcPr>
            <w:tcW w:w="1002" w:type="pct"/>
            <w:tcMar>
              <w:top w:w="16" w:type="dxa"/>
              <w:left w:w="16" w:type="dxa"/>
              <w:right w:w="16" w:type="dxa"/>
            </w:tcMar>
            <w:vAlign w:val="center"/>
          </w:tcPr>
          <w:p>
            <w:pPr>
              <w:adjustRightInd w:val="0"/>
              <w:snapToGrid w:val="0"/>
              <w:jc w:val="center"/>
              <w:rPr>
                <w:spacing w:val="-6"/>
                <w:szCs w:val="21"/>
              </w:rPr>
            </w:pPr>
            <w:r>
              <w:rPr>
                <w:spacing w:val="-6"/>
                <w:szCs w:val="21"/>
              </w:rPr>
              <w:t>用地（用海）</w:t>
            </w:r>
          </w:p>
          <w:p>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1922" w:type="pct"/>
            <w:vAlign w:val="center"/>
          </w:tcPr>
          <w:p>
            <w:pPr>
              <w:adjustRightInd w:val="0"/>
              <w:snapToGrid w:val="0"/>
              <w:jc w:val="center"/>
              <w:rPr>
                <w:szCs w:val="21"/>
              </w:rPr>
            </w:pPr>
            <w:r>
              <w:rPr>
                <w:szCs w:val="21"/>
              </w:rPr>
              <w:t>7500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9" w:type="pct"/>
            <w:vAlign w:val="center"/>
          </w:tcPr>
          <w:p>
            <w:pPr>
              <w:autoSpaceDE w:val="0"/>
              <w:autoSpaceDN w:val="0"/>
              <w:adjustRightInd w:val="0"/>
              <w:snapToGrid w:val="0"/>
              <w:jc w:val="center"/>
              <w:rPr>
                <w:kern w:val="0"/>
                <w:szCs w:val="21"/>
              </w:rPr>
            </w:pPr>
            <w:r>
              <w:rPr>
                <w:kern w:val="0"/>
                <w:szCs w:val="21"/>
              </w:rPr>
              <w:t>专项评价设置情况</w:t>
            </w:r>
          </w:p>
        </w:tc>
        <w:tc>
          <w:tcPr>
            <w:tcW w:w="4311" w:type="pct"/>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9" w:type="pct"/>
            <w:vAlign w:val="center"/>
          </w:tcPr>
          <w:p>
            <w:pPr>
              <w:autoSpaceDE w:val="0"/>
              <w:autoSpaceDN w:val="0"/>
              <w:adjustRightInd w:val="0"/>
              <w:snapToGrid w:val="0"/>
              <w:jc w:val="center"/>
              <w:rPr>
                <w:kern w:val="0"/>
                <w:szCs w:val="21"/>
              </w:rPr>
            </w:pPr>
            <w:r>
              <w:rPr>
                <w:szCs w:val="21"/>
              </w:rPr>
              <w:t>规划情况</w:t>
            </w:r>
          </w:p>
        </w:tc>
        <w:tc>
          <w:tcPr>
            <w:tcW w:w="4311" w:type="pct"/>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9" w:type="pct"/>
            <w:vAlign w:val="center"/>
          </w:tcPr>
          <w:p>
            <w:pPr>
              <w:adjustRightInd w:val="0"/>
              <w:snapToGrid w:val="0"/>
              <w:jc w:val="center"/>
              <w:rPr>
                <w:szCs w:val="21"/>
              </w:rPr>
            </w:pPr>
            <w:r>
              <w:rPr>
                <w:szCs w:val="21"/>
              </w:rPr>
              <w:t>规划环境影响评价情况</w:t>
            </w:r>
          </w:p>
        </w:tc>
        <w:tc>
          <w:tcPr>
            <w:tcW w:w="4311" w:type="pct"/>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89" w:type="pct"/>
            <w:vAlign w:val="center"/>
          </w:tcPr>
          <w:p>
            <w:pPr>
              <w:autoSpaceDE w:val="0"/>
              <w:autoSpaceDN w:val="0"/>
              <w:adjustRightInd w:val="0"/>
              <w:snapToGrid w:val="0"/>
              <w:jc w:val="center"/>
              <w:rPr>
                <w:kern w:val="0"/>
                <w:szCs w:val="21"/>
              </w:rPr>
            </w:pPr>
            <w:r>
              <w:rPr>
                <w:kern w:val="0"/>
                <w:szCs w:val="21"/>
              </w:rPr>
              <w:t>规划及规划环境影响评价符合性分析</w:t>
            </w:r>
          </w:p>
        </w:tc>
        <w:tc>
          <w:tcPr>
            <w:tcW w:w="4311" w:type="pct"/>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0" w:hRule="atLeast"/>
          <w:jc w:val="center"/>
        </w:trPr>
        <w:tc>
          <w:tcPr>
            <w:tcW w:w="689" w:type="pct"/>
            <w:vAlign w:val="center"/>
          </w:tcPr>
          <w:p>
            <w:pPr>
              <w:autoSpaceDE w:val="0"/>
              <w:autoSpaceDN w:val="0"/>
              <w:adjustRightInd w:val="0"/>
              <w:snapToGrid w:val="0"/>
              <w:jc w:val="center"/>
              <w:rPr>
                <w:kern w:val="0"/>
                <w:szCs w:val="21"/>
              </w:rPr>
            </w:pPr>
            <w:r>
              <w:rPr>
                <w:kern w:val="0"/>
                <w:szCs w:val="21"/>
              </w:rPr>
              <w:t>其他符合性分析</w:t>
            </w:r>
          </w:p>
        </w:tc>
        <w:tc>
          <w:tcPr>
            <w:tcW w:w="4311" w:type="pct"/>
            <w:gridSpan w:val="3"/>
            <w:vAlign w:val="center"/>
          </w:tcPr>
          <w:p>
            <w:pPr>
              <w:adjustRightInd w:val="0"/>
              <w:snapToGrid w:val="0"/>
              <w:spacing w:line="360" w:lineRule="auto"/>
              <w:ind w:firstLine="482"/>
              <w:rPr>
                <w:b/>
                <w:szCs w:val="21"/>
              </w:rPr>
            </w:pPr>
            <w:r>
              <w:rPr>
                <w:b/>
                <w:szCs w:val="21"/>
              </w:rPr>
              <w:t>1、“三线一单”相符性分析</w:t>
            </w:r>
          </w:p>
          <w:p>
            <w:pPr>
              <w:spacing w:line="360" w:lineRule="auto"/>
              <w:ind w:firstLine="420" w:firstLineChars="200"/>
            </w:pPr>
            <w:r>
              <w:t>本项目位于</w:t>
            </w:r>
            <w:r>
              <w:rPr>
                <w:kern w:val="44"/>
              </w:rPr>
              <w:t>惠州市博罗县杨侨镇十二岭办事处广梅公路边</w:t>
            </w:r>
            <w:r>
              <w:t>，</w:t>
            </w:r>
            <w:r>
              <w:rPr>
                <w:bCs/>
                <w:kern w:val="0"/>
              </w:rPr>
              <w:t>根据惠州市生态环境局博罗分局发布的《博罗县分类环境管控单元及环境准入负面清单》，</w:t>
            </w:r>
            <w:r>
              <w:t>项目所在地属于ZH44132230001</w:t>
            </w:r>
            <w:r>
              <w:rPr>
                <w:rFonts w:hint="eastAsia"/>
              </w:rPr>
              <w:t>（</w:t>
            </w:r>
            <w:r>
              <w:t>博罗一般管控单元</w:t>
            </w:r>
            <w:r>
              <w:rPr>
                <w:rFonts w:hint="eastAsia"/>
              </w:rPr>
              <w:t>）</w:t>
            </w:r>
            <w:r>
              <w:t>，项目与相应的管控要求相符性分析见下表。</w:t>
            </w:r>
          </w:p>
          <w:p>
            <w:pPr>
              <w:numPr>
                <w:ilvl w:val="0"/>
                <w:numId w:val="2"/>
              </w:numPr>
              <w:adjustRightInd w:val="0"/>
              <w:snapToGrid w:val="0"/>
              <w:spacing w:line="360" w:lineRule="auto"/>
              <w:ind w:left="322"/>
              <w:jc w:val="center"/>
              <w:rPr>
                <w:b/>
                <w:bCs/>
              </w:rPr>
            </w:pPr>
            <w:r>
              <w:rPr>
                <w:b/>
                <w:bCs/>
              </w:rPr>
              <w:t>项目与</w:t>
            </w:r>
            <w:r>
              <w:rPr>
                <w:b/>
                <w:szCs w:val="21"/>
              </w:rPr>
              <w:t>《博罗县分类环境管控单元及环境准入负面清单》</w:t>
            </w:r>
            <w:r>
              <w:rPr>
                <w:b/>
                <w:bCs/>
              </w:rPr>
              <w:t>相符性分析一览表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4334"/>
              <w:gridCol w:w="218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56" w:type="pct"/>
                  <w:gridSpan w:val="2"/>
                  <w:vAlign w:val="center"/>
                </w:tcPr>
                <w:p>
                  <w:pPr>
                    <w:jc w:val="center"/>
                    <w:rPr>
                      <w:b/>
                      <w:bCs/>
                      <w:szCs w:val="21"/>
                    </w:rPr>
                  </w:pPr>
                  <w:r>
                    <w:rPr>
                      <w:b/>
                      <w:bCs/>
                      <w:szCs w:val="21"/>
                    </w:rPr>
                    <w:t>管控要求</w:t>
                  </w:r>
                </w:p>
              </w:tc>
              <w:tc>
                <w:tcPr>
                  <w:tcW w:w="1414" w:type="pct"/>
                  <w:vAlign w:val="center"/>
                </w:tcPr>
                <w:p>
                  <w:pPr>
                    <w:jc w:val="center"/>
                    <w:rPr>
                      <w:b/>
                      <w:bCs/>
                      <w:szCs w:val="21"/>
                    </w:rPr>
                  </w:pPr>
                  <w:r>
                    <w:rPr>
                      <w:b/>
                      <w:bCs/>
                      <w:szCs w:val="21"/>
                    </w:rPr>
                    <w:t>本项目情况</w:t>
                  </w:r>
                </w:p>
              </w:tc>
              <w:tc>
                <w:tcPr>
                  <w:tcW w:w="530" w:type="pct"/>
                  <w:vAlign w:val="center"/>
                </w:tcPr>
                <w:p>
                  <w:pPr>
                    <w:jc w:val="center"/>
                    <w:rPr>
                      <w:b/>
                      <w:bCs/>
                      <w:szCs w:val="21"/>
                    </w:rPr>
                  </w:pPr>
                  <w:r>
                    <w:rPr>
                      <w:b/>
                      <w:bCs/>
                      <w:szCs w:val="21"/>
                    </w:rPr>
                    <w:t>符合性结论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一、生态保护红线相符性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56" w:type="pct"/>
                  <w:gridSpan w:val="2"/>
                  <w:vAlign w:val="center"/>
                </w:tcPr>
                <w:p>
                  <w:pPr>
                    <w:ind w:firstLine="360" w:firstLineChars="200"/>
                    <w:jc w:val="left"/>
                    <w:rPr>
                      <w:sz w:val="18"/>
                      <w:szCs w:val="18"/>
                    </w:rPr>
                  </w:pPr>
                  <w:r>
                    <w:rPr>
                      <w:sz w:val="18"/>
                      <w:szCs w:val="18"/>
                    </w:rPr>
                    <w:t>博罗县生态空间优先保护区总面积为752.514km</w:t>
                  </w:r>
                  <w:r>
                    <w:rPr>
                      <w:sz w:val="18"/>
                      <w:szCs w:val="18"/>
                      <w:vertAlign w:val="superscript"/>
                    </w:rPr>
                    <w:t>2</w:t>
                  </w:r>
                  <w:r>
                    <w:rPr>
                      <w:sz w:val="18"/>
                      <w:szCs w:val="18"/>
                    </w:rPr>
                    <w:t>，占区域国土总面积的26.36%。根据山系、水系将生态空间优先保护区进行分区，按照生态保护红线和一般生态空间进行分类，得到10个生态空间优先保护区斑块。</w:t>
                  </w:r>
                </w:p>
                <w:p>
                  <w:pPr>
                    <w:ind w:firstLine="360" w:firstLineChars="200"/>
                    <w:jc w:val="left"/>
                    <w:rPr>
                      <w:sz w:val="18"/>
                      <w:szCs w:val="18"/>
                    </w:rPr>
                  </w:pPr>
                  <w:r>
                    <w:rPr>
                      <w:sz w:val="18"/>
                      <w:szCs w:val="18"/>
                    </w:rPr>
                    <w:t>根据县区将生态空间一般管控区进行分区，得到为1个生态空间一般管控区斑块。</w:t>
                  </w:r>
                </w:p>
                <w:p>
                  <w:pPr>
                    <w:ind w:firstLine="361" w:firstLineChars="200"/>
                    <w:jc w:val="left"/>
                    <w:rPr>
                      <w:b/>
                      <w:bCs/>
                      <w:sz w:val="18"/>
                      <w:szCs w:val="18"/>
                    </w:rPr>
                  </w:pPr>
                  <w:r>
                    <w:rPr>
                      <w:b/>
                      <w:bCs/>
                      <w:sz w:val="18"/>
                      <w:szCs w:val="18"/>
                    </w:rPr>
                    <w:t>生态空间管控要求：</w:t>
                  </w:r>
                </w:p>
                <w:p>
                  <w:pPr>
                    <w:ind w:firstLine="360" w:firstLineChars="200"/>
                    <w:jc w:val="left"/>
                    <w:rPr>
                      <w:sz w:val="18"/>
                      <w:szCs w:val="18"/>
                    </w:rPr>
                  </w:pPr>
                  <w:r>
                    <w:rPr>
                      <w:sz w:val="18"/>
                      <w:szCs w:val="18"/>
                    </w:rPr>
                    <w:t>（1）生态保护红线</w:t>
                  </w:r>
                </w:p>
                <w:p>
                  <w:pPr>
                    <w:ind w:firstLine="360" w:firstLineChars="200"/>
                    <w:jc w:val="left"/>
                    <w:rPr>
                      <w:sz w:val="18"/>
                      <w:szCs w:val="18"/>
                    </w:rPr>
                  </w:pPr>
                  <w:r>
                    <w:rPr>
                      <w:sz w:val="18"/>
                      <w:szCs w:val="18"/>
                    </w:rPr>
                    <w:t>生态保护红线的根据《关于在国土空间规划中统筹划定落实三条控制线的指导意见》中的相关要求进行管控，自然保护地核心保护区原则上禁止人为活动，其他区域严格禁止开发性、生产性建设活动，在符合现行法律法规前提下，除国家重大战略项目外，仅允许对生态功能不造成破坏的有限人为活动，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pPr>
                    <w:ind w:firstLine="360" w:firstLineChars="200"/>
                    <w:jc w:val="left"/>
                    <w:rPr>
                      <w:sz w:val="18"/>
                      <w:szCs w:val="18"/>
                    </w:rPr>
                  </w:pPr>
                  <w:r>
                    <w:rPr>
                      <w:sz w:val="18"/>
                      <w:szCs w:val="18"/>
                    </w:rPr>
                    <w:t>（2）一般生态空间管控要求</w:t>
                  </w:r>
                </w:p>
                <w:p>
                  <w:pPr>
                    <w:ind w:firstLine="360" w:firstLineChars="200"/>
                    <w:jc w:val="left"/>
                    <w:rPr>
                      <w:b/>
                      <w:bCs/>
                      <w:sz w:val="18"/>
                      <w:szCs w:val="18"/>
                    </w:rPr>
                  </w:pPr>
                  <w:r>
                    <w:rPr>
                      <w:sz w:val="18"/>
                      <w:szCs w:val="18"/>
                    </w:rPr>
                    <w:t>一般生态空间根据《广东省“三线一单”生态环境分区管控方案》进行管控，一般生态空间内可开展生态保护红线内允许的活动，在不影响主导生态功能的前提下，还可开展国家和省规定不纳入环评管理的项目建设，以及生态旅游、畜禽养殖、基础设施建设、村庄建设等人为活动。</w:t>
                  </w:r>
                </w:p>
              </w:tc>
              <w:tc>
                <w:tcPr>
                  <w:tcW w:w="1414" w:type="pct"/>
                  <w:vAlign w:val="center"/>
                </w:tcPr>
                <w:p>
                  <w:pPr>
                    <w:ind w:firstLine="360" w:firstLineChars="200"/>
                    <w:jc w:val="left"/>
                    <w:rPr>
                      <w:b/>
                      <w:bCs/>
                      <w:sz w:val="18"/>
                      <w:szCs w:val="18"/>
                    </w:rPr>
                  </w:pPr>
                  <w:r>
                    <w:rPr>
                      <w:sz w:val="18"/>
                      <w:szCs w:val="18"/>
                    </w:rPr>
                    <w:t>本项目位于惠州市博罗县杨侨镇十二岭办事处广梅公路边，根据《博罗县生态空间最终划定情况图》</w:t>
                  </w:r>
                  <w:r>
                    <w:rPr>
                      <w:rFonts w:hint="eastAsia"/>
                      <w:sz w:val="18"/>
                      <w:szCs w:val="18"/>
                    </w:rPr>
                    <w:t>（附图13）</w:t>
                  </w:r>
                  <w:r>
                    <w:rPr>
                      <w:sz w:val="18"/>
                      <w:szCs w:val="18"/>
                    </w:rPr>
                    <w:t>以及《博罗县三线一单生态环境分区管控研究报告》表3.3-2，本项目不位于生态保护红线和一般生态空间内，属于生态空间一般管控区。</w:t>
                  </w:r>
                </w:p>
              </w:tc>
              <w:tc>
                <w:tcPr>
                  <w:tcW w:w="530" w:type="pct"/>
                  <w:vAlign w:val="center"/>
                </w:tcPr>
                <w:p>
                  <w:pPr>
                    <w:jc w:val="center"/>
                    <w:rPr>
                      <w:b/>
                      <w:bCs/>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二、环境质量底线相符性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56" w:type="pct"/>
                  <w:vAlign w:val="center"/>
                </w:tcPr>
                <w:p>
                  <w:pPr>
                    <w:jc w:val="center"/>
                    <w:rPr>
                      <w:b/>
                      <w:bCs/>
                      <w:sz w:val="24"/>
                    </w:rPr>
                  </w:pPr>
                  <w:r>
                    <w:rPr>
                      <w:sz w:val="18"/>
                      <w:szCs w:val="18"/>
                    </w:rPr>
                    <w:t>水环境质量底线</w:t>
                  </w:r>
                </w:p>
              </w:tc>
              <w:tc>
                <w:tcPr>
                  <w:tcW w:w="2800" w:type="pct"/>
                  <w:vAlign w:val="center"/>
                </w:tcPr>
                <w:p>
                  <w:pPr>
                    <w:ind w:firstLine="360" w:firstLineChars="200"/>
                    <w:rPr>
                      <w:sz w:val="18"/>
                      <w:szCs w:val="18"/>
                    </w:rPr>
                  </w:pPr>
                  <w:r>
                    <w:rPr>
                      <w:sz w:val="18"/>
                      <w:szCs w:val="18"/>
                    </w:rPr>
                    <w:t>博罗县水环境重点管控区主要根据水环境评价和污染源分析结果，将水质现状未达到水质目标的水体的集水范围纳入重点管控区。</w:t>
                  </w:r>
                </w:p>
                <w:p>
                  <w:pPr>
                    <w:ind w:firstLine="360" w:firstLineChars="200"/>
                    <w:rPr>
                      <w:sz w:val="18"/>
                      <w:szCs w:val="18"/>
                    </w:rPr>
                  </w:pPr>
                  <w:r>
                    <w:rPr>
                      <w:sz w:val="18"/>
                      <w:szCs w:val="18"/>
                    </w:rPr>
                    <w:t>未涉及到优先保护区和重点管控区的范围即为一般管控区，未涉及到优先保护区和重点管控区的范围即为一般管控区，最终博罗县水环境优先管控区面积330.971 km</w:t>
                  </w:r>
                  <w:r>
                    <w:rPr>
                      <w:sz w:val="18"/>
                      <w:szCs w:val="18"/>
                      <w:vertAlign w:val="superscript"/>
                    </w:rPr>
                    <w:t>2</w:t>
                  </w:r>
                  <w:r>
                    <w:rPr>
                      <w:sz w:val="18"/>
                      <w:szCs w:val="18"/>
                    </w:rPr>
                    <w:t>，占县域国土面积的11.59%。</w:t>
                  </w:r>
                </w:p>
                <w:p>
                  <w:pPr>
                    <w:ind w:firstLine="361" w:firstLineChars="200"/>
                    <w:rPr>
                      <w:b/>
                      <w:bCs/>
                      <w:sz w:val="18"/>
                      <w:szCs w:val="18"/>
                    </w:rPr>
                  </w:pPr>
                  <w:r>
                    <w:rPr>
                      <w:b/>
                      <w:bCs/>
                      <w:sz w:val="18"/>
                      <w:szCs w:val="18"/>
                    </w:rPr>
                    <w:t>水环境管控分区管控要求</w:t>
                  </w:r>
                </w:p>
                <w:p>
                  <w:pPr>
                    <w:ind w:firstLine="360" w:firstLineChars="200"/>
                    <w:rPr>
                      <w:sz w:val="18"/>
                      <w:szCs w:val="18"/>
                    </w:rPr>
                  </w:pPr>
                  <w:r>
                    <w:rPr>
                      <w:sz w:val="18"/>
                      <w:szCs w:val="18"/>
                    </w:rPr>
                    <w:t>（1）区域布局管控要求</w:t>
                  </w:r>
                </w:p>
                <w:p>
                  <w:pPr>
                    <w:ind w:firstLine="360" w:firstLineChars="200"/>
                    <w:rPr>
                      <w:sz w:val="18"/>
                      <w:szCs w:val="18"/>
                    </w:rPr>
                  </w:pPr>
                  <w:r>
                    <w:rPr>
                      <w:sz w:val="18"/>
                      <w:szCs w:val="18"/>
                    </w:rPr>
                    <w:t>加强涉水项目环境准入管理。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禁止在东江干流和一级支流两岸最高水位线水平外延五百米范围内新建废弃物堆放场和处理场。饮用水水源保护区全面加强水源涵养，强化源头控制，禁止新建排污口，严格防范水源污染风险，切实保障饮用水安全，一级保护区内禁止新建、改建、扩建与供水设施和保护水源无关的建设项目；二级保护区内禁止新建、改建、扩建排放污染物的建设项目。饮用水水源准保护区内禁止新建、扩建对水体污染严重的建设项目。</w:t>
                  </w:r>
                </w:p>
                <w:p>
                  <w:pPr>
                    <w:ind w:firstLine="360" w:firstLineChars="200"/>
                    <w:rPr>
                      <w:sz w:val="18"/>
                      <w:szCs w:val="18"/>
                    </w:rPr>
                  </w:pPr>
                  <w:r>
                    <w:rPr>
                      <w:sz w:val="18"/>
                      <w:szCs w:val="18"/>
                    </w:rPr>
                    <w:t>（2）能源资源利用要求</w:t>
                  </w:r>
                </w:p>
                <w:p>
                  <w:pPr>
                    <w:ind w:firstLine="360" w:firstLineChars="200"/>
                    <w:rPr>
                      <w:sz w:val="18"/>
                      <w:szCs w:val="18"/>
                    </w:rPr>
                  </w:pPr>
                  <w:r>
                    <w:rPr>
                      <w:sz w:val="18"/>
                      <w:szCs w:val="18"/>
                    </w:rPr>
                    <w:t>强化水资源节约集约利用。推动农业节水增效；推进工业节水减排；开展城镇节水降损；保障江河湖库生态流量。</w:t>
                  </w:r>
                </w:p>
                <w:p>
                  <w:pPr>
                    <w:ind w:firstLine="360" w:firstLineChars="200"/>
                    <w:rPr>
                      <w:sz w:val="18"/>
                      <w:szCs w:val="18"/>
                    </w:rPr>
                  </w:pPr>
                  <w:r>
                    <w:rPr>
                      <w:sz w:val="18"/>
                      <w:szCs w:val="18"/>
                    </w:rPr>
                    <w:t>（3）污染物排放管控要求</w:t>
                  </w:r>
                </w:p>
                <w:p>
                  <w:pPr>
                    <w:ind w:firstLine="360" w:firstLineChars="200"/>
                    <w:rPr>
                      <w:sz w:val="18"/>
                      <w:szCs w:val="18"/>
                    </w:rPr>
                  </w:pPr>
                  <w:r>
                    <w:rPr>
                      <w:sz w:val="18"/>
                      <w:szCs w:val="18"/>
                    </w:rPr>
                    <w:t>加大水污染物防治力度。重点水污染物未达到环境质量改善目标的区域内，新建、改建、扩建项目实施减量替代。大力整治“散乱污”企业，全面整治入河排污口，系统治理河涌和黑臭水体。加快推进生活污水处理设施建设和提质增效，率先消除城中村、老旧城区和城乡结合部生活污水收集处理设施空白区。</w:t>
                  </w:r>
                </w:p>
                <w:p>
                  <w:pPr>
                    <w:ind w:firstLine="360" w:firstLineChars="200"/>
                    <w:rPr>
                      <w:sz w:val="18"/>
                      <w:szCs w:val="18"/>
                    </w:rPr>
                  </w:pPr>
                  <w:r>
                    <w:rPr>
                      <w:sz w:val="18"/>
                      <w:szCs w:val="18"/>
                    </w:rPr>
                    <w:t>（4）环境风险防控要求</w:t>
                  </w:r>
                </w:p>
                <w:p>
                  <w:pPr>
                    <w:ind w:firstLine="360" w:firstLineChars="200"/>
                    <w:rPr>
                      <w:sz w:val="18"/>
                      <w:szCs w:val="18"/>
                    </w:rPr>
                  </w:pPr>
                  <w:r>
                    <w:rPr>
                      <w:sz w:val="18"/>
                      <w:szCs w:val="18"/>
                    </w:rPr>
                    <w:t>加大水环境风险防范力度。强化饮用水水源地风险管控，加强东江等供水通道干流沿岸及饮用水水源、备用水源环境风险防控，建立完善突发环境事件应急管理体系。强化地表水、地下水和土壤污染风险协同防控，建立完善突发环境事件应急管理体系。强化涉重金属行业、工业园区和尾矿库等重点环境风险源的环境风险评估和防控。</w:t>
                  </w:r>
                </w:p>
              </w:tc>
              <w:tc>
                <w:tcPr>
                  <w:tcW w:w="1414" w:type="pct"/>
                  <w:vAlign w:val="center"/>
                </w:tcPr>
                <w:p>
                  <w:pPr>
                    <w:ind w:firstLine="360" w:firstLineChars="200"/>
                    <w:rPr>
                      <w:sz w:val="18"/>
                      <w:szCs w:val="18"/>
                    </w:rPr>
                  </w:pPr>
                  <w:r>
                    <w:rPr>
                      <w:sz w:val="18"/>
                      <w:szCs w:val="18"/>
                    </w:rPr>
                    <w:t>根据《博罗县水环境质量底线管控分区划定情况图》</w:t>
                  </w:r>
                  <w:r>
                    <w:rPr>
                      <w:rFonts w:hint="eastAsia"/>
                      <w:sz w:val="18"/>
                      <w:szCs w:val="18"/>
                    </w:rPr>
                    <w:t>（附图1</w:t>
                  </w:r>
                  <w:r>
                    <w:rPr>
                      <w:sz w:val="18"/>
                      <w:szCs w:val="18"/>
                    </w:rPr>
                    <w:t>4</w:t>
                  </w:r>
                  <w:r>
                    <w:rPr>
                      <w:rFonts w:hint="eastAsia"/>
                      <w:sz w:val="18"/>
                      <w:szCs w:val="18"/>
                    </w:rPr>
                    <w:t>）</w:t>
                  </w:r>
                  <w:r>
                    <w:rPr>
                      <w:sz w:val="18"/>
                      <w:szCs w:val="18"/>
                    </w:rPr>
                    <w:t>以及《博罗县三线一单生态环境分区管控研究报告》表4.8-2，本项目位于水环境</w:t>
                  </w:r>
                  <w:r>
                    <w:rPr>
                      <w:rFonts w:hint="eastAsia"/>
                      <w:sz w:val="18"/>
                      <w:szCs w:val="18"/>
                    </w:rPr>
                    <w:t>一般管控区</w:t>
                  </w:r>
                  <w:r>
                    <w:rPr>
                      <w:sz w:val="18"/>
                      <w:szCs w:val="18"/>
                    </w:rPr>
                    <w:t>。</w:t>
                  </w:r>
                </w:p>
                <w:p>
                  <w:pPr>
                    <w:ind w:firstLine="360" w:firstLineChars="200"/>
                    <w:rPr>
                      <w:sz w:val="18"/>
                      <w:szCs w:val="18"/>
                    </w:rPr>
                  </w:pPr>
                  <w:r>
                    <w:rPr>
                      <w:sz w:val="18"/>
                      <w:szCs w:val="18"/>
                    </w:rPr>
                    <w:t>本项目属于</w:t>
                  </w:r>
                  <w:r>
                    <w:rPr>
                      <w:rFonts w:hint="eastAsia"/>
                      <w:bCs/>
                      <w:sz w:val="18"/>
                      <w:szCs w:val="18"/>
                    </w:rPr>
                    <w:t>C2929 塑料零件及其他塑料制品制造</w:t>
                  </w:r>
                  <w:r>
                    <w:rPr>
                      <w:sz w:val="18"/>
                      <w:szCs w:val="18"/>
                    </w:rPr>
                    <w:t>，不属于明文规定的限制类或淘汰类项目，且本项目不位于饮用水源保护区内。</w:t>
                  </w:r>
                </w:p>
                <w:p>
                  <w:pPr>
                    <w:ind w:firstLine="360" w:firstLineChars="200"/>
                    <w:rPr>
                      <w:sz w:val="18"/>
                      <w:szCs w:val="18"/>
                    </w:rPr>
                  </w:pPr>
                  <w:r>
                    <w:rPr>
                      <w:sz w:val="18"/>
                      <w:szCs w:val="18"/>
                    </w:rPr>
                    <w:t>本项目冷却用水循环使用不外排，无生产性废水排放，生活污水经三级化粪池处理后经市政管网的排至</w:t>
                  </w:r>
                  <w:r>
                    <w:rPr>
                      <w:rFonts w:hint="eastAsia"/>
                      <w:sz w:val="18"/>
                      <w:szCs w:val="18"/>
                    </w:rPr>
                    <w:t>杨侨镇生活污水处理厂</w:t>
                  </w:r>
                  <w:r>
                    <w:rPr>
                      <w:sz w:val="18"/>
                      <w:szCs w:val="18"/>
                    </w:rPr>
                    <w:t>集中处理达标排放。</w:t>
                  </w:r>
                </w:p>
                <w:p>
                  <w:pPr>
                    <w:ind w:firstLine="360" w:firstLineChars="200"/>
                    <w:rPr>
                      <w:b/>
                      <w:bCs/>
                      <w:sz w:val="24"/>
                    </w:rPr>
                  </w:pPr>
                  <w:r>
                    <w:rPr>
                      <w:sz w:val="18"/>
                      <w:szCs w:val="18"/>
                    </w:rPr>
                    <w:t>本项目不涉及重金属、工业园区、尾矿库等重点环境风险源。</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4" w:hRule="atLeast"/>
                <w:jc w:val="center"/>
              </w:trPr>
              <w:tc>
                <w:tcPr>
                  <w:tcW w:w="256" w:type="pct"/>
                  <w:vAlign w:val="center"/>
                </w:tcPr>
                <w:p>
                  <w:pPr>
                    <w:jc w:val="center"/>
                    <w:rPr>
                      <w:b/>
                      <w:bCs/>
                      <w:sz w:val="24"/>
                    </w:rPr>
                  </w:pPr>
                  <w:r>
                    <w:rPr>
                      <w:sz w:val="18"/>
                      <w:szCs w:val="18"/>
                    </w:rPr>
                    <w:t>大气环境质量底线</w:t>
                  </w:r>
                </w:p>
              </w:tc>
              <w:tc>
                <w:tcPr>
                  <w:tcW w:w="2800" w:type="pct"/>
                  <w:vAlign w:val="center"/>
                </w:tcPr>
                <w:p>
                  <w:pPr>
                    <w:ind w:firstLine="360" w:firstLineChars="200"/>
                    <w:rPr>
                      <w:sz w:val="18"/>
                      <w:szCs w:val="18"/>
                    </w:rPr>
                  </w:pPr>
                  <w:r>
                    <w:rPr>
                      <w:sz w:val="18"/>
                      <w:szCs w:val="18"/>
                    </w:rPr>
                    <w:t>博罗县大气环境优先保护区面积673.794 km</w:t>
                  </w:r>
                  <w:r>
                    <w:rPr>
                      <w:sz w:val="18"/>
                      <w:szCs w:val="18"/>
                      <w:vertAlign w:val="superscript"/>
                    </w:rPr>
                    <w:t>2</w:t>
                  </w:r>
                  <w:r>
                    <w:rPr>
                      <w:sz w:val="18"/>
                      <w:szCs w:val="18"/>
                    </w:rPr>
                    <w:t>，占博罗县面积的23.60%；4类重点管控区叠加去重叠后的面积为1226.730 km</w:t>
                  </w:r>
                  <w:r>
                    <w:rPr>
                      <w:sz w:val="18"/>
                      <w:szCs w:val="18"/>
                      <w:vertAlign w:val="superscript"/>
                    </w:rPr>
                    <w:t>2</w:t>
                  </w:r>
                  <w:r>
                    <w:rPr>
                      <w:sz w:val="18"/>
                      <w:szCs w:val="18"/>
                    </w:rPr>
                    <w:t>，占博罗县国土面积的42.96%；大气环境一般管控区面积954.681 km</w:t>
                  </w:r>
                  <w:r>
                    <w:rPr>
                      <w:sz w:val="18"/>
                      <w:szCs w:val="18"/>
                      <w:vertAlign w:val="superscript"/>
                    </w:rPr>
                    <w:t>2</w:t>
                  </w:r>
                  <w:r>
                    <w:rPr>
                      <w:sz w:val="18"/>
                      <w:szCs w:val="18"/>
                    </w:rPr>
                    <w:t>，占博罗县国土面积的33.44%。</w:t>
                  </w:r>
                </w:p>
                <w:p>
                  <w:pPr>
                    <w:ind w:firstLine="361" w:firstLineChars="200"/>
                    <w:rPr>
                      <w:b/>
                      <w:bCs/>
                      <w:sz w:val="18"/>
                      <w:szCs w:val="18"/>
                    </w:rPr>
                  </w:pPr>
                  <w:r>
                    <w:rPr>
                      <w:b/>
                      <w:bCs/>
                      <w:sz w:val="18"/>
                      <w:szCs w:val="18"/>
                    </w:rPr>
                    <w:t>大气环境管控要求</w:t>
                  </w:r>
                </w:p>
                <w:p>
                  <w:pPr>
                    <w:ind w:firstLine="360" w:firstLineChars="200"/>
                    <w:rPr>
                      <w:sz w:val="18"/>
                      <w:szCs w:val="18"/>
                    </w:rPr>
                  </w:pPr>
                  <w:r>
                    <w:rPr>
                      <w:sz w:val="18"/>
                      <w:szCs w:val="18"/>
                    </w:rPr>
                    <w:t>（1）区域布局管控要求</w:t>
                  </w:r>
                </w:p>
                <w:p>
                  <w:pPr>
                    <w:ind w:firstLine="360" w:firstLineChars="200"/>
                    <w:rPr>
                      <w:sz w:val="18"/>
                      <w:szCs w:val="18"/>
                    </w:rPr>
                  </w:pPr>
                  <w:r>
                    <w:rPr>
                      <w:sz w:val="18"/>
                      <w:szCs w:val="18"/>
                    </w:rPr>
                    <w:t>加强涉气项目环境准入管理。环境空气质量一类功能区实施严格保护，禁止新建、扩建大气污染物排放工业项目（国家和省规定不纳入环评管理的项目除外）。禁止新建、扩建燃煤燃油的火电机组（含企业自备电站），推进现有服役期满及落后老旧的燃煤火电机组有序退出；原则上不再新建燃煤锅炉，逐步淘汰生物质锅炉、集中供热管网覆盖区域内的分散供热锅炉，逐步推动高污染燃料禁燃区全覆盖。禁止新建、扩建水泥、平板玻璃、化学制浆、生皮制革以及国家规划外的钢铁、原油加工等项目。严格限制新建生产和使用高挥发性有机物原辅材料的项目。</w:t>
                  </w:r>
                </w:p>
                <w:p>
                  <w:pPr>
                    <w:ind w:firstLine="360" w:firstLineChars="200"/>
                    <w:rPr>
                      <w:sz w:val="18"/>
                      <w:szCs w:val="18"/>
                    </w:rPr>
                  </w:pPr>
                  <w:r>
                    <w:rPr>
                      <w:sz w:val="18"/>
                      <w:szCs w:val="18"/>
                    </w:rPr>
                    <w:t>（2）能源资源利用要求</w:t>
                  </w:r>
                </w:p>
                <w:p>
                  <w:pPr>
                    <w:ind w:firstLine="360" w:firstLineChars="200"/>
                    <w:rPr>
                      <w:sz w:val="18"/>
                      <w:szCs w:val="18"/>
                    </w:rPr>
                  </w:pPr>
                  <w:r>
                    <w:rPr>
                      <w:sz w:val="18"/>
                      <w:szCs w:val="18"/>
                    </w:rPr>
                    <w:t>优化调整能源结构。推进现有服役期满及落后老旧的燃煤火电机组有序退出，鼓励服役时间达30年左右燃煤机组及配套锅炉提前退役。大力压减非发电散煤消费，加大力度推进重点地区、重点行业燃煤自备电厂和燃煤自备锅炉“煤改气”工程。落实天然气大用户直供政策，拓宽供气来源，提高供气能力，降低工业用气价格，加快推动天然气管网省级园区通、重点企业通。</w:t>
                  </w:r>
                </w:p>
                <w:p>
                  <w:pPr>
                    <w:ind w:firstLine="360" w:firstLineChars="200"/>
                    <w:rPr>
                      <w:sz w:val="18"/>
                      <w:szCs w:val="18"/>
                    </w:rPr>
                  </w:pPr>
                  <w:r>
                    <w:rPr>
                      <w:sz w:val="18"/>
                      <w:szCs w:val="18"/>
                    </w:rPr>
                    <w:t>完善能源消费总量和强度“双控”制度。科学实施能源消费总量和强度“双控”，新建高能耗项目单位产品（产值）能耗达到国际国内先进水平，探索建立二氧化碳总量管理制度。</w:t>
                  </w:r>
                </w:p>
                <w:p>
                  <w:pPr>
                    <w:ind w:firstLine="360" w:firstLineChars="200"/>
                    <w:rPr>
                      <w:sz w:val="18"/>
                      <w:szCs w:val="18"/>
                    </w:rPr>
                  </w:pPr>
                  <w:r>
                    <w:rPr>
                      <w:sz w:val="18"/>
                      <w:szCs w:val="18"/>
                    </w:rPr>
                    <w:t>推动交通领域能源结构优化调整。依法依规科学合理优化调整储油库、加油站布局，加快充电桩、加气站、加氢站以及综合性能源补给站建设。大力推广使用新能源汽车。大力推进绿色港口和公用码头建设，提升岸电使用率；有序推动船舶、港业机械等“油改气”、“油改电”，降低港口柴油使用比例。</w:t>
                  </w:r>
                </w:p>
                <w:p>
                  <w:pPr>
                    <w:ind w:firstLine="360" w:firstLineChars="200"/>
                    <w:rPr>
                      <w:sz w:val="18"/>
                      <w:szCs w:val="18"/>
                    </w:rPr>
                  </w:pPr>
                  <w:r>
                    <w:rPr>
                      <w:sz w:val="18"/>
                      <w:szCs w:val="18"/>
                    </w:rPr>
                    <w:t>（3）污染物排放管控要求</w:t>
                  </w:r>
                </w:p>
                <w:p>
                  <w:pPr>
                    <w:ind w:firstLine="360" w:firstLineChars="200"/>
                    <w:rPr>
                      <w:sz w:val="18"/>
                      <w:szCs w:val="18"/>
                    </w:rPr>
                  </w:pPr>
                  <w:r>
                    <w:rPr>
                      <w:sz w:val="18"/>
                      <w:szCs w:val="18"/>
                    </w:rPr>
                    <w:t>严控大气污染物排放。在可核查、可监管的基础上，新建项目原则上实施氮氧化物等量替代，挥发性有机物倍量替代。深入开展工业炉窑和锅炉污染综合治理，火电及钢铁行业企业大气污染物达到可核查、可监管的超低排放标准；水泥、石化、化工及有色金属冶炼等行业企业大气污染物达到特别排放限值要求；深入推进石化、溶剂使用及挥发性有机液体储运销的挥发性有机物减排，通过源头替代、过程控制和末端治理实施反应活性物质、有毒有害物质、恶臭物质的协同控制。以臭氧生成潜势较大行业企业为重点，全面加强无组织排放控制，深入实施精细化治理。</w:t>
                  </w:r>
                </w:p>
                <w:p>
                  <w:pPr>
                    <w:ind w:firstLine="360" w:firstLineChars="200"/>
                    <w:rPr>
                      <w:sz w:val="18"/>
                      <w:szCs w:val="18"/>
                    </w:rPr>
                  </w:pPr>
                  <w:r>
                    <w:rPr>
                      <w:sz w:val="18"/>
                      <w:szCs w:val="18"/>
                    </w:rPr>
                    <w:t>（4）环境风险防控要求</w:t>
                  </w:r>
                </w:p>
                <w:p>
                  <w:pPr>
                    <w:ind w:firstLine="360" w:firstLineChars="200"/>
                    <w:rPr>
                      <w:sz w:val="18"/>
                      <w:szCs w:val="18"/>
                    </w:rPr>
                  </w:pPr>
                  <w:r>
                    <w:rPr>
                      <w:sz w:val="18"/>
                      <w:szCs w:val="18"/>
                    </w:rPr>
                    <w:t>加强重点园区环境风险防范。加强龙溪电镀基地、桦阳印染工业园、博罗产业转移工业园等园区的环境风险防控，建立完善污染源在线监控系统，开展有毒有害气体监测，落实环境风险应急预案。</w:t>
                  </w:r>
                </w:p>
              </w:tc>
              <w:tc>
                <w:tcPr>
                  <w:tcW w:w="1414" w:type="pct"/>
                  <w:vAlign w:val="center"/>
                </w:tcPr>
                <w:p>
                  <w:pPr>
                    <w:ind w:firstLine="360" w:firstLineChars="200"/>
                    <w:jc w:val="left"/>
                    <w:rPr>
                      <w:sz w:val="18"/>
                      <w:szCs w:val="18"/>
                    </w:rPr>
                  </w:pPr>
                  <w:r>
                    <w:rPr>
                      <w:sz w:val="18"/>
                      <w:szCs w:val="18"/>
                    </w:rPr>
                    <w:t>根据《博罗县大气环境质量底线管控分区划定情况图》</w:t>
                  </w:r>
                  <w:r>
                    <w:rPr>
                      <w:rFonts w:hint="eastAsia"/>
                      <w:sz w:val="18"/>
                      <w:szCs w:val="18"/>
                    </w:rPr>
                    <w:t>（附图15）</w:t>
                  </w:r>
                  <w:r>
                    <w:rPr>
                      <w:sz w:val="18"/>
                      <w:szCs w:val="18"/>
                    </w:rPr>
                    <w:t>以及《博罗县三线一单生态环境分区管控研究报告》表5.4-2，本项目属于大气</w:t>
                  </w:r>
                  <w:r>
                    <w:rPr>
                      <w:rFonts w:hint="eastAsia"/>
                      <w:sz w:val="18"/>
                      <w:szCs w:val="18"/>
                    </w:rPr>
                    <w:t>一般</w:t>
                  </w:r>
                  <w:r>
                    <w:rPr>
                      <w:sz w:val="18"/>
                      <w:szCs w:val="18"/>
                    </w:rPr>
                    <w:t>管控区。</w:t>
                  </w:r>
                </w:p>
                <w:p>
                  <w:pPr>
                    <w:ind w:firstLine="360" w:firstLineChars="200"/>
                    <w:rPr>
                      <w:sz w:val="18"/>
                      <w:szCs w:val="18"/>
                    </w:rPr>
                  </w:pPr>
                  <w:r>
                    <w:rPr>
                      <w:sz w:val="18"/>
                      <w:szCs w:val="18"/>
                    </w:rPr>
                    <w:t>本项目不涉及燃煤燃油的火电机组、锅炉使用。属于</w:t>
                  </w:r>
                  <w:r>
                    <w:rPr>
                      <w:rFonts w:hint="eastAsia"/>
                      <w:bCs/>
                      <w:sz w:val="18"/>
                      <w:szCs w:val="18"/>
                    </w:rPr>
                    <w:t>C2929 塑料零件及其他塑料制品制造</w:t>
                  </w:r>
                  <w:r>
                    <w:rPr>
                      <w:sz w:val="18"/>
                      <w:szCs w:val="18"/>
                    </w:rPr>
                    <w:t>，不属于规定的禁止类和限制类项目。</w:t>
                  </w:r>
                </w:p>
                <w:p>
                  <w:pPr>
                    <w:ind w:firstLine="360" w:firstLineChars="200"/>
                    <w:rPr>
                      <w:sz w:val="18"/>
                      <w:szCs w:val="18"/>
                    </w:rPr>
                  </w:pPr>
                  <w:r>
                    <w:rPr>
                      <w:sz w:val="18"/>
                      <w:szCs w:val="18"/>
                    </w:rPr>
                    <w:t>本项目使用的能源仅为电能，不涉及天然气等使用。</w:t>
                  </w:r>
                </w:p>
                <w:p>
                  <w:pPr>
                    <w:ind w:firstLine="360" w:firstLineChars="200"/>
                    <w:rPr>
                      <w:sz w:val="18"/>
                      <w:szCs w:val="18"/>
                    </w:rPr>
                  </w:pPr>
                  <w:r>
                    <w:rPr>
                      <w:sz w:val="18"/>
                      <w:szCs w:val="18"/>
                    </w:rPr>
                    <w:t>本项目不涉及高VOC</w:t>
                  </w:r>
                  <w:r>
                    <w:rPr>
                      <w:sz w:val="18"/>
                      <w:szCs w:val="18"/>
                      <w:vertAlign w:val="subscript"/>
                    </w:rPr>
                    <w:t>S</w:t>
                  </w:r>
                  <w:r>
                    <w:rPr>
                      <w:sz w:val="18"/>
                      <w:szCs w:val="18"/>
                    </w:rPr>
                    <w:t>原辅料的使用，产生的有机废气收集经“两级活性炭吸附装置”处理达标后高空排放，挥发性有机物实行倍量替代。</w:t>
                  </w:r>
                </w:p>
                <w:p>
                  <w:pPr>
                    <w:ind w:firstLine="360" w:firstLineChars="200"/>
                    <w:rPr>
                      <w:b/>
                      <w:bCs/>
                      <w:sz w:val="24"/>
                    </w:rPr>
                  </w:pPr>
                  <w:r>
                    <w:rPr>
                      <w:sz w:val="18"/>
                      <w:szCs w:val="18"/>
                    </w:rPr>
                    <w:t>本项目不位于龙溪电镀基地、桦阳印染工业园、博罗产业转移工业园等园区内。</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56" w:type="pct"/>
                  <w:vAlign w:val="center"/>
                </w:tcPr>
                <w:p>
                  <w:pPr>
                    <w:jc w:val="right"/>
                    <w:rPr>
                      <w:sz w:val="18"/>
                      <w:szCs w:val="18"/>
                    </w:rPr>
                  </w:pPr>
                  <w:r>
                    <w:rPr>
                      <w:sz w:val="18"/>
                      <w:szCs w:val="18"/>
                    </w:rPr>
                    <w:t>土土壤环境安全利用底线</w:t>
                  </w:r>
                </w:p>
              </w:tc>
              <w:tc>
                <w:tcPr>
                  <w:tcW w:w="2800" w:type="pct"/>
                  <w:vAlign w:val="center"/>
                </w:tcPr>
                <w:p>
                  <w:pPr>
                    <w:ind w:firstLine="361" w:firstLineChars="200"/>
                    <w:rPr>
                      <w:sz w:val="18"/>
                      <w:szCs w:val="18"/>
                    </w:rPr>
                  </w:pPr>
                  <w:r>
                    <w:rPr>
                      <w:b/>
                      <w:bCs/>
                      <w:sz w:val="18"/>
                      <w:szCs w:val="18"/>
                    </w:rPr>
                    <w:t>严格控制新增重金属污染物排放。</w:t>
                  </w:r>
                  <w:r>
                    <w:rPr>
                      <w:sz w:val="18"/>
                      <w:szCs w:val="18"/>
                    </w:rPr>
                    <w:t>继续严格实施重金属污染防治分区防控策略，禁止在重点防控区内新建、改建、扩建增加重金属污染物排放总量的建设项目。重金属污染防控非重点区新建、改扩建重金属排放项目，应落实重金属总量替代与削减要求，严格控制重点行业发展规模。强化涉重金属污染行业建设项目环评审批管理，严格执行环保“三同时”制度。</w:t>
                  </w:r>
                </w:p>
                <w:p>
                  <w:pPr>
                    <w:ind w:firstLine="361" w:firstLineChars="200"/>
                    <w:rPr>
                      <w:sz w:val="18"/>
                      <w:szCs w:val="18"/>
                    </w:rPr>
                  </w:pPr>
                  <w:r>
                    <w:rPr>
                      <w:b/>
                      <w:bCs/>
                      <w:sz w:val="18"/>
                      <w:szCs w:val="18"/>
                    </w:rPr>
                    <w:t>强化土壤环境风险管控。</w:t>
                  </w:r>
                  <w:r>
                    <w:rPr>
                      <w:sz w:val="18"/>
                      <w:szCs w:val="18"/>
                    </w:rPr>
                    <w:t>实施农用地分类管理，保障农产品质量安全。严格控制在优先保护类耕地集中区域新建涉环境污染重点行业企业、污水处理厂、垃圾填埋场、垃圾焚烧厂及污染处理处置设施等公用设施。强化建设用地风险管控，防范人居环境风险。规范受污染建设用地再开发。</w:t>
                  </w:r>
                </w:p>
                <w:p>
                  <w:pPr>
                    <w:ind w:firstLine="361" w:firstLineChars="200"/>
                    <w:rPr>
                      <w:sz w:val="18"/>
                      <w:szCs w:val="18"/>
                    </w:rPr>
                  </w:pPr>
                  <w:r>
                    <w:rPr>
                      <w:b/>
                      <w:bCs/>
                      <w:sz w:val="18"/>
                      <w:szCs w:val="18"/>
                    </w:rPr>
                    <w:t>强化重金属风险管控。</w:t>
                  </w:r>
                  <w:r>
                    <w:rPr>
                      <w:sz w:val="18"/>
                      <w:szCs w:val="18"/>
                    </w:rPr>
                    <w:t>加强涉重金属污染源环境风险管控。强化涉重危险废物安全处理处置。加强污染地块风险管控，建立污染地块清单，实施污染地块分类管理，强化污染场地开发利用环境管理。</w:t>
                  </w:r>
                </w:p>
              </w:tc>
              <w:tc>
                <w:tcPr>
                  <w:tcW w:w="1414" w:type="pct"/>
                  <w:vAlign w:val="center"/>
                </w:tcPr>
                <w:p>
                  <w:pPr>
                    <w:ind w:firstLine="360" w:firstLineChars="200"/>
                    <w:rPr>
                      <w:sz w:val="18"/>
                      <w:szCs w:val="18"/>
                    </w:rPr>
                  </w:pPr>
                  <w:r>
                    <w:rPr>
                      <w:sz w:val="18"/>
                      <w:szCs w:val="18"/>
                    </w:rPr>
                    <w:t>根据《博罗县建设用地土壤管控分区划定情况图》</w:t>
                  </w:r>
                  <w:r>
                    <w:rPr>
                      <w:rFonts w:hint="eastAsia"/>
                      <w:sz w:val="18"/>
                      <w:szCs w:val="18"/>
                    </w:rPr>
                    <w:t>（附图16）</w:t>
                  </w:r>
                  <w:r>
                    <w:rPr>
                      <w:sz w:val="18"/>
                      <w:szCs w:val="18"/>
                    </w:rPr>
                    <w:t>以及《博罗县三线一单生态环境分区管控研究报告》6.1.2、6.1.3，本项目不位于建设用地污染风险重点管控区内，属于土壤环境一般管控区。</w:t>
                  </w:r>
                </w:p>
                <w:p>
                  <w:pPr>
                    <w:ind w:firstLine="360" w:firstLineChars="200"/>
                    <w:rPr>
                      <w:sz w:val="18"/>
                      <w:szCs w:val="18"/>
                    </w:rPr>
                  </w:pPr>
                  <w:r>
                    <w:rPr>
                      <w:sz w:val="18"/>
                      <w:szCs w:val="18"/>
                    </w:rPr>
                    <w:t>本项目不涉及重金属，不位于优先保护类耕地集中区域。</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三、资源利用上线相符性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ind w:firstLine="360" w:firstLineChars="200"/>
                    <w:rPr>
                      <w:sz w:val="18"/>
                      <w:szCs w:val="18"/>
                    </w:rPr>
                  </w:pPr>
                  <w:r>
                    <w:rPr>
                      <w:sz w:val="18"/>
                      <w:szCs w:val="18"/>
                    </w:rPr>
                    <w:t>根据《博罗县资源利用上线——土地资源优先保护区划定情况图》</w:t>
                  </w:r>
                  <w:r>
                    <w:rPr>
                      <w:rFonts w:hint="eastAsia"/>
                      <w:sz w:val="18"/>
                      <w:szCs w:val="18"/>
                    </w:rPr>
                    <w:t>（附图17）</w:t>
                  </w:r>
                  <w:r>
                    <w:rPr>
                      <w:sz w:val="18"/>
                      <w:szCs w:val="18"/>
                    </w:rPr>
                    <w:t>，本项目不位于土壤资源有限保护区内；</w:t>
                  </w:r>
                </w:p>
                <w:p>
                  <w:pPr>
                    <w:ind w:firstLine="360" w:firstLineChars="200"/>
                    <w:rPr>
                      <w:sz w:val="18"/>
                      <w:szCs w:val="18"/>
                    </w:rPr>
                  </w:pPr>
                  <w:r>
                    <w:rPr>
                      <w:sz w:val="18"/>
                      <w:szCs w:val="18"/>
                    </w:rPr>
                    <w:t>根据《博罗县资源利用上线——矿产资源开发敏感区划定情况图》</w:t>
                  </w:r>
                  <w:r>
                    <w:rPr>
                      <w:rFonts w:hint="eastAsia"/>
                      <w:sz w:val="18"/>
                      <w:szCs w:val="18"/>
                    </w:rPr>
                    <w:t>（附图18）</w:t>
                  </w:r>
                  <w:r>
                    <w:rPr>
                      <w:sz w:val="18"/>
                      <w:szCs w:val="18"/>
                    </w:rPr>
                    <w:t>，本项目不位于博罗县矿产资源开发敏感区内；</w:t>
                  </w:r>
                </w:p>
                <w:p>
                  <w:pPr>
                    <w:ind w:firstLine="360" w:firstLineChars="200"/>
                    <w:rPr>
                      <w:b/>
                      <w:bCs/>
                      <w:sz w:val="24"/>
                    </w:rPr>
                  </w:pPr>
                  <w:r>
                    <w:rPr>
                      <w:sz w:val="18"/>
                      <w:szCs w:val="18"/>
                    </w:rPr>
                    <w:t>根据《博罗县资源利用上线——高污染燃料禁燃区划定情况图》</w:t>
                  </w:r>
                  <w:r>
                    <w:rPr>
                      <w:rFonts w:hint="eastAsia"/>
                      <w:sz w:val="18"/>
                      <w:szCs w:val="18"/>
                    </w:rPr>
                    <w:t>（附图1</w:t>
                  </w:r>
                  <w:r>
                    <w:rPr>
                      <w:sz w:val="18"/>
                      <w:szCs w:val="18"/>
                    </w:rPr>
                    <w:t>9</w:t>
                  </w:r>
                  <w:r>
                    <w:rPr>
                      <w:rFonts w:hint="eastAsia"/>
                      <w:sz w:val="18"/>
                      <w:szCs w:val="18"/>
                    </w:rPr>
                    <w:t>）</w:t>
                  </w:r>
                  <w:r>
                    <w:rPr>
                      <w:sz w:val="18"/>
                      <w:szCs w:val="18"/>
                    </w:rPr>
                    <w:t>，本项目不位于博罗县高污染燃料禁燃区内。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18"/>
                      <w:szCs w:val="18"/>
                    </w:rPr>
                  </w:pPr>
                  <w:r>
                    <w:rPr>
                      <w:b/>
                      <w:bCs/>
                      <w:szCs w:val="21"/>
                    </w:rPr>
                    <w:t>四、环境准入清单相符性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区域布局管控</w:t>
                  </w:r>
                </w:p>
              </w:tc>
              <w:tc>
                <w:tcPr>
                  <w:tcW w:w="2800" w:type="pct"/>
                  <w:vAlign w:val="center"/>
                </w:tcPr>
                <w:p>
                  <w:pPr>
                    <w:jc w:val="left"/>
                    <w:rPr>
                      <w:sz w:val="18"/>
                      <w:szCs w:val="18"/>
                    </w:rPr>
                  </w:pPr>
                  <w:r>
                    <w:rPr>
                      <w:sz w:val="18"/>
                      <w:szCs w:val="18"/>
                    </w:rPr>
                    <w:t>1-1. 【产业/鼓励引导类】生态保护红线及饮用水水源保护区外的区域，重点发展生态农业、生态养殖业、生态旅游业。</w:t>
                  </w:r>
                </w:p>
                <w:p>
                  <w:pPr>
                    <w:jc w:val="left"/>
                    <w:rPr>
                      <w:sz w:val="18"/>
                      <w:szCs w:val="18"/>
                    </w:rPr>
                  </w:pPr>
                  <w:r>
                    <w:rPr>
                      <w:sz w:val="18"/>
                      <w:szCs w:val="18"/>
                    </w:rPr>
                    <w:t>1-2. 【产业/禁止类】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pPr>
                    <w:jc w:val="left"/>
                    <w:rPr>
                      <w:sz w:val="18"/>
                      <w:szCs w:val="18"/>
                    </w:rPr>
                  </w:pPr>
                  <w:r>
                    <w:rPr>
                      <w:sz w:val="18"/>
                      <w:szCs w:val="18"/>
                    </w:rPr>
                    <w:t>1-3. 【产业/限制类】严格限制石化、化工、包装印刷、工业涂装等高VOCs排放建设项目。</w:t>
                  </w:r>
                </w:p>
                <w:p>
                  <w:pPr>
                    <w:jc w:val="left"/>
                    <w:rPr>
                      <w:sz w:val="18"/>
                      <w:szCs w:val="18"/>
                    </w:rPr>
                  </w:pPr>
                  <w:r>
                    <w:rPr>
                      <w:sz w:val="18"/>
                      <w:szCs w:val="18"/>
                    </w:rPr>
                    <w:t>1-4. 【生态/禁止类】生态保护红线执行《关于在国土空间规划中统筹划定落实三条控制线的指导意见》中的准入要求，红线内自然保护地核心保护区原则上禁止人为活动，其他区域严格禁止开发性、生产性建设活动，在符合现行法律法规前提下，除国家重大战略项目外，仅允许对生态功能不造成破坏的有限人为活动。</w:t>
                  </w:r>
                </w:p>
                <w:p>
                  <w:pPr>
                    <w:jc w:val="left"/>
                    <w:rPr>
                      <w:sz w:val="18"/>
                      <w:szCs w:val="18"/>
                    </w:rPr>
                  </w:pPr>
                  <w:r>
                    <w:rPr>
                      <w:sz w:val="18"/>
                      <w:szCs w:val="18"/>
                    </w:rPr>
                    <w:t>1-5. 【生态/限制类】一般生态空间内可开展生态保护红线内允许的活动，在不影响主导生态功能的前提下，还可开展国家和省规定不纳入环评管理的项目建设，以及生态旅游、基础设施建设、村庄建设等人为活动。</w:t>
                  </w:r>
                </w:p>
                <w:p>
                  <w:pPr>
                    <w:jc w:val="left"/>
                    <w:rPr>
                      <w:sz w:val="18"/>
                      <w:szCs w:val="18"/>
                    </w:rPr>
                  </w:pPr>
                  <w:r>
                    <w:rPr>
                      <w:sz w:val="18"/>
                      <w:szCs w:val="18"/>
                    </w:rPr>
                    <w:t>1-6. 【水/禁止类】饮用水水源保护区涉及芦洲-博罗东部六镇东江饮用水水源保护区、东江观音阁伍塘村饮用水水源保护区、东江芦岚片区饮用水水源保护区、东江盘沱饮用水水源保护区、东江岭下饮用水水源保护区、罗坑径饮用水水源保护区、下宝溪水库饮用水水源保护区、梅树下水库饮用水水源保护区、湖镇响水河饮用水水源保护区，饮用水水源保护区按照《广东省水污染防治条例》“第五章 饮用水水源保护和流域特别规定”进行管理。一级保护区内禁止新建、改建、扩建与供水设施和保护水源无关的建设项目；已建成的与供水设施和保护水源无关的建设项目须拆除或者关闭。二级保护区内禁止新建、改建、扩建排放污染物的建设项目；已建成的排放污染物的建设项目责令拆除或者关闭；不排放污染物的建设项目，除与供水设施和保护水源有关的外，应当尽量避让饮用水水源二级保护区；经组织论证确实无法避让的，应当依法严格审批。</w:t>
                  </w:r>
                </w:p>
                <w:p>
                  <w:pPr>
                    <w:jc w:val="left"/>
                    <w:rPr>
                      <w:sz w:val="18"/>
                      <w:szCs w:val="18"/>
                    </w:rPr>
                  </w:pPr>
                  <w:r>
                    <w:rPr>
                      <w:sz w:val="18"/>
                      <w:szCs w:val="18"/>
                    </w:rPr>
                    <w:t>1-7. 【水/禁止类】禁止在公庄河干流两岸最高水位线外延五百米范围内新建废弃物堆放场和处理场。已有的堆放场和处理场需采取有效的防治污染措施，危及水体水质安全的，由县级以上人民政府责令限期搬迁。</w:t>
                  </w:r>
                </w:p>
                <w:p>
                  <w:pPr>
                    <w:jc w:val="left"/>
                    <w:rPr>
                      <w:sz w:val="18"/>
                      <w:szCs w:val="18"/>
                    </w:rPr>
                  </w:pPr>
                  <w:r>
                    <w:rPr>
                      <w:sz w:val="18"/>
                      <w:szCs w:val="18"/>
                    </w:rPr>
                    <w:t>1-8. 【水/禁止类】严禁在划定的禁养区内新、改、扩建各类畜禽养殖场，禁养区内已有的畜禽养殖场、点（散养户除外：牛5头以下，猪20头以下，家禽600只以下），须全部清理。</w:t>
                  </w:r>
                </w:p>
                <w:p>
                  <w:pPr>
                    <w:jc w:val="left"/>
                    <w:rPr>
                      <w:sz w:val="18"/>
                      <w:szCs w:val="18"/>
                    </w:rPr>
                  </w:pPr>
                  <w:r>
                    <w:rPr>
                      <w:sz w:val="18"/>
                      <w:szCs w:val="18"/>
                    </w:rPr>
                    <w:t>1-9. 【水/综合类】公庄河流域内，对养殖牛5头（含）、猪20头（含），家禽600只（含）以下的畜禽养殖散养户，流域内各镇可依据辖区实情，积极引导散养户自觉维护生态环境，规范养殖或主动退出畜禽养殖。</w:t>
                  </w:r>
                </w:p>
                <w:p>
                  <w:pPr>
                    <w:jc w:val="left"/>
                    <w:rPr>
                      <w:sz w:val="18"/>
                      <w:szCs w:val="18"/>
                    </w:rPr>
                  </w:pPr>
                  <w:r>
                    <w:rPr>
                      <w:sz w:val="18"/>
                      <w:szCs w:val="18"/>
                    </w:rPr>
                    <w:t>1-10. 【土壤/限制类】重金属污染防控非重点区新建、改扩建重金属排放项目，应严格落实重金属总量替代与削减要求，严格控制重点行业发展规模。强化重金属污染行业建设项目环评审批管理，严格执行环保“三同时”制度。</w:t>
                  </w:r>
                </w:p>
                <w:p>
                  <w:pPr>
                    <w:jc w:val="left"/>
                    <w:rPr>
                      <w:sz w:val="18"/>
                      <w:szCs w:val="18"/>
                    </w:rPr>
                  </w:pPr>
                  <w:r>
                    <w:rPr>
                      <w:sz w:val="18"/>
                      <w:szCs w:val="18"/>
                    </w:rPr>
                    <w:t>1-11.【岸线/综合类】严格水域岸线用途管制，土地开发利用应按照有关法律法规和技术标准要求，留足河道和湖库的管理和保护范围，非法挤占的应限期退出。</w:t>
                  </w:r>
                </w:p>
              </w:tc>
              <w:tc>
                <w:tcPr>
                  <w:tcW w:w="1414" w:type="pct"/>
                  <w:vAlign w:val="center"/>
                </w:tcPr>
                <w:p>
                  <w:pPr>
                    <w:rPr>
                      <w:sz w:val="18"/>
                      <w:szCs w:val="18"/>
                    </w:rPr>
                  </w:pPr>
                  <w:r>
                    <w:rPr>
                      <w:sz w:val="18"/>
                      <w:szCs w:val="18"/>
                    </w:rPr>
                    <w:t>1-1、1-2本项目位于生态保护红线及饮用水水源保护区外，属于塑料制品制造行业，不属于《产业结构调整指导目录（2019年本）》（2021修改版）中鼓励类、限制类、淘汰类项目，属于允许类项目，也不属于《市场准入负面清单（2022年版）》禁止准入类，不属于拆船项目。</w:t>
                  </w:r>
                </w:p>
                <w:p>
                  <w:pPr>
                    <w:jc w:val="left"/>
                    <w:rPr>
                      <w:sz w:val="18"/>
                      <w:szCs w:val="18"/>
                    </w:rPr>
                  </w:pPr>
                  <w:r>
                    <w:rPr>
                      <w:sz w:val="18"/>
                      <w:szCs w:val="18"/>
                    </w:rPr>
                    <w:t>1-3. 本项目属于塑料制品制造行业，不属于石化、化工、包装印刷、工业涂装等高VOCs排放建设项目。</w:t>
                  </w:r>
                </w:p>
                <w:p>
                  <w:pPr>
                    <w:jc w:val="left"/>
                    <w:rPr>
                      <w:sz w:val="18"/>
                      <w:szCs w:val="18"/>
                    </w:rPr>
                  </w:pPr>
                  <w:r>
                    <w:rPr>
                      <w:sz w:val="18"/>
                      <w:szCs w:val="18"/>
                    </w:rPr>
                    <w:t>1-4. 本项目占地不在生态保护红线范围内。</w:t>
                  </w:r>
                </w:p>
                <w:p>
                  <w:pPr>
                    <w:jc w:val="left"/>
                    <w:rPr>
                      <w:sz w:val="18"/>
                      <w:szCs w:val="18"/>
                    </w:rPr>
                  </w:pPr>
                  <w:r>
                    <w:rPr>
                      <w:sz w:val="18"/>
                      <w:szCs w:val="18"/>
                    </w:rPr>
                    <w:t>1-5. 本项目占地不在一般生态空间内。</w:t>
                  </w:r>
                </w:p>
                <w:p>
                  <w:pPr>
                    <w:jc w:val="left"/>
                    <w:rPr>
                      <w:sz w:val="18"/>
                      <w:szCs w:val="18"/>
                    </w:rPr>
                  </w:pPr>
                  <w:r>
                    <w:rPr>
                      <w:sz w:val="18"/>
                      <w:szCs w:val="18"/>
                    </w:rPr>
                    <w:t>1-6. 本项目不属于饮用水源保护区。</w:t>
                  </w:r>
                </w:p>
                <w:p>
                  <w:pPr>
                    <w:jc w:val="left"/>
                    <w:rPr>
                      <w:sz w:val="18"/>
                      <w:szCs w:val="18"/>
                    </w:rPr>
                  </w:pPr>
                  <w:r>
                    <w:rPr>
                      <w:sz w:val="18"/>
                      <w:szCs w:val="18"/>
                    </w:rPr>
                    <w:t>1-7. 本项目不属于废弃物堆放场和处理场。</w:t>
                  </w:r>
                </w:p>
                <w:p>
                  <w:pPr>
                    <w:jc w:val="left"/>
                    <w:rPr>
                      <w:sz w:val="18"/>
                      <w:szCs w:val="18"/>
                    </w:rPr>
                  </w:pPr>
                  <w:r>
                    <w:rPr>
                      <w:sz w:val="18"/>
                      <w:szCs w:val="18"/>
                    </w:rPr>
                    <w:t>1-8. 本项目不属于畜禽养殖业。</w:t>
                  </w:r>
                </w:p>
                <w:p>
                  <w:pPr>
                    <w:jc w:val="left"/>
                    <w:rPr>
                      <w:sz w:val="18"/>
                      <w:szCs w:val="18"/>
                    </w:rPr>
                  </w:pPr>
                  <w:r>
                    <w:rPr>
                      <w:sz w:val="18"/>
                      <w:szCs w:val="18"/>
                    </w:rPr>
                    <w:t>1-9. 本项目不属于畜禽养殖业。</w:t>
                  </w:r>
                </w:p>
                <w:p>
                  <w:pPr>
                    <w:jc w:val="left"/>
                    <w:rPr>
                      <w:sz w:val="18"/>
                      <w:szCs w:val="18"/>
                    </w:rPr>
                  </w:pPr>
                  <w:r>
                    <w:rPr>
                      <w:sz w:val="18"/>
                      <w:szCs w:val="18"/>
                    </w:rPr>
                    <w:t>1-10. 本项目不涉及重金属排放。</w:t>
                  </w:r>
                </w:p>
                <w:p>
                  <w:pPr>
                    <w:jc w:val="left"/>
                    <w:rPr>
                      <w:sz w:val="18"/>
                      <w:szCs w:val="18"/>
                    </w:rPr>
                  </w:pPr>
                  <w:r>
                    <w:rPr>
                      <w:sz w:val="18"/>
                      <w:szCs w:val="18"/>
                    </w:rPr>
                    <w:t>1-11. .本项目不占用水域岸线。</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6" w:type="pct"/>
                  <w:vAlign w:val="center"/>
                </w:tcPr>
                <w:p>
                  <w:pPr>
                    <w:jc w:val="center"/>
                    <w:rPr>
                      <w:sz w:val="18"/>
                      <w:szCs w:val="18"/>
                    </w:rPr>
                  </w:pPr>
                  <w:r>
                    <w:rPr>
                      <w:sz w:val="18"/>
                      <w:szCs w:val="18"/>
                    </w:rPr>
                    <w:t>能源资源利用</w:t>
                  </w:r>
                </w:p>
              </w:tc>
              <w:tc>
                <w:tcPr>
                  <w:tcW w:w="2800" w:type="pct"/>
                  <w:vAlign w:val="center"/>
                </w:tcPr>
                <w:p>
                  <w:pPr>
                    <w:jc w:val="left"/>
                    <w:rPr>
                      <w:sz w:val="18"/>
                      <w:szCs w:val="18"/>
                    </w:rPr>
                  </w:pPr>
                  <w:r>
                    <w:rPr>
                      <w:sz w:val="18"/>
                      <w:szCs w:val="18"/>
                    </w:rPr>
                    <w:t>2-1. 【能源/鼓励引导类】鼓励降低煤炭消耗、能源消耗，引导光伏等多种形式的新能源利用。</w:t>
                  </w:r>
                </w:p>
              </w:tc>
              <w:tc>
                <w:tcPr>
                  <w:tcW w:w="1414" w:type="pct"/>
                  <w:vAlign w:val="center"/>
                </w:tcPr>
                <w:p>
                  <w:pPr>
                    <w:jc w:val="left"/>
                    <w:rPr>
                      <w:sz w:val="18"/>
                      <w:szCs w:val="18"/>
                    </w:rPr>
                  </w:pPr>
                  <w:r>
                    <w:rPr>
                      <w:sz w:val="18"/>
                      <w:szCs w:val="18"/>
                    </w:rPr>
                    <w:t>2-1.本项目所用资源主要为电能，无煤炭消耗。</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污染物排放管控</w:t>
                  </w:r>
                </w:p>
              </w:tc>
              <w:tc>
                <w:tcPr>
                  <w:tcW w:w="2800" w:type="pct"/>
                  <w:vAlign w:val="center"/>
                </w:tcPr>
                <w:p>
                  <w:pPr>
                    <w:jc w:val="left"/>
                    <w:rPr>
                      <w:sz w:val="18"/>
                      <w:szCs w:val="18"/>
                    </w:rPr>
                  </w:pPr>
                  <w:r>
                    <w:rPr>
                      <w:sz w:val="18"/>
                      <w:szCs w:val="18"/>
                    </w:rPr>
                    <w:t>3-1. 【水/综合类】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jc w:val="left"/>
                    <w:rPr>
                      <w:sz w:val="18"/>
                      <w:szCs w:val="18"/>
                    </w:rPr>
                  </w:pPr>
                  <w:r>
                    <w:rPr>
                      <w:sz w:val="18"/>
                      <w:szCs w:val="18"/>
                    </w:rPr>
                    <w:t>3-2. 【水/综合类】畜禽养殖场、养殖小区应当依法对畜禽养殖废弃物实施综合利用和无害化处理。养殖专业户、畜禽散养户应当采取有效措施，防止畜禽粪便、污水渗漏、溢流、散落。</w:t>
                  </w:r>
                </w:p>
                <w:p>
                  <w:pPr>
                    <w:jc w:val="left"/>
                    <w:rPr>
                      <w:sz w:val="18"/>
                      <w:szCs w:val="18"/>
                    </w:rPr>
                  </w:pPr>
                  <w:r>
                    <w:rPr>
                      <w:sz w:val="18"/>
                      <w:szCs w:val="18"/>
                    </w:rPr>
                    <w:t>3-3. 【水/综合类】强化农业面源污染治理，控制农药化肥使用量。</w:t>
                  </w:r>
                </w:p>
                <w:p>
                  <w:pPr>
                    <w:jc w:val="left"/>
                    <w:rPr>
                      <w:sz w:val="18"/>
                      <w:szCs w:val="18"/>
                    </w:rPr>
                  </w:pPr>
                  <w:r>
                    <w:rPr>
                      <w:sz w:val="18"/>
                      <w:szCs w:val="18"/>
                    </w:rPr>
                    <w:t>3-4. 【大气/限制类】环境空气质量一类控制区内不得新建、扩建有大气污染物排放的项目，已有及改建工业企业大气污染物排放执行相关排放标准的一级排放限值，且改建时不得增加污染物排放总量；《惠州市环境空气质量功能区划（2021 年修订）》实施前已设采矿权、已核发采矿许可证且不在自然保护区等其它法定保护地的项目，按已有项目处理，执行一级排放限值。</w:t>
                  </w:r>
                </w:p>
                <w:p>
                  <w:pPr>
                    <w:jc w:val="left"/>
                    <w:rPr>
                      <w:sz w:val="18"/>
                      <w:szCs w:val="18"/>
                    </w:rPr>
                  </w:pPr>
                  <w:r>
                    <w:rPr>
                      <w:sz w:val="18"/>
                      <w:szCs w:val="18"/>
                    </w:rPr>
                    <w:t>3-5. 【大气/限制类】重点行业新建涉VOCs排放的工业企业原则上应入园进区。新建项目VOCs实施倍量替代。</w:t>
                  </w:r>
                </w:p>
                <w:p>
                  <w:pPr>
                    <w:jc w:val="left"/>
                    <w:rPr>
                      <w:sz w:val="18"/>
                      <w:szCs w:val="18"/>
                    </w:rPr>
                  </w:pPr>
                  <w:r>
                    <w:rPr>
                      <w:sz w:val="18"/>
                      <w:szCs w:val="18"/>
                    </w:rPr>
                    <w:t>3-6. 【土壤/禁止类】禁止向农用地排放重金属或者其他有毒有害物质含量超标的污水、污泥，以及可能造成土壤污染的清 淤底泥、尾矿、矿渣等。</w:t>
                  </w:r>
                </w:p>
                <w:p>
                  <w:pPr>
                    <w:jc w:val="left"/>
                    <w:rPr>
                      <w:sz w:val="18"/>
                      <w:szCs w:val="18"/>
                    </w:rPr>
                  </w:pPr>
                  <w:r>
                    <w:rPr>
                      <w:sz w:val="18"/>
                      <w:szCs w:val="18"/>
                    </w:rPr>
                    <w:t>3-7. 【水/综合类】统筹规划农村环境基础设施建设，加强农村人居环境综合整治，采用集中与分散相结合的模式建设和完善农村污水、垃圾收集和处理设施，实施农村厕所改造，因地制宜实施雨污分流，将有条件的农村和城镇周边村庄纳入城镇污水、垃圾处理体系，并做好资金保障。</w:t>
                  </w:r>
                </w:p>
              </w:tc>
              <w:tc>
                <w:tcPr>
                  <w:tcW w:w="1414" w:type="pct"/>
                  <w:vAlign w:val="center"/>
                </w:tcPr>
                <w:p>
                  <w:pPr>
                    <w:jc w:val="left"/>
                    <w:rPr>
                      <w:sz w:val="18"/>
                      <w:szCs w:val="18"/>
                    </w:rPr>
                  </w:pPr>
                  <w:r>
                    <w:rPr>
                      <w:sz w:val="18"/>
                      <w:szCs w:val="18"/>
                    </w:rPr>
                    <w:t>3-1. 本项目无生产废水的产生与排放。</w:t>
                  </w:r>
                </w:p>
                <w:p>
                  <w:pPr>
                    <w:jc w:val="left"/>
                    <w:rPr>
                      <w:sz w:val="18"/>
                      <w:szCs w:val="18"/>
                    </w:rPr>
                  </w:pPr>
                  <w:r>
                    <w:rPr>
                      <w:sz w:val="18"/>
                      <w:szCs w:val="18"/>
                    </w:rPr>
                    <w:t>3-2. 本项目不属于畜禽养殖业。</w:t>
                  </w:r>
                </w:p>
                <w:p>
                  <w:pPr>
                    <w:jc w:val="left"/>
                    <w:rPr>
                      <w:sz w:val="18"/>
                      <w:szCs w:val="18"/>
                    </w:rPr>
                  </w:pPr>
                  <w:r>
                    <w:rPr>
                      <w:sz w:val="18"/>
                      <w:szCs w:val="18"/>
                    </w:rPr>
                    <w:t>3-3. 本项目不涉及农药化肥的使用。</w:t>
                  </w:r>
                </w:p>
                <w:p>
                  <w:pPr>
                    <w:jc w:val="left"/>
                    <w:rPr>
                      <w:sz w:val="18"/>
                      <w:szCs w:val="18"/>
                    </w:rPr>
                  </w:pPr>
                  <w:r>
                    <w:rPr>
                      <w:sz w:val="18"/>
                      <w:szCs w:val="18"/>
                    </w:rPr>
                    <w:t>3-4. 本项目不位于环境空气质量一类控制区内，且不属于采矿业。</w:t>
                  </w:r>
                </w:p>
                <w:p>
                  <w:pPr>
                    <w:jc w:val="left"/>
                    <w:rPr>
                      <w:sz w:val="18"/>
                      <w:szCs w:val="18"/>
                    </w:rPr>
                  </w:pPr>
                  <w:r>
                    <w:rPr>
                      <w:sz w:val="18"/>
                      <w:szCs w:val="18"/>
                    </w:rPr>
                    <w:t>3-5. 本项目属于C2929塑料零件及其他塑料制品制造，不属于重点行业，本项目产生的有机废气收集经“</w:t>
                  </w:r>
                  <w:r>
                    <w:rPr>
                      <w:rFonts w:hint="eastAsia"/>
                      <w:sz w:val="18"/>
                      <w:szCs w:val="18"/>
                    </w:rPr>
                    <w:t>两</w:t>
                  </w:r>
                  <w:r>
                    <w:rPr>
                      <w:sz w:val="18"/>
                      <w:szCs w:val="18"/>
                    </w:rPr>
                    <w:t>级活性炭吸附装置”处理达标后高空排放，排放量较小。</w:t>
                  </w:r>
                </w:p>
                <w:p>
                  <w:pPr>
                    <w:jc w:val="left"/>
                    <w:rPr>
                      <w:sz w:val="18"/>
                      <w:szCs w:val="18"/>
                    </w:rPr>
                  </w:pPr>
                  <w:r>
                    <w:rPr>
                      <w:sz w:val="18"/>
                      <w:szCs w:val="18"/>
                    </w:rPr>
                    <w:t>3-6. 本项目不排放重金属或者其他有毒有害物质含量超标的污水、污泥，以及可能造成土壤污染的清淤底泥、尾矿、矿渣等。</w:t>
                  </w:r>
                </w:p>
                <w:p>
                  <w:pPr>
                    <w:jc w:val="left"/>
                    <w:rPr>
                      <w:sz w:val="18"/>
                      <w:szCs w:val="18"/>
                    </w:rPr>
                  </w:pPr>
                  <w:r>
                    <w:rPr>
                      <w:sz w:val="18"/>
                      <w:szCs w:val="18"/>
                    </w:rPr>
                    <w:t>3-7. 本项目实施雨污分流，生活污水由三级化粪池预处理后经市政管网纳入</w:t>
                  </w:r>
                  <w:r>
                    <w:rPr>
                      <w:rFonts w:hint="eastAsia"/>
                      <w:sz w:val="18"/>
                      <w:szCs w:val="18"/>
                    </w:rPr>
                    <w:t>杨桥镇</w:t>
                  </w:r>
                  <w:r>
                    <w:rPr>
                      <w:sz w:val="18"/>
                      <w:szCs w:val="18"/>
                    </w:rPr>
                    <w:t>生活</w:t>
                  </w:r>
                  <w:r>
                    <w:rPr>
                      <w:rFonts w:hint="eastAsia"/>
                      <w:sz w:val="18"/>
                      <w:szCs w:val="18"/>
                    </w:rPr>
                    <w:t>污水</w:t>
                  </w:r>
                  <w:r>
                    <w:rPr>
                      <w:sz w:val="18"/>
                      <w:szCs w:val="18"/>
                    </w:rPr>
                    <w:t>处理厂集中处理。</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6" w:type="pct"/>
                  <w:vAlign w:val="center"/>
                </w:tcPr>
                <w:p>
                  <w:pPr>
                    <w:jc w:val="center"/>
                    <w:rPr>
                      <w:sz w:val="18"/>
                      <w:szCs w:val="18"/>
                    </w:rPr>
                  </w:pPr>
                  <w:r>
                    <w:rPr>
                      <w:sz w:val="18"/>
                      <w:szCs w:val="18"/>
                    </w:rPr>
                    <w:t>环境风险防控</w:t>
                  </w:r>
                </w:p>
              </w:tc>
              <w:tc>
                <w:tcPr>
                  <w:tcW w:w="2800" w:type="pct"/>
                  <w:vAlign w:val="center"/>
                </w:tcPr>
                <w:p>
                  <w:pPr>
                    <w:jc w:val="left"/>
                    <w:rPr>
                      <w:sz w:val="18"/>
                      <w:szCs w:val="18"/>
                    </w:rPr>
                  </w:pPr>
                  <w:r>
                    <w:rPr>
                      <w:sz w:val="18"/>
                      <w:szCs w:val="18"/>
                    </w:rPr>
                    <w:t>4-1. 【水/综合类】单元内规模化养殖场需编制环境应急预案，强化环境风险防控，防止养殖废水污染水体。</w:t>
                  </w:r>
                </w:p>
                <w:p>
                  <w:pPr>
                    <w:jc w:val="left"/>
                    <w:rPr>
                      <w:sz w:val="18"/>
                      <w:szCs w:val="18"/>
                    </w:rPr>
                  </w:pPr>
                  <w:r>
                    <w:rPr>
                      <w:sz w:val="18"/>
                      <w:szCs w:val="18"/>
                    </w:rPr>
                    <w:t>4-2. 【水/综合类】区域内污水处理厂应采取有效措施，防止事故废水、废液直接排入水体。</w:t>
                  </w:r>
                </w:p>
                <w:p>
                  <w:pPr>
                    <w:jc w:val="left"/>
                    <w:rPr>
                      <w:sz w:val="18"/>
                      <w:szCs w:val="18"/>
                    </w:rPr>
                  </w:pPr>
                  <w:r>
                    <w:rPr>
                      <w:sz w:val="18"/>
                      <w:szCs w:val="18"/>
                    </w:rPr>
                    <w:t>4-3. 【水/综合类】加强饮用水水源保护区内环境风险排查，开展风险评估及水环境预警监测。</w:t>
                  </w:r>
                </w:p>
              </w:tc>
              <w:tc>
                <w:tcPr>
                  <w:tcW w:w="1414" w:type="pct"/>
                  <w:vAlign w:val="center"/>
                </w:tcPr>
                <w:p>
                  <w:pPr>
                    <w:jc w:val="left"/>
                    <w:rPr>
                      <w:sz w:val="18"/>
                      <w:szCs w:val="18"/>
                    </w:rPr>
                  </w:pPr>
                  <w:r>
                    <w:rPr>
                      <w:sz w:val="18"/>
                      <w:szCs w:val="18"/>
                    </w:rPr>
                    <w:t>4-1. 本项目不属于规模化养殖场。</w:t>
                  </w:r>
                </w:p>
                <w:p>
                  <w:pPr>
                    <w:jc w:val="left"/>
                    <w:rPr>
                      <w:sz w:val="18"/>
                      <w:szCs w:val="18"/>
                    </w:rPr>
                  </w:pPr>
                  <w:r>
                    <w:rPr>
                      <w:sz w:val="18"/>
                      <w:szCs w:val="18"/>
                    </w:rPr>
                    <w:t>4-2. 本项目无生产废水产生与排放，项目生活污水由三级化粪池预处理后经市政管网纳入</w:t>
                  </w:r>
                  <w:r>
                    <w:rPr>
                      <w:rFonts w:hint="eastAsia"/>
                      <w:sz w:val="18"/>
                      <w:szCs w:val="18"/>
                    </w:rPr>
                    <w:t>杨桥镇</w:t>
                  </w:r>
                  <w:r>
                    <w:rPr>
                      <w:sz w:val="18"/>
                      <w:szCs w:val="18"/>
                    </w:rPr>
                    <w:t>生活</w:t>
                  </w:r>
                  <w:r>
                    <w:rPr>
                      <w:rFonts w:hint="eastAsia"/>
                      <w:sz w:val="18"/>
                      <w:szCs w:val="18"/>
                    </w:rPr>
                    <w:t>污水</w:t>
                  </w:r>
                  <w:r>
                    <w:rPr>
                      <w:sz w:val="18"/>
                      <w:szCs w:val="18"/>
                    </w:rPr>
                    <w:t>处理厂集处理。</w:t>
                  </w:r>
                </w:p>
                <w:p>
                  <w:pPr>
                    <w:jc w:val="left"/>
                    <w:rPr>
                      <w:sz w:val="18"/>
                      <w:szCs w:val="18"/>
                    </w:rPr>
                  </w:pPr>
                  <w:r>
                    <w:rPr>
                      <w:sz w:val="18"/>
                      <w:szCs w:val="18"/>
                    </w:rPr>
                    <w:t>4-3. 本项目占地不位于饮用水水源保护区。</w:t>
                  </w:r>
                </w:p>
              </w:tc>
              <w:tc>
                <w:tcPr>
                  <w:tcW w:w="530" w:type="pct"/>
                  <w:vAlign w:val="center"/>
                </w:tcPr>
                <w:p>
                  <w:pPr>
                    <w:jc w:val="center"/>
                    <w:rPr>
                      <w:sz w:val="18"/>
                      <w:szCs w:val="18"/>
                    </w:rPr>
                  </w:pPr>
                  <w:r>
                    <w:rPr>
                      <w:sz w:val="18"/>
                      <w:szCs w:val="18"/>
                    </w:rPr>
                    <w:t>符合</w:t>
                  </w:r>
                </w:p>
              </w:tc>
            </w:tr>
          </w:tbl>
          <w:p>
            <w:pPr>
              <w:adjustRightInd w:val="0"/>
              <w:snapToGrid w:val="0"/>
              <w:spacing w:line="360" w:lineRule="auto"/>
              <w:ind w:firstLine="422" w:firstLineChars="200"/>
              <w:rPr>
                <w:b/>
                <w:bCs/>
                <w:szCs w:val="21"/>
              </w:rPr>
            </w:pPr>
            <w:r>
              <w:rPr>
                <w:b/>
                <w:bCs/>
                <w:szCs w:val="21"/>
              </w:rPr>
              <w:t>2、产业政策符合性分析</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本项目属于《国民经济行业分类》（GB/T4754-2017）及第1号修改单中</w:t>
            </w:r>
            <w:r>
              <w:rPr>
                <w:rFonts w:ascii="Times New Roman" w:hAnsi="Times New Roman"/>
                <w:color w:val="auto"/>
                <w:sz w:val="21"/>
              </w:rPr>
              <w:t>C2929塑料零件及其他塑料制品制造</w:t>
            </w:r>
            <w:r>
              <w:rPr>
                <w:rFonts w:ascii="Times New Roman" w:hAnsi="Times New Roman"/>
                <w:color w:val="auto"/>
                <w:sz w:val="21"/>
                <w:szCs w:val="21"/>
              </w:rPr>
              <w:t>，根据国家发改委发布的《产业结构调整指导目录（2019年本）》以及《国家发展改革委关于修改&lt;产业结构调整指导目录（2019年本）&gt;的决定》（中华人民共和国国家发展和改革委员会令 第49号，2021年12月27日），本项目不属于其中的限制类、淘汰类项目，可视为允许类项目。</w:t>
            </w:r>
          </w:p>
          <w:p>
            <w:pPr>
              <w:spacing w:line="360" w:lineRule="auto"/>
              <w:ind w:firstLine="422" w:firstLineChars="200"/>
              <w:rPr>
                <w:b/>
                <w:bCs/>
                <w:szCs w:val="21"/>
              </w:rPr>
            </w:pPr>
            <w:r>
              <w:rPr>
                <w:b/>
                <w:bCs/>
                <w:szCs w:val="21"/>
              </w:rPr>
              <w:t>3、市场准入负面清单相符性分析</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本项目属于《国民经济行业分类》（GB/T4754-2017）及第1号修改单中</w:t>
            </w:r>
            <w:r>
              <w:rPr>
                <w:rFonts w:ascii="Times New Roman" w:hAnsi="Times New Roman"/>
                <w:color w:val="auto"/>
                <w:sz w:val="21"/>
              </w:rPr>
              <w:t>C2929塑料零件及其他塑料制品制造</w:t>
            </w:r>
            <w:r>
              <w:rPr>
                <w:rFonts w:ascii="Times New Roman" w:hAnsi="Times New Roman"/>
                <w:color w:val="auto"/>
                <w:sz w:val="21"/>
                <w:szCs w:val="21"/>
              </w:rPr>
              <w:t>，不属于国家《市场准入负面清单》（2022年版）（发改体改规〔2022〕397号）中所列禁止和许可事项，根据《市场准入负面清单》（2022年版）的规定：对于市场准入负面清单以外的行业、领域、业务等，各类市场主体皆可依法平等进入，因此，本项目与《市场准入负面清单》（2022年版）是相符的。</w:t>
            </w:r>
          </w:p>
          <w:p>
            <w:pPr>
              <w:adjustRightInd w:val="0"/>
              <w:snapToGrid w:val="0"/>
              <w:spacing w:line="360" w:lineRule="auto"/>
              <w:ind w:firstLine="482"/>
              <w:rPr>
                <w:b/>
                <w:szCs w:val="21"/>
              </w:rPr>
            </w:pPr>
            <w:r>
              <w:rPr>
                <w:b/>
                <w:szCs w:val="21"/>
              </w:rPr>
              <w:t>4、用地性质相符性分析</w:t>
            </w:r>
          </w:p>
          <w:p>
            <w:pPr>
              <w:adjustRightInd w:val="0"/>
              <w:snapToGrid w:val="0"/>
              <w:spacing w:line="360" w:lineRule="auto"/>
              <w:ind w:firstLine="482"/>
              <w:rPr>
                <w:szCs w:val="21"/>
              </w:rPr>
            </w:pPr>
            <w:r>
              <w:rPr>
                <w:szCs w:val="21"/>
              </w:rPr>
              <w:t>项目位于惠州市</w:t>
            </w:r>
            <w:r>
              <w:rPr>
                <w:kern w:val="0"/>
              </w:rPr>
              <w:t>博罗县杨侨镇十二岭办事处广梅公路边</w:t>
            </w:r>
            <w:r>
              <w:rPr>
                <w:szCs w:val="21"/>
              </w:rPr>
              <w:t>，根据</w:t>
            </w:r>
            <w:r>
              <w:rPr>
                <w:rFonts w:hint="eastAsia"/>
                <w:szCs w:val="21"/>
              </w:rPr>
              <w:t>《杨桥镇</w:t>
            </w:r>
            <w:r>
              <w:rPr>
                <w:szCs w:val="21"/>
              </w:rPr>
              <w:t>土地利用总体</w:t>
            </w:r>
            <w:r>
              <w:rPr>
                <w:rFonts w:hint="eastAsia"/>
                <w:szCs w:val="21"/>
              </w:rPr>
              <w:t>规划</w:t>
            </w:r>
            <w:r>
              <w:rPr>
                <w:szCs w:val="21"/>
              </w:rPr>
              <w:t>（2010-2020）</w:t>
            </w:r>
            <w:r>
              <w:rPr>
                <w:rFonts w:hint="eastAsia"/>
                <w:szCs w:val="21"/>
              </w:rPr>
              <w:t>调整完善》</w:t>
            </w:r>
            <w:r>
              <w:rPr>
                <w:szCs w:val="21"/>
              </w:rPr>
              <w:t>（</w:t>
            </w:r>
            <w:r>
              <w:rPr>
                <w:rFonts w:hint="eastAsia"/>
                <w:szCs w:val="21"/>
              </w:rPr>
              <w:t>详见</w:t>
            </w:r>
            <w:r>
              <w:rPr>
                <w:szCs w:val="21"/>
              </w:rPr>
              <w:t>附图</w:t>
            </w:r>
            <w:r>
              <w:rPr>
                <w:rFonts w:hint="eastAsia"/>
                <w:szCs w:val="21"/>
              </w:rPr>
              <w:t>12</w:t>
            </w:r>
            <w:r>
              <w:rPr>
                <w:szCs w:val="21"/>
              </w:rPr>
              <w:t>）</w:t>
            </w:r>
            <w:r>
              <w:rPr>
                <w:rFonts w:hint="eastAsia"/>
                <w:szCs w:val="21"/>
              </w:rPr>
              <w:t>，</w:t>
            </w:r>
            <w:r>
              <w:rPr>
                <w:szCs w:val="21"/>
              </w:rPr>
              <w:t>项目</w:t>
            </w:r>
            <w:r>
              <w:rPr>
                <w:rFonts w:hint="eastAsia"/>
                <w:szCs w:val="21"/>
              </w:rPr>
              <w:t>位于允许</w:t>
            </w:r>
            <w:r>
              <w:rPr>
                <w:szCs w:val="21"/>
              </w:rPr>
              <w:t>建设区</w:t>
            </w:r>
            <w:r>
              <w:rPr>
                <w:rFonts w:hint="eastAsia"/>
                <w:szCs w:val="21"/>
              </w:rPr>
              <w:t>；</w:t>
            </w:r>
            <w:r>
              <w:rPr>
                <w:szCs w:val="21"/>
              </w:rPr>
              <w:t>另外，</w:t>
            </w:r>
            <w:r>
              <w:rPr>
                <w:rFonts w:hint="eastAsia"/>
                <w:szCs w:val="21"/>
              </w:rPr>
              <w:t>根据</w:t>
            </w:r>
            <w:r>
              <w:rPr>
                <w:szCs w:val="21"/>
              </w:rPr>
              <w:t>建设单位提供的国土证（详见附件3），项目用地为工业用地，本项目所在区域不属于饮用水源保护区范围，项目周围没有风景名胜区、自然保护区、生态脆弱带等。综合分析，本项目的用地性质与博罗县</w:t>
            </w:r>
            <w:r>
              <w:rPr>
                <w:rFonts w:hint="eastAsia"/>
                <w:szCs w:val="21"/>
              </w:rPr>
              <w:t>杨桥镇</w:t>
            </w:r>
            <w:r>
              <w:rPr>
                <w:szCs w:val="21"/>
              </w:rPr>
              <w:t>的规划是相符的。</w:t>
            </w:r>
          </w:p>
          <w:p>
            <w:pPr>
              <w:adjustRightInd w:val="0"/>
              <w:snapToGrid w:val="0"/>
              <w:spacing w:line="360" w:lineRule="auto"/>
              <w:ind w:firstLine="480"/>
              <w:rPr>
                <w:b/>
                <w:szCs w:val="21"/>
              </w:rPr>
            </w:pPr>
            <w:r>
              <w:rPr>
                <w:b/>
                <w:szCs w:val="21"/>
              </w:rPr>
              <w:t>5、区域环境功能区划符合性分析</w:t>
            </w:r>
          </w:p>
          <w:p>
            <w:pPr>
              <w:pStyle w:val="15"/>
              <w:adjustRightInd w:val="0"/>
              <w:snapToGrid w:val="0"/>
              <w:spacing w:line="360" w:lineRule="auto"/>
              <w:ind w:firstLine="420" w:firstLineChars="200"/>
              <w:jc w:val="both"/>
              <w:rPr>
                <w:sz w:val="21"/>
                <w:szCs w:val="21"/>
              </w:rPr>
            </w:pPr>
            <w:r>
              <w:rPr>
                <w:sz w:val="21"/>
                <w:szCs w:val="21"/>
              </w:rPr>
              <w:t>根据</w:t>
            </w:r>
            <w:r>
              <w:rPr>
                <w:rFonts w:hint="eastAsia"/>
                <w:sz w:val="21"/>
                <w:szCs w:val="21"/>
              </w:rPr>
              <w:t>《广东省人民政府关于调整惠州市饮用水源保护区的批复》（粤府函[2014]188号文）、《广东省人民政府关于调整惠州市部分饮用水源保护区的批复》（粤府函[2019]270号文）以及《惠州市乡镇级及以下集中式饮用水水源保护区划定（调整）方案》（惠府函〔2020〕317号）</w:t>
            </w:r>
            <w:r>
              <w:rPr>
                <w:sz w:val="21"/>
                <w:szCs w:val="21"/>
              </w:rPr>
              <w:t>，本项目所在区域不属于水源保护区。</w:t>
            </w:r>
          </w:p>
          <w:p>
            <w:pPr>
              <w:adjustRightInd w:val="0"/>
              <w:snapToGrid w:val="0"/>
              <w:spacing w:line="360" w:lineRule="auto"/>
              <w:ind w:firstLine="480"/>
              <w:rPr>
                <w:szCs w:val="21"/>
              </w:rPr>
            </w:pPr>
            <w:r>
              <w:rPr>
                <w:szCs w:val="21"/>
              </w:rPr>
              <w:t>项目外排废水主要为员工生活污水，生活污水经三级化粪池预处理后纳入杨侨镇生活污水处理厂处理，处理达标后排入</w:t>
            </w:r>
            <w:r>
              <w:rPr>
                <w:rFonts w:hint="eastAsia"/>
                <w:szCs w:val="21"/>
              </w:rPr>
              <w:t>南蛇沥</w:t>
            </w:r>
            <w:r>
              <w:rPr>
                <w:szCs w:val="21"/>
              </w:rPr>
              <w:t>排渠，然后汇入</w:t>
            </w:r>
            <w:r>
              <w:rPr>
                <w:rFonts w:hint="eastAsia"/>
                <w:szCs w:val="21"/>
              </w:rPr>
              <w:t>公庄河</w:t>
            </w:r>
            <w:r>
              <w:rPr>
                <w:szCs w:val="21"/>
              </w:rPr>
              <w:t>。根据《</w:t>
            </w:r>
            <w:r>
              <w:rPr>
                <w:rFonts w:hint="eastAsia"/>
                <w:szCs w:val="21"/>
              </w:rPr>
              <w:t>关于印发&lt;广东省地表水环境功能区划&gt;》的通知</w:t>
            </w:r>
            <w:r>
              <w:rPr>
                <w:szCs w:val="21"/>
              </w:rPr>
              <w:t>》（粤</w:t>
            </w:r>
            <w:r>
              <w:rPr>
                <w:rFonts w:hint="eastAsia"/>
                <w:szCs w:val="21"/>
              </w:rPr>
              <w:t>环</w:t>
            </w:r>
            <w:r>
              <w:rPr>
                <w:szCs w:val="21"/>
              </w:rPr>
              <w:t>[2011]</w:t>
            </w:r>
            <w:r>
              <w:rPr>
                <w:rFonts w:hint="eastAsia"/>
                <w:szCs w:val="21"/>
              </w:rPr>
              <w:t>14</w:t>
            </w:r>
            <w:r>
              <w:rPr>
                <w:szCs w:val="21"/>
              </w:rPr>
              <w:t>号），</w:t>
            </w:r>
            <w:r>
              <w:rPr>
                <w:rFonts w:hint="eastAsia"/>
                <w:szCs w:val="21"/>
              </w:rPr>
              <w:t>公庄河（自博罗桂山糯米柏至博罗泰美段）水域功能为农用，水质保护目标为《地表水环境质量标准》（GB3838-2002）Ⅲ类标准，</w:t>
            </w:r>
            <w:r>
              <w:rPr>
                <w:szCs w:val="21"/>
              </w:rPr>
              <w:t>《广东省地表水环境功能区划》（粤府函[2011]29号）未对南蛇沥水体功能进行划分，根据其现状功能，南蛇沥按</w:t>
            </w:r>
            <w:r>
              <w:rPr>
                <w:rFonts w:hint="eastAsia"/>
                <w:szCs w:val="21"/>
              </w:rPr>
              <w:t>Ⅳ类水</w:t>
            </w:r>
            <w:r>
              <w:rPr>
                <w:szCs w:val="21"/>
              </w:rPr>
              <w:t>控制</w:t>
            </w:r>
            <w:r>
              <w:rPr>
                <w:rFonts w:hint="eastAsia"/>
                <w:szCs w:val="21"/>
              </w:rPr>
              <w:t>，</w:t>
            </w:r>
            <w:r>
              <w:rPr>
                <w:szCs w:val="21"/>
              </w:rPr>
              <w:t>根据引用数据，</w:t>
            </w:r>
            <w:r>
              <w:rPr>
                <w:rFonts w:ascii="宋体" w:hAnsi="宋体" w:cs="宋体"/>
                <w:kern w:val="0"/>
                <w:szCs w:val="21"/>
                <w:lang w:bidi="ar"/>
              </w:rPr>
              <w:t>南蛇沥</w:t>
            </w:r>
            <w:r>
              <w:rPr>
                <w:rFonts w:hint="eastAsia" w:ascii="宋体" w:hAnsi="宋体" w:cs="宋体"/>
                <w:kern w:val="0"/>
                <w:szCs w:val="21"/>
                <w:lang w:bidi="ar"/>
              </w:rPr>
              <w:t>水质</w:t>
            </w:r>
            <w:r>
              <w:rPr>
                <w:rFonts w:ascii="宋体" w:hAnsi="宋体" w:cs="宋体"/>
                <w:kern w:val="0"/>
                <w:szCs w:val="21"/>
                <w:lang w:bidi="ar"/>
              </w:rPr>
              <w:t>现状</w:t>
            </w:r>
            <w:r>
              <w:rPr>
                <w:rFonts w:hint="eastAsia" w:ascii="宋体" w:hAnsi="宋体" w:cs="宋体"/>
                <w:kern w:val="0"/>
                <w:szCs w:val="21"/>
                <w:lang w:bidi="ar"/>
              </w:rPr>
              <w:t>不</w:t>
            </w:r>
            <w:r>
              <w:rPr>
                <w:rFonts w:ascii="宋体" w:hAnsi="宋体" w:cs="宋体"/>
                <w:kern w:val="0"/>
                <w:szCs w:val="21"/>
                <w:lang w:bidi="ar"/>
              </w:rPr>
              <w:t>能满足</w:t>
            </w:r>
            <w:r>
              <w:rPr>
                <w:rFonts w:hint="eastAsia" w:ascii="宋体" w:hAnsi="宋体" w:cs="宋体"/>
                <w:kern w:val="0"/>
                <w:szCs w:val="21"/>
                <w:lang w:bidi="ar"/>
              </w:rPr>
              <w:t>《地表水环境质量标准》（</w:t>
            </w:r>
            <w:r>
              <w:rPr>
                <w:kern w:val="0"/>
                <w:szCs w:val="21"/>
                <w:lang w:bidi="ar"/>
              </w:rPr>
              <w:t>GB3838-2002</w:t>
            </w:r>
            <w:r>
              <w:rPr>
                <w:rFonts w:hint="eastAsia" w:ascii="宋体" w:hAnsi="宋体" w:cs="宋体"/>
                <w:kern w:val="0"/>
                <w:szCs w:val="21"/>
                <w:lang w:bidi="ar"/>
              </w:rPr>
              <w:t>）中</w:t>
            </w:r>
            <w:r>
              <w:rPr>
                <w:rFonts w:hint="eastAsia" w:hAnsi="宋体"/>
                <w:szCs w:val="21"/>
              </w:rPr>
              <w:t>Ⅳ类</w:t>
            </w:r>
            <w:r>
              <w:rPr>
                <w:rFonts w:hint="eastAsia" w:ascii="宋体" w:hAnsi="宋体" w:cs="宋体"/>
                <w:kern w:val="0"/>
                <w:szCs w:val="21"/>
                <w:lang w:bidi="ar"/>
              </w:rPr>
              <w:t>标准的要求</w:t>
            </w:r>
            <w:r>
              <w:rPr>
                <w:szCs w:val="21"/>
              </w:rPr>
              <w:t>；区域空气环境功能区划为二类区，环境空气质量达标；声环境功能区规划为2类区，声环境达标。厂址周围无国家、省、市、区重点保护的文物、古迹、无名胜风景区、自然保护区等，选址符合环境功能区划的要求。本项目废（污）水、废气、噪声和固体废物通过采取评价中提出的治理措施进行有效治理后，不会改变区域环境功能。因此，本项目的运营与区域环境功能区划是相符的。</w:t>
            </w:r>
          </w:p>
          <w:p>
            <w:pPr>
              <w:adjustRightInd w:val="0"/>
              <w:snapToGrid w:val="0"/>
              <w:spacing w:line="360" w:lineRule="auto"/>
              <w:ind w:firstLine="480"/>
              <w:rPr>
                <w:b/>
                <w:szCs w:val="21"/>
              </w:rPr>
            </w:pPr>
            <w:r>
              <w:rPr>
                <w:b/>
                <w:szCs w:val="21"/>
              </w:rPr>
              <w:t>6、其它相关环保政策相符性分析</w:t>
            </w:r>
          </w:p>
          <w:p>
            <w:pPr>
              <w:spacing w:line="360" w:lineRule="auto"/>
              <w:ind w:firstLine="422" w:firstLineChars="200"/>
              <w:rPr>
                <w:b/>
                <w:bCs/>
                <w:szCs w:val="21"/>
              </w:rPr>
            </w:pPr>
            <w:r>
              <w:rPr>
                <w:b/>
                <w:bCs/>
                <w:szCs w:val="21"/>
              </w:rPr>
              <w:t>（1）项目与《广东省人民政府关于严格限制东江流域水污染项目建设进一步做好东江水质保护工作的通知》（粤府函[2011]339号）及《广东省人民政府关于严格限制东江流域水污染项目建设进一步做好东江水质保护工作的补充通知》（粤府函[2013]231号）的相符性分析</w:t>
            </w:r>
          </w:p>
          <w:p>
            <w:pPr>
              <w:spacing w:line="360" w:lineRule="auto"/>
              <w:ind w:firstLine="420" w:firstLineChars="200"/>
              <w:rPr>
                <w:b/>
                <w:bCs/>
                <w:kern w:val="0"/>
                <w:szCs w:val="21"/>
              </w:rPr>
            </w:pPr>
            <w:r>
              <w:rPr>
                <w:bCs/>
                <w:szCs w:val="21"/>
              </w:rPr>
              <w:t>根据《广东省人民政府关于严格限制东江流域水污染项目建设进一步做好东江水质保护工作的通知》（粤府函〔2011〕339号）及《广东省人民政府关于严格限制东江流域水污染项目建设进一步做好东江水质保护工作的补充通知》（粤府函〔2013〕231号）的相关规定具体如下：</w:t>
            </w:r>
          </w:p>
          <w:p>
            <w:pPr>
              <w:spacing w:line="360" w:lineRule="auto"/>
              <w:ind w:firstLine="422" w:firstLineChars="200"/>
              <w:rPr>
                <w:kern w:val="0"/>
                <w:szCs w:val="21"/>
              </w:rPr>
            </w:pPr>
            <w:r>
              <w:rPr>
                <w:b/>
                <w:bCs/>
                <w:kern w:val="0"/>
                <w:szCs w:val="21"/>
              </w:rPr>
              <w:t>“1</w:t>
            </w:r>
            <w:r>
              <w:rPr>
                <w:b/>
                <w:kern w:val="0"/>
                <w:szCs w:val="21"/>
              </w:rPr>
              <w:t>、</w:t>
            </w:r>
            <w:r>
              <w:rPr>
                <w:b/>
                <w:bCs/>
                <w:kern w:val="0"/>
                <w:szCs w:val="21"/>
              </w:rPr>
              <w:t>严格控制重污染项目建设：</w:t>
            </w:r>
            <w:r>
              <w:rPr>
                <w:kern w:val="0"/>
                <w:szCs w:val="21"/>
              </w:rPr>
              <w:t>在东江流域内严格控制建设造纸、制革、味精、电镀、漂染、印染、炼油、发酵酿造、非放射性矿产冶炼以及使用含汞、砷、镉、铬、铅原料的项目，禁止建设农药、铬盐、钛白粉、氟制冷剂生产项目，禁止建设稀土分离、炼砒、炼铍、纸浆制造业、氰化法提炼产品以及开采、冶炼放射性矿产的项目。</w:t>
            </w:r>
          </w:p>
          <w:p>
            <w:pPr>
              <w:spacing w:line="360" w:lineRule="auto"/>
              <w:ind w:firstLine="422" w:firstLineChars="200"/>
              <w:rPr>
                <w:kern w:val="0"/>
                <w:szCs w:val="21"/>
              </w:rPr>
            </w:pPr>
            <w:r>
              <w:rPr>
                <w:b/>
                <w:bCs/>
                <w:kern w:val="0"/>
                <w:szCs w:val="21"/>
              </w:rPr>
              <w:t>2</w:t>
            </w:r>
            <w:r>
              <w:rPr>
                <w:b/>
                <w:kern w:val="0"/>
                <w:szCs w:val="21"/>
              </w:rPr>
              <w:t>、</w:t>
            </w:r>
            <w:r>
              <w:rPr>
                <w:b/>
                <w:bCs/>
                <w:kern w:val="0"/>
                <w:szCs w:val="21"/>
              </w:rPr>
              <w:t>强化涉重金属污染项目管理：</w:t>
            </w:r>
            <w:r>
              <w:rPr>
                <w:kern w:val="0"/>
                <w:szCs w:val="21"/>
              </w:rPr>
              <w:t>东江流域内停止审批向河流排放汞、砷、镉、铬、铅等重金属污染物和持久性有机污染物的项目。</w:t>
            </w:r>
          </w:p>
          <w:p>
            <w:pPr>
              <w:spacing w:line="360" w:lineRule="auto"/>
              <w:ind w:firstLine="422" w:firstLineChars="200"/>
              <w:rPr>
                <w:kern w:val="0"/>
                <w:szCs w:val="21"/>
              </w:rPr>
            </w:pPr>
            <w:r>
              <w:rPr>
                <w:b/>
                <w:kern w:val="0"/>
                <w:szCs w:val="21"/>
              </w:rPr>
              <w:t>3、</w:t>
            </w:r>
            <w:r>
              <w:rPr>
                <w:b/>
                <w:bCs/>
                <w:kern w:val="0"/>
                <w:szCs w:val="21"/>
              </w:rPr>
              <w:t>严格控制支流污染增量</w:t>
            </w:r>
            <w:r>
              <w:rPr>
                <w:kern w:val="0"/>
                <w:szCs w:val="21"/>
              </w:rPr>
              <w:t>：在淡水河（含龙岗河、坪山河等支流）、石马河（含观澜河、潼湖水等支流）、紧水河、稿树下水、马嘶河（龙溪水）等支流和东江惠州博罗段江东、榕溪沥（罗阳）、廖洞、合竹洲、永平等5个直接排往东江的排水渠流域内，禁止建设制浆造纸、电镀（含配套电镀和线路板）、印染、制革、发酵酿造、规模化养殖和危险废物综合利用或处置等重污染项目，暂停审批电氧化、化工和含酸洗、磷化、表面处理工艺以及其他新增超标或超总量污染物的项目。上述流域内，在污水未纳入污水处理厂收集管网的城镇中心区域，不得审批洗车、餐饮、沐足桑拿等耗水性项目。</w:t>
            </w:r>
          </w:p>
          <w:p>
            <w:pPr>
              <w:spacing w:line="360" w:lineRule="auto"/>
              <w:ind w:firstLine="420" w:firstLineChars="200"/>
              <w:rPr>
                <w:bCs/>
                <w:szCs w:val="21"/>
              </w:rPr>
            </w:pPr>
            <w:r>
              <w:rPr>
                <w:bCs/>
              </w:rPr>
              <w:t>符合下列条件之一的建设项目，不列入禁止建设和暂停审批范围：</w:t>
            </w:r>
          </w:p>
          <w:p>
            <w:pPr>
              <w:spacing w:line="360" w:lineRule="auto"/>
              <w:ind w:firstLine="420" w:firstLineChars="200"/>
              <w:rPr>
                <w:bCs/>
              </w:rPr>
            </w:pPr>
            <w:r>
              <w:rPr>
                <w:bCs/>
              </w:rPr>
              <w:t>1、建设地点位于东江流域，但不排放废水或废水不排入东江及其支流，不会对东江水质和水环境安全构成影响的项目；</w:t>
            </w:r>
          </w:p>
          <w:p>
            <w:pPr>
              <w:spacing w:line="360" w:lineRule="auto"/>
              <w:ind w:firstLine="420" w:firstLineChars="200"/>
              <w:rPr>
                <w:bCs/>
              </w:rPr>
            </w:pPr>
            <w:r>
              <w:rPr>
                <w:bCs/>
              </w:rPr>
              <w:t>2、通过提高清洁生产和污染防治水平，能够做到增产不增污、增产减污、技改减污的改（扩）建项目及同流域内迁建减污项目；</w:t>
            </w:r>
          </w:p>
          <w:p>
            <w:pPr>
              <w:spacing w:line="360" w:lineRule="auto"/>
              <w:ind w:firstLine="420" w:firstLineChars="200"/>
              <w:rPr>
                <w:bCs/>
              </w:rPr>
            </w:pPr>
            <w:r>
              <w:rPr>
                <w:bCs/>
              </w:rPr>
              <w:t xml:space="preserve">3、流域内拟迁入重污染行业统一规划、统一定点基地，且符合基地规划环评审查意见的建设项目。”  </w:t>
            </w:r>
          </w:p>
          <w:p>
            <w:pPr>
              <w:spacing w:line="360" w:lineRule="auto"/>
              <w:ind w:firstLine="422" w:firstLineChars="200"/>
              <w:rPr>
                <w:szCs w:val="21"/>
              </w:rPr>
            </w:pPr>
            <w:r>
              <w:rPr>
                <w:b/>
                <w:bCs/>
                <w:szCs w:val="21"/>
              </w:rPr>
              <w:t>符合性分析：</w:t>
            </w:r>
            <w:r>
              <w:rPr>
                <w:szCs w:val="21"/>
              </w:rPr>
              <w:t>本项目选址位于</w:t>
            </w:r>
            <w:r>
              <w:rPr>
                <w:kern w:val="0"/>
              </w:rPr>
              <w:t>惠州市博罗县杨侨镇十二岭办事处广梅公路边</w:t>
            </w:r>
            <w:r>
              <w:rPr>
                <w:szCs w:val="21"/>
              </w:rPr>
              <w:t>，属于东江流域范围。本项目主要从事</w:t>
            </w:r>
            <w:r>
              <w:rPr>
                <w:rFonts w:hint="eastAsia"/>
                <w:szCs w:val="21"/>
              </w:rPr>
              <w:t>塑料</w:t>
            </w:r>
            <w:r>
              <w:rPr>
                <w:szCs w:val="21"/>
              </w:rPr>
              <w:t>制品生产，</w:t>
            </w:r>
            <w:r>
              <w:rPr>
                <w:kern w:val="0"/>
                <w:szCs w:val="21"/>
              </w:rPr>
              <w:t>无生产废水外排，</w:t>
            </w:r>
            <w:r>
              <w:rPr>
                <w:szCs w:val="21"/>
              </w:rPr>
              <w:t>生活污水经化粪池预处理后纳入杨侨镇生活污水处理厂，处理达标后排入</w:t>
            </w:r>
            <w:r>
              <w:rPr>
                <w:rFonts w:hint="eastAsia"/>
                <w:szCs w:val="21"/>
              </w:rPr>
              <w:t>南蛇沥</w:t>
            </w:r>
            <w:r>
              <w:rPr>
                <w:szCs w:val="21"/>
              </w:rPr>
              <w:t>排渠。本项目不属于以上禁批或限批行业，因此，项目选址符合流域限批政策要求。因此</w:t>
            </w:r>
            <w:r>
              <w:rPr>
                <w:bCs/>
                <w:iCs/>
                <w:szCs w:val="21"/>
              </w:rPr>
              <w:t>，本项目选址与</w:t>
            </w:r>
            <w:r>
              <w:rPr>
                <w:spacing w:val="-6"/>
                <w:szCs w:val="21"/>
              </w:rPr>
              <w:t>《</w:t>
            </w:r>
            <w:r>
              <w:rPr>
                <w:szCs w:val="21"/>
              </w:rPr>
              <w:t>关于严格限制东江流域水污染项目建设进一步做好东江水质保护工作的通知》（粤府函〔2011〕339号）及</w:t>
            </w:r>
            <w:r>
              <w:rPr>
                <w:bCs/>
                <w:szCs w:val="21"/>
              </w:rPr>
              <w:t>《广东省人民政府关于严格限制东江流域水污染项目建设进一步做好东江水质保护工作的补充通知》</w:t>
            </w:r>
            <w:r>
              <w:rPr>
                <w:szCs w:val="21"/>
              </w:rPr>
              <w:t>（粤府函〔2013〕231号）</w:t>
            </w:r>
            <w:r>
              <w:rPr>
                <w:bCs/>
                <w:iCs/>
                <w:szCs w:val="21"/>
              </w:rPr>
              <w:t>的规定不冲突。</w:t>
            </w:r>
          </w:p>
          <w:p>
            <w:pPr>
              <w:pStyle w:val="25"/>
              <w:spacing w:before="0" w:beforeAutospacing="0" w:after="0" w:afterAutospacing="0" w:line="360" w:lineRule="auto"/>
              <w:ind w:firstLine="422" w:firstLineChars="200"/>
              <w:jc w:val="both"/>
              <w:rPr>
                <w:rFonts w:ascii="Times New Roman" w:hAnsi="Times New Roman"/>
                <w:b/>
                <w:bCs/>
                <w:sz w:val="21"/>
                <w:szCs w:val="21"/>
              </w:rPr>
            </w:pPr>
            <w:r>
              <w:rPr>
                <w:rFonts w:ascii="Times New Roman" w:hAnsi="Times New Roman"/>
                <w:b/>
                <w:bCs/>
                <w:sz w:val="21"/>
                <w:szCs w:val="21"/>
              </w:rPr>
              <w:t>（2）与《广东省水污染防治条例》的相符性分析</w:t>
            </w:r>
          </w:p>
          <w:p>
            <w:pPr>
              <w:spacing w:line="360" w:lineRule="auto"/>
              <w:ind w:firstLine="420" w:firstLineChars="200"/>
            </w:pPr>
            <w:r>
              <w:t>根据《广东省水污染防治条例》：</w:t>
            </w:r>
          </w:p>
          <w:p>
            <w:pPr>
              <w:suppressAutoHyphens/>
              <w:spacing w:line="360" w:lineRule="auto"/>
              <w:ind w:firstLine="420" w:firstLineChars="200"/>
              <w:rPr>
                <w:kern w:val="1"/>
              </w:rPr>
            </w:pPr>
            <w:r>
              <w:rPr>
                <w:kern w:val="1"/>
              </w:rPr>
              <w:t>第十七条  新建、改建、扩建直接或者间接向水体排放污染物的建设项目和其他水上设施，应当符合生态环境准入清单要求，并依法进行环境影响评价。</w:t>
            </w:r>
          </w:p>
          <w:p>
            <w:pPr>
              <w:suppressAutoHyphens/>
              <w:spacing w:line="360" w:lineRule="auto"/>
              <w:ind w:firstLine="420" w:firstLineChars="200"/>
              <w:rPr>
                <w:kern w:val="1"/>
              </w:rPr>
            </w:pPr>
            <w:r>
              <w:rPr>
                <w:kern w:val="1"/>
              </w:rPr>
              <w:t>第二十二条  排污单位应当按照经批准或者备案的环境影响评价文件要求建设水污染防治设施。水污染防治设施应当与主体工程同时设计、同时施工、同时投入使用。</w:t>
            </w:r>
          </w:p>
          <w:p>
            <w:pPr>
              <w:suppressAutoHyphens/>
              <w:spacing w:line="360" w:lineRule="auto"/>
              <w:ind w:firstLine="420" w:firstLineChars="200"/>
              <w:rPr>
                <w:kern w:val="1"/>
              </w:rPr>
            </w:pPr>
            <w:r>
              <w:rPr>
                <w:kern w:val="1"/>
              </w:rPr>
              <w:t>第二十八条  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suppressAutoHyphens/>
              <w:spacing w:line="360" w:lineRule="auto"/>
              <w:ind w:firstLine="420" w:firstLineChars="200"/>
              <w:rPr>
                <w:kern w:val="1"/>
              </w:rPr>
            </w:pPr>
            <w:r>
              <w:rPr>
                <w:kern w:val="1"/>
              </w:rPr>
              <w:t>第四十三条  在饮用水水源保护区内禁止下列行为：</w:t>
            </w:r>
          </w:p>
          <w:p>
            <w:pPr>
              <w:suppressAutoHyphens/>
              <w:spacing w:line="360" w:lineRule="auto"/>
              <w:ind w:firstLine="420" w:firstLineChars="200"/>
              <w:rPr>
                <w:kern w:val="1"/>
              </w:rPr>
            </w:pPr>
            <w:r>
              <w:rPr>
                <w:kern w:val="1"/>
              </w:rPr>
              <w:t>（一）设置排污口；</w:t>
            </w:r>
          </w:p>
          <w:p>
            <w:pPr>
              <w:suppressAutoHyphens/>
              <w:spacing w:line="360" w:lineRule="auto"/>
              <w:ind w:firstLine="420" w:firstLineChars="200"/>
              <w:rPr>
                <w:kern w:val="1"/>
              </w:rPr>
            </w:pPr>
            <w:r>
              <w:rPr>
                <w:kern w:val="1"/>
              </w:rPr>
              <w:t>第四十四条  禁止在饮用水水源一级保护区内新建、改建、扩建与供水设施和保护水源无关的建设项目；已建成的与供水设施和保护水源无关的建设项目由县级以上人民政府责令拆除或者关闭。</w:t>
            </w:r>
          </w:p>
          <w:p>
            <w:pPr>
              <w:suppressAutoHyphens/>
              <w:spacing w:line="360" w:lineRule="auto"/>
              <w:ind w:firstLine="420" w:firstLineChars="200"/>
              <w:rPr>
                <w:kern w:val="1"/>
              </w:rPr>
            </w:pPr>
            <w:r>
              <w:rPr>
                <w:kern w:val="1"/>
              </w:rPr>
              <w:t>禁止在饮用水水源二级保护区内新建、改建、扩建排放污染物的建设项目。</w:t>
            </w:r>
          </w:p>
          <w:p>
            <w:pPr>
              <w:suppressAutoHyphens/>
              <w:spacing w:line="360" w:lineRule="auto"/>
              <w:ind w:firstLine="420" w:firstLineChars="200"/>
              <w:rPr>
                <w:kern w:val="1"/>
              </w:rPr>
            </w:pPr>
            <w:r>
              <w:rPr>
                <w:kern w:val="1"/>
              </w:rPr>
              <w:t>第五十条  新建、改建、扩建的项目应当符合国家产业政策规定</w:t>
            </w:r>
          </w:p>
          <w:p>
            <w:pPr>
              <w:suppressAutoHyphens/>
              <w:spacing w:line="360" w:lineRule="auto"/>
              <w:ind w:firstLine="420" w:firstLineChars="200"/>
              <w:rPr>
                <w:kern w:val="1"/>
              </w:rPr>
            </w:pPr>
            <w:r>
              <w:rPr>
                <w:kern w:val="1"/>
              </w:rPr>
              <w:t>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w:t>
            </w:r>
          </w:p>
          <w:p>
            <w:pPr>
              <w:spacing w:line="360" w:lineRule="auto"/>
              <w:ind w:firstLine="422" w:firstLineChars="200"/>
              <w:rPr>
                <w:szCs w:val="21"/>
              </w:rPr>
            </w:pPr>
            <w:r>
              <w:rPr>
                <w:b/>
                <w:bCs/>
              </w:rPr>
              <w:t>相符性分析：</w:t>
            </w:r>
            <w:r>
              <w:t>本项目位于东江流域，用地不属于饮用水水源保护区，不属于条例规定的禁止类和严格控制类生产项目，无生产废水排放，</w:t>
            </w:r>
            <w:r>
              <w:rPr>
                <w:szCs w:val="21"/>
              </w:rPr>
              <w:t>生活污水经三级化粪池预处理后，纳入杨侨镇生活污水处理厂集中处理达标后排放，</w:t>
            </w:r>
            <w:r>
              <w:t>本项目符合生态环境准入清单要求，并依法进行了环境影响评价，符合生态环境准入清单要求，因此本项目与《广东省水污染防治条例》相符。</w:t>
            </w:r>
          </w:p>
          <w:p>
            <w:pPr>
              <w:spacing w:line="360" w:lineRule="auto"/>
              <w:ind w:firstLine="422" w:firstLineChars="200"/>
              <w:rPr>
                <w:b/>
                <w:bCs/>
              </w:rPr>
            </w:pPr>
            <w:r>
              <w:rPr>
                <w:b/>
                <w:bCs/>
              </w:rPr>
              <w:t>（3）与《广东省大气污染防治条例》的相符性分析</w:t>
            </w:r>
          </w:p>
          <w:p>
            <w:pPr>
              <w:spacing w:line="360" w:lineRule="auto"/>
              <w:ind w:firstLine="420" w:firstLineChars="200"/>
            </w:pPr>
            <w:r>
              <w:t>以下内容引用自《广东省大气污染防治条例》：</w:t>
            </w:r>
          </w:p>
          <w:p>
            <w:pPr>
              <w:spacing w:line="360" w:lineRule="auto"/>
              <w:ind w:firstLine="420" w:firstLineChars="200"/>
            </w:pPr>
            <w:r>
              <w:t>第二十条 地级以上市人民政府应当组织编制区域供热规划，建设和完善供热系统，对具备条件的工业园区、产业园区、开发区的用热单位实行集中供热，并逐步扩大供热管网覆盖范围。</w:t>
            </w:r>
          </w:p>
          <w:p>
            <w:pPr>
              <w:spacing w:line="360" w:lineRule="auto"/>
              <w:ind w:firstLine="420" w:firstLineChars="200"/>
            </w:pPr>
            <w:r>
              <w:t>在集中供热管网覆盖范围内，禁止新建、扩建燃用煤炭、重油、渣油、生物质等分散供热锅炉；已建成的不能达标排放的供热锅炉应当在县级以上人民政府规定的期限内拆除。</w:t>
            </w:r>
          </w:p>
          <w:p>
            <w:pPr>
              <w:spacing w:line="360" w:lineRule="auto"/>
              <w:ind w:firstLine="420" w:firstLineChars="200"/>
            </w:pPr>
            <w:r>
              <w:t>第二十六条 新建、改建、扩建排放挥发性有机物的建设项目，应当使用污染防治先进可行技术。</w:t>
            </w:r>
          </w:p>
          <w:p>
            <w:pPr>
              <w:spacing w:line="360" w:lineRule="auto"/>
              <w:ind w:firstLine="420" w:firstLineChars="200"/>
            </w:pPr>
            <w:r>
              <w:t>第二十七条 工业涂装企业应当使用低挥发性有机物含量的涂料，并建立台账，如实记录生产原料、辅料的使用量、废弃量、去向以及挥发性有机物含量并向县级以上人民政府生态环境主管部门申报。台账保存期限不少于三年。</w:t>
            </w:r>
          </w:p>
          <w:p>
            <w:pPr>
              <w:spacing w:line="360" w:lineRule="auto"/>
              <w:ind w:firstLine="422" w:firstLineChars="200"/>
              <w:rPr>
                <w:b/>
                <w:bCs/>
              </w:rPr>
            </w:pPr>
            <w:r>
              <w:rPr>
                <w:b/>
                <w:bCs/>
              </w:rPr>
              <w:t>相符性分析：</w:t>
            </w:r>
            <w:r>
              <w:t>本项目采用电能，</w:t>
            </w:r>
            <w:r>
              <w:rPr>
                <w:kern w:val="0"/>
              </w:rPr>
              <w:t>生产过程中</w:t>
            </w:r>
            <w:r>
              <w:t>未使用高挥发性有机物原辅材料</w:t>
            </w:r>
            <w:r>
              <w:rPr>
                <w:kern w:val="0"/>
              </w:rPr>
              <w:t>，</w:t>
            </w:r>
            <w:r>
              <w:rPr>
                <w:rFonts w:hint="eastAsia"/>
              </w:rPr>
              <w:t>贴合、植皮、</w:t>
            </w:r>
            <w:r>
              <w:t>印刷、烘干过程</w:t>
            </w:r>
            <w:r>
              <w:rPr>
                <w:kern w:val="0"/>
              </w:rPr>
              <w:t>产生的有机废气经两级活性炭吸附设施处理后可达标排放</w:t>
            </w:r>
            <w:r>
              <w:t>，</w:t>
            </w:r>
            <w:r>
              <w:rPr>
                <w:rFonts w:hint="eastAsia"/>
              </w:rPr>
              <w:t>挤出</w:t>
            </w:r>
            <w:r>
              <w:t>废气收集后经</w:t>
            </w:r>
            <w:r>
              <w:rPr>
                <w:rFonts w:hint="eastAsia"/>
              </w:rPr>
              <w:t>“水喷淋+干式</w:t>
            </w:r>
            <w:r>
              <w:t>除雾器+两级活性炭吸附</w:t>
            </w:r>
            <w:r>
              <w:rPr>
                <w:rFonts w:hint="eastAsia"/>
              </w:rPr>
              <w:t>”装置处理</w:t>
            </w:r>
            <w:r>
              <w:t>后可达标排放，企业建成投产后将如实记录台账，因此本项目与《广东省大气污染防治条例》相符。</w:t>
            </w:r>
          </w:p>
          <w:p>
            <w:pPr>
              <w:pStyle w:val="84"/>
              <w:spacing w:line="360" w:lineRule="auto"/>
              <w:ind w:firstLine="422" w:firstLineChars="200"/>
              <w:rPr>
                <w:rFonts w:eastAsia="宋体"/>
                <w:b/>
                <w:sz w:val="21"/>
                <w:szCs w:val="21"/>
              </w:rPr>
            </w:pPr>
            <w:r>
              <w:rPr>
                <w:rFonts w:eastAsia="宋体"/>
                <w:b/>
                <w:sz w:val="21"/>
                <w:szCs w:val="21"/>
              </w:rPr>
              <w:t>（4）与《关于印发&lt;重点行业挥发性有机物综合治理方案&gt;的通知》（环大气〔2019〕53号）相符性分析</w:t>
            </w:r>
          </w:p>
          <w:p>
            <w:pPr>
              <w:pStyle w:val="84"/>
              <w:spacing w:line="360" w:lineRule="auto"/>
              <w:ind w:firstLine="420" w:firstLineChars="200"/>
              <w:rPr>
                <w:rFonts w:eastAsia="宋体"/>
                <w:bCs/>
                <w:sz w:val="21"/>
                <w:szCs w:val="21"/>
              </w:rPr>
            </w:pPr>
            <w:r>
              <w:rPr>
                <w:rFonts w:eastAsia="宋体"/>
                <w:bCs/>
                <w:sz w:val="21"/>
                <w:szCs w:val="21"/>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p>
            <w:pPr>
              <w:pStyle w:val="84"/>
              <w:spacing w:line="360" w:lineRule="auto"/>
              <w:ind w:firstLine="420" w:firstLineChars="200"/>
              <w:rPr>
                <w:rFonts w:eastAsia="宋体"/>
                <w:bCs/>
                <w:sz w:val="21"/>
                <w:szCs w:val="21"/>
              </w:rPr>
            </w:pPr>
            <w:r>
              <w:rPr>
                <w:rFonts w:eastAsia="宋体"/>
                <w:bCs/>
                <w:sz w:val="21"/>
                <w:szCs w:val="21"/>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spacing w:line="360" w:lineRule="auto"/>
              <w:ind w:firstLine="422" w:firstLineChars="200"/>
              <w:rPr>
                <w:szCs w:val="21"/>
              </w:rPr>
            </w:pPr>
            <w:r>
              <w:rPr>
                <w:b/>
                <w:bCs/>
              </w:rPr>
              <w:t>相符性分析：</w:t>
            </w:r>
            <w:r>
              <w:t>本项目主要从事</w:t>
            </w:r>
            <w:r>
              <w:rPr>
                <w:rFonts w:hint="eastAsia"/>
              </w:rPr>
              <w:t>塑料制品</w:t>
            </w:r>
            <w:r>
              <w:t>生产，</w:t>
            </w:r>
            <w:r>
              <w:rPr>
                <w:kern w:val="0"/>
              </w:rPr>
              <w:t>生产过程中</w:t>
            </w:r>
            <w:r>
              <w:rPr>
                <w:rFonts w:hint="eastAsia"/>
                <w:kern w:val="0"/>
              </w:rPr>
              <w:t>使用</w:t>
            </w:r>
            <w:r>
              <w:rPr>
                <w:kern w:val="0"/>
              </w:rPr>
              <w:t>的水性胶水和水性油墨</w:t>
            </w:r>
            <w:r>
              <w:rPr>
                <w:rFonts w:hint="eastAsia"/>
              </w:rPr>
              <w:t>均</w:t>
            </w:r>
            <w:r>
              <w:t>不属于高挥发性有机物原辅材料</w:t>
            </w:r>
            <w:r>
              <w:rPr>
                <w:rFonts w:hint="eastAsia"/>
              </w:rPr>
              <w:t>，贴合、植皮、</w:t>
            </w:r>
            <w:r>
              <w:t>印刷、烘干过程</w:t>
            </w:r>
            <w:r>
              <w:rPr>
                <w:kern w:val="0"/>
              </w:rPr>
              <w:t>产生的有机废气经两级活性炭吸附设施处理后可达标排放</w:t>
            </w:r>
            <w:r>
              <w:t>，</w:t>
            </w:r>
            <w:r>
              <w:rPr>
                <w:rFonts w:hint="eastAsia"/>
              </w:rPr>
              <w:t>挤出</w:t>
            </w:r>
            <w:r>
              <w:t>废气收集后经</w:t>
            </w:r>
            <w:r>
              <w:rPr>
                <w:rFonts w:hint="eastAsia"/>
              </w:rPr>
              <w:t>“水喷淋+干式</w:t>
            </w:r>
            <w:r>
              <w:t>除雾器+两级活性炭吸附</w:t>
            </w:r>
            <w:r>
              <w:rPr>
                <w:rFonts w:hint="eastAsia"/>
              </w:rPr>
              <w:t>”装置处理</w:t>
            </w:r>
            <w:r>
              <w:t>后可达标排放，对周围环境影响不大。因此，本项目符合《关于印发&lt;重点行业挥发性有机物综合治理方案&gt;的通知》（环大气〔2019〕53号）的要求。</w:t>
            </w:r>
          </w:p>
          <w:p>
            <w:pPr>
              <w:adjustRightInd w:val="0"/>
              <w:snapToGrid w:val="0"/>
              <w:spacing w:line="360" w:lineRule="auto"/>
              <w:ind w:firstLine="422" w:firstLineChars="200"/>
              <w:rPr>
                <w:b/>
                <w:bCs/>
              </w:rPr>
            </w:pPr>
            <w:r>
              <w:rPr>
                <w:b/>
              </w:rPr>
              <w:t>（5）</w:t>
            </w:r>
            <w:r>
              <w:rPr>
                <w:b/>
                <w:bCs/>
              </w:rPr>
              <w:t>与《关于印发&lt;广东省涉挥发性有机物（VOCs）重点行业治理指引&gt;的通知》（粤环办〔2021〕43号）的相符性分析</w:t>
            </w:r>
          </w:p>
          <w:p>
            <w:pPr>
              <w:adjustRightInd w:val="0"/>
              <w:snapToGrid w:val="0"/>
              <w:spacing w:line="360" w:lineRule="auto"/>
              <w:ind w:firstLine="420" w:firstLineChars="200"/>
              <w:textAlignment w:val="baseline"/>
              <w:rPr>
                <w:szCs w:val="21"/>
              </w:rPr>
            </w:pPr>
            <w:r>
              <w:rPr>
                <w:szCs w:val="21"/>
              </w:rPr>
              <w:t>对照《广东省涉挥发性有机物（VOCs）重点行业治理指引》，本项目涉及“六、橡胶与塑料制品业”，</w:t>
            </w:r>
            <w:r>
              <w:t xml:space="preserve"> 本项目与文件要求相符性如下表所示</w:t>
            </w:r>
            <w:r>
              <w:rPr>
                <w:szCs w:val="21"/>
              </w:rPr>
              <w:t>。</w:t>
            </w:r>
          </w:p>
          <w:p>
            <w:pPr>
              <w:numPr>
                <w:ilvl w:val="0"/>
                <w:numId w:val="2"/>
              </w:numPr>
              <w:adjustRightInd w:val="0"/>
              <w:snapToGrid w:val="0"/>
              <w:spacing w:line="360" w:lineRule="auto"/>
              <w:ind w:left="322"/>
              <w:jc w:val="center"/>
              <w:rPr>
                <w:b/>
                <w:bCs/>
              </w:rPr>
            </w:pPr>
            <w:r>
              <w:rPr>
                <w:b/>
                <w:bCs/>
              </w:rPr>
              <w:t>与（粤环办〔2021〕43号）相符性分析一览表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
              <w:gridCol w:w="683"/>
              <w:gridCol w:w="279"/>
              <w:gridCol w:w="554"/>
              <w:gridCol w:w="2822"/>
              <w:gridCol w:w="2415"/>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adjustRightInd w:val="0"/>
                    <w:snapToGrid w:val="0"/>
                    <w:jc w:val="center"/>
                    <w:rPr>
                      <w:b/>
                      <w:bCs/>
                      <w:sz w:val="18"/>
                      <w:szCs w:val="18"/>
                    </w:rPr>
                  </w:pPr>
                  <w:r>
                    <w:rPr>
                      <w:b/>
                      <w:bCs/>
                      <w:sz w:val="18"/>
                      <w:szCs w:val="18"/>
                    </w:rPr>
                    <w:t>序号</w:t>
                  </w:r>
                </w:p>
              </w:tc>
              <w:tc>
                <w:tcPr>
                  <w:tcW w:w="621" w:type="pct"/>
                  <w:gridSpan w:val="2"/>
                  <w:shd w:val="clear" w:color="auto" w:fill="auto"/>
                  <w:vAlign w:val="center"/>
                </w:tcPr>
                <w:p>
                  <w:pPr>
                    <w:adjustRightInd w:val="0"/>
                    <w:snapToGrid w:val="0"/>
                    <w:jc w:val="center"/>
                    <w:rPr>
                      <w:b/>
                      <w:bCs/>
                      <w:sz w:val="18"/>
                      <w:szCs w:val="18"/>
                    </w:rPr>
                  </w:pPr>
                  <w:r>
                    <w:rPr>
                      <w:b/>
                      <w:bCs/>
                      <w:sz w:val="18"/>
                      <w:szCs w:val="18"/>
                    </w:rPr>
                    <w:t>环节</w:t>
                  </w:r>
                </w:p>
              </w:tc>
              <w:tc>
                <w:tcPr>
                  <w:tcW w:w="2181" w:type="pct"/>
                  <w:gridSpan w:val="2"/>
                  <w:shd w:val="clear" w:color="auto" w:fill="auto"/>
                  <w:vAlign w:val="center"/>
                </w:tcPr>
                <w:p>
                  <w:pPr>
                    <w:adjustRightInd w:val="0"/>
                    <w:snapToGrid w:val="0"/>
                    <w:jc w:val="center"/>
                    <w:rPr>
                      <w:b/>
                      <w:bCs/>
                      <w:sz w:val="18"/>
                      <w:szCs w:val="18"/>
                    </w:rPr>
                  </w:pPr>
                  <w:r>
                    <w:rPr>
                      <w:b/>
                      <w:bCs/>
                      <w:sz w:val="18"/>
                      <w:szCs w:val="18"/>
                    </w:rPr>
                    <w:t>控制要求</w:t>
                  </w:r>
                </w:p>
              </w:tc>
              <w:tc>
                <w:tcPr>
                  <w:tcW w:w="1560" w:type="pct"/>
                  <w:shd w:val="clear" w:color="auto" w:fill="auto"/>
                  <w:vAlign w:val="center"/>
                </w:tcPr>
                <w:p>
                  <w:pPr>
                    <w:adjustRightInd w:val="0"/>
                    <w:snapToGrid w:val="0"/>
                    <w:jc w:val="center"/>
                    <w:rPr>
                      <w:b/>
                      <w:bCs/>
                      <w:sz w:val="18"/>
                      <w:szCs w:val="18"/>
                    </w:rPr>
                  </w:pPr>
                  <w:r>
                    <w:rPr>
                      <w:b/>
                      <w:bCs/>
                      <w:sz w:val="18"/>
                      <w:szCs w:val="18"/>
                    </w:rPr>
                    <w:t>本项目相关情况</w:t>
                  </w:r>
                </w:p>
              </w:tc>
              <w:tc>
                <w:tcPr>
                  <w:tcW w:w="380" w:type="pct"/>
                  <w:shd w:val="clear" w:color="auto" w:fill="auto"/>
                  <w:vAlign w:val="center"/>
                </w:tcPr>
                <w:p>
                  <w:pPr>
                    <w:adjustRightInd w:val="0"/>
                    <w:snapToGrid w:val="0"/>
                    <w:jc w:val="center"/>
                    <w:rPr>
                      <w:b/>
                      <w:bCs/>
                      <w:sz w:val="18"/>
                      <w:szCs w:val="18"/>
                    </w:rPr>
                  </w:pPr>
                  <w:r>
                    <w:rPr>
                      <w:b/>
                      <w:bCs/>
                      <w:sz w:val="18"/>
                      <w:szCs w:val="18"/>
                    </w:rPr>
                    <w:t>是否</w:t>
                  </w:r>
                </w:p>
                <w:p>
                  <w:pPr>
                    <w:adjustRightInd w:val="0"/>
                    <w:snapToGrid w:val="0"/>
                    <w:jc w:val="center"/>
                    <w:rPr>
                      <w:b/>
                      <w:bCs/>
                      <w:sz w:val="18"/>
                      <w:szCs w:val="18"/>
                    </w:rPr>
                  </w:pPr>
                  <w:r>
                    <w:rPr>
                      <w:b/>
                      <w:bCs/>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D8D8D8"/>
                  <w:vAlign w:val="center"/>
                </w:tcPr>
                <w:p>
                  <w:pPr>
                    <w:adjustRightInd w:val="0"/>
                    <w:snapToGrid w:val="0"/>
                    <w:jc w:val="center"/>
                    <w:rPr>
                      <w:sz w:val="18"/>
                      <w:szCs w:val="18"/>
                    </w:rPr>
                  </w:pPr>
                  <w:r>
                    <w:rPr>
                      <w:b/>
                      <w:bCs/>
                      <w:sz w:val="18"/>
                      <w:szCs w:val="18"/>
                    </w:rPr>
                    <w:t>源头削减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w:t>
                  </w:r>
                </w:p>
              </w:tc>
              <w:tc>
                <w:tcPr>
                  <w:tcW w:w="441" w:type="pct"/>
                  <w:shd w:val="clear" w:color="auto" w:fill="auto"/>
                  <w:vAlign w:val="center"/>
                </w:tcPr>
                <w:p>
                  <w:pPr>
                    <w:adjustRightInd w:val="0"/>
                    <w:snapToGrid w:val="0"/>
                    <w:jc w:val="center"/>
                    <w:rPr>
                      <w:sz w:val="18"/>
                      <w:szCs w:val="18"/>
                    </w:rPr>
                  </w:pPr>
                  <w:r>
                    <w:rPr>
                      <w:sz w:val="18"/>
                      <w:szCs w:val="18"/>
                    </w:rPr>
                    <w:t>胶粘</w:t>
                  </w:r>
                </w:p>
              </w:tc>
              <w:tc>
                <w:tcPr>
                  <w:tcW w:w="538" w:type="pct"/>
                  <w:gridSpan w:val="2"/>
                  <w:shd w:val="clear" w:color="auto" w:fill="auto"/>
                  <w:vAlign w:val="center"/>
                </w:tcPr>
                <w:p>
                  <w:pPr>
                    <w:adjustRightInd w:val="0"/>
                    <w:snapToGrid w:val="0"/>
                    <w:jc w:val="center"/>
                    <w:rPr>
                      <w:sz w:val="18"/>
                      <w:szCs w:val="18"/>
                    </w:rPr>
                  </w:pPr>
                  <w:r>
                    <w:rPr>
                      <w:sz w:val="18"/>
                      <w:szCs w:val="18"/>
                    </w:rPr>
                    <w:t>水基型</w:t>
                  </w:r>
                </w:p>
                <w:p>
                  <w:pPr>
                    <w:adjustRightInd w:val="0"/>
                    <w:snapToGrid w:val="0"/>
                    <w:jc w:val="center"/>
                    <w:rPr>
                      <w:sz w:val="18"/>
                      <w:szCs w:val="18"/>
                    </w:rPr>
                  </w:pPr>
                  <w:r>
                    <w:rPr>
                      <w:sz w:val="18"/>
                      <w:szCs w:val="18"/>
                    </w:rPr>
                    <w:t>胶粘剂</w:t>
                  </w:r>
                </w:p>
              </w:tc>
              <w:tc>
                <w:tcPr>
                  <w:tcW w:w="1823" w:type="pct"/>
                  <w:shd w:val="clear" w:color="auto" w:fill="auto"/>
                  <w:vAlign w:val="center"/>
                </w:tcPr>
                <w:p>
                  <w:pPr>
                    <w:adjustRightInd w:val="0"/>
                    <w:snapToGrid w:val="0"/>
                    <w:jc w:val="center"/>
                    <w:rPr>
                      <w:sz w:val="18"/>
                      <w:szCs w:val="18"/>
                    </w:rPr>
                  </w:pPr>
                  <w:r>
                    <w:rPr>
                      <w:sz w:val="18"/>
                      <w:szCs w:val="18"/>
                    </w:rPr>
                    <w:t>橡胶类胶粘剂VOCs含量≤50g/L。</w:t>
                  </w:r>
                </w:p>
              </w:tc>
              <w:tc>
                <w:tcPr>
                  <w:tcW w:w="1560" w:type="pct"/>
                  <w:shd w:val="clear" w:color="auto" w:fill="auto"/>
                  <w:vAlign w:val="center"/>
                </w:tcPr>
                <w:p>
                  <w:pPr>
                    <w:adjustRightInd w:val="0"/>
                    <w:snapToGrid w:val="0"/>
                    <w:jc w:val="center"/>
                    <w:rPr>
                      <w:sz w:val="18"/>
                      <w:szCs w:val="18"/>
                    </w:rPr>
                  </w:pPr>
                  <w:r>
                    <w:rPr>
                      <w:rFonts w:hint="eastAsia"/>
                      <w:sz w:val="18"/>
                      <w:szCs w:val="18"/>
                    </w:rPr>
                    <w:t>项目所用水性胶水属于</w:t>
                  </w:r>
                  <w:r>
                    <w:rPr>
                      <w:sz w:val="18"/>
                      <w:szCs w:val="18"/>
                    </w:rPr>
                    <w:t>水基型橡胶类</w:t>
                  </w:r>
                  <w:r>
                    <w:rPr>
                      <w:rFonts w:hint="eastAsia"/>
                      <w:sz w:val="18"/>
                      <w:szCs w:val="18"/>
                    </w:rPr>
                    <w:t>胶黏剂</w:t>
                  </w:r>
                  <w:r>
                    <w:rPr>
                      <w:sz w:val="18"/>
                      <w:szCs w:val="18"/>
                    </w:rPr>
                    <w:t>，VOCs含量为27g/L</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rFonts w:hint="eastAsia"/>
                      <w:kern w:val="0"/>
                      <w:sz w:val="18"/>
                      <w:szCs w:val="18"/>
                      <w:lang w:bidi="ar"/>
                    </w:rPr>
                    <w:t>2</w:t>
                  </w:r>
                </w:p>
              </w:tc>
              <w:tc>
                <w:tcPr>
                  <w:tcW w:w="441" w:type="pct"/>
                  <w:shd w:val="clear" w:color="auto" w:fill="auto"/>
                  <w:vAlign w:val="center"/>
                </w:tcPr>
                <w:p>
                  <w:pPr>
                    <w:adjustRightInd w:val="0"/>
                    <w:snapToGrid w:val="0"/>
                    <w:jc w:val="center"/>
                    <w:rPr>
                      <w:sz w:val="18"/>
                      <w:szCs w:val="18"/>
                    </w:rPr>
                  </w:pPr>
                  <w:r>
                    <w:rPr>
                      <w:rFonts w:hint="eastAsia"/>
                      <w:sz w:val="18"/>
                      <w:szCs w:val="18"/>
                    </w:rPr>
                    <w:t>印刷</w:t>
                  </w:r>
                </w:p>
              </w:tc>
              <w:tc>
                <w:tcPr>
                  <w:tcW w:w="538" w:type="pct"/>
                  <w:gridSpan w:val="2"/>
                  <w:shd w:val="clear" w:color="auto" w:fill="auto"/>
                  <w:vAlign w:val="center"/>
                </w:tcPr>
                <w:p>
                  <w:pPr>
                    <w:adjustRightInd w:val="0"/>
                    <w:snapToGrid w:val="0"/>
                    <w:jc w:val="center"/>
                    <w:rPr>
                      <w:sz w:val="18"/>
                      <w:szCs w:val="18"/>
                    </w:rPr>
                  </w:pPr>
                  <w:r>
                    <w:rPr>
                      <w:sz w:val="18"/>
                      <w:szCs w:val="18"/>
                    </w:rPr>
                    <w:t>水性油墨</w:t>
                  </w:r>
                </w:p>
              </w:tc>
              <w:tc>
                <w:tcPr>
                  <w:tcW w:w="1823" w:type="pct"/>
                  <w:shd w:val="clear" w:color="auto" w:fill="auto"/>
                  <w:vAlign w:val="center"/>
                </w:tcPr>
                <w:p>
                  <w:pPr>
                    <w:adjustRightInd w:val="0"/>
                    <w:snapToGrid w:val="0"/>
                    <w:jc w:val="center"/>
                    <w:rPr>
                      <w:sz w:val="18"/>
                      <w:szCs w:val="18"/>
                    </w:rPr>
                  </w:pPr>
                  <w:r>
                    <w:rPr>
                      <w:sz w:val="18"/>
                      <w:szCs w:val="18"/>
                    </w:rPr>
                    <w:t>柔印油墨：吸收性承印物，VOCs含量≤5%</w:t>
                  </w:r>
                </w:p>
              </w:tc>
              <w:tc>
                <w:tcPr>
                  <w:tcW w:w="1560" w:type="pct"/>
                  <w:shd w:val="clear" w:color="auto" w:fill="auto"/>
                  <w:vAlign w:val="center"/>
                </w:tcPr>
                <w:p>
                  <w:pPr>
                    <w:adjustRightInd w:val="0"/>
                    <w:snapToGrid w:val="0"/>
                    <w:jc w:val="center"/>
                    <w:rPr>
                      <w:sz w:val="18"/>
                      <w:szCs w:val="18"/>
                    </w:rPr>
                  </w:pPr>
                  <w:r>
                    <w:rPr>
                      <w:rFonts w:hint="eastAsia"/>
                      <w:sz w:val="18"/>
                      <w:szCs w:val="18"/>
                    </w:rPr>
                    <w:t>项目所用水性</w:t>
                  </w:r>
                  <w:r>
                    <w:rPr>
                      <w:sz w:val="18"/>
                      <w:szCs w:val="18"/>
                    </w:rPr>
                    <w:t>油墨VOCs含量为1%</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nil"/>
                  </w:tcBorders>
                  <w:shd w:val="clear" w:color="auto" w:fill="D8D8D8"/>
                  <w:vAlign w:val="center"/>
                </w:tcPr>
                <w:p>
                  <w:pPr>
                    <w:adjustRightInd w:val="0"/>
                    <w:snapToGrid w:val="0"/>
                    <w:jc w:val="center"/>
                    <w:rPr>
                      <w:b/>
                      <w:bCs/>
                      <w:sz w:val="18"/>
                      <w:szCs w:val="18"/>
                    </w:rPr>
                  </w:pPr>
                  <w:r>
                    <w:rPr>
                      <w:b/>
                      <w:bCs/>
                      <w:sz w:val="18"/>
                      <w:szCs w:val="18"/>
                    </w:rPr>
                    <w:t>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rPr>
                      <w:sz w:val="18"/>
                      <w:szCs w:val="18"/>
                    </w:rPr>
                  </w:pPr>
                  <w:r>
                    <w:rPr>
                      <w:rFonts w:hint="eastAsia"/>
                      <w:sz w:val="18"/>
                      <w:szCs w:val="18"/>
                    </w:rPr>
                    <w:t>3</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VOCs物料储存</w:t>
                  </w:r>
                </w:p>
              </w:tc>
              <w:tc>
                <w:tcPr>
                  <w:tcW w:w="2181" w:type="pct"/>
                  <w:gridSpan w:val="2"/>
                  <w:shd w:val="clear" w:color="auto" w:fill="auto"/>
                  <w:vAlign w:val="center"/>
                </w:tcPr>
                <w:p>
                  <w:pPr>
                    <w:widowControl/>
                    <w:adjustRightInd w:val="0"/>
                    <w:snapToGrid w:val="0"/>
                    <w:jc w:val="left"/>
                    <w:rPr>
                      <w:sz w:val="18"/>
                      <w:szCs w:val="18"/>
                    </w:rPr>
                  </w:pPr>
                  <w:r>
                    <w:rPr>
                      <w:sz w:val="18"/>
                      <w:szCs w:val="18"/>
                    </w:rPr>
                    <w:t>VOCs物料应储存于密闭的容器、包装袋、储罐、储库、料仓中。</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胶水、</w:t>
                  </w:r>
                  <w:r>
                    <w:rPr>
                      <w:sz w:val="18"/>
                      <w:szCs w:val="18"/>
                    </w:rPr>
                    <w:t>油墨</w:t>
                  </w:r>
                  <w:r>
                    <w:rPr>
                      <w:rFonts w:hint="eastAsia"/>
                      <w:sz w:val="18"/>
                      <w:szCs w:val="18"/>
                    </w:rPr>
                    <w:t>采用</w:t>
                  </w:r>
                  <w:r>
                    <w:rPr>
                      <w:sz w:val="18"/>
                      <w:szCs w:val="18"/>
                    </w:rPr>
                    <w:t>密闭容器储存，</w:t>
                  </w:r>
                  <w:r>
                    <w:rPr>
                      <w:rFonts w:hint="eastAsia"/>
                      <w:sz w:val="18"/>
                      <w:szCs w:val="18"/>
                    </w:rPr>
                    <w:t>塑料粒</w:t>
                  </w:r>
                  <w:r>
                    <w:rPr>
                      <w:sz w:val="18"/>
                      <w:szCs w:val="18"/>
                    </w:rPr>
                    <w:t>均采用密闭包装袋储存</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4</w:t>
                  </w:r>
                </w:p>
              </w:tc>
              <w:tc>
                <w:tcPr>
                  <w:tcW w:w="621" w:type="pct"/>
                  <w:gridSpan w:val="2"/>
                  <w:vMerge w:val="continue"/>
                  <w:shd w:val="clear" w:color="auto" w:fill="auto"/>
                  <w:vAlign w:val="center"/>
                </w:tcPr>
                <w:p>
                  <w:pPr>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盛装VOCs物料的容器是否存放于室内，或存放于设置有雨棚、遮阳和防渗设施的专用场地。盛装VOCs物料的容器在非取用状态时应加盖、封口，保持密闭。</w:t>
                  </w:r>
                </w:p>
              </w:tc>
              <w:tc>
                <w:tcPr>
                  <w:tcW w:w="1560" w:type="pct"/>
                  <w:shd w:val="clear" w:color="auto" w:fill="auto"/>
                  <w:vAlign w:val="center"/>
                </w:tcPr>
                <w:p>
                  <w:pPr>
                    <w:adjustRightInd w:val="0"/>
                    <w:snapToGrid w:val="0"/>
                    <w:jc w:val="center"/>
                    <w:rPr>
                      <w:sz w:val="18"/>
                      <w:szCs w:val="18"/>
                    </w:rPr>
                  </w:pPr>
                  <w:r>
                    <w:rPr>
                      <w:sz w:val="18"/>
                      <w:szCs w:val="18"/>
                    </w:rPr>
                    <w:t>项目盛装</w:t>
                  </w:r>
                  <w:r>
                    <w:rPr>
                      <w:rFonts w:hint="eastAsia"/>
                      <w:sz w:val="18"/>
                      <w:szCs w:val="18"/>
                    </w:rPr>
                    <w:t>胶水和</w:t>
                  </w:r>
                  <w:r>
                    <w:rPr>
                      <w:sz w:val="18"/>
                      <w:szCs w:val="18"/>
                    </w:rPr>
                    <w:t>油墨</w:t>
                  </w:r>
                  <w:r>
                    <w:rPr>
                      <w:rFonts w:hint="eastAsia"/>
                      <w:sz w:val="18"/>
                      <w:szCs w:val="18"/>
                    </w:rPr>
                    <w:t>的容器以及</w:t>
                  </w:r>
                  <w:r>
                    <w:rPr>
                      <w:sz w:val="18"/>
                      <w:szCs w:val="18"/>
                    </w:rPr>
                    <w:t>盛装</w:t>
                  </w:r>
                  <w:r>
                    <w:rPr>
                      <w:rFonts w:hint="eastAsia"/>
                      <w:sz w:val="18"/>
                      <w:szCs w:val="18"/>
                    </w:rPr>
                    <w:t>塑料粒</w:t>
                  </w:r>
                  <w:r>
                    <w:rPr>
                      <w:sz w:val="18"/>
                      <w:szCs w:val="18"/>
                    </w:rPr>
                    <w:t>的包装袋均放于室内，非取用状态时封口，保持密闭</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rFonts w:hint="eastAsia"/>
                      <w:kern w:val="0"/>
                      <w:sz w:val="18"/>
                      <w:szCs w:val="18"/>
                      <w:lang w:bidi="ar"/>
                    </w:rPr>
                    <w:t>5</w:t>
                  </w:r>
                </w:p>
              </w:tc>
              <w:tc>
                <w:tcPr>
                  <w:tcW w:w="621" w:type="pct"/>
                  <w:gridSpan w:val="2"/>
                  <w:vMerge w:val="restart"/>
                  <w:shd w:val="clear" w:color="auto" w:fill="auto"/>
                  <w:vAlign w:val="center"/>
                </w:tcPr>
                <w:p>
                  <w:pPr>
                    <w:widowControl/>
                    <w:adjustRightInd w:val="0"/>
                    <w:snapToGrid w:val="0"/>
                    <w:jc w:val="center"/>
                    <w:rPr>
                      <w:sz w:val="18"/>
                      <w:szCs w:val="18"/>
                    </w:rPr>
                  </w:pPr>
                  <w:r>
                    <w:rPr>
                      <w:kern w:val="0"/>
                      <w:sz w:val="18"/>
                      <w:szCs w:val="18"/>
                      <w:lang w:bidi="ar"/>
                    </w:rPr>
                    <w:t>VOCs物料</w:t>
                  </w:r>
                  <w:r>
                    <w:rPr>
                      <w:sz w:val="18"/>
                      <w:szCs w:val="18"/>
                    </w:rPr>
                    <w:t>转移</w:t>
                  </w:r>
                </w:p>
                <w:p>
                  <w:pPr>
                    <w:widowControl/>
                    <w:adjustRightInd w:val="0"/>
                    <w:snapToGrid w:val="0"/>
                    <w:jc w:val="center"/>
                    <w:rPr>
                      <w:kern w:val="0"/>
                      <w:sz w:val="18"/>
                      <w:szCs w:val="18"/>
                      <w:lang w:bidi="ar"/>
                    </w:rPr>
                  </w:pPr>
                  <w:r>
                    <w:rPr>
                      <w:sz w:val="18"/>
                      <w:szCs w:val="18"/>
                    </w:rPr>
                    <w:t>和输送</w:t>
                  </w:r>
                </w:p>
              </w:tc>
              <w:tc>
                <w:tcPr>
                  <w:tcW w:w="2181" w:type="pct"/>
                  <w:gridSpan w:val="2"/>
                  <w:shd w:val="clear" w:color="auto" w:fill="auto"/>
                  <w:vAlign w:val="center"/>
                </w:tcPr>
                <w:p>
                  <w:pPr>
                    <w:adjustRightInd w:val="0"/>
                    <w:snapToGrid w:val="0"/>
                    <w:jc w:val="left"/>
                    <w:rPr>
                      <w:sz w:val="18"/>
                      <w:szCs w:val="18"/>
                    </w:rPr>
                  </w:pPr>
                  <w:r>
                    <w:rPr>
                      <w:sz w:val="18"/>
                      <w:szCs w:val="18"/>
                    </w:rPr>
                    <w:t>液体VOCs物料应采用管道密闭输送。采用非管道输送方式转移液态VOCs物料时，应采用密闭容器或罐车。</w:t>
                  </w:r>
                </w:p>
              </w:tc>
              <w:tc>
                <w:tcPr>
                  <w:tcW w:w="1560" w:type="pct"/>
                  <w:shd w:val="clear" w:color="auto" w:fill="auto"/>
                  <w:vAlign w:val="center"/>
                </w:tcPr>
                <w:p>
                  <w:pPr>
                    <w:adjustRightInd w:val="0"/>
                    <w:snapToGrid w:val="0"/>
                    <w:jc w:val="center"/>
                    <w:rPr>
                      <w:sz w:val="18"/>
                      <w:szCs w:val="18"/>
                    </w:rPr>
                  </w:pPr>
                  <w:r>
                    <w:rPr>
                      <w:rFonts w:hint="eastAsia"/>
                      <w:sz w:val="18"/>
                      <w:szCs w:val="18"/>
                    </w:rPr>
                    <w:t>项目</w:t>
                  </w:r>
                  <w:r>
                    <w:rPr>
                      <w:sz w:val="18"/>
                      <w:szCs w:val="18"/>
                    </w:rPr>
                    <w:t>胶水</w:t>
                  </w:r>
                  <w:r>
                    <w:rPr>
                      <w:rFonts w:hint="eastAsia"/>
                      <w:sz w:val="18"/>
                      <w:szCs w:val="18"/>
                    </w:rPr>
                    <w:t>和</w:t>
                  </w:r>
                  <w:r>
                    <w:rPr>
                      <w:sz w:val="18"/>
                      <w:szCs w:val="18"/>
                    </w:rPr>
                    <w:t>油墨采用密闭容器转移</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6</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粉状、粒状VOCs物料采用气力输送设备、管状带式输送机、螺旋输送机等密闭输送方式，或者采用密闭的包装袋、容器或罐车进行物料转移。</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塑料粒</w:t>
                  </w:r>
                  <w:r>
                    <w:rPr>
                      <w:sz w:val="18"/>
                      <w:szCs w:val="18"/>
                    </w:rPr>
                    <w:t>采用密闭的包装袋转移</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rFonts w:hint="eastAsia"/>
                      <w:kern w:val="0"/>
                      <w:sz w:val="18"/>
                      <w:szCs w:val="18"/>
                      <w:lang w:bidi="ar"/>
                    </w:rPr>
                    <w:t>7</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工艺过程</w:t>
                  </w:r>
                </w:p>
              </w:tc>
              <w:tc>
                <w:tcPr>
                  <w:tcW w:w="2181" w:type="pct"/>
                  <w:gridSpan w:val="2"/>
                  <w:shd w:val="clear" w:color="auto" w:fill="auto"/>
                  <w:vAlign w:val="center"/>
                </w:tcPr>
                <w:p>
                  <w:pPr>
                    <w:adjustRightInd w:val="0"/>
                    <w:snapToGrid w:val="0"/>
                    <w:jc w:val="left"/>
                    <w:rPr>
                      <w:sz w:val="18"/>
                      <w:szCs w:val="18"/>
                    </w:rPr>
                  </w:pPr>
                  <w:r>
                    <w:rPr>
                      <w:sz w:val="18"/>
                      <w:szCs w:val="18"/>
                    </w:rPr>
                    <w:t>液态VOCs物料采用密闭管道输送方式或采用高位槽（罐）、桶泵等给料方式密闭投加；无法密闭投加的，在密闭空间内操作，或进行局部气体收集，废气排至VOCs废气收集处理系统。</w:t>
                  </w:r>
                </w:p>
              </w:tc>
              <w:tc>
                <w:tcPr>
                  <w:tcW w:w="1560" w:type="pct"/>
                  <w:shd w:val="clear" w:color="auto" w:fill="auto"/>
                  <w:vAlign w:val="center"/>
                </w:tcPr>
                <w:p>
                  <w:pPr>
                    <w:adjustRightInd w:val="0"/>
                    <w:snapToGrid w:val="0"/>
                    <w:jc w:val="center"/>
                    <w:rPr>
                      <w:sz w:val="18"/>
                      <w:szCs w:val="18"/>
                    </w:rPr>
                  </w:pPr>
                  <w:r>
                    <w:rPr>
                      <w:rFonts w:hint="eastAsia"/>
                      <w:sz w:val="18"/>
                      <w:szCs w:val="18"/>
                    </w:rPr>
                    <w:t>项目</w:t>
                  </w:r>
                  <w:r>
                    <w:rPr>
                      <w:sz w:val="18"/>
                      <w:szCs w:val="18"/>
                    </w:rPr>
                    <w:t>贴合</w:t>
                  </w:r>
                  <w:r>
                    <w:rPr>
                      <w:rFonts w:hint="eastAsia"/>
                      <w:sz w:val="18"/>
                      <w:szCs w:val="18"/>
                    </w:rPr>
                    <w:t>、</w:t>
                  </w:r>
                  <w:r>
                    <w:rPr>
                      <w:sz w:val="18"/>
                      <w:szCs w:val="18"/>
                    </w:rPr>
                    <w:t>植皮工序使用胶水，</w:t>
                  </w:r>
                  <w:r>
                    <w:rPr>
                      <w:rFonts w:hint="eastAsia"/>
                      <w:sz w:val="18"/>
                      <w:szCs w:val="18"/>
                    </w:rPr>
                    <w:t>印刷、</w:t>
                  </w:r>
                  <w:r>
                    <w:rPr>
                      <w:sz w:val="18"/>
                      <w:szCs w:val="18"/>
                    </w:rPr>
                    <w:t>烘干工序使用油墨，均采取了局部气体收集措施，废气排至</w:t>
                  </w:r>
                  <w:r>
                    <w:rPr>
                      <w:rFonts w:hint="eastAsia"/>
                      <w:sz w:val="18"/>
                      <w:szCs w:val="18"/>
                    </w:rPr>
                    <w:t>VOCs废气收集</w:t>
                  </w:r>
                  <w:r>
                    <w:rPr>
                      <w:sz w:val="18"/>
                      <w:szCs w:val="18"/>
                    </w:rPr>
                    <w:t>处理系统</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8</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粉状、粒状VOCs物料采用气力输送方式或采用密闭固体投料器等给料方式密闭投加；无法密闭投加的，在密闭空间内操作，或进行局部气体收集，废气排至除尘设施、 VOCs废气收集处理系统。</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粒状VOC</w:t>
                  </w:r>
                  <w:r>
                    <w:rPr>
                      <w:sz w:val="18"/>
                      <w:szCs w:val="18"/>
                    </w:rPr>
                    <w:t>s</w:t>
                  </w:r>
                  <w:r>
                    <w:rPr>
                      <w:rFonts w:hint="eastAsia"/>
                      <w:sz w:val="18"/>
                      <w:szCs w:val="18"/>
                    </w:rPr>
                    <w:t>物料</w:t>
                  </w:r>
                  <w:r>
                    <w:rPr>
                      <w:sz w:val="18"/>
                      <w:szCs w:val="18"/>
                    </w:rPr>
                    <w:t>为</w:t>
                  </w:r>
                  <w:r>
                    <w:rPr>
                      <w:rFonts w:hint="eastAsia"/>
                      <w:sz w:val="18"/>
                      <w:szCs w:val="18"/>
                    </w:rPr>
                    <w:t>PP塑料粒</w:t>
                  </w:r>
                  <w:r>
                    <w:rPr>
                      <w:sz w:val="18"/>
                      <w:szCs w:val="18"/>
                    </w:rPr>
                    <w:t>，为高分子聚合物，投料时为常温不会产生VOCs废气，项目</w:t>
                  </w:r>
                  <w:r>
                    <w:rPr>
                      <w:rFonts w:hint="eastAsia"/>
                      <w:sz w:val="18"/>
                      <w:szCs w:val="18"/>
                    </w:rPr>
                    <w:t>塑料粒</w:t>
                  </w:r>
                  <w:r>
                    <w:rPr>
                      <w:sz w:val="18"/>
                      <w:szCs w:val="18"/>
                    </w:rPr>
                    <w:t>粒径较大，投料</w:t>
                  </w:r>
                  <w:r>
                    <w:rPr>
                      <w:rFonts w:hint="eastAsia"/>
                      <w:sz w:val="18"/>
                      <w:szCs w:val="18"/>
                    </w:rPr>
                    <w:t>时不会</w:t>
                  </w:r>
                  <w:r>
                    <w:rPr>
                      <w:sz w:val="18"/>
                      <w:szCs w:val="18"/>
                    </w:rPr>
                    <w:t>产生粉尘。</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rFonts w:hint="eastAsia"/>
                      <w:kern w:val="0"/>
                      <w:sz w:val="18"/>
                      <w:szCs w:val="18"/>
                      <w:lang w:bidi="ar"/>
                    </w:rPr>
                    <w:t>9</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在混合/混炼、塑炼/塑化/熔化、加工成型（挤出、注射、压制、压延、发泡、纺丝等）、硫化等作业中应采用密闭设备或在密闭空间中操作，废气应排至VOCs废气收集处理系统；无法密闭的，应采取局部气体收集措施，废气应排至VOCs废气收集处理系统。</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挤出</w:t>
                  </w:r>
                  <w:r>
                    <w:rPr>
                      <w:sz w:val="18"/>
                      <w:szCs w:val="18"/>
                    </w:rPr>
                    <w:t>废气采取局部气体收集措施，废气排至VOCs废气收集处理系统</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10</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浸胶、胶浆喷涂、涂胶、喷漆、印刷、清洗等工序使用VOCs质量占比大于等于10%的原辅材料时，其使用过程应采用密闭设备或在密闭空间内操作，废气应排至VOCs废气收集处理系统；无法密闭的，应采取局部气体收集措施，废气应排至VOCs废气收集处理系统。</w:t>
                  </w:r>
                </w:p>
              </w:tc>
              <w:tc>
                <w:tcPr>
                  <w:tcW w:w="1560" w:type="pct"/>
                  <w:shd w:val="clear" w:color="auto" w:fill="auto"/>
                  <w:vAlign w:val="center"/>
                </w:tcPr>
                <w:p>
                  <w:pPr>
                    <w:adjustRightInd w:val="0"/>
                    <w:snapToGrid w:val="0"/>
                    <w:jc w:val="center"/>
                    <w:rPr>
                      <w:sz w:val="18"/>
                      <w:szCs w:val="18"/>
                    </w:rPr>
                  </w:pPr>
                  <w:r>
                    <w:rPr>
                      <w:rFonts w:hint="eastAsia"/>
                      <w:sz w:val="18"/>
                      <w:szCs w:val="18"/>
                    </w:rPr>
                    <w:t>项目贴合、</w:t>
                  </w:r>
                  <w:r>
                    <w:rPr>
                      <w:sz w:val="18"/>
                      <w:szCs w:val="18"/>
                    </w:rPr>
                    <w:t>植皮工序使用的</w:t>
                  </w:r>
                  <w:r>
                    <w:rPr>
                      <w:rFonts w:hint="eastAsia"/>
                      <w:sz w:val="18"/>
                      <w:szCs w:val="18"/>
                    </w:rPr>
                    <w:t>水性</w:t>
                  </w:r>
                  <w:r>
                    <w:rPr>
                      <w:sz w:val="18"/>
                      <w:szCs w:val="18"/>
                    </w:rPr>
                    <w:t>胶水VOCs质量占</w:t>
                  </w:r>
                  <w:r>
                    <w:rPr>
                      <w:rFonts w:hint="eastAsia"/>
                      <w:sz w:val="18"/>
                      <w:szCs w:val="18"/>
                    </w:rPr>
                    <w:t>小于</w:t>
                  </w:r>
                  <w:r>
                    <w:rPr>
                      <w:sz w:val="18"/>
                      <w:szCs w:val="18"/>
                    </w:rPr>
                    <w:t>10%</w:t>
                  </w:r>
                  <w:r>
                    <w:rPr>
                      <w:rFonts w:hint="eastAsia"/>
                      <w:sz w:val="18"/>
                      <w:szCs w:val="18"/>
                    </w:rPr>
                    <w:t>，</w:t>
                  </w:r>
                  <w:r>
                    <w:rPr>
                      <w:sz w:val="18"/>
                      <w:szCs w:val="18"/>
                    </w:rPr>
                    <w:t>使用时采取了局部气体收集措施，废气排至</w:t>
                  </w:r>
                  <w:r>
                    <w:rPr>
                      <w:rFonts w:hint="eastAsia"/>
                      <w:sz w:val="18"/>
                      <w:szCs w:val="18"/>
                    </w:rPr>
                    <w:t>VOCs废气</w:t>
                  </w:r>
                  <w:r>
                    <w:rPr>
                      <w:sz w:val="18"/>
                      <w:szCs w:val="18"/>
                    </w:rPr>
                    <w:t>收集处理系统</w:t>
                  </w:r>
                  <w:r>
                    <w:rPr>
                      <w:rFonts w:hint="eastAsia"/>
                      <w:sz w:val="18"/>
                      <w:szCs w:val="18"/>
                    </w:rPr>
                    <w:t>；项目印刷</w:t>
                  </w:r>
                  <w:r>
                    <w:rPr>
                      <w:sz w:val="18"/>
                      <w:szCs w:val="18"/>
                    </w:rPr>
                    <w:t>工序使用的</w:t>
                  </w:r>
                  <w:r>
                    <w:rPr>
                      <w:rFonts w:hint="eastAsia"/>
                      <w:sz w:val="18"/>
                      <w:szCs w:val="18"/>
                    </w:rPr>
                    <w:t>水性油墨</w:t>
                  </w:r>
                  <w:r>
                    <w:rPr>
                      <w:sz w:val="18"/>
                      <w:szCs w:val="18"/>
                    </w:rPr>
                    <w:t>VOCs质量占</w:t>
                  </w:r>
                  <w:r>
                    <w:rPr>
                      <w:rFonts w:hint="eastAsia"/>
                      <w:sz w:val="18"/>
                      <w:szCs w:val="18"/>
                    </w:rPr>
                    <w:t>小于</w:t>
                  </w:r>
                  <w:r>
                    <w:rPr>
                      <w:sz w:val="18"/>
                      <w:szCs w:val="18"/>
                    </w:rPr>
                    <w:t>10%</w:t>
                  </w:r>
                  <w:r>
                    <w:rPr>
                      <w:rFonts w:hint="eastAsia"/>
                      <w:sz w:val="18"/>
                      <w:szCs w:val="18"/>
                    </w:rPr>
                    <w:t>，</w:t>
                  </w:r>
                  <w:r>
                    <w:rPr>
                      <w:sz w:val="18"/>
                      <w:szCs w:val="18"/>
                    </w:rPr>
                    <w:t>使用时采取了局部气体收集措施，废气排至</w:t>
                  </w:r>
                  <w:r>
                    <w:rPr>
                      <w:rFonts w:hint="eastAsia"/>
                      <w:sz w:val="18"/>
                      <w:szCs w:val="18"/>
                    </w:rPr>
                    <w:t>VOCs废气</w:t>
                  </w:r>
                  <w:r>
                    <w:rPr>
                      <w:sz w:val="18"/>
                      <w:szCs w:val="18"/>
                    </w:rPr>
                    <w:t>收集处理系统</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p>
              </w:tc>
              <w:tc>
                <w:tcPr>
                  <w:tcW w:w="621" w:type="pct"/>
                  <w:gridSpan w:val="2"/>
                  <w:shd w:val="clear" w:color="auto" w:fill="auto"/>
                  <w:vAlign w:val="center"/>
                </w:tcPr>
                <w:p>
                  <w:pPr>
                    <w:widowControl/>
                    <w:adjustRightInd w:val="0"/>
                    <w:snapToGrid w:val="0"/>
                    <w:jc w:val="center"/>
                    <w:rPr>
                      <w:kern w:val="0"/>
                      <w:sz w:val="18"/>
                      <w:szCs w:val="18"/>
                      <w:lang w:bidi="ar"/>
                    </w:rPr>
                  </w:pPr>
                  <w:r>
                    <w:rPr>
                      <w:kern w:val="0"/>
                      <w:sz w:val="18"/>
                      <w:szCs w:val="18"/>
                      <w:lang w:bidi="ar"/>
                    </w:rPr>
                    <w:t>非正常排放</w:t>
                  </w:r>
                </w:p>
              </w:tc>
              <w:tc>
                <w:tcPr>
                  <w:tcW w:w="2181" w:type="pct"/>
                  <w:gridSpan w:val="2"/>
                  <w:shd w:val="clear" w:color="auto" w:fill="auto"/>
                  <w:vAlign w:val="center"/>
                </w:tcPr>
                <w:p>
                  <w:pPr>
                    <w:adjustRightInd w:val="0"/>
                    <w:snapToGrid w:val="0"/>
                    <w:jc w:val="left"/>
                    <w:rPr>
                      <w:sz w:val="18"/>
                      <w:szCs w:val="18"/>
                    </w:rPr>
                  </w:pPr>
                  <w:r>
                    <w:rPr>
                      <w:sz w:val="18"/>
                      <w:szCs w:val="18"/>
                    </w:rPr>
                    <w:t>载有VOCs物料的设备及其管道在开停工（车）、检维修和清洗时，应在退料阶段将残存物料退净，并用密闭容器盛装，退料过程废气应排至VOCs废气收集处理系统；清洗及吹扫过程排气应排至VOCs废气收集处理系统。</w:t>
                  </w:r>
                </w:p>
              </w:tc>
              <w:tc>
                <w:tcPr>
                  <w:tcW w:w="1560" w:type="pct"/>
                  <w:shd w:val="clear" w:color="auto" w:fill="auto"/>
                  <w:vAlign w:val="center"/>
                </w:tcPr>
                <w:p>
                  <w:pPr>
                    <w:adjustRightInd w:val="0"/>
                    <w:snapToGrid w:val="0"/>
                    <w:jc w:val="center"/>
                    <w:rPr>
                      <w:sz w:val="18"/>
                      <w:szCs w:val="18"/>
                    </w:rPr>
                  </w:pPr>
                  <w:r>
                    <w:rPr>
                      <w:sz w:val="18"/>
                      <w:szCs w:val="18"/>
                    </w:rPr>
                    <w:t>VOCs废气收集处理系统与生产工艺设备同步运行</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D8D8D8"/>
                  <w:vAlign w:val="center"/>
                </w:tcPr>
                <w:p>
                  <w:pPr>
                    <w:adjustRightInd w:val="0"/>
                    <w:snapToGrid w:val="0"/>
                    <w:jc w:val="center"/>
                    <w:rPr>
                      <w:sz w:val="18"/>
                      <w:szCs w:val="18"/>
                    </w:rPr>
                  </w:pPr>
                  <w:r>
                    <w:rPr>
                      <w:b/>
                      <w:bCs/>
                      <w:sz w:val="18"/>
                      <w:szCs w:val="1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11</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废气收集</w:t>
                  </w:r>
                </w:p>
              </w:tc>
              <w:tc>
                <w:tcPr>
                  <w:tcW w:w="2181" w:type="pct"/>
                  <w:gridSpan w:val="2"/>
                  <w:shd w:val="clear" w:color="auto" w:fill="auto"/>
                  <w:vAlign w:val="center"/>
                </w:tcPr>
                <w:p>
                  <w:pPr>
                    <w:adjustRightInd w:val="0"/>
                    <w:snapToGrid w:val="0"/>
                    <w:jc w:val="left"/>
                    <w:rPr>
                      <w:sz w:val="18"/>
                      <w:szCs w:val="18"/>
                    </w:rPr>
                  </w:pPr>
                  <w:r>
                    <w:rPr>
                      <w:kern w:val="0"/>
                      <w:sz w:val="18"/>
                      <w:szCs w:val="18"/>
                    </w:rPr>
                    <w:t>采用外部集气罩的，距集气罩开口面最远处的VOCs无组织排放位置，控制风速不低于0.3m/s。</w:t>
                  </w:r>
                </w:p>
              </w:tc>
              <w:tc>
                <w:tcPr>
                  <w:tcW w:w="1560" w:type="pct"/>
                  <w:shd w:val="clear" w:color="auto" w:fill="auto"/>
                  <w:vAlign w:val="center"/>
                </w:tcPr>
                <w:p>
                  <w:pPr>
                    <w:adjustRightInd w:val="0"/>
                    <w:snapToGrid w:val="0"/>
                    <w:jc w:val="center"/>
                    <w:rPr>
                      <w:sz w:val="18"/>
                      <w:szCs w:val="18"/>
                    </w:rPr>
                  </w:pPr>
                  <w:r>
                    <w:rPr>
                      <w:kern w:val="0"/>
                      <w:sz w:val="18"/>
                      <w:szCs w:val="18"/>
                    </w:rPr>
                    <w:t>项目采用</w:t>
                  </w:r>
                  <w:r>
                    <w:rPr>
                      <w:rFonts w:hint="eastAsia"/>
                      <w:kern w:val="0"/>
                      <w:sz w:val="18"/>
                      <w:szCs w:val="18"/>
                    </w:rPr>
                    <w:t>通过</w:t>
                  </w:r>
                  <w:r>
                    <w:rPr>
                      <w:kern w:val="0"/>
                      <w:sz w:val="18"/>
                      <w:szCs w:val="18"/>
                    </w:rPr>
                    <w:t>软质垂帘</w:t>
                  </w:r>
                  <w:r>
                    <w:rPr>
                      <w:rFonts w:hint="eastAsia"/>
                      <w:kern w:val="0"/>
                      <w:sz w:val="18"/>
                      <w:szCs w:val="18"/>
                    </w:rPr>
                    <w:t>四周</w:t>
                  </w:r>
                  <w:r>
                    <w:rPr>
                      <w:kern w:val="0"/>
                      <w:sz w:val="18"/>
                      <w:szCs w:val="18"/>
                    </w:rPr>
                    <w:t>围挡的</w:t>
                  </w:r>
                  <w:r>
                    <w:rPr>
                      <w:rFonts w:hint="eastAsia"/>
                      <w:kern w:val="0"/>
                      <w:sz w:val="18"/>
                      <w:szCs w:val="18"/>
                    </w:rPr>
                    <w:t>包围型</w:t>
                  </w:r>
                  <w:r>
                    <w:rPr>
                      <w:kern w:val="0"/>
                      <w:sz w:val="18"/>
                      <w:szCs w:val="18"/>
                    </w:rPr>
                    <w:t>集气罩，距集气罩开口面最远处的VOCs无组织排放位置，最小控制风速0.5m/s</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12</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kern w:val="0"/>
                      <w:sz w:val="18"/>
                      <w:szCs w:val="18"/>
                    </w:rPr>
                  </w:pPr>
                  <w:r>
                    <w:rPr>
                      <w:kern w:val="0"/>
                      <w:sz w:val="18"/>
                      <w:szCs w:val="18"/>
                    </w:rPr>
                    <w:t>废气收集系统的输送管道应密闭。废气收集系统应在负压下运行，若处于正压状态，应对管道组件的密封点进行泄漏检测，泄漏检测值不应超过500μmol/mol，亦不应有感官可察觉泄漏。</w:t>
                  </w:r>
                </w:p>
              </w:tc>
              <w:tc>
                <w:tcPr>
                  <w:tcW w:w="1560" w:type="pct"/>
                  <w:shd w:val="clear" w:color="auto" w:fill="auto"/>
                  <w:vAlign w:val="center"/>
                </w:tcPr>
                <w:p>
                  <w:pPr>
                    <w:adjustRightInd w:val="0"/>
                    <w:snapToGrid w:val="0"/>
                    <w:jc w:val="center"/>
                    <w:rPr>
                      <w:sz w:val="18"/>
                      <w:szCs w:val="18"/>
                    </w:rPr>
                  </w:pPr>
                  <w:r>
                    <w:rPr>
                      <w:kern w:val="0"/>
                      <w:sz w:val="18"/>
                      <w:szCs w:val="18"/>
                    </w:rPr>
                    <w:t>项目废气收集系统的输送管道密闭，废气收集系统在负压下运行</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13</w:t>
                  </w:r>
                </w:p>
              </w:tc>
              <w:tc>
                <w:tcPr>
                  <w:tcW w:w="621" w:type="pct"/>
                  <w:gridSpan w:val="2"/>
                  <w:shd w:val="clear" w:color="auto" w:fill="auto"/>
                  <w:vAlign w:val="center"/>
                </w:tcPr>
                <w:p>
                  <w:pPr>
                    <w:widowControl/>
                    <w:adjustRightInd w:val="0"/>
                    <w:snapToGrid w:val="0"/>
                    <w:jc w:val="center"/>
                    <w:rPr>
                      <w:kern w:val="0"/>
                      <w:sz w:val="18"/>
                      <w:szCs w:val="18"/>
                      <w:lang w:bidi="ar"/>
                    </w:rPr>
                  </w:pPr>
                  <w:r>
                    <w:rPr>
                      <w:kern w:val="0"/>
                      <w:sz w:val="18"/>
                      <w:szCs w:val="18"/>
                      <w:lang w:bidi="ar"/>
                    </w:rPr>
                    <w:t>排放水平</w:t>
                  </w:r>
                </w:p>
              </w:tc>
              <w:tc>
                <w:tcPr>
                  <w:tcW w:w="2181" w:type="pct"/>
                  <w:gridSpan w:val="2"/>
                  <w:shd w:val="clear" w:color="auto" w:fill="auto"/>
                  <w:vAlign w:val="center"/>
                </w:tcPr>
                <w:p>
                  <w:pPr>
                    <w:adjustRightInd w:val="0"/>
                    <w:snapToGrid w:val="0"/>
                    <w:jc w:val="left"/>
                    <w:rPr>
                      <w:sz w:val="18"/>
                      <w:szCs w:val="18"/>
                    </w:rPr>
                  </w:pPr>
                  <w:r>
                    <w:rPr>
                      <w:sz w:val="18"/>
                      <w:szCs w:val="18"/>
                    </w:rPr>
                    <w:t>塑料制品行业：a）有机废气排气筒排放浓度不高于广东省《大气污染物排放限值》（DB4427-2001）第</w:t>
                  </w:r>
                  <w:r>
                    <w:rPr>
                      <w:rFonts w:hint="eastAsia" w:ascii="宋体" w:hAnsi="宋体" w:cs="宋体"/>
                      <w:sz w:val="18"/>
                      <w:szCs w:val="18"/>
                    </w:rPr>
                    <w:t>Ⅱ</w:t>
                  </w:r>
                  <w:r>
                    <w:rPr>
                      <w:sz w:val="18"/>
                      <w:szCs w:val="18"/>
                    </w:rPr>
                    <w:t>时段排放限值，合成革和人造革制造企业排放浓度不高于《合成革与人造革工业污染物排放标准》（GB21902-2008）排放限值，若国家和我省出台并实施适用于塑料制品制造业的大气污染物排放标准，则有机废气排气筒排放浓度不高于相应的排放限值；车间或生产设施排气中NMHC初始排放速率≥3 kg/h时，建设VOCs处理设施且处理效率≥80%；b）厂区内无组织排放监控点NMHC的小时平均浓度值不超过6 mg/m</w:t>
                  </w:r>
                  <w:r>
                    <w:rPr>
                      <w:sz w:val="18"/>
                      <w:szCs w:val="18"/>
                      <w:vertAlign w:val="superscript"/>
                    </w:rPr>
                    <w:t>3</w:t>
                  </w:r>
                  <w:r>
                    <w:rPr>
                      <w:sz w:val="18"/>
                      <w:szCs w:val="18"/>
                    </w:rPr>
                    <w:t>，任意一次浓度值不超过20 mg/m</w:t>
                  </w:r>
                  <w:r>
                    <w:rPr>
                      <w:sz w:val="18"/>
                      <w:szCs w:val="18"/>
                      <w:vertAlign w:val="superscript"/>
                    </w:rPr>
                    <w:t>3</w:t>
                  </w:r>
                  <w:r>
                    <w:rPr>
                      <w:kern w:val="0"/>
                      <w:sz w:val="18"/>
                      <w:szCs w:val="18"/>
                    </w:rPr>
                    <w:t>。</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挤出</w:t>
                  </w:r>
                  <w:r>
                    <w:rPr>
                      <w:sz w:val="18"/>
                      <w:szCs w:val="18"/>
                    </w:rPr>
                    <w:t>废气排气筒排放浓度满足</w:t>
                  </w:r>
                  <w:r>
                    <w:rPr>
                      <w:bCs/>
                      <w:sz w:val="18"/>
                      <w:szCs w:val="18"/>
                    </w:rPr>
                    <w:t>《合成树脂工业污染物排放标准》（GB31572-2015）中表5</w:t>
                  </w:r>
                  <w:r>
                    <w:rPr>
                      <w:rFonts w:hint="eastAsia"/>
                      <w:bCs/>
                      <w:sz w:val="18"/>
                      <w:szCs w:val="18"/>
                    </w:rPr>
                    <w:t>，贴合</w:t>
                  </w:r>
                  <w:r>
                    <w:rPr>
                      <w:bCs/>
                      <w:sz w:val="18"/>
                      <w:szCs w:val="18"/>
                    </w:rPr>
                    <w:t>、植皮、印刷、烘干废气</w:t>
                  </w:r>
                  <w:r>
                    <w:rPr>
                      <w:rFonts w:hint="eastAsia"/>
                      <w:bCs/>
                      <w:sz w:val="18"/>
                      <w:szCs w:val="18"/>
                    </w:rPr>
                    <w:t>排气筒</w:t>
                  </w:r>
                  <w:r>
                    <w:rPr>
                      <w:bCs/>
                      <w:sz w:val="18"/>
                      <w:szCs w:val="18"/>
                    </w:rPr>
                    <w:t>排放浓度满足广东省《固定污染源挥发性有机物综合排放标准》（DB44/2367-2022）表1</w:t>
                  </w:r>
                  <w:r>
                    <w:rPr>
                      <w:rFonts w:hint="eastAsia"/>
                      <w:bCs/>
                      <w:sz w:val="18"/>
                      <w:szCs w:val="18"/>
                    </w:rPr>
                    <w:t>挥发性有机物排放限值和广东省《印刷行业挥发性有机化合物排放标准》（DB44/815-2010）表2中柔性版印刷Ⅱ时段标准的</w:t>
                  </w:r>
                  <w:r>
                    <w:rPr>
                      <w:bCs/>
                      <w:sz w:val="18"/>
                      <w:szCs w:val="18"/>
                    </w:rPr>
                    <w:t>较严值</w:t>
                  </w:r>
                  <w:r>
                    <w:rPr>
                      <w:rFonts w:hint="eastAsia"/>
                      <w:bCs/>
                      <w:sz w:val="18"/>
                      <w:szCs w:val="18"/>
                    </w:rPr>
                    <w:t>的</w:t>
                  </w:r>
                  <w:r>
                    <w:rPr>
                      <w:bCs/>
                      <w:sz w:val="18"/>
                      <w:szCs w:val="18"/>
                    </w:rPr>
                    <w:t>要求；项目</w:t>
                  </w:r>
                  <w:r>
                    <w:rPr>
                      <w:sz w:val="18"/>
                      <w:szCs w:val="18"/>
                    </w:rPr>
                    <w:t>车间或生产设施排气中NMHC初始排放速率＜3 kg/h；项目厂区内无组织排放监控点NMHC的小时平均浓度值不超过6 mg/m</w:t>
                  </w:r>
                  <w:r>
                    <w:rPr>
                      <w:sz w:val="18"/>
                      <w:szCs w:val="18"/>
                      <w:vertAlign w:val="superscript"/>
                    </w:rPr>
                    <w:t>3</w:t>
                  </w:r>
                  <w:r>
                    <w:rPr>
                      <w:sz w:val="18"/>
                      <w:szCs w:val="18"/>
                    </w:rPr>
                    <w:t>，任意一次浓度值不超过20 mg/m</w:t>
                  </w:r>
                  <w:r>
                    <w:rPr>
                      <w:sz w:val="18"/>
                      <w:szCs w:val="18"/>
                      <w:vertAlign w:val="superscript"/>
                    </w:rPr>
                    <w:t>3</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11</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治理设施设计与运行管理</w:t>
                  </w:r>
                </w:p>
              </w:tc>
              <w:tc>
                <w:tcPr>
                  <w:tcW w:w="2181" w:type="pct"/>
                  <w:gridSpan w:val="2"/>
                  <w:shd w:val="clear" w:color="auto" w:fill="auto"/>
                  <w:vAlign w:val="center"/>
                </w:tcPr>
                <w:p>
                  <w:pPr>
                    <w:adjustRightInd w:val="0"/>
                    <w:snapToGrid w:val="0"/>
                    <w:jc w:val="left"/>
                    <w:rPr>
                      <w:sz w:val="18"/>
                      <w:szCs w:val="18"/>
                    </w:rPr>
                  </w:pPr>
                  <w:r>
                    <w:rPr>
                      <w:sz w:val="18"/>
                      <w:szCs w:val="18"/>
                    </w:rPr>
                    <w:t>吸附床（含活性炭吸附法）：a）预处理设备应根据废气的成分、性质和影响吸附过程的物质性质及含量进行选择；b）吸附床层的吸附剂用量应根据废气处理量、污染物浓度和吸附剂的动态吸附量确定；c）吸附剂应及时更换或有效再生。</w:t>
                  </w:r>
                </w:p>
              </w:tc>
              <w:tc>
                <w:tcPr>
                  <w:tcW w:w="1560" w:type="pct"/>
                  <w:shd w:val="clear" w:color="auto" w:fill="auto"/>
                  <w:vAlign w:val="center"/>
                </w:tcPr>
                <w:p>
                  <w:pPr>
                    <w:adjustRightInd w:val="0"/>
                    <w:snapToGrid w:val="0"/>
                    <w:jc w:val="center"/>
                    <w:rPr>
                      <w:sz w:val="18"/>
                      <w:szCs w:val="18"/>
                    </w:rPr>
                  </w:pPr>
                  <w:r>
                    <w:rPr>
                      <w:sz w:val="18"/>
                      <w:szCs w:val="18"/>
                    </w:rPr>
                    <w:t>项目VOCs废气采用活性炭吸附法，活性炭装填量满足项目废气处理要求，3个月更换1次活性炭</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12</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VOCs治理设施应与生产工艺设备同步运行，VOCs治理设施发生故障或检修时，对应的生产工艺设备应停止运行，待检修完毕后同步投入使用；生产工艺设备不能停止运行或不能及时停止运行的，应设置废气应急处理设施或采取其他替代措施。</w:t>
                  </w:r>
                </w:p>
              </w:tc>
              <w:tc>
                <w:tcPr>
                  <w:tcW w:w="1560" w:type="pct"/>
                  <w:shd w:val="clear" w:color="auto" w:fill="auto"/>
                  <w:vAlign w:val="center"/>
                </w:tcPr>
                <w:p>
                  <w:pPr>
                    <w:adjustRightInd w:val="0"/>
                    <w:snapToGrid w:val="0"/>
                    <w:jc w:val="center"/>
                    <w:rPr>
                      <w:sz w:val="18"/>
                      <w:szCs w:val="18"/>
                    </w:rPr>
                  </w:pPr>
                  <w:r>
                    <w:rPr>
                      <w:sz w:val="18"/>
                      <w:szCs w:val="18"/>
                    </w:rPr>
                    <w:t>项目VOCs治理设施与生产工艺设备同步运行，VOCs治理设施发生故障或检修时，对应的生产工艺设备停止运行，待检修完毕后同步投入使用</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D8D8D8"/>
                  <w:vAlign w:val="center"/>
                </w:tcPr>
                <w:p>
                  <w:pPr>
                    <w:adjustRightInd w:val="0"/>
                    <w:snapToGrid w:val="0"/>
                    <w:jc w:val="center"/>
                    <w:rPr>
                      <w:sz w:val="18"/>
                      <w:szCs w:val="18"/>
                    </w:rPr>
                  </w:pPr>
                  <w:r>
                    <w:rPr>
                      <w:b/>
                      <w:bCs/>
                      <w:sz w:val="18"/>
                      <w:szCs w:val="18"/>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13</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管理台账</w:t>
                  </w:r>
                </w:p>
              </w:tc>
              <w:tc>
                <w:tcPr>
                  <w:tcW w:w="2181" w:type="pct"/>
                  <w:gridSpan w:val="2"/>
                  <w:shd w:val="clear" w:color="auto" w:fill="auto"/>
                  <w:vAlign w:val="center"/>
                </w:tcPr>
                <w:p>
                  <w:pPr>
                    <w:adjustRightInd w:val="0"/>
                    <w:snapToGrid w:val="0"/>
                    <w:jc w:val="left"/>
                    <w:rPr>
                      <w:sz w:val="18"/>
                      <w:szCs w:val="18"/>
                    </w:rPr>
                  </w:pPr>
                  <w:r>
                    <w:rPr>
                      <w:sz w:val="18"/>
                      <w:szCs w:val="18"/>
                    </w:rPr>
                    <w:t>建立含VOCs原辅材料台账，记录含VOCs原辅材料的名称及其VOCs含量、采购量、使用量、库存量、含VOCs原辅材料回收方式及回收量。</w:t>
                  </w:r>
                </w:p>
              </w:tc>
              <w:tc>
                <w:tcPr>
                  <w:tcW w:w="1560" w:type="pct"/>
                  <w:shd w:val="clear" w:color="auto" w:fill="auto"/>
                  <w:vAlign w:val="center"/>
                </w:tcPr>
                <w:p>
                  <w:pPr>
                    <w:adjustRightInd w:val="0"/>
                    <w:snapToGrid w:val="0"/>
                    <w:jc w:val="center"/>
                    <w:rPr>
                      <w:sz w:val="18"/>
                      <w:szCs w:val="18"/>
                    </w:rPr>
                  </w:pPr>
                  <w:r>
                    <w:rPr>
                      <w:sz w:val="18"/>
                      <w:szCs w:val="18"/>
                    </w:rPr>
                    <w:t>项目运营期按要求建立含VOCs原辅材料台账，记录含VOCs原辅材料的名称及其VOCs含量、采购量、使用量、库存量、含VOCs原辅材料回收方式及回收量</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14</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建立废气收集处理设施台账，记录废气处理设施进出口的监测数据（废气量、浓度、温度、含氧量等）、废气收集与处理设施关键参数、废气处理设施相关耗材（吸收剂、吸附剂、催化剂等）购买和处理记录。</w:t>
                  </w:r>
                </w:p>
              </w:tc>
              <w:tc>
                <w:tcPr>
                  <w:tcW w:w="1560" w:type="pct"/>
                  <w:shd w:val="clear" w:color="auto" w:fill="auto"/>
                  <w:vAlign w:val="center"/>
                </w:tcPr>
                <w:p>
                  <w:pPr>
                    <w:adjustRightInd w:val="0"/>
                    <w:snapToGrid w:val="0"/>
                    <w:jc w:val="center"/>
                    <w:rPr>
                      <w:sz w:val="18"/>
                      <w:szCs w:val="18"/>
                    </w:rPr>
                  </w:pPr>
                  <w:r>
                    <w:rPr>
                      <w:sz w:val="18"/>
                      <w:szCs w:val="18"/>
                    </w:rPr>
                    <w:t>项目运营期按要求立废气收集处理设施台账，记录废气处理设施进出口的监测数据（废气量、浓度、温度等）、废气收集与处理设施关键参数、废气处理设施相关耗材（活性炭）购买和处理记录</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15</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建立危废台账，整理危废处置合同、转移联单及危废处理方资质佐证材料。</w:t>
                  </w:r>
                </w:p>
              </w:tc>
              <w:tc>
                <w:tcPr>
                  <w:tcW w:w="1560" w:type="pct"/>
                  <w:shd w:val="clear" w:color="auto" w:fill="auto"/>
                  <w:vAlign w:val="center"/>
                </w:tcPr>
                <w:p>
                  <w:pPr>
                    <w:adjustRightInd w:val="0"/>
                    <w:snapToGrid w:val="0"/>
                    <w:jc w:val="center"/>
                    <w:rPr>
                      <w:sz w:val="18"/>
                      <w:szCs w:val="18"/>
                    </w:rPr>
                  </w:pPr>
                  <w:r>
                    <w:rPr>
                      <w:sz w:val="18"/>
                      <w:szCs w:val="18"/>
                    </w:rPr>
                    <w:t>项目运营期按要求建立危废台账，整理危废处置合同、转移联单及危废处理方资质佐证材料</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16</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台账保存期限不少于3年。</w:t>
                  </w:r>
                </w:p>
              </w:tc>
              <w:tc>
                <w:tcPr>
                  <w:tcW w:w="1560" w:type="pct"/>
                  <w:shd w:val="clear" w:color="auto" w:fill="auto"/>
                  <w:vAlign w:val="center"/>
                </w:tcPr>
                <w:p>
                  <w:pPr>
                    <w:adjustRightInd w:val="0"/>
                    <w:snapToGrid w:val="0"/>
                    <w:jc w:val="center"/>
                    <w:rPr>
                      <w:sz w:val="18"/>
                      <w:szCs w:val="18"/>
                    </w:rPr>
                  </w:pPr>
                  <w:r>
                    <w:rPr>
                      <w:sz w:val="18"/>
                      <w:szCs w:val="18"/>
                    </w:rPr>
                    <w:t>项目运营期按要求台账保存期限不少于3年</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17</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自行监测</w:t>
                  </w:r>
                </w:p>
              </w:tc>
              <w:tc>
                <w:tcPr>
                  <w:tcW w:w="2181" w:type="pct"/>
                  <w:gridSpan w:val="2"/>
                  <w:shd w:val="clear" w:color="auto" w:fill="auto"/>
                  <w:vAlign w:val="center"/>
                </w:tcPr>
                <w:p>
                  <w:pPr>
                    <w:adjustRightInd w:val="0"/>
                    <w:snapToGrid w:val="0"/>
                    <w:jc w:val="left"/>
                    <w:rPr>
                      <w:kern w:val="0"/>
                      <w:sz w:val="18"/>
                      <w:szCs w:val="18"/>
                      <w:lang w:bidi="ar"/>
                    </w:rPr>
                  </w:pPr>
                  <w:r>
                    <w:rPr>
                      <w:kern w:val="0"/>
                      <w:sz w:val="18"/>
                      <w:szCs w:val="18"/>
                      <w:lang w:bidi="ar"/>
                    </w:rPr>
                    <w:t>塑料制品行业重点排污单位：</w:t>
                  </w:r>
                </w:p>
                <w:p>
                  <w:pPr>
                    <w:numPr>
                      <w:ilvl w:val="0"/>
                      <w:numId w:val="3"/>
                    </w:numPr>
                    <w:adjustRightInd w:val="0"/>
                    <w:snapToGrid w:val="0"/>
                    <w:ind w:left="0" w:firstLine="0"/>
                    <w:jc w:val="left"/>
                    <w:rPr>
                      <w:kern w:val="0"/>
                      <w:sz w:val="18"/>
                      <w:szCs w:val="18"/>
                      <w:lang w:bidi="ar"/>
                    </w:rPr>
                  </w:pPr>
                  <w:r>
                    <w:rPr>
                      <w:sz w:val="18"/>
                      <w:szCs w:val="18"/>
                    </w:rPr>
                    <w:t>塑料人造革与合成革制造</w:t>
                  </w:r>
                  <w:r>
                    <w:rPr>
                      <w:kern w:val="0"/>
                      <w:sz w:val="18"/>
                      <w:szCs w:val="18"/>
                      <w:lang w:bidi="ar"/>
                    </w:rPr>
                    <w:t>每季度一次；</w:t>
                  </w:r>
                </w:p>
                <w:p>
                  <w:pPr>
                    <w:numPr>
                      <w:ilvl w:val="0"/>
                      <w:numId w:val="3"/>
                    </w:numPr>
                    <w:adjustRightInd w:val="0"/>
                    <w:snapToGrid w:val="0"/>
                    <w:ind w:left="0" w:firstLine="0"/>
                    <w:jc w:val="left"/>
                    <w:rPr>
                      <w:kern w:val="0"/>
                      <w:sz w:val="18"/>
                      <w:szCs w:val="18"/>
                      <w:lang w:bidi="ar"/>
                    </w:rPr>
                  </w:pPr>
                  <w:r>
                    <w:rPr>
                      <w:kern w:val="0"/>
                      <w:sz w:val="18"/>
                      <w:szCs w:val="18"/>
                      <w:lang w:bidi="ar"/>
                    </w:rPr>
                    <w:t>塑料板、管、型材制造、塑料丝、绳及编织品制造、泡沫塑料制造、塑料包装箱及容器制造（注塑成型、滚塑成型）、日用塑料制品制造、人造草坪制造、塑料零件及其他塑料制品每半年一次；</w:t>
                  </w:r>
                </w:p>
                <w:p>
                  <w:pPr>
                    <w:numPr>
                      <w:ilvl w:val="0"/>
                      <w:numId w:val="3"/>
                    </w:numPr>
                    <w:adjustRightInd w:val="0"/>
                    <w:snapToGrid w:val="0"/>
                    <w:ind w:left="0" w:firstLine="0"/>
                    <w:jc w:val="left"/>
                    <w:rPr>
                      <w:kern w:val="0"/>
                      <w:sz w:val="18"/>
                      <w:szCs w:val="18"/>
                      <w:lang w:bidi="ar"/>
                    </w:rPr>
                  </w:pPr>
                  <w:r>
                    <w:rPr>
                      <w:kern w:val="0"/>
                      <w:sz w:val="18"/>
                      <w:szCs w:val="18"/>
                      <w:lang w:bidi="ar"/>
                    </w:rPr>
                    <w:t>喷涂工序每季度一次；</w:t>
                  </w:r>
                </w:p>
                <w:p>
                  <w:pPr>
                    <w:numPr>
                      <w:ilvl w:val="0"/>
                      <w:numId w:val="3"/>
                    </w:numPr>
                    <w:adjustRightInd w:val="0"/>
                    <w:snapToGrid w:val="0"/>
                    <w:ind w:left="0" w:firstLine="0"/>
                    <w:jc w:val="left"/>
                    <w:rPr>
                      <w:kern w:val="0"/>
                      <w:sz w:val="18"/>
                      <w:szCs w:val="18"/>
                      <w:lang w:bidi="ar"/>
                    </w:rPr>
                  </w:pPr>
                  <w:r>
                    <w:rPr>
                      <w:kern w:val="0"/>
                      <w:sz w:val="18"/>
                      <w:szCs w:val="18"/>
                      <w:lang w:bidi="ar"/>
                    </w:rPr>
                    <w:t>厂界每半年一次。</w:t>
                  </w:r>
                </w:p>
              </w:tc>
              <w:tc>
                <w:tcPr>
                  <w:tcW w:w="1560" w:type="pct"/>
                  <w:vMerge w:val="restart"/>
                  <w:shd w:val="clear" w:color="auto" w:fill="auto"/>
                  <w:vAlign w:val="center"/>
                </w:tcPr>
                <w:p>
                  <w:pPr>
                    <w:adjustRightInd w:val="0"/>
                    <w:snapToGrid w:val="0"/>
                    <w:jc w:val="center"/>
                    <w:rPr>
                      <w:sz w:val="18"/>
                      <w:szCs w:val="18"/>
                    </w:rPr>
                  </w:pPr>
                  <w:r>
                    <w:rPr>
                      <w:kern w:val="0"/>
                      <w:sz w:val="18"/>
                      <w:szCs w:val="18"/>
                      <w:lang w:bidi="ar"/>
                    </w:rPr>
                    <w:t>项目属于登记管理排污单位，废气排放口及无组织排放每年监测一次</w:t>
                  </w:r>
                </w:p>
              </w:tc>
              <w:tc>
                <w:tcPr>
                  <w:tcW w:w="380" w:type="pct"/>
                  <w:vMerge w:val="restar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18</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kern w:val="0"/>
                      <w:sz w:val="18"/>
                      <w:szCs w:val="18"/>
                      <w:lang w:bidi="ar"/>
                    </w:rPr>
                  </w:pPr>
                  <w:r>
                    <w:rPr>
                      <w:kern w:val="0"/>
                      <w:sz w:val="18"/>
                      <w:szCs w:val="18"/>
                      <w:lang w:bidi="ar"/>
                    </w:rPr>
                    <w:t>塑料制品行业简化管理排污单位废气排放口及无组织排放每年一次。</w:t>
                  </w:r>
                </w:p>
              </w:tc>
              <w:tc>
                <w:tcPr>
                  <w:tcW w:w="1560" w:type="pct"/>
                  <w:vMerge w:val="continue"/>
                  <w:shd w:val="clear" w:color="auto" w:fill="auto"/>
                  <w:vAlign w:val="center"/>
                </w:tcPr>
                <w:p>
                  <w:pPr>
                    <w:adjustRightInd w:val="0"/>
                    <w:snapToGrid w:val="0"/>
                    <w:jc w:val="center"/>
                    <w:rPr>
                      <w:sz w:val="18"/>
                      <w:szCs w:val="18"/>
                    </w:rPr>
                  </w:pPr>
                </w:p>
              </w:tc>
              <w:tc>
                <w:tcPr>
                  <w:tcW w:w="380" w:type="pct"/>
                  <w:vMerge w:val="continue"/>
                  <w:shd w:val="clear" w:color="auto" w:fill="auto"/>
                  <w:vAlign w:val="center"/>
                </w:tcPr>
                <w:p>
                  <w:pPr>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19</w:t>
                  </w:r>
                </w:p>
              </w:tc>
              <w:tc>
                <w:tcPr>
                  <w:tcW w:w="621" w:type="pct"/>
                  <w:gridSpan w:val="2"/>
                  <w:shd w:val="clear" w:color="auto" w:fill="auto"/>
                  <w:vAlign w:val="center"/>
                </w:tcPr>
                <w:p>
                  <w:pPr>
                    <w:widowControl/>
                    <w:adjustRightInd w:val="0"/>
                    <w:snapToGrid w:val="0"/>
                    <w:jc w:val="center"/>
                    <w:rPr>
                      <w:kern w:val="0"/>
                      <w:sz w:val="18"/>
                      <w:szCs w:val="18"/>
                      <w:lang w:bidi="ar"/>
                    </w:rPr>
                  </w:pPr>
                  <w:r>
                    <w:rPr>
                      <w:kern w:val="0"/>
                      <w:sz w:val="18"/>
                      <w:szCs w:val="18"/>
                      <w:lang w:bidi="ar"/>
                    </w:rPr>
                    <w:t>危废管理</w:t>
                  </w:r>
                </w:p>
              </w:tc>
              <w:tc>
                <w:tcPr>
                  <w:tcW w:w="2181" w:type="pct"/>
                  <w:gridSpan w:val="2"/>
                  <w:shd w:val="clear" w:color="auto" w:fill="auto"/>
                  <w:vAlign w:val="center"/>
                </w:tcPr>
                <w:p>
                  <w:pPr>
                    <w:adjustRightInd w:val="0"/>
                    <w:snapToGrid w:val="0"/>
                    <w:jc w:val="left"/>
                    <w:rPr>
                      <w:sz w:val="18"/>
                      <w:szCs w:val="18"/>
                    </w:rPr>
                  </w:pPr>
                  <w:r>
                    <w:rPr>
                      <w:sz w:val="18"/>
                      <w:szCs w:val="18"/>
                    </w:rPr>
                    <w:t>工艺过程产生的含VOCs废料（渣、液）应按照相关要求进行储存、转移和输送。盛装过VOCs物料的废包装容器应加盖密闭。</w:t>
                  </w:r>
                </w:p>
              </w:tc>
              <w:tc>
                <w:tcPr>
                  <w:tcW w:w="1560" w:type="pct"/>
                  <w:shd w:val="clear" w:color="auto" w:fill="auto"/>
                  <w:vAlign w:val="center"/>
                </w:tcPr>
                <w:p>
                  <w:pPr>
                    <w:adjustRightInd w:val="0"/>
                    <w:snapToGrid w:val="0"/>
                    <w:jc w:val="center"/>
                    <w:rPr>
                      <w:sz w:val="18"/>
                      <w:szCs w:val="18"/>
                    </w:rPr>
                  </w:pPr>
                  <w:r>
                    <w:rPr>
                      <w:sz w:val="18"/>
                      <w:szCs w:val="18"/>
                    </w:rPr>
                    <w:t>项目工艺过程产生的含VOCs废活性炭按照相关要求进行储存、转移和输送。</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D8D8D8"/>
                  <w:vAlign w:val="center"/>
                </w:tcPr>
                <w:p>
                  <w:pPr>
                    <w:adjustRightInd w:val="0"/>
                    <w:snapToGrid w:val="0"/>
                    <w:jc w:val="center"/>
                    <w:rPr>
                      <w:b/>
                      <w:bCs/>
                      <w:sz w:val="18"/>
                      <w:szCs w:val="18"/>
                    </w:rPr>
                  </w:pPr>
                  <w:r>
                    <w:rPr>
                      <w:b/>
                      <w:bCs/>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20</w:t>
                  </w:r>
                </w:p>
              </w:tc>
              <w:tc>
                <w:tcPr>
                  <w:tcW w:w="621" w:type="pct"/>
                  <w:gridSpan w:val="2"/>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建设项目VOCs总量管理</w:t>
                  </w:r>
                </w:p>
              </w:tc>
              <w:tc>
                <w:tcPr>
                  <w:tcW w:w="2181" w:type="pct"/>
                  <w:gridSpan w:val="2"/>
                  <w:shd w:val="clear" w:color="auto" w:fill="auto"/>
                  <w:vAlign w:val="center"/>
                </w:tcPr>
                <w:p>
                  <w:pPr>
                    <w:adjustRightInd w:val="0"/>
                    <w:snapToGrid w:val="0"/>
                    <w:jc w:val="left"/>
                    <w:rPr>
                      <w:sz w:val="18"/>
                      <w:szCs w:val="18"/>
                    </w:rPr>
                  </w:pPr>
                  <w:r>
                    <w:rPr>
                      <w:sz w:val="18"/>
                      <w:szCs w:val="18"/>
                    </w:rPr>
                    <w:t>新、改、扩建项目应执行总量替代制度，明确VOCs总量指标来源。</w:t>
                  </w:r>
                </w:p>
              </w:tc>
              <w:tc>
                <w:tcPr>
                  <w:tcW w:w="1560" w:type="pct"/>
                  <w:shd w:val="clear" w:color="auto" w:fill="auto"/>
                  <w:vAlign w:val="center"/>
                </w:tcPr>
                <w:p>
                  <w:pPr>
                    <w:adjustRightInd w:val="0"/>
                    <w:snapToGrid w:val="0"/>
                    <w:jc w:val="center"/>
                    <w:rPr>
                      <w:sz w:val="18"/>
                      <w:szCs w:val="18"/>
                    </w:rPr>
                  </w:pPr>
                  <w:r>
                    <w:rPr>
                      <w:sz w:val="18"/>
                      <w:szCs w:val="18"/>
                    </w:rPr>
                    <w:t>本项目VOCs总量由惠州市生态环境局博罗分局分配</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21</w:t>
                  </w:r>
                </w:p>
              </w:tc>
              <w:tc>
                <w:tcPr>
                  <w:tcW w:w="621" w:type="pct"/>
                  <w:gridSpan w:val="2"/>
                  <w:vMerge w:val="continue"/>
                  <w:shd w:val="clear" w:color="auto" w:fill="auto"/>
                  <w:vAlign w:val="center"/>
                </w:tcPr>
                <w:p>
                  <w:pPr>
                    <w:widowControl/>
                    <w:adjustRightInd w:val="0"/>
                    <w:snapToGrid w:val="0"/>
                    <w:jc w:val="center"/>
                    <w:rPr>
                      <w:kern w:val="0"/>
                      <w:sz w:val="18"/>
                      <w:szCs w:val="18"/>
                      <w:lang w:bidi="ar"/>
                    </w:rPr>
                  </w:pPr>
                </w:p>
              </w:tc>
              <w:tc>
                <w:tcPr>
                  <w:tcW w:w="2181" w:type="pct"/>
                  <w:gridSpan w:val="2"/>
                  <w:shd w:val="clear" w:color="auto" w:fill="auto"/>
                  <w:vAlign w:val="center"/>
                </w:tcPr>
                <w:p>
                  <w:pPr>
                    <w:adjustRightInd w:val="0"/>
                    <w:snapToGrid w:val="0"/>
                    <w:jc w:val="left"/>
                    <w:rPr>
                      <w:sz w:val="18"/>
                      <w:szCs w:val="18"/>
                    </w:rPr>
                  </w:pPr>
                  <w:r>
                    <w:rPr>
                      <w:sz w:val="18"/>
                      <w:szCs w:val="18"/>
                    </w:rPr>
                    <w:t>新、改、扩建项目和现有企业VOCs基准排放量计算参考《广东省重点行业挥发性有机物排放量计算方法核算》进行核算，若国家和我省出台适用于该行业的VOCs排放量计算方法，则参照其相关规定执行。</w:t>
                  </w:r>
                </w:p>
              </w:tc>
              <w:tc>
                <w:tcPr>
                  <w:tcW w:w="1560" w:type="pct"/>
                  <w:shd w:val="clear" w:color="auto" w:fill="auto"/>
                  <w:vAlign w:val="center"/>
                </w:tcPr>
                <w:p>
                  <w:pPr>
                    <w:adjustRightInd w:val="0"/>
                    <w:snapToGrid w:val="0"/>
                    <w:jc w:val="center"/>
                    <w:rPr>
                      <w:sz w:val="18"/>
                      <w:szCs w:val="18"/>
                    </w:rPr>
                  </w:pPr>
                  <w:r>
                    <w:rPr>
                      <w:sz w:val="18"/>
                      <w:szCs w:val="18"/>
                    </w:rPr>
                    <w:t>本项目VOCs基准排放量计算参考《广东省重点行业挥发性有机物排放量计算方法核算》</w:t>
                  </w:r>
                </w:p>
              </w:tc>
              <w:tc>
                <w:tcPr>
                  <w:tcW w:w="380" w:type="pct"/>
                  <w:shd w:val="clear" w:color="auto" w:fill="auto"/>
                  <w:vAlign w:val="center"/>
                </w:tcPr>
                <w:p>
                  <w:pPr>
                    <w:adjustRightInd w:val="0"/>
                    <w:snapToGrid w:val="0"/>
                    <w:jc w:val="center"/>
                    <w:rPr>
                      <w:sz w:val="18"/>
                      <w:szCs w:val="18"/>
                    </w:rPr>
                  </w:pPr>
                  <w:r>
                    <w:rPr>
                      <w:sz w:val="18"/>
                      <w:szCs w:val="18"/>
                    </w:rPr>
                    <w:t>符合</w:t>
                  </w:r>
                </w:p>
              </w:tc>
            </w:tr>
          </w:tbl>
          <w:p/>
        </w:tc>
      </w:tr>
    </w:tbl>
    <w:p>
      <w:pPr>
        <w:rPr>
          <w:rFonts w:eastAsia="黑体"/>
          <w:sz w:val="30"/>
        </w:rPr>
      </w:pPr>
    </w:p>
    <w:p>
      <w:pPr>
        <w:rPr>
          <w:rFonts w:eastAsia="黑体"/>
          <w:sz w:val="30"/>
        </w:rPr>
      </w:pPr>
    </w:p>
    <w:p>
      <w:pPr>
        <w:tabs>
          <w:tab w:val="left" w:pos="462"/>
        </w:tabs>
        <w:rPr>
          <w:rFonts w:eastAsia="黑体"/>
          <w:sz w:val="30"/>
        </w:rPr>
        <w:sectPr>
          <w:footerReference r:id="rId5" w:type="default"/>
          <w:pgSz w:w="11906" w:h="16838"/>
          <w:pgMar w:top="720" w:right="1274" w:bottom="720" w:left="1418" w:header="851" w:footer="1077" w:gutter="0"/>
          <w:pgNumType w:start="1"/>
          <w:cols w:space="720" w:num="1"/>
          <w:docGrid w:linePitch="312" w:charSpace="0"/>
        </w:sectPr>
      </w:pPr>
      <w:r>
        <w:rPr>
          <w:rFonts w:eastAsia="黑体"/>
          <w:sz w:val="30"/>
        </w:rPr>
        <w:tab/>
      </w: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8"/>
        <w:tblW w:w="501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4463" w:type="pct"/>
          </w:tcPr>
          <w:p>
            <w:pPr>
              <w:adjustRightInd w:val="0"/>
              <w:snapToGrid w:val="0"/>
              <w:spacing w:line="360" w:lineRule="auto"/>
              <w:ind w:firstLine="422" w:firstLineChars="200"/>
              <w:rPr>
                <w:b/>
                <w:bCs/>
              </w:rPr>
            </w:pPr>
            <w:r>
              <w:rPr>
                <w:rFonts w:hint="eastAsia"/>
                <w:b/>
                <w:bCs/>
              </w:rPr>
              <w:t>1</w:t>
            </w:r>
            <w:r>
              <w:rPr>
                <w:b/>
                <w:bCs/>
              </w:rPr>
              <w:t>、项目工程规模</w:t>
            </w:r>
          </w:p>
          <w:p>
            <w:pPr>
              <w:widowControl/>
              <w:snapToGrid w:val="0"/>
              <w:spacing w:line="360" w:lineRule="auto"/>
              <w:ind w:firstLine="420" w:firstLineChars="200"/>
              <w:rPr>
                <w:szCs w:val="21"/>
              </w:rPr>
            </w:pPr>
            <w:r>
              <w:rPr>
                <w:szCs w:val="21"/>
              </w:rPr>
              <w:t>嘉贺光电科技（惠州）有限公司建设项目</w:t>
            </w:r>
            <w:r>
              <w:rPr>
                <w:rFonts w:hint="eastAsia"/>
                <w:szCs w:val="21"/>
              </w:rPr>
              <w:t>（以下称“本项目”）</w:t>
            </w:r>
            <w:r>
              <w:rPr>
                <w:szCs w:val="21"/>
              </w:rPr>
              <w:t>位于惠州市</w:t>
            </w:r>
            <w:r>
              <w:rPr>
                <w:kern w:val="0"/>
              </w:rPr>
              <w:t>博罗县杨侨镇十二岭办事处广梅公路边</w:t>
            </w:r>
            <w:r>
              <w:rPr>
                <w:szCs w:val="21"/>
              </w:rPr>
              <w:t>，其地理位置中心经纬度为N</w:t>
            </w:r>
            <w:r>
              <w:t xml:space="preserve"> </w:t>
            </w:r>
            <w:r>
              <w:rPr>
                <w:szCs w:val="21"/>
              </w:rPr>
              <w:t>23.40694°、E</w:t>
            </w:r>
            <w:r>
              <w:t xml:space="preserve"> </w:t>
            </w:r>
            <w:r>
              <w:rPr>
                <w:szCs w:val="21"/>
              </w:rPr>
              <w:t>114.43394°</w:t>
            </w:r>
            <w:r>
              <w:rPr>
                <w:kern w:val="18"/>
                <w:szCs w:val="21"/>
              </w:rPr>
              <w:t>（具体地理位置见附图1）</w:t>
            </w:r>
            <w:r>
              <w:rPr>
                <w:szCs w:val="21"/>
              </w:rPr>
              <w:t>。本项目总投资20万元，主要从事</w:t>
            </w:r>
            <w:r>
              <w:rPr>
                <w:rFonts w:hint="eastAsia"/>
                <w:bCs/>
                <w:szCs w:val="21"/>
              </w:rPr>
              <w:t>汽车抛光用海绵、手机抛光用刷子、PP片生产</w:t>
            </w:r>
            <w:r>
              <w:rPr>
                <w:szCs w:val="21"/>
              </w:rPr>
              <w:t>，预计年产</w:t>
            </w:r>
            <w:r>
              <w:rPr>
                <w:rFonts w:hint="eastAsia"/>
                <w:bCs/>
                <w:szCs w:val="21"/>
              </w:rPr>
              <w:t>汽车抛光用海绵50万个、手机抛光用刷子10万个、手机</w:t>
            </w:r>
            <w:r>
              <w:rPr>
                <w:bCs/>
                <w:szCs w:val="21"/>
              </w:rPr>
              <w:t>抛光用</w:t>
            </w:r>
            <w:r>
              <w:rPr>
                <w:rFonts w:hint="eastAsia"/>
                <w:bCs/>
                <w:szCs w:val="21"/>
              </w:rPr>
              <w:t>PP片</w:t>
            </w:r>
            <w:r>
              <w:rPr>
                <w:rFonts w:hint="eastAsia"/>
                <w:szCs w:val="21"/>
              </w:rPr>
              <w:t>5吨、手机</w:t>
            </w:r>
            <w:r>
              <w:rPr>
                <w:szCs w:val="21"/>
              </w:rPr>
              <w:t>抛光用海绵扫光盘</w:t>
            </w:r>
            <w:r>
              <w:rPr>
                <w:rFonts w:hint="eastAsia"/>
                <w:szCs w:val="21"/>
              </w:rPr>
              <w:t>7.5万个</w:t>
            </w:r>
            <w:r>
              <w:rPr>
                <w:szCs w:val="21"/>
              </w:rPr>
              <w:t>，租赁已建成厂房进行生产经营，总占地面积7500平方米，建筑面积7650平方米，主要工程组成见下表。</w:t>
            </w:r>
          </w:p>
          <w:p>
            <w:pPr>
              <w:numPr>
                <w:ilvl w:val="0"/>
                <w:numId w:val="2"/>
              </w:numPr>
              <w:adjustRightInd w:val="0"/>
              <w:snapToGrid w:val="0"/>
              <w:spacing w:line="360" w:lineRule="auto"/>
              <w:ind w:left="322"/>
              <w:jc w:val="center"/>
              <w:rPr>
                <w:b/>
              </w:rPr>
            </w:pPr>
            <w:r>
              <w:rPr>
                <w:b/>
              </w:rPr>
              <w:t>项目工程组成一览表</w:t>
            </w:r>
          </w:p>
          <w:tbl>
            <w:tblPr>
              <w:tblStyle w:val="28"/>
              <w:tblW w:w="4998" w:type="pct"/>
              <w:jc w:val="center"/>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09"/>
              <w:gridCol w:w="6360"/>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787" w:type="pct"/>
                  <w:vAlign w:val="center"/>
                </w:tcPr>
                <w:p>
                  <w:pPr>
                    <w:adjustRightInd w:val="0"/>
                    <w:snapToGrid w:val="0"/>
                    <w:jc w:val="center"/>
                    <w:rPr>
                      <w:b/>
                      <w:szCs w:val="21"/>
                    </w:rPr>
                  </w:pPr>
                  <w:r>
                    <w:rPr>
                      <w:b/>
                      <w:szCs w:val="21"/>
                    </w:rPr>
                    <w:t>类别</w:t>
                  </w:r>
                </w:p>
              </w:tc>
              <w:tc>
                <w:tcPr>
                  <w:tcW w:w="808" w:type="pct"/>
                  <w:vAlign w:val="center"/>
                </w:tcPr>
                <w:p>
                  <w:pPr>
                    <w:adjustRightInd w:val="0"/>
                    <w:snapToGrid w:val="0"/>
                    <w:jc w:val="center"/>
                    <w:rPr>
                      <w:b/>
                      <w:szCs w:val="21"/>
                    </w:rPr>
                  </w:pPr>
                  <w:r>
                    <w:rPr>
                      <w:b/>
                      <w:szCs w:val="21"/>
                    </w:rPr>
                    <w:t>建设内容</w:t>
                  </w:r>
                </w:p>
              </w:tc>
              <w:tc>
                <w:tcPr>
                  <w:tcW w:w="3405" w:type="pct"/>
                  <w:vAlign w:val="center"/>
                </w:tcPr>
                <w:p>
                  <w:pPr>
                    <w:adjustRightInd w:val="0"/>
                    <w:snapToGrid w:val="0"/>
                    <w:jc w:val="center"/>
                    <w:rPr>
                      <w:b/>
                      <w:szCs w:val="21"/>
                    </w:rPr>
                  </w:pPr>
                  <w:r>
                    <w:rPr>
                      <w:b/>
                      <w:szCs w:val="21"/>
                    </w:rPr>
                    <w:t>工程内容</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restart"/>
                  <w:vAlign w:val="center"/>
                </w:tcPr>
                <w:p>
                  <w:pPr>
                    <w:adjustRightInd w:val="0"/>
                    <w:snapToGrid w:val="0"/>
                    <w:jc w:val="center"/>
                    <w:rPr>
                      <w:szCs w:val="21"/>
                    </w:rPr>
                  </w:pPr>
                  <w:r>
                    <w:rPr>
                      <w:szCs w:val="21"/>
                    </w:rPr>
                    <w:t>主体工程</w:t>
                  </w:r>
                </w:p>
              </w:tc>
              <w:tc>
                <w:tcPr>
                  <w:tcW w:w="808" w:type="pct"/>
                  <w:tcBorders>
                    <w:bottom w:val="single" w:color="auto" w:sz="6" w:space="0"/>
                  </w:tcBorders>
                  <w:vAlign w:val="center"/>
                </w:tcPr>
                <w:p>
                  <w:pPr>
                    <w:adjustRightInd w:val="0"/>
                    <w:snapToGrid w:val="0"/>
                    <w:jc w:val="center"/>
                    <w:rPr>
                      <w:szCs w:val="21"/>
                    </w:rPr>
                  </w:pPr>
                  <w:r>
                    <w:rPr>
                      <w:rFonts w:hint="eastAsia"/>
                      <w:szCs w:val="21"/>
                    </w:rPr>
                    <w:t>裁切</w:t>
                  </w:r>
                  <w:r>
                    <w:rPr>
                      <w:szCs w:val="21"/>
                    </w:rPr>
                    <w:t>车间</w:t>
                  </w:r>
                </w:p>
              </w:tc>
              <w:tc>
                <w:tcPr>
                  <w:tcW w:w="3405" w:type="pct"/>
                  <w:tcBorders>
                    <w:bottom w:val="single" w:color="auto" w:sz="6" w:space="0"/>
                  </w:tcBorders>
                  <w:vAlign w:val="center"/>
                </w:tcPr>
                <w:p>
                  <w:pPr>
                    <w:adjustRightInd w:val="0"/>
                    <w:snapToGrid w:val="0"/>
                    <w:rPr>
                      <w:szCs w:val="21"/>
                    </w:rPr>
                  </w:pPr>
                  <w:r>
                    <w:rPr>
                      <w:rFonts w:hint="eastAsia"/>
                      <w:szCs w:val="21"/>
                    </w:rPr>
                    <w:t>单层，</w:t>
                  </w:r>
                  <w:r>
                    <w:rPr>
                      <w:szCs w:val="21"/>
                    </w:rPr>
                    <w:t>占地面积1900m</w:t>
                  </w:r>
                  <w:r>
                    <w:rPr>
                      <w:szCs w:val="21"/>
                      <w:vertAlign w:val="superscript"/>
                    </w:rPr>
                    <w:t>2</w:t>
                  </w:r>
                  <w:r>
                    <w:rPr>
                      <w:szCs w:val="21"/>
                    </w:rPr>
                    <w:t>，建筑面积1900m</w:t>
                  </w:r>
                  <w:r>
                    <w:rPr>
                      <w:szCs w:val="21"/>
                      <w:vertAlign w:val="superscript"/>
                    </w:rPr>
                    <w:t>2</w:t>
                  </w:r>
                  <w:r>
                    <w:rPr>
                      <w:rFonts w:hint="eastAsia"/>
                      <w:szCs w:val="21"/>
                    </w:rPr>
                    <w:t>，</w:t>
                  </w:r>
                  <w:r>
                    <w:rPr>
                      <w:szCs w:val="21"/>
                    </w:rPr>
                    <w:t>主要布置有：</w:t>
                  </w:r>
                  <w:r>
                    <w:rPr>
                      <w:rFonts w:hint="eastAsia"/>
                      <w:szCs w:val="21"/>
                    </w:rPr>
                    <w:t>平式平切机</w:t>
                  </w:r>
                  <w:r>
                    <w:rPr>
                      <w:szCs w:val="21"/>
                    </w:rPr>
                    <w:t xml:space="preserve">、 </w:t>
                  </w:r>
                  <w:r>
                    <w:rPr>
                      <w:rFonts w:hint="eastAsia"/>
                      <w:szCs w:val="21"/>
                    </w:rPr>
                    <w:t>立式</w:t>
                  </w:r>
                  <w:r>
                    <w:rPr>
                      <w:szCs w:val="21"/>
                    </w:rPr>
                    <w:t>平切</w:t>
                  </w:r>
                  <w:r>
                    <w:rPr>
                      <w:rFonts w:hint="eastAsia"/>
                      <w:szCs w:val="21"/>
                    </w:rPr>
                    <w:t>机</w:t>
                  </w:r>
                  <w:r>
                    <w:rPr>
                      <w:szCs w:val="21"/>
                    </w:rPr>
                    <w:t>、分条机、</w:t>
                  </w:r>
                  <w:r>
                    <w:rPr>
                      <w:rFonts w:hint="eastAsia"/>
                      <w:szCs w:val="21"/>
                    </w:rPr>
                    <w:t>气动切平机</w:t>
                  </w:r>
                  <w:r>
                    <w:rPr>
                      <w:szCs w:val="21"/>
                    </w:rPr>
                    <w:t>、</w:t>
                  </w:r>
                  <w:r>
                    <w:rPr>
                      <w:rFonts w:hint="eastAsia"/>
                      <w:szCs w:val="21"/>
                    </w:rPr>
                    <w:t>接驳机</w:t>
                  </w:r>
                  <w:r>
                    <w:rPr>
                      <w:szCs w:val="21"/>
                    </w:rPr>
                    <w:t>、模切冲床、分段机、</w:t>
                  </w:r>
                  <w:r>
                    <w:rPr>
                      <w:rFonts w:hint="eastAsia"/>
                      <w:szCs w:val="21"/>
                    </w:rPr>
                    <w:t>小油压</w:t>
                  </w:r>
                  <w:r>
                    <w:rPr>
                      <w:szCs w:val="21"/>
                    </w:rPr>
                    <w:t>冲床、大油压冲床、切角机、切底机等</w:t>
                  </w:r>
                  <w:r>
                    <w:rPr>
                      <w:rFonts w:hint="eastAsia"/>
                      <w:szCs w:val="21"/>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continue"/>
                  <w:vAlign w:val="center"/>
                </w:tcPr>
                <w:p>
                  <w:pPr>
                    <w:adjustRightInd w:val="0"/>
                    <w:snapToGrid w:val="0"/>
                    <w:jc w:val="center"/>
                    <w:rPr>
                      <w:szCs w:val="21"/>
                    </w:rPr>
                  </w:pPr>
                </w:p>
              </w:tc>
              <w:tc>
                <w:tcPr>
                  <w:tcW w:w="808" w:type="pct"/>
                  <w:tcBorders>
                    <w:bottom w:val="single" w:color="auto" w:sz="6" w:space="0"/>
                  </w:tcBorders>
                  <w:vAlign w:val="center"/>
                </w:tcPr>
                <w:p>
                  <w:pPr>
                    <w:adjustRightInd w:val="0"/>
                    <w:snapToGrid w:val="0"/>
                    <w:jc w:val="center"/>
                    <w:rPr>
                      <w:szCs w:val="21"/>
                    </w:rPr>
                  </w:pPr>
                  <w:r>
                    <w:rPr>
                      <w:rFonts w:hint="eastAsia"/>
                      <w:szCs w:val="21"/>
                    </w:rPr>
                    <w:t>仿形</w:t>
                  </w:r>
                  <w:r>
                    <w:rPr>
                      <w:szCs w:val="21"/>
                    </w:rPr>
                    <w:t>车间</w:t>
                  </w:r>
                </w:p>
              </w:tc>
              <w:tc>
                <w:tcPr>
                  <w:tcW w:w="3405" w:type="pct"/>
                  <w:tcBorders>
                    <w:bottom w:val="single" w:color="auto" w:sz="6" w:space="0"/>
                  </w:tcBorders>
                  <w:vAlign w:val="center"/>
                </w:tcPr>
                <w:p>
                  <w:pPr>
                    <w:adjustRightInd w:val="0"/>
                    <w:snapToGrid w:val="0"/>
                    <w:rPr>
                      <w:szCs w:val="21"/>
                    </w:rPr>
                  </w:pPr>
                  <w:r>
                    <w:rPr>
                      <w:rFonts w:hint="eastAsia"/>
                      <w:szCs w:val="21"/>
                    </w:rPr>
                    <w:t>单层，</w:t>
                  </w:r>
                  <w:r>
                    <w:rPr>
                      <w:szCs w:val="21"/>
                    </w:rPr>
                    <w:t>占地面积500m</w:t>
                  </w:r>
                  <w:r>
                    <w:rPr>
                      <w:szCs w:val="21"/>
                      <w:vertAlign w:val="superscript"/>
                    </w:rPr>
                    <w:t>2</w:t>
                  </w:r>
                  <w:r>
                    <w:rPr>
                      <w:szCs w:val="21"/>
                    </w:rPr>
                    <w:t>，建筑面积500m</w:t>
                  </w:r>
                  <w:r>
                    <w:rPr>
                      <w:szCs w:val="21"/>
                      <w:vertAlign w:val="superscript"/>
                    </w:rPr>
                    <w:t>2</w:t>
                  </w:r>
                  <w:r>
                    <w:rPr>
                      <w:rFonts w:hint="eastAsia"/>
                      <w:szCs w:val="21"/>
                    </w:rPr>
                    <w:t>，</w:t>
                  </w:r>
                  <w:r>
                    <w:rPr>
                      <w:szCs w:val="21"/>
                    </w:rPr>
                    <w:t>主要布置有：</w:t>
                  </w:r>
                  <w:r>
                    <w:rPr>
                      <w:rFonts w:hint="eastAsia"/>
                      <w:szCs w:val="21"/>
                    </w:rPr>
                    <w:t>手动仿形机</w:t>
                  </w:r>
                  <w:r>
                    <w:rPr>
                      <w:szCs w:val="21"/>
                    </w:rPr>
                    <w:t>、自动仿形机等</w:t>
                  </w:r>
                  <w:r>
                    <w:rPr>
                      <w:rFonts w:hint="eastAsia"/>
                      <w:szCs w:val="21"/>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continue"/>
                  <w:vAlign w:val="center"/>
                </w:tcPr>
                <w:p>
                  <w:pPr>
                    <w:adjustRightInd w:val="0"/>
                    <w:snapToGrid w:val="0"/>
                    <w:jc w:val="center"/>
                    <w:rPr>
                      <w:szCs w:val="21"/>
                    </w:rPr>
                  </w:pPr>
                </w:p>
              </w:tc>
              <w:tc>
                <w:tcPr>
                  <w:tcW w:w="808" w:type="pct"/>
                  <w:tcBorders>
                    <w:bottom w:val="single" w:color="auto" w:sz="6" w:space="0"/>
                  </w:tcBorders>
                  <w:vAlign w:val="center"/>
                </w:tcPr>
                <w:p>
                  <w:pPr>
                    <w:adjustRightInd w:val="0"/>
                    <w:snapToGrid w:val="0"/>
                    <w:jc w:val="center"/>
                    <w:rPr>
                      <w:szCs w:val="21"/>
                    </w:rPr>
                  </w:pPr>
                  <w:r>
                    <w:rPr>
                      <w:rFonts w:hint="eastAsia"/>
                      <w:szCs w:val="21"/>
                    </w:rPr>
                    <w:t>植毛</w:t>
                  </w:r>
                  <w:r>
                    <w:rPr>
                      <w:szCs w:val="21"/>
                    </w:rPr>
                    <w:t>车间</w:t>
                  </w:r>
                </w:p>
              </w:tc>
              <w:tc>
                <w:tcPr>
                  <w:tcW w:w="3405" w:type="pct"/>
                  <w:tcBorders>
                    <w:bottom w:val="single" w:color="auto" w:sz="6" w:space="0"/>
                  </w:tcBorders>
                  <w:vAlign w:val="center"/>
                </w:tcPr>
                <w:p>
                  <w:pPr>
                    <w:adjustRightInd w:val="0"/>
                    <w:snapToGrid w:val="0"/>
                    <w:rPr>
                      <w:szCs w:val="21"/>
                    </w:rPr>
                  </w:pPr>
                  <w:r>
                    <w:rPr>
                      <w:rFonts w:hint="eastAsia"/>
                      <w:szCs w:val="21"/>
                    </w:rPr>
                    <w:t>单层，</w:t>
                  </w:r>
                  <w:r>
                    <w:rPr>
                      <w:szCs w:val="21"/>
                    </w:rPr>
                    <w:t>占地面积1000m</w:t>
                  </w:r>
                  <w:r>
                    <w:rPr>
                      <w:szCs w:val="21"/>
                      <w:vertAlign w:val="superscript"/>
                    </w:rPr>
                    <w:t>2</w:t>
                  </w:r>
                  <w:r>
                    <w:rPr>
                      <w:szCs w:val="21"/>
                    </w:rPr>
                    <w:t>，建筑面积1000m</w:t>
                  </w:r>
                  <w:r>
                    <w:rPr>
                      <w:szCs w:val="21"/>
                      <w:vertAlign w:val="superscript"/>
                    </w:rPr>
                    <w:t>2</w:t>
                  </w:r>
                  <w:r>
                    <w:rPr>
                      <w:rFonts w:hint="eastAsia"/>
                      <w:szCs w:val="21"/>
                    </w:rPr>
                    <w:t>，</w:t>
                  </w:r>
                  <w:r>
                    <w:rPr>
                      <w:szCs w:val="21"/>
                    </w:rPr>
                    <w:t>主要布置有：</w:t>
                  </w:r>
                  <w:r>
                    <w:rPr>
                      <w:rFonts w:hint="eastAsia"/>
                      <w:szCs w:val="21"/>
                    </w:rPr>
                    <w:t>植毛机</w:t>
                  </w:r>
                  <w:r>
                    <w:rPr>
                      <w:szCs w:val="21"/>
                    </w:rPr>
                    <w:t>、飞毛机等</w:t>
                  </w:r>
                  <w:r>
                    <w:rPr>
                      <w:rFonts w:hint="eastAsia"/>
                      <w:szCs w:val="21"/>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continue"/>
                  <w:vAlign w:val="center"/>
                </w:tcPr>
                <w:p>
                  <w:pPr>
                    <w:adjustRightInd w:val="0"/>
                    <w:snapToGrid w:val="0"/>
                    <w:jc w:val="center"/>
                    <w:rPr>
                      <w:szCs w:val="21"/>
                    </w:rPr>
                  </w:pPr>
                </w:p>
              </w:tc>
              <w:tc>
                <w:tcPr>
                  <w:tcW w:w="808" w:type="pct"/>
                  <w:tcBorders>
                    <w:bottom w:val="single" w:color="auto" w:sz="6" w:space="0"/>
                  </w:tcBorders>
                  <w:vAlign w:val="center"/>
                </w:tcPr>
                <w:p>
                  <w:pPr>
                    <w:adjustRightInd w:val="0"/>
                    <w:snapToGrid w:val="0"/>
                    <w:jc w:val="center"/>
                    <w:rPr>
                      <w:szCs w:val="21"/>
                    </w:rPr>
                  </w:pPr>
                  <w:r>
                    <w:rPr>
                      <w:rFonts w:hint="eastAsia"/>
                      <w:szCs w:val="21"/>
                    </w:rPr>
                    <w:t>综合</w:t>
                  </w:r>
                  <w:r>
                    <w:rPr>
                      <w:szCs w:val="21"/>
                    </w:rPr>
                    <w:t>车间</w:t>
                  </w:r>
                </w:p>
              </w:tc>
              <w:tc>
                <w:tcPr>
                  <w:tcW w:w="3405" w:type="pct"/>
                  <w:tcBorders>
                    <w:bottom w:val="single" w:color="auto" w:sz="6" w:space="0"/>
                  </w:tcBorders>
                  <w:vAlign w:val="center"/>
                </w:tcPr>
                <w:p>
                  <w:pPr>
                    <w:adjustRightInd w:val="0"/>
                    <w:snapToGrid w:val="0"/>
                    <w:rPr>
                      <w:szCs w:val="21"/>
                    </w:rPr>
                  </w:pPr>
                  <w:r>
                    <w:rPr>
                      <w:rFonts w:hint="eastAsia"/>
                      <w:szCs w:val="21"/>
                    </w:rPr>
                    <w:t>单层，</w:t>
                  </w:r>
                  <w:r>
                    <w:rPr>
                      <w:szCs w:val="21"/>
                    </w:rPr>
                    <w:t>占地面积2100m</w:t>
                  </w:r>
                  <w:r>
                    <w:rPr>
                      <w:szCs w:val="21"/>
                      <w:vertAlign w:val="superscript"/>
                    </w:rPr>
                    <w:t>2</w:t>
                  </w:r>
                  <w:r>
                    <w:rPr>
                      <w:szCs w:val="21"/>
                    </w:rPr>
                    <w:t>，建筑面积2100m</w:t>
                  </w:r>
                  <w:r>
                    <w:rPr>
                      <w:szCs w:val="21"/>
                      <w:vertAlign w:val="superscript"/>
                    </w:rPr>
                    <w:t>2</w:t>
                  </w:r>
                  <w:r>
                    <w:rPr>
                      <w:rFonts w:hint="eastAsia"/>
                      <w:szCs w:val="21"/>
                    </w:rPr>
                    <w:t>，</w:t>
                  </w:r>
                  <w:r>
                    <w:rPr>
                      <w:szCs w:val="21"/>
                    </w:rPr>
                    <w:t>主要布置有：</w:t>
                  </w:r>
                  <w:r>
                    <w:rPr>
                      <w:rFonts w:hint="eastAsia"/>
                      <w:szCs w:val="21"/>
                    </w:rPr>
                    <w:t>独立贴合机、</w:t>
                  </w:r>
                  <w:r>
                    <w:rPr>
                      <w:szCs w:val="21"/>
                    </w:rPr>
                    <w:t>联合贴合机、</w:t>
                  </w:r>
                  <w:r>
                    <w:rPr>
                      <w:rFonts w:hint="eastAsia"/>
                      <w:szCs w:val="21"/>
                    </w:rPr>
                    <w:t>覆膜</w:t>
                  </w:r>
                  <w:r>
                    <w:rPr>
                      <w:szCs w:val="21"/>
                    </w:rPr>
                    <w:t>贴合机</w:t>
                  </w:r>
                  <w:r>
                    <w:rPr>
                      <w:rFonts w:hint="eastAsia"/>
                      <w:szCs w:val="21"/>
                    </w:rPr>
                    <w:t>、</w:t>
                  </w:r>
                  <w:r>
                    <w:rPr>
                      <w:szCs w:val="21"/>
                    </w:rPr>
                    <w:t>上胶贴合机、</w:t>
                  </w:r>
                  <w:r>
                    <w:rPr>
                      <w:rFonts w:hint="eastAsia"/>
                      <w:szCs w:val="21"/>
                    </w:rPr>
                    <w:t>气压</w:t>
                  </w:r>
                  <w:r>
                    <w:rPr>
                      <w:szCs w:val="21"/>
                    </w:rPr>
                    <w:t>覆膜贴合机、台钻、激光切割机、</w:t>
                  </w:r>
                  <w:r>
                    <w:rPr>
                      <w:rFonts w:hint="eastAsia"/>
                      <w:szCs w:val="21"/>
                    </w:rPr>
                    <w:t>印刷机</w:t>
                  </w:r>
                  <w:r>
                    <w:rPr>
                      <w:szCs w:val="21"/>
                    </w:rPr>
                    <w:t>、烘干机、过胶机、</w:t>
                  </w:r>
                  <w:r>
                    <w:rPr>
                      <w:rFonts w:hint="eastAsia"/>
                      <w:szCs w:val="21"/>
                    </w:rPr>
                    <w:t>点胶</w:t>
                  </w:r>
                  <w:r>
                    <w:rPr>
                      <w:szCs w:val="21"/>
                    </w:rPr>
                    <w:t>机、</w:t>
                  </w:r>
                  <w:r>
                    <w:rPr>
                      <w:rFonts w:hint="eastAsia"/>
                      <w:szCs w:val="21"/>
                    </w:rPr>
                    <w:t>波浪</w:t>
                  </w:r>
                  <w:r>
                    <w:rPr>
                      <w:szCs w:val="21"/>
                    </w:rPr>
                    <w:t>机、雕刻机、</w:t>
                  </w:r>
                  <w:r>
                    <w:rPr>
                      <w:rFonts w:hint="eastAsia"/>
                      <w:szCs w:val="21"/>
                    </w:rPr>
                    <w:t>开槽机</w:t>
                  </w:r>
                  <w:r>
                    <w:rPr>
                      <w:szCs w:val="21"/>
                    </w:rPr>
                    <w:t>、</w:t>
                  </w:r>
                  <w:r>
                    <w:rPr>
                      <w:rFonts w:hint="eastAsia"/>
                      <w:szCs w:val="21"/>
                    </w:rPr>
                    <w:t>植皮机</w:t>
                  </w:r>
                  <w:r>
                    <w:rPr>
                      <w:szCs w:val="21"/>
                    </w:rPr>
                    <w:t>、组装流水线、</w:t>
                  </w:r>
                  <w:r>
                    <w:rPr>
                      <w:rFonts w:hint="eastAsia"/>
                      <w:szCs w:val="21"/>
                    </w:rPr>
                    <w:t>PP片</w:t>
                  </w:r>
                  <w:r>
                    <w:rPr>
                      <w:szCs w:val="21"/>
                    </w:rPr>
                    <w:t>生产线、边角料打包机等</w:t>
                  </w:r>
                  <w:r>
                    <w:rPr>
                      <w:rFonts w:hint="eastAsia"/>
                      <w:szCs w:val="21"/>
                    </w:rPr>
                    <w:t>。</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Align w:val="center"/>
                </w:tcPr>
                <w:p>
                  <w:pPr>
                    <w:adjustRightInd w:val="0"/>
                    <w:snapToGrid w:val="0"/>
                    <w:jc w:val="center"/>
                    <w:rPr>
                      <w:szCs w:val="21"/>
                    </w:rPr>
                  </w:pPr>
                  <w:r>
                    <w:rPr>
                      <w:szCs w:val="21"/>
                    </w:rPr>
                    <w:t>辅助工程</w:t>
                  </w:r>
                </w:p>
              </w:tc>
              <w:tc>
                <w:tcPr>
                  <w:tcW w:w="808" w:type="pct"/>
                  <w:vAlign w:val="center"/>
                </w:tcPr>
                <w:p>
                  <w:pPr>
                    <w:adjustRightInd w:val="0"/>
                    <w:snapToGrid w:val="0"/>
                    <w:jc w:val="center"/>
                    <w:rPr>
                      <w:szCs w:val="21"/>
                    </w:rPr>
                  </w:pPr>
                  <w:r>
                    <w:rPr>
                      <w:szCs w:val="21"/>
                    </w:rPr>
                    <w:t>办公室</w:t>
                  </w:r>
                </w:p>
              </w:tc>
              <w:tc>
                <w:tcPr>
                  <w:tcW w:w="3405" w:type="pct"/>
                  <w:vAlign w:val="center"/>
                </w:tcPr>
                <w:p>
                  <w:pPr>
                    <w:adjustRightInd w:val="0"/>
                    <w:snapToGrid w:val="0"/>
                    <w:rPr>
                      <w:szCs w:val="21"/>
                    </w:rPr>
                  </w:pPr>
                  <w:r>
                    <w:rPr>
                      <w:szCs w:val="21"/>
                    </w:rPr>
                    <w:t>位于厂</w:t>
                  </w:r>
                  <w:r>
                    <w:rPr>
                      <w:rFonts w:hint="eastAsia"/>
                      <w:szCs w:val="21"/>
                    </w:rPr>
                    <w:t>区西南</w:t>
                  </w:r>
                  <w:r>
                    <w:rPr>
                      <w:szCs w:val="21"/>
                    </w:rPr>
                    <w:t>侧，</w:t>
                  </w:r>
                  <w:r>
                    <w:rPr>
                      <w:rFonts w:hint="eastAsia"/>
                      <w:szCs w:val="21"/>
                    </w:rPr>
                    <w:t>2层，</w:t>
                  </w:r>
                  <w:r>
                    <w:rPr>
                      <w:szCs w:val="21"/>
                    </w:rPr>
                    <w:t>占地面积150m</w:t>
                  </w:r>
                  <w:r>
                    <w:rPr>
                      <w:szCs w:val="21"/>
                      <w:vertAlign w:val="superscript"/>
                    </w:rPr>
                    <w:t>2</w:t>
                  </w:r>
                  <w:r>
                    <w:rPr>
                      <w:szCs w:val="21"/>
                    </w:rPr>
                    <w:t>，建筑面积300m</w:t>
                  </w:r>
                  <w:r>
                    <w:rPr>
                      <w:szCs w:val="21"/>
                      <w:vertAlign w:val="superscript"/>
                    </w:rPr>
                    <w:t>2</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restart"/>
                  <w:vAlign w:val="center"/>
                </w:tcPr>
                <w:p>
                  <w:pPr>
                    <w:adjustRightInd w:val="0"/>
                    <w:snapToGrid w:val="0"/>
                    <w:jc w:val="center"/>
                    <w:rPr>
                      <w:szCs w:val="21"/>
                    </w:rPr>
                  </w:pPr>
                  <w:r>
                    <w:rPr>
                      <w:szCs w:val="21"/>
                    </w:rPr>
                    <w:t>储运工程</w:t>
                  </w:r>
                </w:p>
              </w:tc>
              <w:tc>
                <w:tcPr>
                  <w:tcW w:w="808" w:type="pct"/>
                  <w:vAlign w:val="center"/>
                </w:tcPr>
                <w:p>
                  <w:pPr>
                    <w:adjustRightInd w:val="0"/>
                    <w:snapToGrid w:val="0"/>
                    <w:jc w:val="center"/>
                    <w:rPr>
                      <w:szCs w:val="21"/>
                    </w:rPr>
                  </w:pPr>
                  <w:r>
                    <w:rPr>
                      <w:rFonts w:hint="eastAsia"/>
                      <w:szCs w:val="21"/>
                    </w:rPr>
                    <w:t>原料</w:t>
                  </w:r>
                  <w:r>
                    <w:rPr>
                      <w:szCs w:val="21"/>
                    </w:rPr>
                    <w:t>仓库</w:t>
                  </w:r>
                </w:p>
              </w:tc>
              <w:tc>
                <w:tcPr>
                  <w:tcW w:w="3405" w:type="pct"/>
                  <w:vAlign w:val="center"/>
                </w:tcPr>
                <w:p>
                  <w:pPr>
                    <w:adjustRightInd w:val="0"/>
                    <w:snapToGrid w:val="0"/>
                    <w:rPr>
                      <w:szCs w:val="21"/>
                    </w:rPr>
                  </w:pPr>
                  <w:r>
                    <w:rPr>
                      <w:szCs w:val="21"/>
                    </w:rPr>
                    <w:t>位于厂</w:t>
                  </w:r>
                  <w:r>
                    <w:rPr>
                      <w:rFonts w:hint="eastAsia"/>
                      <w:szCs w:val="21"/>
                    </w:rPr>
                    <w:t>区</w:t>
                  </w:r>
                  <w:r>
                    <w:rPr>
                      <w:szCs w:val="21"/>
                    </w:rPr>
                    <w:t>西</w:t>
                  </w:r>
                  <w:r>
                    <w:rPr>
                      <w:rFonts w:hint="eastAsia"/>
                      <w:szCs w:val="21"/>
                    </w:rPr>
                    <w:t>北</w:t>
                  </w:r>
                  <w:r>
                    <w:rPr>
                      <w:szCs w:val="21"/>
                    </w:rPr>
                    <w:t>侧，</w:t>
                  </w:r>
                  <w:r>
                    <w:rPr>
                      <w:rFonts w:hint="eastAsia"/>
                      <w:szCs w:val="21"/>
                    </w:rPr>
                    <w:t>单层，</w:t>
                  </w:r>
                  <w:r>
                    <w:rPr>
                      <w:szCs w:val="21"/>
                    </w:rPr>
                    <w:t>占地面积</w:t>
                  </w:r>
                  <w:r>
                    <w:rPr>
                      <w:rFonts w:hint="eastAsia"/>
                      <w:szCs w:val="21"/>
                    </w:rPr>
                    <w:t>1</w:t>
                  </w:r>
                  <w:r>
                    <w:rPr>
                      <w:szCs w:val="21"/>
                    </w:rPr>
                    <w:t>700m</w:t>
                  </w:r>
                  <w:r>
                    <w:rPr>
                      <w:szCs w:val="21"/>
                      <w:vertAlign w:val="superscript"/>
                    </w:rPr>
                    <w:t>2</w:t>
                  </w:r>
                  <w:r>
                    <w:rPr>
                      <w:szCs w:val="21"/>
                    </w:rPr>
                    <w:t>，建筑面积</w:t>
                  </w:r>
                  <w:r>
                    <w:rPr>
                      <w:rFonts w:hint="eastAsia"/>
                      <w:szCs w:val="21"/>
                    </w:rPr>
                    <w:t>1</w:t>
                  </w:r>
                  <w:r>
                    <w:rPr>
                      <w:szCs w:val="21"/>
                    </w:rPr>
                    <w:t>700m</w:t>
                  </w:r>
                  <w:r>
                    <w:rPr>
                      <w:szCs w:val="21"/>
                      <w:vertAlign w:val="superscript"/>
                    </w:rPr>
                    <w:t>2</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rFonts w:hint="eastAsia"/>
                      <w:szCs w:val="21"/>
                    </w:rPr>
                    <w:t>成品</w:t>
                  </w:r>
                  <w:r>
                    <w:rPr>
                      <w:szCs w:val="21"/>
                    </w:rPr>
                    <w:t>仓库</w:t>
                  </w:r>
                </w:p>
              </w:tc>
              <w:tc>
                <w:tcPr>
                  <w:tcW w:w="3405" w:type="pct"/>
                  <w:vAlign w:val="center"/>
                </w:tcPr>
                <w:p>
                  <w:pPr>
                    <w:adjustRightInd w:val="0"/>
                    <w:snapToGrid w:val="0"/>
                    <w:rPr>
                      <w:szCs w:val="21"/>
                    </w:rPr>
                  </w:pPr>
                  <w:r>
                    <w:rPr>
                      <w:szCs w:val="21"/>
                    </w:rPr>
                    <w:t>位于厂</w:t>
                  </w:r>
                  <w:r>
                    <w:rPr>
                      <w:rFonts w:hint="eastAsia"/>
                      <w:szCs w:val="21"/>
                    </w:rPr>
                    <w:t>区</w:t>
                  </w:r>
                  <w:r>
                    <w:rPr>
                      <w:szCs w:val="21"/>
                    </w:rPr>
                    <w:t>西</w:t>
                  </w:r>
                  <w:r>
                    <w:rPr>
                      <w:rFonts w:hint="eastAsia"/>
                      <w:szCs w:val="21"/>
                    </w:rPr>
                    <w:t>南</w:t>
                  </w:r>
                  <w:r>
                    <w:rPr>
                      <w:szCs w:val="21"/>
                    </w:rPr>
                    <w:t>侧，</w:t>
                  </w:r>
                  <w:r>
                    <w:rPr>
                      <w:rFonts w:hint="eastAsia"/>
                      <w:szCs w:val="21"/>
                    </w:rPr>
                    <w:t>单层，</w:t>
                  </w:r>
                  <w:r>
                    <w:rPr>
                      <w:szCs w:val="21"/>
                    </w:rPr>
                    <w:t>占地面积</w:t>
                  </w:r>
                  <w:r>
                    <w:rPr>
                      <w:rFonts w:hint="eastAsia"/>
                      <w:szCs w:val="21"/>
                    </w:rPr>
                    <w:t>1</w:t>
                  </w:r>
                  <w:r>
                    <w:rPr>
                      <w:szCs w:val="21"/>
                    </w:rPr>
                    <w:t>50m</w:t>
                  </w:r>
                  <w:r>
                    <w:rPr>
                      <w:szCs w:val="21"/>
                      <w:vertAlign w:val="superscript"/>
                    </w:rPr>
                    <w:t>2</w:t>
                  </w:r>
                  <w:r>
                    <w:rPr>
                      <w:szCs w:val="21"/>
                    </w:rPr>
                    <w:t>，建筑面积</w:t>
                  </w:r>
                  <w:r>
                    <w:rPr>
                      <w:rFonts w:hint="eastAsia"/>
                      <w:szCs w:val="21"/>
                    </w:rPr>
                    <w:t>1</w:t>
                  </w:r>
                  <w:r>
                    <w:rPr>
                      <w:szCs w:val="21"/>
                    </w:rPr>
                    <w:t>50m</w:t>
                  </w:r>
                  <w:r>
                    <w:rPr>
                      <w:szCs w:val="21"/>
                      <w:vertAlign w:val="superscript"/>
                    </w:rPr>
                    <w:t>2</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restart"/>
                  <w:vAlign w:val="center"/>
                </w:tcPr>
                <w:p>
                  <w:pPr>
                    <w:adjustRightInd w:val="0"/>
                    <w:snapToGrid w:val="0"/>
                    <w:jc w:val="center"/>
                    <w:rPr>
                      <w:szCs w:val="21"/>
                    </w:rPr>
                  </w:pPr>
                  <w:r>
                    <w:rPr>
                      <w:szCs w:val="21"/>
                    </w:rPr>
                    <w:t>公用工程</w:t>
                  </w:r>
                </w:p>
              </w:tc>
              <w:tc>
                <w:tcPr>
                  <w:tcW w:w="808" w:type="pct"/>
                  <w:vAlign w:val="center"/>
                </w:tcPr>
                <w:p>
                  <w:pPr>
                    <w:adjustRightInd w:val="0"/>
                    <w:snapToGrid w:val="0"/>
                    <w:jc w:val="center"/>
                    <w:rPr>
                      <w:szCs w:val="21"/>
                    </w:rPr>
                  </w:pPr>
                  <w:r>
                    <w:rPr>
                      <w:szCs w:val="21"/>
                    </w:rPr>
                    <w:t>给水工程</w:t>
                  </w:r>
                </w:p>
              </w:tc>
              <w:tc>
                <w:tcPr>
                  <w:tcW w:w="3405" w:type="pct"/>
                  <w:vAlign w:val="center"/>
                </w:tcPr>
                <w:p>
                  <w:pPr>
                    <w:adjustRightInd w:val="0"/>
                    <w:snapToGrid w:val="0"/>
                    <w:rPr>
                      <w:szCs w:val="21"/>
                    </w:rPr>
                  </w:pPr>
                  <w:r>
                    <w:rPr>
                      <w:szCs w:val="21"/>
                    </w:rPr>
                    <w:t>市政自来水供应</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szCs w:val="21"/>
                    </w:rPr>
                    <w:t>排水工程</w:t>
                  </w:r>
                </w:p>
              </w:tc>
              <w:tc>
                <w:tcPr>
                  <w:tcW w:w="3405" w:type="pct"/>
                  <w:vAlign w:val="center"/>
                </w:tcPr>
                <w:p>
                  <w:pPr>
                    <w:adjustRightInd w:val="0"/>
                    <w:snapToGrid w:val="0"/>
                    <w:rPr>
                      <w:szCs w:val="21"/>
                    </w:rPr>
                  </w:pPr>
                  <w:r>
                    <w:rPr>
                      <w:szCs w:val="21"/>
                    </w:rPr>
                    <w:t>雨污分流，雨水经厂区雨水管道排污市政雨水管网；生活污水经三级化粪池预处理后排入杨侨镇生活污水处理厂</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szCs w:val="21"/>
                    </w:rPr>
                    <w:t>供电工程</w:t>
                  </w:r>
                </w:p>
              </w:tc>
              <w:tc>
                <w:tcPr>
                  <w:tcW w:w="3405" w:type="pct"/>
                  <w:vAlign w:val="center"/>
                </w:tcPr>
                <w:p>
                  <w:pPr>
                    <w:adjustRightInd w:val="0"/>
                    <w:snapToGrid w:val="0"/>
                    <w:rPr>
                      <w:szCs w:val="21"/>
                    </w:rPr>
                  </w:pPr>
                  <w:r>
                    <w:rPr>
                      <w:szCs w:val="21"/>
                    </w:rPr>
                    <w:t>市政电网供应</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787" w:type="pct"/>
                  <w:vMerge w:val="restart"/>
                  <w:vAlign w:val="center"/>
                </w:tcPr>
                <w:p>
                  <w:pPr>
                    <w:adjustRightInd w:val="0"/>
                    <w:snapToGrid w:val="0"/>
                    <w:jc w:val="center"/>
                    <w:rPr>
                      <w:szCs w:val="21"/>
                    </w:rPr>
                  </w:pPr>
                  <w:r>
                    <w:rPr>
                      <w:szCs w:val="21"/>
                    </w:rPr>
                    <w:t>环保工程</w:t>
                  </w:r>
                </w:p>
              </w:tc>
              <w:tc>
                <w:tcPr>
                  <w:tcW w:w="808" w:type="pct"/>
                  <w:vAlign w:val="center"/>
                </w:tcPr>
                <w:p>
                  <w:pPr>
                    <w:adjustRightInd w:val="0"/>
                    <w:snapToGrid w:val="0"/>
                    <w:jc w:val="center"/>
                    <w:rPr>
                      <w:szCs w:val="21"/>
                    </w:rPr>
                  </w:pPr>
                  <w:r>
                    <w:rPr>
                      <w:szCs w:val="21"/>
                    </w:rPr>
                    <w:t>废气处理</w:t>
                  </w:r>
                </w:p>
              </w:tc>
              <w:tc>
                <w:tcPr>
                  <w:tcW w:w="3405" w:type="pct"/>
                  <w:vAlign w:val="center"/>
                </w:tcPr>
                <w:p>
                  <w:pPr>
                    <w:pStyle w:val="74"/>
                    <w:ind w:firstLine="0" w:firstLineChars="0"/>
                  </w:pPr>
                  <w:r>
                    <w:rPr>
                      <w:rFonts w:hint="eastAsia"/>
                    </w:rPr>
                    <w:t>挤出废气：</w:t>
                  </w:r>
                  <w:r>
                    <w:rPr>
                      <w:szCs w:val="21"/>
                    </w:rPr>
                    <w:t>经集气罩收集后引至两级活性炭吸附装置处理</w:t>
                  </w:r>
                  <w:r>
                    <w:rPr>
                      <w:rFonts w:hint="eastAsia"/>
                      <w:szCs w:val="21"/>
                    </w:rPr>
                    <w:t>后</w:t>
                  </w:r>
                  <w:r>
                    <w:rPr>
                      <w:szCs w:val="21"/>
                    </w:rPr>
                    <w:t>经DA001排气筒（15米） 排放</w:t>
                  </w:r>
                </w:p>
                <w:p>
                  <w:pPr>
                    <w:pStyle w:val="74"/>
                    <w:ind w:firstLine="0" w:firstLineChars="0"/>
                    <w:rPr>
                      <w:szCs w:val="21"/>
                    </w:rPr>
                  </w:pPr>
                  <w:r>
                    <w:rPr>
                      <w:rFonts w:hint="eastAsia"/>
                    </w:rPr>
                    <w:t>贴合、</w:t>
                  </w:r>
                  <w:r>
                    <w:t>植皮</w:t>
                  </w:r>
                  <w:r>
                    <w:rPr>
                      <w:rFonts w:hint="eastAsia"/>
                    </w:rPr>
                    <w:t>、</w:t>
                  </w:r>
                  <w:r>
                    <w:t>印刷、烘干</w:t>
                  </w:r>
                  <w:r>
                    <w:rPr>
                      <w:rFonts w:hint="eastAsia"/>
                    </w:rPr>
                    <w:t>废气：</w:t>
                  </w:r>
                  <w:r>
                    <w:rPr>
                      <w:szCs w:val="21"/>
                    </w:rPr>
                    <w:t>经集气罩收集后引至两级活性炭吸附装置处理</w:t>
                  </w:r>
                  <w:r>
                    <w:rPr>
                      <w:rFonts w:hint="eastAsia"/>
                      <w:szCs w:val="21"/>
                    </w:rPr>
                    <w:t>后</w:t>
                  </w:r>
                  <w:r>
                    <w:rPr>
                      <w:szCs w:val="21"/>
                    </w:rPr>
                    <w:t>经DA002排气筒（15米） 排放</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szCs w:val="21"/>
                    </w:rPr>
                    <w:t>废水处理</w:t>
                  </w:r>
                </w:p>
              </w:tc>
              <w:tc>
                <w:tcPr>
                  <w:tcW w:w="3405" w:type="pct"/>
                  <w:vAlign w:val="center"/>
                </w:tcPr>
                <w:p>
                  <w:pPr>
                    <w:rPr>
                      <w:szCs w:val="21"/>
                    </w:rPr>
                  </w:pPr>
                  <w:r>
                    <w:rPr>
                      <w:rFonts w:hint="eastAsia"/>
                      <w:szCs w:val="21"/>
                    </w:rPr>
                    <w:t>间接</w:t>
                  </w:r>
                  <w:r>
                    <w:rPr>
                      <w:szCs w:val="21"/>
                    </w:rPr>
                    <w:t>冷却水循环使用，不外排；</w:t>
                  </w:r>
                  <w:r>
                    <w:rPr>
                      <w:rFonts w:hint="eastAsia"/>
                      <w:szCs w:val="21"/>
                    </w:rPr>
                    <w:t>喷淋塔</w:t>
                  </w:r>
                  <w:r>
                    <w:rPr>
                      <w:szCs w:val="21"/>
                    </w:rPr>
                    <w:t>用水循环使用，不外排</w:t>
                  </w:r>
                  <w:r>
                    <w:rPr>
                      <w:rFonts w:hint="eastAsia"/>
                      <w:szCs w:val="21"/>
                    </w:rPr>
                    <w:t>；</w:t>
                  </w:r>
                </w:p>
                <w:p>
                  <w:pPr>
                    <w:rPr>
                      <w:szCs w:val="21"/>
                    </w:rPr>
                  </w:pPr>
                  <w:r>
                    <w:rPr>
                      <w:szCs w:val="21"/>
                    </w:rPr>
                    <w:t>生活污水：经化粪池处理后排入市政污水管网，经</w:t>
                  </w:r>
                  <w:r>
                    <w:rPr>
                      <w:kern w:val="0"/>
                      <w:szCs w:val="21"/>
                    </w:rPr>
                    <w:t>杨侨镇生活污水处理厂</w:t>
                  </w:r>
                  <w:r>
                    <w:rPr>
                      <w:szCs w:val="21"/>
                    </w:rPr>
                    <w:t>集中处理</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szCs w:val="21"/>
                    </w:rPr>
                    <w:t>噪声处理</w:t>
                  </w:r>
                </w:p>
              </w:tc>
              <w:tc>
                <w:tcPr>
                  <w:tcW w:w="3405" w:type="pct"/>
                  <w:vAlign w:val="center"/>
                </w:tcPr>
                <w:p>
                  <w:pPr>
                    <w:adjustRightInd w:val="0"/>
                    <w:snapToGrid w:val="0"/>
                    <w:rPr>
                      <w:szCs w:val="21"/>
                    </w:rPr>
                  </w:pPr>
                  <w:r>
                    <w:rPr>
                      <w:szCs w:val="21"/>
                    </w:rPr>
                    <w:t>基础减振、厂房隔声</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787" w:type="pct"/>
                  <w:vMerge w:val="continue"/>
                  <w:vAlign w:val="center"/>
                </w:tcPr>
                <w:p>
                  <w:pPr>
                    <w:adjustRightInd w:val="0"/>
                    <w:snapToGrid w:val="0"/>
                    <w:jc w:val="center"/>
                    <w:rPr>
                      <w:szCs w:val="21"/>
                    </w:rPr>
                  </w:pPr>
                </w:p>
              </w:tc>
              <w:tc>
                <w:tcPr>
                  <w:tcW w:w="808" w:type="pct"/>
                  <w:vAlign w:val="center"/>
                </w:tcPr>
                <w:p>
                  <w:pPr>
                    <w:adjustRightInd w:val="0"/>
                    <w:snapToGrid w:val="0"/>
                    <w:jc w:val="center"/>
                    <w:rPr>
                      <w:szCs w:val="21"/>
                    </w:rPr>
                  </w:pPr>
                  <w:r>
                    <w:rPr>
                      <w:szCs w:val="21"/>
                    </w:rPr>
                    <w:t>固废处理</w:t>
                  </w:r>
                </w:p>
              </w:tc>
              <w:tc>
                <w:tcPr>
                  <w:tcW w:w="3405" w:type="pct"/>
                  <w:vAlign w:val="center"/>
                </w:tcPr>
                <w:p>
                  <w:pPr>
                    <w:pStyle w:val="74"/>
                    <w:ind w:firstLine="0" w:firstLineChars="0"/>
                  </w:pPr>
                  <w:r>
                    <w:t>一般固废</w:t>
                  </w:r>
                  <w:r>
                    <w:rPr>
                      <w:szCs w:val="21"/>
                    </w:rPr>
                    <w:t>交</w:t>
                  </w:r>
                  <w:r>
                    <w:rPr>
                      <w:rFonts w:hint="eastAsia"/>
                      <w:szCs w:val="21"/>
                    </w:rPr>
                    <w:t>专业回收单位回收处理</w:t>
                  </w:r>
                  <w:r>
                    <w:rPr>
                      <w:szCs w:val="21"/>
                    </w:rPr>
                    <w:t>，在</w:t>
                  </w:r>
                  <w:r>
                    <w:rPr>
                      <w:rFonts w:hint="eastAsia"/>
                      <w:szCs w:val="21"/>
                    </w:rPr>
                    <w:t>厂房西南</w:t>
                  </w:r>
                  <w:r>
                    <w:rPr>
                      <w:szCs w:val="21"/>
                    </w:rPr>
                    <w:t>侧设置一般固废间1个（50m</w:t>
                  </w:r>
                  <w:r>
                    <w:rPr>
                      <w:szCs w:val="21"/>
                      <w:vertAlign w:val="superscript"/>
                    </w:rPr>
                    <w:t>2</w:t>
                  </w:r>
                  <w:r>
                    <w:rPr>
                      <w:szCs w:val="21"/>
                    </w:rPr>
                    <w:t>）；危险废物委托有</w:t>
                  </w:r>
                  <w:r>
                    <w:rPr>
                      <w:rFonts w:hint="eastAsia"/>
                      <w:szCs w:val="21"/>
                    </w:rPr>
                    <w:t>危险</w:t>
                  </w:r>
                  <w:r>
                    <w:rPr>
                      <w:szCs w:val="21"/>
                    </w:rPr>
                    <w:t>废物处理资质</w:t>
                  </w:r>
                  <w:r>
                    <w:rPr>
                      <w:rFonts w:hint="eastAsia"/>
                      <w:szCs w:val="21"/>
                    </w:rPr>
                    <w:t>的</w:t>
                  </w:r>
                  <w:r>
                    <w:rPr>
                      <w:szCs w:val="21"/>
                    </w:rPr>
                    <w:t>单位处置，在</w:t>
                  </w:r>
                  <w:r>
                    <w:rPr>
                      <w:rFonts w:hint="eastAsia"/>
                      <w:szCs w:val="21"/>
                    </w:rPr>
                    <w:t>车间内</w:t>
                  </w:r>
                  <w:r>
                    <w:rPr>
                      <w:szCs w:val="21"/>
                    </w:rPr>
                    <w:t>西南</w:t>
                  </w:r>
                  <w:r>
                    <w:rPr>
                      <w:rFonts w:hint="eastAsia"/>
                      <w:szCs w:val="21"/>
                    </w:rPr>
                    <w:t>角</w:t>
                  </w:r>
                  <w:r>
                    <w:rPr>
                      <w:szCs w:val="21"/>
                    </w:rPr>
                    <w:t>设置危废间1个（10m</w:t>
                  </w:r>
                  <w:r>
                    <w:rPr>
                      <w:szCs w:val="21"/>
                      <w:vertAlign w:val="superscript"/>
                    </w:rPr>
                    <w:t>2</w:t>
                  </w:r>
                  <w:r>
                    <w:rPr>
                      <w:szCs w:val="21"/>
                    </w:rPr>
                    <w:t>）；员工生活垃圾</w:t>
                  </w:r>
                  <w:r>
                    <w:rPr>
                      <w:kern w:val="0"/>
                      <w:szCs w:val="21"/>
                    </w:rPr>
                    <w:t>交由环卫部门统一清运</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787" w:type="pct"/>
                  <w:vAlign w:val="center"/>
                </w:tcPr>
                <w:p>
                  <w:pPr>
                    <w:adjustRightInd w:val="0"/>
                    <w:snapToGrid w:val="0"/>
                    <w:jc w:val="center"/>
                    <w:rPr>
                      <w:szCs w:val="21"/>
                    </w:rPr>
                  </w:pPr>
                  <w:r>
                    <w:rPr>
                      <w:szCs w:val="21"/>
                    </w:rPr>
                    <w:t>依托工程</w:t>
                  </w:r>
                </w:p>
              </w:tc>
              <w:tc>
                <w:tcPr>
                  <w:tcW w:w="808" w:type="pct"/>
                  <w:vAlign w:val="center"/>
                </w:tcPr>
                <w:p>
                  <w:pPr>
                    <w:adjustRightInd w:val="0"/>
                    <w:snapToGrid w:val="0"/>
                    <w:jc w:val="center"/>
                    <w:rPr>
                      <w:szCs w:val="21"/>
                    </w:rPr>
                  </w:pPr>
                  <w:r>
                    <w:rPr>
                      <w:szCs w:val="21"/>
                    </w:rPr>
                    <w:t>废水处理</w:t>
                  </w:r>
                </w:p>
              </w:tc>
              <w:tc>
                <w:tcPr>
                  <w:tcW w:w="3405" w:type="pct"/>
                  <w:vAlign w:val="center"/>
                </w:tcPr>
                <w:p>
                  <w:pPr>
                    <w:pStyle w:val="74"/>
                    <w:ind w:firstLine="0" w:firstLineChars="0"/>
                  </w:pPr>
                  <w:r>
                    <w:rPr>
                      <w:kern w:val="0"/>
                      <w:szCs w:val="21"/>
                    </w:rPr>
                    <w:t>杨侨镇生活污水处理厂</w:t>
                  </w:r>
                </w:p>
              </w:tc>
            </w:tr>
          </w:tbl>
          <w:p>
            <w:pPr>
              <w:spacing w:line="360" w:lineRule="auto"/>
              <w:ind w:firstLine="422" w:firstLineChars="200"/>
              <w:rPr>
                <w:b/>
                <w:bCs/>
              </w:rPr>
            </w:pPr>
            <w:r>
              <w:rPr>
                <w:rFonts w:hint="eastAsia"/>
                <w:b/>
                <w:bCs/>
              </w:rPr>
              <w:t>2</w:t>
            </w:r>
            <w:r>
              <w:rPr>
                <w:b/>
                <w:bCs/>
              </w:rPr>
              <w:t>、主要产品及产能</w:t>
            </w:r>
          </w:p>
          <w:p>
            <w:pPr>
              <w:numPr>
                <w:ilvl w:val="0"/>
                <w:numId w:val="2"/>
              </w:numPr>
              <w:adjustRightInd w:val="0"/>
              <w:snapToGrid w:val="0"/>
              <w:spacing w:line="360" w:lineRule="auto"/>
              <w:ind w:left="322"/>
              <w:jc w:val="center"/>
              <w:rPr>
                <w:b/>
              </w:rPr>
            </w:pPr>
            <w:r>
              <w:rPr>
                <w:b/>
              </w:rPr>
              <w:t>项目主要产品及产量表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0"/>
              <w:gridCol w:w="4593"/>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jc w:val="center"/>
                    <w:rPr>
                      <w:b/>
                      <w:szCs w:val="21"/>
                    </w:rPr>
                  </w:pPr>
                  <w:r>
                    <w:rPr>
                      <w:b/>
                      <w:szCs w:val="21"/>
                    </w:rPr>
                    <w:t>产品名称</w:t>
                  </w:r>
                </w:p>
              </w:tc>
              <w:tc>
                <w:tcPr>
                  <w:tcW w:w="2458" w:type="pct"/>
                  <w:vAlign w:val="center"/>
                </w:tcPr>
                <w:p>
                  <w:pPr>
                    <w:jc w:val="center"/>
                    <w:rPr>
                      <w:b/>
                      <w:szCs w:val="21"/>
                    </w:rPr>
                  </w:pPr>
                  <w:r>
                    <w:rPr>
                      <w:rFonts w:hint="eastAsia"/>
                      <w:b/>
                      <w:szCs w:val="21"/>
                    </w:rPr>
                    <w:t>产量</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widowControl/>
                    <w:jc w:val="center"/>
                    <w:rPr>
                      <w:szCs w:val="21"/>
                    </w:rPr>
                  </w:pPr>
                  <w:r>
                    <w:rPr>
                      <w:rFonts w:hint="eastAsia"/>
                      <w:szCs w:val="21"/>
                    </w:rPr>
                    <w:t>汽车抛光用海绵</w:t>
                  </w:r>
                </w:p>
              </w:tc>
              <w:tc>
                <w:tcPr>
                  <w:tcW w:w="2458" w:type="pct"/>
                  <w:vAlign w:val="center"/>
                </w:tcPr>
                <w:p>
                  <w:pPr>
                    <w:jc w:val="center"/>
                    <w:rPr>
                      <w:szCs w:val="21"/>
                    </w:rPr>
                  </w:pPr>
                  <w:r>
                    <w:rPr>
                      <w:szCs w:val="21"/>
                    </w:rPr>
                    <w:t>50</w:t>
                  </w:r>
                  <w:r>
                    <w:rPr>
                      <w:rFonts w:hint="eastAsia"/>
                      <w:szCs w:val="21"/>
                    </w:rPr>
                    <w:t>万个/年</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widowControl/>
                    <w:jc w:val="center"/>
                    <w:rPr>
                      <w:szCs w:val="21"/>
                    </w:rPr>
                  </w:pPr>
                  <w:r>
                    <w:rPr>
                      <w:rFonts w:hint="eastAsia"/>
                      <w:szCs w:val="21"/>
                    </w:rPr>
                    <w:t>手机抛光用</w:t>
                  </w:r>
                  <w:r>
                    <w:rPr>
                      <w:szCs w:val="21"/>
                    </w:rPr>
                    <w:t>刷子</w:t>
                  </w:r>
                </w:p>
              </w:tc>
              <w:tc>
                <w:tcPr>
                  <w:tcW w:w="2458" w:type="pct"/>
                  <w:vAlign w:val="center"/>
                </w:tcPr>
                <w:p>
                  <w:pPr>
                    <w:jc w:val="center"/>
                    <w:rPr>
                      <w:szCs w:val="21"/>
                    </w:rPr>
                  </w:pPr>
                  <w:r>
                    <w:rPr>
                      <w:szCs w:val="21"/>
                    </w:rPr>
                    <w:t>10</w:t>
                  </w:r>
                  <w:r>
                    <w:rPr>
                      <w:rFonts w:hint="eastAsia"/>
                      <w:szCs w:val="21"/>
                    </w:rPr>
                    <w:t>万个/年</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widowControl/>
                    <w:jc w:val="center"/>
                    <w:rPr>
                      <w:szCs w:val="21"/>
                    </w:rPr>
                  </w:pPr>
                  <w:r>
                    <w:rPr>
                      <w:rFonts w:hint="eastAsia"/>
                      <w:szCs w:val="21"/>
                    </w:rPr>
                    <w:t>手机</w:t>
                  </w:r>
                  <w:r>
                    <w:rPr>
                      <w:szCs w:val="21"/>
                    </w:rPr>
                    <w:t>抛光</w:t>
                  </w:r>
                  <w:r>
                    <w:rPr>
                      <w:rFonts w:hint="eastAsia"/>
                      <w:szCs w:val="21"/>
                    </w:rPr>
                    <w:t>用PP片</w:t>
                  </w:r>
                </w:p>
              </w:tc>
              <w:tc>
                <w:tcPr>
                  <w:tcW w:w="2458" w:type="pct"/>
                  <w:vAlign w:val="center"/>
                </w:tcPr>
                <w:p>
                  <w:pPr>
                    <w:jc w:val="center"/>
                    <w:rPr>
                      <w:szCs w:val="21"/>
                    </w:rPr>
                  </w:pPr>
                  <w:r>
                    <w:rPr>
                      <w:szCs w:val="21"/>
                    </w:rPr>
                    <w:t>5</w:t>
                  </w:r>
                  <w:r>
                    <w:rPr>
                      <w:rFonts w:hint="eastAsia"/>
                      <w:szCs w:val="21"/>
                    </w:rPr>
                    <w:t>吨/年</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widowControl/>
                    <w:jc w:val="center"/>
                    <w:rPr>
                      <w:szCs w:val="21"/>
                    </w:rPr>
                  </w:pPr>
                  <w:r>
                    <w:rPr>
                      <w:rFonts w:hint="eastAsia"/>
                      <w:szCs w:val="21"/>
                    </w:rPr>
                    <w:t>手机</w:t>
                  </w:r>
                  <w:r>
                    <w:rPr>
                      <w:szCs w:val="21"/>
                    </w:rPr>
                    <w:t>抛光用海绵扫光盘</w:t>
                  </w:r>
                </w:p>
              </w:tc>
              <w:tc>
                <w:tcPr>
                  <w:tcW w:w="2458" w:type="pct"/>
                  <w:vAlign w:val="center"/>
                </w:tcPr>
                <w:p>
                  <w:pPr>
                    <w:jc w:val="center"/>
                    <w:rPr>
                      <w:szCs w:val="21"/>
                    </w:rPr>
                  </w:pPr>
                  <w:r>
                    <w:rPr>
                      <w:szCs w:val="21"/>
                    </w:rPr>
                    <w:t>7.5</w:t>
                  </w:r>
                  <w:r>
                    <w:rPr>
                      <w:rFonts w:hint="eastAsia"/>
                      <w:szCs w:val="21"/>
                    </w:rPr>
                    <w:t>万个/年</w:t>
                  </w:r>
                </w:p>
              </w:tc>
            </w:tr>
          </w:tbl>
          <w:p>
            <w:pPr>
              <w:adjustRightInd w:val="0"/>
              <w:snapToGrid w:val="0"/>
              <w:spacing w:line="360" w:lineRule="auto"/>
              <w:ind w:firstLine="422" w:firstLineChars="200"/>
              <w:rPr>
                <w:b/>
                <w:bCs/>
              </w:rPr>
            </w:pPr>
            <w:r>
              <w:rPr>
                <w:rFonts w:hint="eastAsia"/>
                <w:b/>
                <w:bCs/>
              </w:rPr>
              <w:t>3</w:t>
            </w:r>
            <w:r>
              <w:rPr>
                <w:b/>
                <w:bCs/>
              </w:rPr>
              <w:t>、主要原辅材料及消耗</w:t>
            </w:r>
          </w:p>
          <w:p>
            <w:pPr>
              <w:numPr>
                <w:ilvl w:val="0"/>
                <w:numId w:val="2"/>
              </w:numPr>
              <w:adjustRightInd w:val="0"/>
              <w:snapToGrid w:val="0"/>
              <w:spacing w:line="360" w:lineRule="auto"/>
              <w:ind w:left="322"/>
              <w:jc w:val="center"/>
              <w:rPr>
                <w:b/>
              </w:rPr>
            </w:pPr>
            <w:r>
              <w:rPr>
                <w:b/>
              </w:rPr>
              <w:t>项目主要原辅材料一览表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48"/>
              <w:gridCol w:w="1166"/>
              <w:gridCol w:w="1908"/>
              <w:gridCol w:w="1908"/>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序号</w:t>
                  </w:r>
                </w:p>
              </w:tc>
              <w:tc>
                <w:tcPr>
                  <w:tcW w:w="882"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名称</w:t>
                  </w:r>
                </w:p>
              </w:tc>
              <w:tc>
                <w:tcPr>
                  <w:tcW w:w="624" w:type="pct"/>
                  <w:vAlign w:val="center"/>
                </w:tcPr>
                <w:p>
                  <w:pPr>
                    <w:pStyle w:val="102"/>
                    <w:snapToGrid w:val="0"/>
                    <w:spacing w:line="240" w:lineRule="auto"/>
                    <w:rPr>
                      <w:rFonts w:ascii="Times New Roman"/>
                      <w:b/>
                      <w:bCs/>
                      <w:sz w:val="21"/>
                      <w:szCs w:val="21"/>
                    </w:rPr>
                  </w:pPr>
                  <w:r>
                    <w:rPr>
                      <w:rFonts w:ascii="Times New Roman"/>
                      <w:b/>
                      <w:bCs/>
                      <w:sz w:val="21"/>
                      <w:szCs w:val="21"/>
                    </w:rPr>
                    <w:t>性状</w:t>
                  </w:r>
                </w:p>
              </w:tc>
              <w:tc>
                <w:tcPr>
                  <w:tcW w:w="1021"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消耗量</w:t>
                  </w:r>
                </w:p>
              </w:tc>
              <w:tc>
                <w:tcPr>
                  <w:tcW w:w="1021"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包装规格</w:t>
                  </w:r>
                </w:p>
              </w:tc>
              <w:tc>
                <w:tcPr>
                  <w:tcW w:w="1018"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最大储存量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1</w:t>
                  </w:r>
                </w:p>
              </w:tc>
              <w:tc>
                <w:tcPr>
                  <w:tcW w:w="882" w:type="pct"/>
                  <w:vAlign w:val="center"/>
                </w:tcPr>
                <w:p>
                  <w:pPr>
                    <w:adjustRightInd w:val="0"/>
                    <w:snapToGrid w:val="0"/>
                    <w:jc w:val="center"/>
                    <w:rPr>
                      <w:szCs w:val="21"/>
                    </w:rPr>
                  </w:pPr>
                  <w:r>
                    <w:rPr>
                      <w:rFonts w:hint="eastAsia"/>
                      <w:szCs w:val="21"/>
                    </w:rPr>
                    <w:t>尼龙布料（宽）</w:t>
                  </w:r>
                </w:p>
              </w:tc>
              <w:tc>
                <w:tcPr>
                  <w:tcW w:w="624" w:type="pct"/>
                  <w:vAlign w:val="center"/>
                </w:tcPr>
                <w:p>
                  <w:pPr>
                    <w:pStyle w:val="21"/>
                    <w:adjustRightInd w:val="0"/>
                    <w:snapToGrid w:val="0"/>
                    <w:jc w:val="center"/>
                    <w:rPr>
                      <w:sz w:val="21"/>
                      <w:szCs w:val="21"/>
                    </w:rPr>
                  </w:pPr>
                  <w:r>
                    <w:rPr>
                      <w:rFonts w:hint="eastAsia"/>
                      <w:sz w:val="21"/>
                      <w:szCs w:val="21"/>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7万 m</w:t>
                  </w:r>
                  <w:r>
                    <w:rPr>
                      <w:rFonts w:ascii="Times New Roman"/>
                      <w:sz w:val="21"/>
                      <w:szCs w:val="21"/>
                    </w:rPr>
                    <w:t>/a</w:t>
                  </w:r>
                </w:p>
              </w:tc>
              <w:tc>
                <w:tcPr>
                  <w:tcW w:w="1021" w:type="pct"/>
                  <w:vAlign w:val="center"/>
                </w:tcPr>
                <w:p>
                  <w:pPr>
                    <w:adjustRightInd w:val="0"/>
                    <w:snapToGrid w:val="0"/>
                    <w:jc w:val="center"/>
                    <w:rPr>
                      <w:szCs w:val="21"/>
                    </w:rPr>
                  </w:pPr>
                  <w:r>
                    <w:rPr>
                      <w:rFonts w:hint="eastAsia"/>
                      <w:szCs w:val="21"/>
                    </w:rPr>
                    <w:t>120 m</w:t>
                  </w:r>
                  <w:r>
                    <w:rPr>
                      <w:szCs w:val="21"/>
                    </w:rPr>
                    <w:t>/</w:t>
                  </w:r>
                  <w:r>
                    <w:rPr>
                      <w:rFonts w:hint="eastAsia"/>
                      <w:szCs w:val="21"/>
                    </w:rPr>
                    <w:t>卷</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1200m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2</w:t>
                  </w:r>
                </w:p>
              </w:tc>
              <w:tc>
                <w:tcPr>
                  <w:tcW w:w="882" w:type="pct"/>
                  <w:vAlign w:val="center"/>
                </w:tcPr>
                <w:p>
                  <w:pPr>
                    <w:adjustRightInd w:val="0"/>
                    <w:snapToGrid w:val="0"/>
                    <w:jc w:val="center"/>
                    <w:rPr>
                      <w:szCs w:val="21"/>
                    </w:rPr>
                  </w:pPr>
                  <w:r>
                    <w:rPr>
                      <w:rFonts w:hint="eastAsia"/>
                      <w:szCs w:val="21"/>
                    </w:rPr>
                    <w:t>尼龙布料（窄）</w:t>
                  </w:r>
                </w:p>
              </w:tc>
              <w:tc>
                <w:tcPr>
                  <w:tcW w:w="624" w:type="pct"/>
                  <w:vAlign w:val="center"/>
                </w:tcPr>
                <w:p>
                  <w:pPr>
                    <w:pStyle w:val="21"/>
                    <w:adjustRightInd w:val="0"/>
                    <w:snapToGrid w:val="0"/>
                    <w:jc w:val="center"/>
                    <w:rPr>
                      <w:sz w:val="21"/>
                      <w:szCs w:val="21"/>
                    </w:rPr>
                  </w:pPr>
                  <w:r>
                    <w:rPr>
                      <w:rFonts w:hint="eastAsia"/>
                      <w:sz w:val="21"/>
                      <w:szCs w:val="21"/>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30万m/a</w:t>
                  </w:r>
                </w:p>
              </w:tc>
              <w:tc>
                <w:tcPr>
                  <w:tcW w:w="1021" w:type="pct"/>
                  <w:vAlign w:val="center"/>
                </w:tcPr>
                <w:p>
                  <w:pPr>
                    <w:adjustRightInd w:val="0"/>
                    <w:snapToGrid w:val="0"/>
                    <w:jc w:val="center"/>
                    <w:rPr>
                      <w:szCs w:val="21"/>
                    </w:rPr>
                  </w:pPr>
                  <w:r>
                    <w:rPr>
                      <w:rFonts w:hint="eastAsia"/>
                      <w:szCs w:val="21"/>
                    </w:rPr>
                    <w:t>100m/卷</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1000</w:t>
                  </w:r>
                  <w:r>
                    <w:rPr>
                      <w:rFonts w:ascii="Times New Roman"/>
                      <w:sz w:val="21"/>
                      <w:szCs w:val="21"/>
                      <w:lang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3</w:t>
                  </w:r>
                </w:p>
              </w:tc>
              <w:tc>
                <w:tcPr>
                  <w:tcW w:w="882" w:type="pct"/>
                  <w:vAlign w:val="center"/>
                </w:tcPr>
                <w:p>
                  <w:pPr>
                    <w:adjustRightInd w:val="0"/>
                    <w:snapToGrid w:val="0"/>
                    <w:jc w:val="center"/>
                    <w:rPr>
                      <w:szCs w:val="21"/>
                    </w:rPr>
                  </w:pPr>
                  <w:r>
                    <w:rPr>
                      <w:rFonts w:hint="eastAsia"/>
                      <w:szCs w:val="21"/>
                    </w:rPr>
                    <w:t>水性胶水</w:t>
                  </w:r>
                </w:p>
              </w:tc>
              <w:tc>
                <w:tcPr>
                  <w:tcW w:w="624" w:type="pct"/>
                  <w:vAlign w:val="center"/>
                </w:tcPr>
                <w:p>
                  <w:pPr>
                    <w:pStyle w:val="21"/>
                    <w:adjustRightInd w:val="0"/>
                    <w:snapToGrid w:val="0"/>
                    <w:jc w:val="center"/>
                    <w:rPr>
                      <w:sz w:val="21"/>
                      <w:szCs w:val="21"/>
                    </w:rPr>
                  </w:pPr>
                  <w:r>
                    <w:rPr>
                      <w:rFonts w:hint="eastAsia"/>
                      <w:sz w:val="21"/>
                      <w:szCs w:val="21"/>
                    </w:rPr>
                    <w:t>液态</w:t>
                  </w:r>
                </w:p>
              </w:tc>
              <w:tc>
                <w:tcPr>
                  <w:tcW w:w="1021" w:type="pct"/>
                  <w:vAlign w:val="center"/>
                </w:tcPr>
                <w:p>
                  <w:pPr>
                    <w:pStyle w:val="102"/>
                    <w:snapToGrid w:val="0"/>
                    <w:spacing w:line="240" w:lineRule="auto"/>
                    <w:rPr>
                      <w:rFonts w:ascii="Times New Roman"/>
                      <w:sz w:val="21"/>
                      <w:szCs w:val="21"/>
                    </w:rPr>
                  </w:pPr>
                  <w:r>
                    <w:rPr>
                      <w:rFonts w:hint="eastAsia" w:ascii="Times New Roman"/>
                      <w:sz w:val="21"/>
                      <w:szCs w:val="21"/>
                      <w:lang w:eastAsia="zh-CN"/>
                    </w:rPr>
                    <w:t xml:space="preserve">8 </w:t>
                  </w:r>
                  <w:r>
                    <w:rPr>
                      <w:rFonts w:ascii="Times New Roman"/>
                      <w:sz w:val="21"/>
                      <w:szCs w:val="21"/>
                    </w:rPr>
                    <w:t>t/a</w:t>
                  </w:r>
                </w:p>
              </w:tc>
              <w:tc>
                <w:tcPr>
                  <w:tcW w:w="1021" w:type="pct"/>
                  <w:vAlign w:val="center"/>
                </w:tcPr>
                <w:p>
                  <w:pPr>
                    <w:adjustRightInd w:val="0"/>
                    <w:snapToGrid w:val="0"/>
                    <w:jc w:val="center"/>
                    <w:rPr>
                      <w:szCs w:val="21"/>
                    </w:rPr>
                  </w:pPr>
                  <w:r>
                    <w:rPr>
                      <w:rFonts w:hint="eastAsia"/>
                      <w:szCs w:val="21"/>
                    </w:rPr>
                    <w:t>1</w:t>
                  </w:r>
                  <w:r>
                    <w:rPr>
                      <w:szCs w:val="21"/>
                    </w:rPr>
                    <w:t>5</w:t>
                  </w:r>
                  <w:r>
                    <w:rPr>
                      <w:rFonts w:hint="eastAsia"/>
                      <w:szCs w:val="21"/>
                    </w:rPr>
                    <w:t xml:space="preserve"> </w:t>
                  </w:r>
                  <w:r>
                    <w:rPr>
                      <w:szCs w:val="21"/>
                    </w:rPr>
                    <w:t>kg/</w:t>
                  </w:r>
                  <w:r>
                    <w:rPr>
                      <w:rFonts w:hint="eastAsia"/>
                      <w:szCs w:val="21"/>
                    </w:rPr>
                    <w:t>桶</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0.3</w:t>
                  </w:r>
                  <w:r>
                    <w:rPr>
                      <w:rFonts w:ascii="Times New Roman"/>
                      <w:sz w:val="21"/>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4</w:t>
                  </w:r>
                </w:p>
              </w:tc>
              <w:tc>
                <w:tcPr>
                  <w:tcW w:w="882" w:type="pct"/>
                  <w:vAlign w:val="center"/>
                </w:tcPr>
                <w:p>
                  <w:pPr>
                    <w:adjustRightInd w:val="0"/>
                    <w:snapToGrid w:val="0"/>
                    <w:jc w:val="center"/>
                    <w:rPr>
                      <w:szCs w:val="21"/>
                    </w:rPr>
                  </w:pPr>
                  <w:r>
                    <w:rPr>
                      <w:rFonts w:hint="eastAsia"/>
                      <w:szCs w:val="21"/>
                    </w:rPr>
                    <w:t>海绵</w:t>
                  </w:r>
                </w:p>
              </w:tc>
              <w:tc>
                <w:tcPr>
                  <w:tcW w:w="624" w:type="pct"/>
                  <w:vAlign w:val="center"/>
                </w:tcPr>
                <w:p>
                  <w:pPr>
                    <w:pStyle w:val="21"/>
                    <w:adjustRightInd w:val="0"/>
                    <w:snapToGrid w:val="0"/>
                    <w:jc w:val="center"/>
                    <w:rPr>
                      <w:sz w:val="21"/>
                      <w:szCs w:val="21"/>
                    </w:rPr>
                  </w:pPr>
                  <w:r>
                    <w:rPr>
                      <w:rFonts w:hint="eastAsia"/>
                      <w:sz w:val="21"/>
                      <w:szCs w:val="21"/>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300</w:t>
                  </w:r>
                  <w:r>
                    <w:rPr>
                      <w:sz w:val="21"/>
                      <w:szCs w:val="21"/>
                    </w:rPr>
                    <w:t>m</w:t>
                  </w:r>
                  <w:r>
                    <w:rPr>
                      <w:sz w:val="21"/>
                      <w:szCs w:val="21"/>
                      <w:vertAlign w:val="superscript"/>
                    </w:rPr>
                    <w:t>3</w:t>
                  </w:r>
                  <w:r>
                    <w:rPr>
                      <w:rFonts w:ascii="Times New Roman"/>
                      <w:sz w:val="21"/>
                      <w:szCs w:val="21"/>
                    </w:rPr>
                    <w:t>/a</w:t>
                  </w:r>
                </w:p>
              </w:tc>
              <w:tc>
                <w:tcPr>
                  <w:tcW w:w="1021" w:type="pct"/>
                  <w:vAlign w:val="center"/>
                </w:tcPr>
                <w:p>
                  <w:pPr>
                    <w:adjustRightInd w:val="0"/>
                    <w:snapToGrid w:val="0"/>
                    <w:jc w:val="center"/>
                    <w:rPr>
                      <w:szCs w:val="21"/>
                    </w:rPr>
                  </w:pPr>
                  <w:r>
                    <w:rPr>
                      <w:szCs w:val="21"/>
                    </w:rPr>
                    <w:t>1</w:t>
                  </w:r>
                  <w:r>
                    <w:rPr>
                      <w:rFonts w:hint="eastAsia"/>
                      <w:szCs w:val="21"/>
                    </w:rPr>
                    <w:t xml:space="preserve"> </w:t>
                  </w:r>
                  <w:r>
                    <w:rPr>
                      <w:szCs w:val="21"/>
                    </w:rPr>
                    <w:t>m</w:t>
                  </w:r>
                  <w:r>
                    <w:rPr>
                      <w:szCs w:val="21"/>
                      <w:vertAlign w:val="superscript"/>
                    </w:rPr>
                    <w:t>3</w:t>
                  </w:r>
                  <w:r>
                    <w:rPr>
                      <w:szCs w:val="21"/>
                    </w:rPr>
                    <w:t>/</w:t>
                  </w:r>
                  <w:r>
                    <w:rPr>
                      <w:rFonts w:hint="eastAsia"/>
                      <w:szCs w:val="21"/>
                    </w:rPr>
                    <w:t>pcs</w:t>
                  </w:r>
                </w:p>
              </w:tc>
              <w:tc>
                <w:tcPr>
                  <w:tcW w:w="1018" w:type="pct"/>
                  <w:vAlign w:val="center"/>
                </w:tcPr>
                <w:p>
                  <w:pPr>
                    <w:pStyle w:val="102"/>
                    <w:snapToGrid w:val="0"/>
                    <w:spacing w:line="240" w:lineRule="auto"/>
                    <w:rPr>
                      <w:rFonts w:ascii="Times New Roman"/>
                      <w:sz w:val="21"/>
                      <w:szCs w:val="21"/>
                    </w:rPr>
                  </w:pPr>
                  <w:r>
                    <w:rPr>
                      <w:sz w:val="21"/>
                      <w:szCs w:val="21"/>
                    </w:rPr>
                    <w:t>10</w:t>
                  </w:r>
                  <w:r>
                    <w:rPr>
                      <w:rFonts w:hint="eastAsia"/>
                      <w:sz w:val="21"/>
                      <w:szCs w:val="21"/>
                      <w:lang w:eastAsia="zh-CN"/>
                    </w:rPr>
                    <w:t xml:space="preserve"> </w:t>
                  </w:r>
                  <w:r>
                    <w:rPr>
                      <w:sz w:val="21"/>
                      <w:szCs w:val="21"/>
                    </w:rPr>
                    <w:t>m</w:t>
                  </w:r>
                  <w:r>
                    <w:rPr>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5</w:t>
                  </w:r>
                </w:p>
              </w:tc>
              <w:tc>
                <w:tcPr>
                  <w:tcW w:w="882" w:type="pct"/>
                  <w:vAlign w:val="center"/>
                </w:tcPr>
                <w:p>
                  <w:pPr>
                    <w:adjustRightInd w:val="0"/>
                    <w:snapToGrid w:val="0"/>
                    <w:jc w:val="center"/>
                    <w:rPr>
                      <w:szCs w:val="21"/>
                    </w:rPr>
                  </w:pPr>
                  <w:r>
                    <w:rPr>
                      <w:rFonts w:hint="eastAsia"/>
                      <w:szCs w:val="21"/>
                    </w:rPr>
                    <w:t>聚氨酯抛光</w:t>
                  </w:r>
                  <w:r>
                    <w:rPr>
                      <w:szCs w:val="21"/>
                    </w:rPr>
                    <w:t>皮</w:t>
                  </w:r>
                </w:p>
              </w:tc>
              <w:tc>
                <w:tcPr>
                  <w:tcW w:w="624" w:type="pct"/>
                  <w:vAlign w:val="center"/>
                </w:tcPr>
                <w:p>
                  <w:pPr>
                    <w:pStyle w:val="21"/>
                    <w:adjustRightInd w:val="0"/>
                    <w:snapToGrid w:val="0"/>
                    <w:jc w:val="center"/>
                    <w:rPr>
                      <w:sz w:val="21"/>
                      <w:szCs w:val="21"/>
                    </w:rPr>
                  </w:pPr>
                  <w:r>
                    <w:rPr>
                      <w:rFonts w:hint="eastAsia"/>
                      <w:sz w:val="21"/>
                      <w:szCs w:val="21"/>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8万</w:t>
                  </w:r>
                  <w:r>
                    <w:rPr>
                      <w:sz w:val="21"/>
                      <w:szCs w:val="21"/>
                    </w:rPr>
                    <w:t>m</w:t>
                  </w:r>
                  <w:r>
                    <w:rPr>
                      <w:sz w:val="21"/>
                      <w:szCs w:val="21"/>
                      <w:vertAlign w:val="superscript"/>
                    </w:rPr>
                    <w:t>2</w:t>
                  </w:r>
                  <w:r>
                    <w:rPr>
                      <w:rFonts w:ascii="Times New Roman"/>
                      <w:sz w:val="21"/>
                      <w:szCs w:val="21"/>
                    </w:rPr>
                    <w:t>//a</w:t>
                  </w:r>
                </w:p>
              </w:tc>
              <w:tc>
                <w:tcPr>
                  <w:tcW w:w="1021" w:type="pct"/>
                  <w:vAlign w:val="center"/>
                </w:tcPr>
                <w:p>
                  <w:pPr>
                    <w:adjustRightInd w:val="0"/>
                    <w:snapToGrid w:val="0"/>
                    <w:jc w:val="center"/>
                    <w:rPr>
                      <w:szCs w:val="21"/>
                    </w:rPr>
                  </w:pPr>
                  <w:r>
                    <w:rPr>
                      <w:rFonts w:hint="eastAsia"/>
                      <w:szCs w:val="21"/>
                    </w:rPr>
                    <w:t>40</w:t>
                  </w:r>
                  <w:r>
                    <w:rPr>
                      <w:szCs w:val="21"/>
                    </w:rPr>
                    <w:t xml:space="preserve"> m</w:t>
                  </w:r>
                  <w:r>
                    <w:rPr>
                      <w:szCs w:val="21"/>
                      <w:vertAlign w:val="superscript"/>
                    </w:rPr>
                    <w:t>2</w:t>
                  </w:r>
                  <w:r>
                    <w:rPr>
                      <w:szCs w:val="21"/>
                    </w:rPr>
                    <w:t>/</w:t>
                  </w:r>
                  <w:r>
                    <w:rPr>
                      <w:rFonts w:hint="eastAsia"/>
                      <w:szCs w:val="21"/>
                    </w:rPr>
                    <w:t>卷</w:t>
                  </w:r>
                </w:p>
              </w:tc>
              <w:tc>
                <w:tcPr>
                  <w:tcW w:w="1018" w:type="pct"/>
                  <w:vAlign w:val="center"/>
                </w:tcPr>
                <w:p>
                  <w:pPr>
                    <w:pStyle w:val="102"/>
                    <w:snapToGrid w:val="0"/>
                    <w:spacing w:line="240" w:lineRule="auto"/>
                    <w:rPr>
                      <w:rFonts w:ascii="Times New Roman"/>
                      <w:sz w:val="21"/>
                      <w:szCs w:val="21"/>
                    </w:rPr>
                  </w:pPr>
                  <w:r>
                    <w:rPr>
                      <w:sz w:val="21"/>
                      <w:szCs w:val="21"/>
                    </w:rPr>
                    <w:t>8</w:t>
                  </w:r>
                  <w:r>
                    <w:rPr>
                      <w:rFonts w:hint="eastAsia"/>
                      <w:sz w:val="21"/>
                      <w:szCs w:val="21"/>
                    </w:rPr>
                    <w:t>0</w:t>
                  </w:r>
                  <w:r>
                    <w:rPr>
                      <w:sz w:val="21"/>
                      <w:szCs w:val="21"/>
                    </w:rPr>
                    <w:t xml:space="preserve"> m</w:t>
                  </w:r>
                  <w:r>
                    <w:rPr>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6</w:t>
                  </w:r>
                </w:p>
              </w:tc>
              <w:tc>
                <w:tcPr>
                  <w:tcW w:w="882" w:type="pct"/>
                  <w:vAlign w:val="center"/>
                </w:tcPr>
                <w:p>
                  <w:pPr>
                    <w:adjustRightInd w:val="0"/>
                    <w:snapToGrid w:val="0"/>
                    <w:jc w:val="center"/>
                    <w:rPr>
                      <w:szCs w:val="21"/>
                    </w:rPr>
                  </w:pPr>
                  <w:r>
                    <w:rPr>
                      <w:rFonts w:hint="eastAsia"/>
                      <w:szCs w:val="21"/>
                    </w:rPr>
                    <w:t>塑料托盘</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8万 pcs</w:t>
                  </w:r>
                  <w:r>
                    <w:rPr>
                      <w:rFonts w:ascii="Times New Roman"/>
                      <w:sz w:val="21"/>
                      <w:szCs w:val="21"/>
                    </w:rPr>
                    <w:t>/a</w:t>
                  </w:r>
                </w:p>
              </w:tc>
              <w:tc>
                <w:tcPr>
                  <w:tcW w:w="1021" w:type="pct"/>
                  <w:vAlign w:val="center"/>
                </w:tcPr>
                <w:p>
                  <w:pPr>
                    <w:adjustRightInd w:val="0"/>
                    <w:snapToGrid w:val="0"/>
                    <w:jc w:val="center"/>
                    <w:rPr>
                      <w:szCs w:val="21"/>
                    </w:rPr>
                  </w:pPr>
                  <w:r>
                    <w:rPr>
                      <w:rFonts w:hint="eastAsia"/>
                      <w:szCs w:val="21"/>
                    </w:rPr>
                    <w:t>196 pcs</w:t>
                  </w:r>
                  <w:r>
                    <w:rPr>
                      <w:szCs w:val="21"/>
                    </w:rPr>
                    <w:t>/</w:t>
                  </w:r>
                  <w:r>
                    <w:rPr>
                      <w:rFonts w:hint="eastAsia"/>
                      <w:szCs w:val="21"/>
                    </w:rPr>
                    <w:t>箱</w:t>
                  </w:r>
                </w:p>
              </w:tc>
              <w:tc>
                <w:tcPr>
                  <w:tcW w:w="1018" w:type="pct"/>
                  <w:vAlign w:val="center"/>
                </w:tcPr>
                <w:p>
                  <w:pPr>
                    <w:pStyle w:val="102"/>
                    <w:snapToGrid w:val="0"/>
                    <w:spacing w:line="240" w:lineRule="auto"/>
                    <w:rPr>
                      <w:rFonts w:ascii="Times New Roman"/>
                      <w:sz w:val="21"/>
                      <w:szCs w:val="21"/>
                      <w:lang w:eastAsia="zh-CN"/>
                    </w:rPr>
                  </w:pPr>
                  <w:r>
                    <w:rPr>
                      <w:rFonts w:hint="eastAsia"/>
                      <w:sz w:val="21"/>
                      <w:szCs w:val="21"/>
                    </w:rPr>
                    <w:t>196</w:t>
                  </w:r>
                  <w:r>
                    <w:rPr>
                      <w:sz w:val="21"/>
                      <w:szCs w:val="21"/>
                    </w:rPr>
                    <w:t>0</w:t>
                  </w:r>
                  <w:r>
                    <w:rPr>
                      <w:rFonts w:hint="eastAsia"/>
                      <w:sz w:val="21"/>
                      <w:szCs w:val="21"/>
                    </w:rPr>
                    <w:t xml:space="preserve"> pcs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7</w:t>
                  </w:r>
                </w:p>
              </w:tc>
              <w:tc>
                <w:tcPr>
                  <w:tcW w:w="882" w:type="pct"/>
                  <w:vAlign w:val="center"/>
                </w:tcPr>
                <w:p>
                  <w:pPr>
                    <w:adjustRightInd w:val="0"/>
                    <w:snapToGrid w:val="0"/>
                    <w:jc w:val="center"/>
                    <w:rPr>
                      <w:szCs w:val="21"/>
                    </w:rPr>
                  </w:pPr>
                  <w:r>
                    <w:rPr>
                      <w:szCs w:val="21"/>
                    </w:rPr>
                    <w:t>EVA</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rPr>
                  </w:pPr>
                  <w:r>
                    <w:rPr>
                      <w:rFonts w:hint="eastAsia" w:ascii="Times New Roman"/>
                      <w:sz w:val="21"/>
                      <w:szCs w:val="21"/>
                      <w:lang w:eastAsia="zh-CN"/>
                    </w:rPr>
                    <w:t>400</w:t>
                  </w:r>
                  <w:r>
                    <w:rPr>
                      <w:sz w:val="21"/>
                      <w:szCs w:val="21"/>
                    </w:rPr>
                    <w:t>m</w:t>
                  </w:r>
                  <w:r>
                    <w:rPr>
                      <w:sz w:val="21"/>
                      <w:szCs w:val="21"/>
                      <w:vertAlign w:val="superscript"/>
                    </w:rPr>
                    <w:t>3</w:t>
                  </w:r>
                  <w:r>
                    <w:rPr>
                      <w:rFonts w:ascii="Times New Roman"/>
                      <w:sz w:val="21"/>
                      <w:szCs w:val="21"/>
                    </w:rPr>
                    <w:t>/a</w:t>
                  </w:r>
                </w:p>
              </w:tc>
              <w:tc>
                <w:tcPr>
                  <w:tcW w:w="1021" w:type="pct"/>
                  <w:vAlign w:val="center"/>
                </w:tcPr>
                <w:p>
                  <w:pPr>
                    <w:adjustRightInd w:val="0"/>
                    <w:snapToGrid w:val="0"/>
                    <w:jc w:val="center"/>
                    <w:rPr>
                      <w:szCs w:val="21"/>
                    </w:rPr>
                  </w:pPr>
                  <w:r>
                    <w:rPr>
                      <w:rFonts w:hint="eastAsia"/>
                      <w:szCs w:val="21"/>
                    </w:rPr>
                    <w:t>0.04</w:t>
                  </w:r>
                  <w:r>
                    <w:rPr>
                      <w:szCs w:val="21"/>
                    </w:rPr>
                    <w:t>m</w:t>
                  </w:r>
                  <w:r>
                    <w:rPr>
                      <w:szCs w:val="21"/>
                      <w:vertAlign w:val="superscript"/>
                    </w:rPr>
                    <w:t>3</w:t>
                  </w:r>
                  <w:r>
                    <w:rPr>
                      <w:szCs w:val="21"/>
                    </w:rPr>
                    <w:t>/</w:t>
                  </w:r>
                  <w:r>
                    <w:rPr>
                      <w:rFonts w:hint="eastAsia"/>
                      <w:szCs w:val="21"/>
                    </w:rPr>
                    <w:t>pcs</w:t>
                  </w:r>
                </w:p>
              </w:tc>
              <w:tc>
                <w:tcPr>
                  <w:tcW w:w="1018" w:type="pct"/>
                  <w:vAlign w:val="center"/>
                </w:tcPr>
                <w:p>
                  <w:pPr>
                    <w:pStyle w:val="102"/>
                    <w:snapToGrid w:val="0"/>
                    <w:spacing w:line="240" w:lineRule="auto"/>
                    <w:rPr>
                      <w:rFonts w:ascii="Times New Roman"/>
                      <w:sz w:val="21"/>
                      <w:szCs w:val="21"/>
                      <w:lang w:eastAsia="zh-CN"/>
                    </w:rPr>
                  </w:pPr>
                  <w:r>
                    <w:rPr>
                      <w:sz w:val="21"/>
                      <w:szCs w:val="21"/>
                    </w:rPr>
                    <w:t>4m</w:t>
                  </w:r>
                  <w:r>
                    <w:rPr>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9</w:t>
                  </w:r>
                </w:p>
              </w:tc>
              <w:tc>
                <w:tcPr>
                  <w:tcW w:w="882" w:type="pct"/>
                  <w:vAlign w:val="center"/>
                </w:tcPr>
                <w:p>
                  <w:pPr>
                    <w:widowControl/>
                    <w:jc w:val="center"/>
                    <w:rPr>
                      <w:szCs w:val="21"/>
                    </w:rPr>
                  </w:pPr>
                  <w:r>
                    <w:rPr>
                      <w:rFonts w:hint="eastAsia"/>
                      <w:szCs w:val="21"/>
                    </w:rPr>
                    <w:t>P</w:t>
                  </w:r>
                  <w:r>
                    <w:rPr>
                      <w:szCs w:val="21"/>
                    </w:rPr>
                    <w:t>P</w:t>
                  </w:r>
                  <w:r>
                    <w:rPr>
                      <w:rFonts w:hint="eastAsia"/>
                      <w:szCs w:val="21"/>
                    </w:rPr>
                    <w:t>塑料粒</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r>
                    <w:rPr>
                      <w:rFonts w:hint="eastAsia" w:ascii="Times New Roman"/>
                      <w:sz w:val="21"/>
                      <w:szCs w:val="21"/>
                      <w:lang w:eastAsia="zh-CN"/>
                    </w:rPr>
                    <w:t>颗粒</w:t>
                  </w:r>
                </w:p>
              </w:tc>
              <w:tc>
                <w:tcPr>
                  <w:tcW w:w="1021" w:type="pct"/>
                  <w:vAlign w:val="center"/>
                </w:tcPr>
                <w:p>
                  <w:pPr>
                    <w:pStyle w:val="102"/>
                    <w:snapToGrid w:val="0"/>
                    <w:spacing w:line="240" w:lineRule="auto"/>
                    <w:rPr>
                      <w:rFonts w:ascii="Times New Roman"/>
                      <w:sz w:val="21"/>
                      <w:szCs w:val="21"/>
                    </w:rPr>
                  </w:pPr>
                  <w:r>
                    <w:rPr>
                      <w:rFonts w:ascii="Times New Roman"/>
                      <w:sz w:val="21"/>
                      <w:szCs w:val="21"/>
                    </w:rPr>
                    <w:t>5.3 t/a</w:t>
                  </w:r>
                </w:p>
              </w:tc>
              <w:tc>
                <w:tcPr>
                  <w:tcW w:w="1021" w:type="pct"/>
                  <w:vAlign w:val="center"/>
                </w:tcPr>
                <w:p>
                  <w:pPr>
                    <w:adjustRightInd w:val="0"/>
                    <w:snapToGrid w:val="0"/>
                    <w:jc w:val="center"/>
                    <w:rPr>
                      <w:szCs w:val="21"/>
                    </w:rPr>
                  </w:pPr>
                  <w:r>
                    <w:rPr>
                      <w:rFonts w:hint="eastAsia"/>
                      <w:szCs w:val="21"/>
                    </w:rPr>
                    <w:t xml:space="preserve">25 </w:t>
                  </w:r>
                  <w:r>
                    <w:rPr>
                      <w:szCs w:val="21"/>
                    </w:rPr>
                    <w:t>kg/袋</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0.25t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10</w:t>
                  </w:r>
                </w:p>
              </w:tc>
              <w:tc>
                <w:tcPr>
                  <w:tcW w:w="882" w:type="pct"/>
                  <w:vAlign w:val="center"/>
                </w:tcPr>
                <w:p>
                  <w:pPr>
                    <w:widowControl/>
                    <w:jc w:val="center"/>
                    <w:rPr>
                      <w:szCs w:val="21"/>
                    </w:rPr>
                  </w:pPr>
                  <w:r>
                    <w:rPr>
                      <w:rFonts w:hint="eastAsia"/>
                      <w:szCs w:val="21"/>
                    </w:rPr>
                    <w:t>热熔胶</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6t</w:t>
                  </w:r>
                  <w:r>
                    <w:rPr>
                      <w:rFonts w:hint="eastAsia" w:ascii="Times New Roman"/>
                      <w:sz w:val="21"/>
                      <w:szCs w:val="21"/>
                      <w:lang w:eastAsia="zh-CN"/>
                    </w:rPr>
                    <w:t>/a</w:t>
                  </w:r>
                </w:p>
              </w:tc>
              <w:tc>
                <w:tcPr>
                  <w:tcW w:w="1021" w:type="pct"/>
                  <w:vAlign w:val="center"/>
                </w:tcPr>
                <w:p>
                  <w:pPr>
                    <w:adjustRightInd w:val="0"/>
                    <w:snapToGrid w:val="0"/>
                    <w:jc w:val="center"/>
                    <w:rPr>
                      <w:szCs w:val="21"/>
                    </w:rPr>
                  </w:pPr>
                  <w:r>
                    <w:rPr>
                      <w:szCs w:val="21"/>
                    </w:rPr>
                    <w:t>20kg</w:t>
                  </w:r>
                  <w:r>
                    <w:rPr>
                      <w:rFonts w:hint="eastAsia"/>
                      <w:szCs w:val="21"/>
                    </w:rPr>
                    <w:t>/卷</w:t>
                  </w:r>
                </w:p>
              </w:tc>
              <w:tc>
                <w:tcPr>
                  <w:tcW w:w="1018"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0.2t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11</w:t>
                  </w:r>
                </w:p>
              </w:tc>
              <w:tc>
                <w:tcPr>
                  <w:tcW w:w="882" w:type="pct"/>
                  <w:vAlign w:val="center"/>
                </w:tcPr>
                <w:p>
                  <w:pPr>
                    <w:widowControl/>
                    <w:jc w:val="center"/>
                    <w:rPr>
                      <w:szCs w:val="21"/>
                    </w:rPr>
                  </w:pPr>
                  <w:r>
                    <w:rPr>
                      <w:rFonts w:hint="eastAsia"/>
                      <w:szCs w:val="21"/>
                    </w:rPr>
                    <w:t>水性</w:t>
                  </w:r>
                  <w:r>
                    <w:rPr>
                      <w:szCs w:val="21"/>
                    </w:rPr>
                    <w:t>油墨</w:t>
                  </w:r>
                </w:p>
              </w:tc>
              <w:tc>
                <w:tcPr>
                  <w:tcW w:w="624" w:type="pct"/>
                  <w:vAlign w:val="center"/>
                </w:tcPr>
                <w:p>
                  <w:pPr>
                    <w:pStyle w:val="102"/>
                    <w:snapToGrid w:val="0"/>
                    <w:spacing w:line="240" w:lineRule="auto"/>
                    <w:rPr>
                      <w:rFonts w:ascii="Times New Roman"/>
                      <w:sz w:val="21"/>
                      <w:szCs w:val="21"/>
                      <w:lang w:eastAsia="zh-CN"/>
                    </w:rPr>
                  </w:pPr>
                  <w:r>
                    <w:rPr>
                      <w:rFonts w:hint="eastAsia"/>
                      <w:sz w:val="21"/>
                      <w:szCs w:val="21"/>
                    </w:rPr>
                    <w:t>液态</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0.02t</w:t>
                  </w:r>
                  <w:r>
                    <w:rPr>
                      <w:rFonts w:hint="eastAsia" w:ascii="Times New Roman"/>
                      <w:sz w:val="21"/>
                      <w:szCs w:val="21"/>
                      <w:lang w:eastAsia="zh-CN"/>
                    </w:rPr>
                    <w:t>/a</w:t>
                  </w:r>
                </w:p>
              </w:tc>
              <w:tc>
                <w:tcPr>
                  <w:tcW w:w="1021" w:type="pct"/>
                  <w:vAlign w:val="center"/>
                </w:tcPr>
                <w:p>
                  <w:pPr>
                    <w:adjustRightInd w:val="0"/>
                    <w:snapToGrid w:val="0"/>
                    <w:jc w:val="center"/>
                    <w:rPr>
                      <w:szCs w:val="21"/>
                    </w:rPr>
                  </w:pPr>
                  <w:r>
                    <w:rPr>
                      <w:szCs w:val="21"/>
                    </w:rPr>
                    <w:t>500g</w:t>
                  </w:r>
                  <w:r>
                    <w:rPr>
                      <w:rFonts w:hint="eastAsia"/>
                      <w:szCs w:val="21"/>
                    </w:rPr>
                    <w:t>/瓶</w:t>
                  </w:r>
                </w:p>
              </w:tc>
              <w:tc>
                <w:tcPr>
                  <w:tcW w:w="1018"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2500g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12</w:t>
                  </w:r>
                </w:p>
              </w:tc>
              <w:tc>
                <w:tcPr>
                  <w:tcW w:w="882" w:type="pct"/>
                  <w:vAlign w:val="center"/>
                </w:tcPr>
                <w:p>
                  <w:pPr>
                    <w:widowControl/>
                    <w:jc w:val="center"/>
                    <w:rPr>
                      <w:szCs w:val="21"/>
                    </w:rPr>
                  </w:pPr>
                  <w:r>
                    <w:rPr>
                      <w:rFonts w:hint="eastAsia"/>
                      <w:szCs w:val="21"/>
                    </w:rPr>
                    <w:t>ABS底板</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400 pcs</w:t>
                  </w:r>
                  <w:r>
                    <w:rPr>
                      <w:rFonts w:ascii="Times New Roman"/>
                      <w:sz w:val="21"/>
                      <w:szCs w:val="21"/>
                      <w:lang w:eastAsia="zh-CN"/>
                    </w:rPr>
                    <w:t>/a</w:t>
                  </w:r>
                </w:p>
              </w:tc>
              <w:tc>
                <w:tcPr>
                  <w:tcW w:w="1021" w:type="pct"/>
                  <w:vAlign w:val="center"/>
                </w:tcPr>
                <w:p>
                  <w:pPr>
                    <w:adjustRightInd w:val="0"/>
                    <w:snapToGrid w:val="0"/>
                    <w:jc w:val="center"/>
                    <w:rPr>
                      <w:szCs w:val="21"/>
                    </w:rPr>
                  </w:pPr>
                  <w:r>
                    <w:rPr>
                      <w:rFonts w:hint="eastAsia"/>
                      <w:szCs w:val="21"/>
                    </w:rPr>
                    <w:t>5 pcs/包</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50</w:t>
                  </w:r>
                  <w:r>
                    <w:rPr>
                      <w:rFonts w:hint="eastAsia"/>
                      <w:sz w:val="21"/>
                      <w:szCs w:val="21"/>
                    </w:rPr>
                    <w:t xml:space="preserve"> pcs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13</w:t>
                  </w:r>
                </w:p>
              </w:tc>
              <w:tc>
                <w:tcPr>
                  <w:tcW w:w="882" w:type="pct"/>
                  <w:vAlign w:val="center"/>
                </w:tcPr>
                <w:p>
                  <w:pPr>
                    <w:widowControl/>
                    <w:jc w:val="center"/>
                    <w:rPr>
                      <w:szCs w:val="21"/>
                    </w:rPr>
                  </w:pPr>
                  <w:r>
                    <w:rPr>
                      <w:rFonts w:hint="eastAsia"/>
                      <w:szCs w:val="21"/>
                    </w:rPr>
                    <w:t>不干胶</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ind w:firstLine="630" w:firstLineChars="300"/>
                    <w:jc w:val="both"/>
                    <w:rPr>
                      <w:rFonts w:ascii="Times New Roman"/>
                      <w:sz w:val="21"/>
                      <w:szCs w:val="21"/>
                      <w:lang w:eastAsia="zh-CN"/>
                    </w:rPr>
                  </w:pPr>
                  <w:r>
                    <w:rPr>
                      <w:rFonts w:hint="eastAsia" w:ascii="Times New Roman"/>
                      <w:sz w:val="21"/>
                      <w:szCs w:val="21"/>
                      <w:lang w:eastAsia="zh-CN"/>
                    </w:rPr>
                    <w:t>2万</w:t>
                  </w:r>
                  <w:r>
                    <w:rPr>
                      <w:rFonts w:ascii="Times New Roman"/>
                      <w:sz w:val="21"/>
                      <w:szCs w:val="21"/>
                      <w:lang w:eastAsia="zh-CN"/>
                    </w:rPr>
                    <w:t>m/a</w:t>
                  </w:r>
                </w:p>
              </w:tc>
              <w:tc>
                <w:tcPr>
                  <w:tcW w:w="1021" w:type="pct"/>
                  <w:vAlign w:val="center"/>
                </w:tcPr>
                <w:p>
                  <w:pPr>
                    <w:adjustRightInd w:val="0"/>
                    <w:snapToGrid w:val="0"/>
                    <w:jc w:val="center"/>
                    <w:rPr>
                      <w:szCs w:val="21"/>
                    </w:rPr>
                  </w:pPr>
                  <w:r>
                    <w:rPr>
                      <w:rFonts w:hint="eastAsia"/>
                      <w:szCs w:val="21"/>
                    </w:rPr>
                    <w:t>100 m/卷</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1000m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14</w:t>
                  </w:r>
                </w:p>
              </w:tc>
              <w:tc>
                <w:tcPr>
                  <w:tcW w:w="882" w:type="pct"/>
                  <w:vAlign w:val="center"/>
                </w:tcPr>
                <w:p>
                  <w:pPr>
                    <w:widowControl/>
                    <w:jc w:val="center"/>
                    <w:rPr>
                      <w:szCs w:val="21"/>
                    </w:rPr>
                  </w:pPr>
                  <w:r>
                    <w:rPr>
                      <w:rFonts w:hint="eastAsia"/>
                      <w:szCs w:val="21"/>
                    </w:rPr>
                    <w:t>PP胶丝</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 xml:space="preserve">150 </w:t>
                  </w:r>
                  <w:r>
                    <w:rPr>
                      <w:rFonts w:ascii="Times New Roman"/>
                      <w:sz w:val="21"/>
                      <w:szCs w:val="21"/>
                    </w:rPr>
                    <w:t>t/a</w:t>
                  </w:r>
                </w:p>
              </w:tc>
              <w:tc>
                <w:tcPr>
                  <w:tcW w:w="1021" w:type="pct"/>
                  <w:vAlign w:val="center"/>
                </w:tcPr>
                <w:p>
                  <w:pPr>
                    <w:adjustRightInd w:val="0"/>
                    <w:snapToGrid w:val="0"/>
                    <w:jc w:val="center"/>
                    <w:rPr>
                      <w:szCs w:val="21"/>
                    </w:rPr>
                  </w:pPr>
                  <w:r>
                    <w:rPr>
                      <w:szCs w:val="21"/>
                    </w:rPr>
                    <w:t>25</w:t>
                  </w:r>
                  <w:r>
                    <w:rPr>
                      <w:rFonts w:hint="eastAsia"/>
                      <w:szCs w:val="21"/>
                    </w:rPr>
                    <w:t xml:space="preserve"> </w:t>
                  </w:r>
                  <w:r>
                    <w:rPr>
                      <w:szCs w:val="21"/>
                    </w:rPr>
                    <w:t>kg/</w:t>
                  </w:r>
                  <w:r>
                    <w:rPr>
                      <w:rFonts w:hint="eastAsia"/>
                      <w:szCs w:val="21"/>
                    </w:rPr>
                    <w:t>箱</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2.5</w:t>
                  </w:r>
                  <w:r>
                    <w:rPr>
                      <w:rFonts w:ascii="Times New Roman"/>
                      <w:sz w:val="21"/>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15</w:t>
                  </w:r>
                </w:p>
              </w:tc>
              <w:tc>
                <w:tcPr>
                  <w:tcW w:w="882" w:type="pct"/>
                  <w:vAlign w:val="center"/>
                </w:tcPr>
                <w:p>
                  <w:pPr>
                    <w:widowControl/>
                    <w:jc w:val="center"/>
                    <w:rPr>
                      <w:szCs w:val="21"/>
                    </w:rPr>
                  </w:pPr>
                  <w:r>
                    <w:rPr>
                      <w:rFonts w:hint="eastAsia"/>
                      <w:szCs w:val="21"/>
                    </w:rPr>
                    <w:t>铁丝</w:t>
                  </w:r>
                </w:p>
              </w:tc>
              <w:tc>
                <w:tcPr>
                  <w:tcW w:w="624"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固态</w:t>
                  </w:r>
                </w:p>
              </w:tc>
              <w:tc>
                <w:tcPr>
                  <w:tcW w:w="1021"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 xml:space="preserve">4 </w:t>
                  </w:r>
                  <w:r>
                    <w:rPr>
                      <w:rFonts w:ascii="Times New Roman"/>
                      <w:sz w:val="21"/>
                      <w:szCs w:val="21"/>
                    </w:rPr>
                    <w:t>t/a</w:t>
                  </w:r>
                </w:p>
              </w:tc>
              <w:tc>
                <w:tcPr>
                  <w:tcW w:w="1021" w:type="pct"/>
                  <w:vAlign w:val="center"/>
                </w:tcPr>
                <w:p>
                  <w:pPr>
                    <w:adjustRightInd w:val="0"/>
                    <w:snapToGrid w:val="0"/>
                    <w:jc w:val="center"/>
                    <w:rPr>
                      <w:szCs w:val="21"/>
                    </w:rPr>
                  </w:pPr>
                  <w:r>
                    <w:rPr>
                      <w:szCs w:val="21"/>
                    </w:rPr>
                    <w:t>25</w:t>
                  </w:r>
                  <w:r>
                    <w:rPr>
                      <w:rFonts w:hint="eastAsia"/>
                      <w:szCs w:val="21"/>
                    </w:rPr>
                    <w:t xml:space="preserve"> </w:t>
                  </w:r>
                  <w:r>
                    <w:rPr>
                      <w:szCs w:val="21"/>
                    </w:rPr>
                    <w:t>kg/</w:t>
                  </w:r>
                  <w:r>
                    <w:rPr>
                      <w:rFonts w:hint="eastAsia"/>
                      <w:szCs w:val="21"/>
                    </w:rPr>
                    <w:t>卷</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0.5</w:t>
                  </w:r>
                  <w:r>
                    <w:rPr>
                      <w:rFonts w:ascii="Times New Roman"/>
                      <w:sz w:val="21"/>
                      <w:szCs w:val="21"/>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16</w:t>
                  </w:r>
                </w:p>
              </w:tc>
              <w:tc>
                <w:tcPr>
                  <w:tcW w:w="882" w:type="pct"/>
                  <w:vAlign w:val="center"/>
                </w:tcPr>
                <w:p>
                  <w:pPr>
                    <w:widowControl/>
                    <w:jc w:val="center"/>
                    <w:rPr>
                      <w:szCs w:val="21"/>
                    </w:rPr>
                  </w:pPr>
                  <w:r>
                    <w:rPr>
                      <w:rFonts w:hint="eastAsia"/>
                      <w:szCs w:val="21"/>
                    </w:rPr>
                    <w:t>机油</w:t>
                  </w:r>
                </w:p>
              </w:tc>
              <w:tc>
                <w:tcPr>
                  <w:tcW w:w="624" w:type="pct"/>
                  <w:vAlign w:val="center"/>
                </w:tcPr>
                <w:p>
                  <w:pPr>
                    <w:pStyle w:val="102"/>
                    <w:snapToGrid w:val="0"/>
                    <w:spacing w:line="240" w:lineRule="auto"/>
                    <w:rPr>
                      <w:rFonts w:ascii="Times New Roman"/>
                      <w:sz w:val="21"/>
                      <w:szCs w:val="21"/>
                      <w:lang w:eastAsia="zh-CN"/>
                    </w:rPr>
                  </w:pPr>
                  <w:r>
                    <w:rPr>
                      <w:rFonts w:hint="eastAsia"/>
                      <w:sz w:val="21"/>
                      <w:szCs w:val="21"/>
                    </w:rPr>
                    <w:t>液态</w:t>
                  </w:r>
                </w:p>
              </w:tc>
              <w:tc>
                <w:tcPr>
                  <w:tcW w:w="1021" w:type="pct"/>
                  <w:vAlign w:val="center"/>
                </w:tcPr>
                <w:p>
                  <w:pPr>
                    <w:pStyle w:val="102"/>
                    <w:snapToGrid w:val="0"/>
                    <w:spacing w:line="240" w:lineRule="auto"/>
                    <w:rPr>
                      <w:rFonts w:ascii="Times New Roman"/>
                      <w:sz w:val="21"/>
                      <w:szCs w:val="21"/>
                    </w:rPr>
                  </w:pPr>
                  <w:r>
                    <w:rPr>
                      <w:rFonts w:ascii="Times New Roman"/>
                      <w:sz w:val="21"/>
                      <w:szCs w:val="21"/>
                      <w:lang w:eastAsia="zh-CN"/>
                    </w:rPr>
                    <w:t>0.05</w:t>
                  </w:r>
                  <w:r>
                    <w:rPr>
                      <w:rFonts w:hint="eastAsia" w:ascii="Times New Roman"/>
                      <w:sz w:val="21"/>
                      <w:szCs w:val="21"/>
                      <w:lang w:eastAsia="zh-CN"/>
                    </w:rPr>
                    <w:t xml:space="preserve"> </w:t>
                  </w:r>
                  <w:r>
                    <w:rPr>
                      <w:rFonts w:ascii="Times New Roman"/>
                      <w:sz w:val="21"/>
                      <w:szCs w:val="21"/>
                    </w:rPr>
                    <w:t>t/a</w:t>
                  </w:r>
                </w:p>
              </w:tc>
              <w:tc>
                <w:tcPr>
                  <w:tcW w:w="1021" w:type="pct"/>
                  <w:vAlign w:val="center"/>
                </w:tcPr>
                <w:p>
                  <w:pPr>
                    <w:adjustRightInd w:val="0"/>
                    <w:snapToGrid w:val="0"/>
                    <w:jc w:val="center"/>
                    <w:rPr>
                      <w:szCs w:val="21"/>
                    </w:rPr>
                  </w:pPr>
                  <w:r>
                    <w:rPr>
                      <w:szCs w:val="21"/>
                    </w:rPr>
                    <w:t>5</w:t>
                  </w:r>
                  <w:r>
                    <w:rPr>
                      <w:rFonts w:hint="eastAsia"/>
                      <w:szCs w:val="21"/>
                    </w:rPr>
                    <w:t xml:space="preserve"> </w:t>
                  </w:r>
                  <w:r>
                    <w:rPr>
                      <w:szCs w:val="21"/>
                    </w:rPr>
                    <w:t>kg/</w:t>
                  </w:r>
                  <w:r>
                    <w:rPr>
                      <w:rFonts w:hint="eastAsia"/>
                      <w:szCs w:val="21"/>
                    </w:rPr>
                    <w:t>桶</w:t>
                  </w:r>
                </w:p>
              </w:tc>
              <w:tc>
                <w:tcPr>
                  <w:tcW w:w="1018"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0.01t</w:t>
                  </w:r>
                </w:p>
              </w:tc>
            </w:tr>
          </w:tbl>
          <w:p>
            <w:pPr>
              <w:adjustRightInd w:val="0"/>
              <w:snapToGrid w:val="0"/>
              <w:spacing w:line="360" w:lineRule="auto"/>
              <w:ind w:firstLine="420" w:firstLineChars="200"/>
              <w:rPr>
                <w:szCs w:val="21"/>
              </w:rPr>
            </w:pPr>
            <w:r>
              <w:t>备注：</w:t>
            </w:r>
            <w:r>
              <w:rPr>
                <w:szCs w:val="21"/>
              </w:rPr>
              <w:t>项目使用的PP</w:t>
            </w:r>
            <w:r>
              <w:rPr>
                <w:rFonts w:hint="eastAsia"/>
                <w:szCs w:val="21"/>
              </w:rPr>
              <w:t>塑料粒</w:t>
            </w:r>
            <w:r>
              <w:rPr>
                <w:szCs w:val="21"/>
              </w:rPr>
              <w:t>为新料。</w:t>
            </w:r>
          </w:p>
          <w:p>
            <w:pPr>
              <w:adjustRightInd w:val="0"/>
              <w:snapToGrid w:val="0"/>
              <w:spacing w:line="360" w:lineRule="auto"/>
              <w:ind w:firstLine="422" w:firstLineChars="200"/>
            </w:pPr>
            <w:r>
              <w:rPr>
                <w:rFonts w:hint="eastAsia"/>
                <w:b/>
              </w:rPr>
              <w:t>P</w:t>
            </w:r>
            <w:r>
              <w:rPr>
                <w:b/>
              </w:rPr>
              <w:t>P</w:t>
            </w:r>
            <w:r>
              <w:rPr>
                <w:rFonts w:hint="eastAsia"/>
                <w:b/>
              </w:rPr>
              <w:t>塑料</w:t>
            </w:r>
            <w:r>
              <w:rPr>
                <w:b/>
              </w:rPr>
              <w:t>：</w:t>
            </w:r>
            <w:r>
              <w:rPr>
                <w:szCs w:val="21"/>
              </w:rPr>
              <w:t>聚丙烯简称PP，是一种无色、无臭、无毒、半透明固体物质，是丙烯通过加聚反应而成的聚合物，系白色蜡状材料，外观透明而轻。化学式为(C</w:t>
            </w:r>
            <w:r>
              <w:rPr>
                <w:szCs w:val="21"/>
                <w:vertAlign w:val="subscript"/>
              </w:rPr>
              <w:t>3</w:t>
            </w:r>
            <w:r>
              <w:rPr>
                <w:szCs w:val="21"/>
              </w:rPr>
              <w:t>H</w:t>
            </w:r>
            <w:r>
              <w:rPr>
                <w:szCs w:val="21"/>
                <w:vertAlign w:val="subscript"/>
              </w:rPr>
              <w:t>6</w:t>
            </w:r>
            <w:r>
              <w:rPr>
                <w:szCs w:val="21"/>
              </w:rPr>
              <w:t>)n，密度为0.89～0.91g/cm</w:t>
            </w:r>
            <w:r>
              <w:rPr>
                <w:szCs w:val="21"/>
                <w:vertAlign w:val="superscript"/>
              </w:rPr>
              <w:t>3</w:t>
            </w:r>
            <w:r>
              <w:rPr>
                <w:szCs w:val="21"/>
              </w:rPr>
              <w:t>，易燃，熔点189</w:t>
            </w:r>
            <w:r>
              <w:rPr>
                <w:rFonts w:hint="eastAsia" w:ascii="宋体" w:hAnsi="宋体" w:cs="宋体"/>
                <w:szCs w:val="21"/>
              </w:rPr>
              <w:t>℃</w:t>
            </w:r>
            <w:r>
              <w:rPr>
                <w:szCs w:val="21"/>
              </w:rPr>
              <w:t>，在155</w:t>
            </w:r>
            <w:r>
              <w:rPr>
                <w:rFonts w:hint="eastAsia" w:ascii="宋体" w:hAnsi="宋体" w:cs="宋体"/>
                <w:szCs w:val="21"/>
              </w:rPr>
              <w:t>℃</w:t>
            </w:r>
            <w:r>
              <w:rPr>
                <w:szCs w:val="21"/>
              </w:rPr>
              <w:t>左右软化，分解温度370</w:t>
            </w:r>
            <w:r>
              <w:rPr>
                <w:rFonts w:hint="eastAsia" w:ascii="宋体" w:hAnsi="宋体" w:cs="宋体"/>
                <w:szCs w:val="21"/>
              </w:rPr>
              <w:t>℃</w:t>
            </w:r>
            <w:r>
              <w:rPr>
                <w:szCs w:val="21"/>
              </w:rPr>
              <w:t>，使用温度范围为-30～140</w:t>
            </w:r>
            <w:r>
              <w:rPr>
                <w:rFonts w:hint="eastAsia" w:ascii="宋体" w:hAnsi="宋体" w:cs="宋体"/>
                <w:szCs w:val="21"/>
              </w:rPr>
              <w:t>℃</w:t>
            </w:r>
            <w:r>
              <w:rPr>
                <w:szCs w:val="21"/>
              </w:rPr>
              <w:t>。聚丙烯广泛应用于服装、毛毯等纤维制品、医疗器械、汽车、自行车、零件、输送管道、化工容器等生产，也用于食品、药品包装，具有耐化学性、耐热性、电绝缘性、高强度机械性能和良好的高耐磨加工性能等</w:t>
            </w:r>
            <w:r>
              <w:t>。</w:t>
            </w:r>
          </w:p>
          <w:p>
            <w:pPr>
              <w:adjustRightInd w:val="0"/>
              <w:snapToGrid w:val="0"/>
              <w:spacing w:line="360" w:lineRule="auto"/>
              <w:ind w:firstLine="422" w:firstLineChars="200"/>
            </w:pPr>
            <w:r>
              <w:rPr>
                <w:rFonts w:hint="eastAsia"/>
                <w:b/>
              </w:rPr>
              <w:t>水性</w:t>
            </w:r>
            <w:r>
              <w:rPr>
                <w:b/>
              </w:rPr>
              <w:t>胶水：</w:t>
            </w:r>
            <w:r>
              <w:rPr>
                <w:rFonts w:hint="eastAsia"/>
                <w:szCs w:val="21"/>
              </w:rPr>
              <w:t>本项目所用水性胶水主要成分为：</w:t>
            </w:r>
            <w:r>
              <w:rPr>
                <w:szCs w:val="21"/>
              </w:rPr>
              <w:t>水性氯丁胶乳35-45%、水性树脂10-15%、去离子水40-45%，</w:t>
            </w:r>
            <w:r>
              <w:rPr>
                <w:rFonts w:hint="eastAsia"/>
                <w:szCs w:val="21"/>
              </w:rPr>
              <w:t>属于橡胶类胶黏剂，</w:t>
            </w:r>
            <w:r>
              <w:rPr>
                <w:szCs w:val="21"/>
              </w:rPr>
              <w:t>根据供应商提供的VOCs检测报告，其VOCs含量为27g/L，满足《胶黏剂挥发性有机化合物限量》（GB33372-2020）中表2水基型</w:t>
            </w:r>
            <w:r>
              <w:rPr>
                <w:rFonts w:hint="eastAsia"/>
                <w:szCs w:val="21"/>
              </w:rPr>
              <w:t>橡胶</w:t>
            </w:r>
            <w:r>
              <w:rPr>
                <w:szCs w:val="21"/>
              </w:rPr>
              <w:t>类胶黏剂</w:t>
            </w:r>
            <w:r>
              <w:rPr>
                <w:rFonts w:hint="eastAsia"/>
                <w:szCs w:val="21"/>
              </w:rPr>
              <w:t>木工与</w:t>
            </w:r>
            <w:r>
              <w:rPr>
                <w:szCs w:val="21"/>
              </w:rPr>
              <w:t>家具类类限值的要求，为低VOCs型胶黏剂。MSDS</w:t>
            </w:r>
            <w:r>
              <w:rPr>
                <w:rFonts w:hint="eastAsia"/>
                <w:szCs w:val="21"/>
              </w:rPr>
              <w:t>和</w:t>
            </w:r>
            <w:r>
              <w:rPr>
                <w:szCs w:val="21"/>
              </w:rPr>
              <w:t>VOCs检测报告见附件5</w:t>
            </w:r>
            <w:r>
              <w:t>。</w:t>
            </w:r>
          </w:p>
          <w:p>
            <w:pPr>
              <w:adjustRightInd w:val="0"/>
              <w:snapToGrid w:val="0"/>
              <w:spacing w:line="360" w:lineRule="auto"/>
              <w:ind w:firstLine="422" w:firstLineChars="200"/>
            </w:pPr>
            <w:r>
              <w:rPr>
                <w:rFonts w:hint="eastAsia"/>
                <w:b/>
              </w:rPr>
              <w:t>热熔胶</w:t>
            </w:r>
            <w:r>
              <w:rPr>
                <w:b/>
              </w:rPr>
              <w:t>：</w:t>
            </w:r>
            <w:r>
              <w:rPr>
                <w:szCs w:val="21"/>
              </w:rPr>
              <w:t>根据建设单位提供的MSDS（详见附件5），本项目使用的热熔胶主要成分为：EVA树脂45-50%、石油树脂30-40%，其他物质10-25%，常温下为固态，固形物含量99.8%，不含有机溶剂， VOCs含量为0%， 满足《</w:t>
            </w:r>
            <w:r>
              <w:fldChar w:fldCharType="begin"/>
            </w:r>
            <w:r>
              <w:instrText xml:space="preserve"> HYPERLINK "https://www.so.com/link?m=bHg42ZtqIW%2BuVTanwiy6%2FAondUw2noIG6HLLEXuJX%2FmD2rlofXiKX6U2AbXofh%2BQ1O4dx2nEqXDyDWHvl2XHcEQUaV2xVDMpbErb35mPNO46IjrWIYrBEywr%2B%2FDTZcK%2FbtAks16s%2F2RjrG%2FUiWCBUMKoTSGzNo1JU27hVK58Yxxvxh%2FnRAbPvYm2xP8PWOxjfCmig32NlcvhoB3HAvZz3sHUULs1OTmVihZYj6kV4KYEBIXV0%2BQiNcBXKIeiVezpFoREjsMWLZL%2BGtKO%2BK8sK5TgZLd7S43gwIDEYnnCS09BTUZfpdfBveIzhLx2wIS2DXMedsrWsvN67Ji63bxgv3w%3D%3D" \t "_blank" </w:instrText>
            </w:r>
            <w:r>
              <w:fldChar w:fldCharType="separate"/>
            </w:r>
            <w:r>
              <w:rPr>
                <w:szCs w:val="21"/>
              </w:rPr>
              <w:t>胶粘剂挥发性有机化合物限值》（GB 33372-2020）</w:t>
            </w:r>
            <w:r>
              <w:rPr>
                <w:szCs w:val="21"/>
              </w:rPr>
              <w:fldChar w:fldCharType="end"/>
            </w:r>
            <w:r>
              <w:rPr>
                <w:szCs w:val="21"/>
              </w:rPr>
              <w:t>表3本体型胶黏剂-其他类VOCs含量≤50g/kg的要求，属于低VOC型胶黏剂</w:t>
            </w:r>
            <w:r>
              <w:t>。</w:t>
            </w:r>
          </w:p>
          <w:p>
            <w:pPr>
              <w:adjustRightInd w:val="0"/>
              <w:snapToGrid w:val="0"/>
              <w:spacing w:line="360" w:lineRule="auto"/>
              <w:ind w:firstLine="422" w:firstLineChars="200"/>
            </w:pPr>
            <w:r>
              <w:rPr>
                <w:rFonts w:hint="eastAsia"/>
                <w:b/>
              </w:rPr>
              <w:t>水性</w:t>
            </w:r>
            <w:r>
              <w:rPr>
                <w:b/>
              </w:rPr>
              <w:t>油墨：</w:t>
            </w:r>
            <w:r>
              <w:rPr>
                <w:szCs w:val="21"/>
              </w:rPr>
              <w:t>水性油墨简称为水墨，是以水作为主要稀释剂的油墨，它主要是由连结料、颜料、助剂等物质组成的均匀浆状物质。根据建设单位提供的MSDS，本项目水性油墨主要成分为：水性丙烯酸树脂42-48%、颜料8-20%，聚乙烯蜡3-5%、丙二醇0-3%、消泡剂0.1-0.3%，水30-50%，根据建设单位提供的VOCs检测报告，其VOCs含量为1%，满足《油墨中可挥发性有机化合物（VOCs）含量的限值》（GB38507-2020）表1中水性柔印油墨（吸收性承印物）VOCs限值的要求：≤5%的要求，为低VOCs型油墨，MSDS和检测报告见附件5</w:t>
            </w:r>
            <w:r>
              <w:t>。</w:t>
            </w:r>
          </w:p>
          <w:p>
            <w:pPr>
              <w:adjustRightInd w:val="0"/>
              <w:snapToGrid w:val="0"/>
              <w:spacing w:line="360" w:lineRule="auto"/>
              <w:ind w:firstLine="422" w:firstLineChars="200"/>
              <w:rPr>
                <w:b/>
                <w:bCs/>
              </w:rPr>
            </w:pPr>
            <w:r>
              <w:rPr>
                <w:rFonts w:hint="eastAsia"/>
                <w:b/>
                <w:bCs/>
              </w:rPr>
              <w:t>4</w:t>
            </w:r>
            <w:r>
              <w:rPr>
                <w:b/>
                <w:bCs/>
              </w:rPr>
              <w:t>、主要生产设施</w:t>
            </w:r>
          </w:p>
          <w:p>
            <w:pPr>
              <w:numPr>
                <w:ilvl w:val="0"/>
                <w:numId w:val="2"/>
              </w:numPr>
              <w:adjustRightInd w:val="0"/>
              <w:snapToGrid w:val="0"/>
              <w:spacing w:line="360" w:lineRule="auto"/>
              <w:ind w:left="322"/>
              <w:jc w:val="center"/>
              <w:rPr>
                <w:b/>
              </w:rPr>
            </w:pPr>
            <w:r>
              <w:rPr>
                <w:b/>
              </w:rPr>
              <w:t>项目主要生产设施一览表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02"/>
              <w:gridCol w:w="2046"/>
              <w:gridCol w:w="1734"/>
              <w:gridCol w:w="2063"/>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b/>
                      <w:bCs/>
                      <w:szCs w:val="21"/>
                    </w:rPr>
                  </w:pPr>
                  <w:r>
                    <w:rPr>
                      <w:b/>
                      <w:bCs/>
                      <w:szCs w:val="21"/>
                    </w:rPr>
                    <w:t>序号</w:t>
                  </w:r>
                </w:p>
              </w:tc>
              <w:tc>
                <w:tcPr>
                  <w:tcW w:w="590" w:type="pct"/>
                  <w:vAlign w:val="center"/>
                </w:tcPr>
                <w:p>
                  <w:pPr>
                    <w:adjustRightInd w:val="0"/>
                    <w:snapToGrid w:val="0"/>
                    <w:jc w:val="center"/>
                    <w:rPr>
                      <w:b/>
                      <w:bCs/>
                      <w:szCs w:val="21"/>
                    </w:rPr>
                  </w:pPr>
                  <w:r>
                    <w:rPr>
                      <w:b/>
                      <w:bCs/>
                      <w:szCs w:val="21"/>
                    </w:rPr>
                    <w:t>主要生产单元</w:t>
                  </w:r>
                </w:p>
              </w:tc>
              <w:tc>
                <w:tcPr>
                  <w:tcW w:w="1095" w:type="pct"/>
                  <w:vAlign w:val="center"/>
                </w:tcPr>
                <w:p>
                  <w:pPr>
                    <w:adjustRightInd w:val="0"/>
                    <w:snapToGrid w:val="0"/>
                    <w:jc w:val="center"/>
                    <w:rPr>
                      <w:b/>
                      <w:bCs/>
                      <w:szCs w:val="21"/>
                    </w:rPr>
                  </w:pPr>
                  <w:r>
                    <w:rPr>
                      <w:b/>
                      <w:bCs/>
                      <w:szCs w:val="21"/>
                    </w:rPr>
                    <w:t>主要工艺</w:t>
                  </w:r>
                </w:p>
              </w:tc>
              <w:tc>
                <w:tcPr>
                  <w:tcW w:w="928" w:type="pct"/>
                  <w:vAlign w:val="center"/>
                </w:tcPr>
                <w:p>
                  <w:pPr>
                    <w:adjustRightInd w:val="0"/>
                    <w:snapToGrid w:val="0"/>
                    <w:jc w:val="center"/>
                    <w:rPr>
                      <w:b/>
                      <w:bCs/>
                      <w:szCs w:val="21"/>
                    </w:rPr>
                  </w:pPr>
                  <w:r>
                    <w:rPr>
                      <w:b/>
                      <w:bCs/>
                      <w:szCs w:val="21"/>
                    </w:rPr>
                    <w:t>生产设施</w:t>
                  </w:r>
                </w:p>
              </w:tc>
              <w:tc>
                <w:tcPr>
                  <w:tcW w:w="1104" w:type="pct"/>
                  <w:vAlign w:val="center"/>
                </w:tcPr>
                <w:p>
                  <w:pPr>
                    <w:adjustRightInd w:val="0"/>
                    <w:snapToGrid w:val="0"/>
                    <w:jc w:val="center"/>
                    <w:rPr>
                      <w:b/>
                      <w:bCs/>
                      <w:szCs w:val="21"/>
                    </w:rPr>
                  </w:pPr>
                  <w:r>
                    <w:rPr>
                      <w:b/>
                      <w:bCs/>
                      <w:szCs w:val="21"/>
                    </w:rPr>
                    <w:t>设施参数</w:t>
                  </w:r>
                </w:p>
              </w:tc>
              <w:tc>
                <w:tcPr>
                  <w:tcW w:w="861" w:type="pct"/>
                  <w:vAlign w:val="center"/>
                </w:tcPr>
                <w:p>
                  <w:pPr>
                    <w:adjustRightInd w:val="0"/>
                    <w:snapToGrid w:val="0"/>
                    <w:jc w:val="center"/>
                    <w:rPr>
                      <w:b/>
                      <w:bCs/>
                      <w:szCs w:val="21"/>
                    </w:rPr>
                  </w:pPr>
                  <w:r>
                    <w:rPr>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w:t>
                  </w:r>
                </w:p>
              </w:tc>
              <w:tc>
                <w:tcPr>
                  <w:tcW w:w="590" w:type="pct"/>
                  <w:vMerge w:val="restart"/>
                  <w:vAlign w:val="center"/>
                </w:tcPr>
                <w:p>
                  <w:pPr>
                    <w:adjustRightInd w:val="0"/>
                    <w:snapToGrid w:val="0"/>
                    <w:jc w:val="center"/>
                    <w:rPr>
                      <w:kern w:val="0"/>
                      <w:szCs w:val="21"/>
                    </w:rPr>
                  </w:pPr>
                  <w:r>
                    <w:rPr>
                      <w:rFonts w:hint="eastAsia"/>
                      <w:kern w:val="0"/>
                      <w:szCs w:val="21"/>
                    </w:rPr>
                    <w:t>汽车</w:t>
                  </w:r>
                  <w:r>
                    <w:rPr>
                      <w:kern w:val="0"/>
                      <w:szCs w:val="21"/>
                    </w:rPr>
                    <w:t>抛光海绵</w:t>
                  </w:r>
                  <w:r>
                    <w:rPr>
                      <w:rFonts w:hint="eastAsia"/>
                      <w:kern w:val="0"/>
                      <w:szCs w:val="21"/>
                    </w:rPr>
                    <w:t>、手机</w:t>
                  </w:r>
                  <w:r>
                    <w:rPr>
                      <w:kern w:val="0"/>
                      <w:szCs w:val="21"/>
                    </w:rPr>
                    <w:t>抛光用海绵扫光盘生产单元</w:t>
                  </w:r>
                </w:p>
              </w:tc>
              <w:tc>
                <w:tcPr>
                  <w:tcW w:w="1095" w:type="pct"/>
                  <w:vMerge w:val="restart"/>
                  <w:vAlign w:val="center"/>
                </w:tcPr>
                <w:p>
                  <w:pPr>
                    <w:adjustRightInd w:val="0"/>
                    <w:snapToGrid w:val="0"/>
                    <w:jc w:val="center"/>
                    <w:rPr>
                      <w:kern w:val="0"/>
                      <w:szCs w:val="21"/>
                    </w:rPr>
                  </w:pPr>
                  <w:r>
                    <w:rPr>
                      <w:rFonts w:hint="eastAsia"/>
                      <w:kern w:val="0"/>
                      <w:szCs w:val="21"/>
                    </w:rPr>
                    <w:t>贴合</w:t>
                  </w:r>
                </w:p>
              </w:tc>
              <w:tc>
                <w:tcPr>
                  <w:tcW w:w="928" w:type="pct"/>
                  <w:vAlign w:val="center"/>
                </w:tcPr>
                <w:p>
                  <w:pPr>
                    <w:adjustRightInd w:val="0"/>
                    <w:snapToGrid w:val="0"/>
                    <w:jc w:val="center"/>
                    <w:rPr>
                      <w:bCs/>
                      <w:szCs w:val="21"/>
                    </w:rPr>
                  </w:pPr>
                  <w:r>
                    <w:rPr>
                      <w:rFonts w:hint="eastAsia"/>
                      <w:bCs/>
                      <w:szCs w:val="21"/>
                    </w:rPr>
                    <w:t>气压覆膜机</w:t>
                  </w:r>
                </w:p>
              </w:tc>
              <w:tc>
                <w:tcPr>
                  <w:tcW w:w="1104" w:type="pct"/>
                  <w:vAlign w:val="center"/>
                </w:tcPr>
                <w:p>
                  <w:pPr>
                    <w:adjustRightInd w:val="0"/>
                    <w:snapToGrid w:val="0"/>
                    <w:jc w:val="center"/>
                    <w:rPr>
                      <w:kern w:val="0"/>
                      <w:szCs w:val="21"/>
                    </w:rPr>
                  </w:pPr>
                  <w:r>
                    <w:rPr>
                      <w:kern w:val="1"/>
                      <w:szCs w:val="21"/>
                    </w:rPr>
                    <w:t>功率1.5kw</w:t>
                  </w:r>
                </w:p>
              </w:tc>
              <w:tc>
                <w:tcPr>
                  <w:tcW w:w="861" w:type="pct"/>
                  <w:vAlign w:val="center"/>
                </w:tcPr>
                <w:p>
                  <w:pPr>
                    <w:adjustRightInd w:val="0"/>
                    <w:snapToGrid w:val="0"/>
                    <w:jc w:val="center"/>
                    <w:rPr>
                      <w:szCs w:val="21"/>
                    </w:rPr>
                  </w:pPr>
                  <w:r>
                    <w:rPr>
                      <w:rFonts w:hint="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独立贴合机</w:t>
                  </w:r>
                </w:p>
              </w:tc>
              <w:tc>
                <w:tcPr>
                  <w:tcW w:w="1104" w:type="pct"/>
                  <w:vAlign w:val="center"/>
                </w:tcPr>
                <w:p>
                  <w:pPr>
                    <w:adjustRightInd w:val="0"/>
                    <w:snapToGrid w:val="0"/>
                    <w:jc w:val="center"/>
                    <w:rPr>
                      <w:kern w:val="0"/>
                      <w:szCs w:val="21"/>
                    </w:rPr>
                  </w:pPr>
                  <w:r>
                    <w:rPr>
                      <w:kern w:val="1"/>
                      <w:szCs w:val="21"/>
                    </w:rPr>
                    <w:t>功率7.5kw</w:t>
                  </w:r>
                </w:p>
              </w:tc>
              <w:tc>
                <w:tcPr>
                  <w:tcW w:w="861" w:type="pct"/>
                  <w:vAlign w:val="center"/>
                </w:tcPr>
                <w:p>
                  <w:pPr>
                    <w:adjustRightInd w:val="0"/>
                    <w:snapToGrid w:val="0"/>
                    <w:jc w:val="center"/>
                    <w:rPr>
                      <w:szCs w:val="21"/>
                    </w:rPr>
                  </w:pPr>
                  <w:r>
                    <w:rPr>
                      <w:szCs w:val="21"/>
                    </w:rPr>
                    <w:t>5</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联合贴合机</w:t>
                  </w:r>
                </w:p>
              </w:tc>
              <w:tc>
                <w:tcPr>
                  <w:tcW w:w="1104" w:type="pct"/>
                  <w:vAlign w:val="center"/>
                </w:tcPr>
                <w:p>
                  <w:pPr>
                    <w:adjustRightInd w:val="0"/>
                    <w:snapToGrid w:val="0"/>
                    <w:jc w:val="center"/>
                    <w:rPr>
                      <w:kern w:val="0"/>
                      <w:szCs w:val="21"/>
                    </w:rPr>
                  </w:pPr>
                  <w:r>
                    <w:rPr>
                      <w:kern w:val="1"/>
                      <w:szCs w:val="21"/>
                    </w:rPr>
                    <w:t>功率10.5kw</w:t>
                  </w:r>
                </w:p>
              </w:tc>
              <w:tc>
                <w:tcPr>
                  <w:tcW w:w="861" w:type="pct"/>
                  <w:vAlign w:val="center"/>
                </w:tcPr>
                <w:p>
                  <w:pPr>
                    <w:adjustRightInd w:val="0"/>
                    <w:snapToGrid w:val="0"/>
                    <w:jc w:val="center"/>
                    <w:rPr>
                      <w:szCs w:val="21"/>
                    </w:rPr>
                  </w:pPr>
                  <w:r>
                    <w:rPr>
                      <w:rFonts w:hint="eastAsia"/>
                      <w:szCs w:val="21"/>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4</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覆膜贴合机</w:t>
                  </w:r>
                </w:p>
              </w:tc>
              <w:tc>
                <w:tcPr>
                  <w:tcW w:w="1104" w:type="pct"/>
                  <w:vAlign w:val="center"/>
                </w:tcPr>
                <w:p>
                  <w:pPr>
                    <w:adjustRightInd w:val="0"/>
                    <w:snapToGrid w:val="0"/>
                    <w:jc w:val="center"/>
                    <w:rPr>
                      <w:kern w:val="0"/>
                      <w:szCs w:val="21"/>
                    </w:rPr>
                  </w:pPr>
                  <w:r>
                    <w:rPr>
                      <w:kern w:val="1"/>
                      <w:szCs w:val="21"/>
                    </w:rPr>
                    <w:t>功率2.5kw</w:t>
                  </w:r>
                </w:p>
              </w:tc>
              <w:tc>
                <w:tcPr>
                  <w:tcW w:w="861" w:type="pct"/>
                  <w:vAlign w:val="center"/>
                </w:tcPr>
                <w:p>
                  <w:pPr>
                    <w:adjustRightInd w:val="0"/>
                    <w:snapToGrid w:val="0"/>
                    <w:jc w:val="center"/>
                    <w:rPr>
                      <w:szCs w:val="21"/>
                    </w:rPr>
                  </w:pPr>
                  <w:r>
                    <w:rPr>
                      <w:szCs w:val="21"/>
                    </w:rPr>
                    <w:t>1</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5</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上胶贴合机</w:t>
                  </w:r>
                </w:p>
              </w:tc>
              <w:tc>
                <w:tcPr>
                  <w:tcW w:w="1104" w:type="pct"/>
                  <w:vAlign w:val="center"/>
                </w:tcPr>
                <w:p>
                  <w:pPr>
                    <w:adjustRightInd w:val="0"/>
                    <w:snapToGrid w:val="0"/>
                    <w:jc w:val="center"/>
                    <w:rPr>
                      <w:kern w:val="0"/>
                      <w:szCs w:val="21"/>
                    </w:rPr>
                  </w:pPr>
                  <w:r>
                    <w:rPr>
                      <w:kern w:val="1"/>
                      <w:szCs w:val="21"/>
                    </w:rPr>
                    <w:t>功率2.5kw</w:t>
                  </w:r>
                </w:p>
              </w:tc>
              <w:tc>
                <w:tcPr>
                  <w:tcW w:w="861" w:type="pct"/>
                  <w:vAlign w:val="center"/>
                </w:tcPr>
                <w:p>
                  <w:pPr>
                    <w:adjustRightInd w:val="0"/>
                    <w:snapToGrid w:val="0"/>
                    <w:jc w:val="center"/>
                    <w:rPr>
                      <w:szCs w:val="21"/>
                    </w:rPr>
                  </w:pPr>
                  <w:r>
                    <w:rPr>
                      <w:rFonts w:hint="eastAsia"/>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6</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裁切</w:t>
                  </w:r>
                </w:p>
              </w:tc>
              <w:tc>
                <w:tcPr>
                  <w:tcW w:w="928" w:type="pct"/>
                  <w:vAlign w:val="center"/>
                </w:tcPr>
                <w:p>
                  <w:pPr>
                    <w:adjustRightInd w:val="0"/>
                    <w:snapToGrid w:val="0"/>
                    <w:jc w:val="center"/>
                    <w:rPr>
                      <w:szCs w:val="21"/>
                    </w:rPr>
                  </w:pPr>
                  <w:r>
                    <w:rPr>
                      <w:rFonts w:hint="eastAsia"/>
                      <w:bCs/>
                      <w:szCs w:val="21"/>
                    </w:rPr>
                    <w:t>大油压冲床</w:t>
                  </w:r>
                </w:p>
              </w:tc>
              <w:tc>
                <w:tcPr>
                  <w:tcW w:w="1104" w:type="pct"/>
                  <w:vAlign w:val="center"/>
                </w:tcPr>
                <w:p>
                  <w:pPr>
                    <w:adjustRightInd w:val="0"/>
                    <w:snapToGrid w:val="0"/>
                    <w:jc w:val="center"/>
                    <w:rPr>
                      <w:kern w:val="0"/>
                      <w:szCs w:val="21"/>
                    </w:rPr>
                  </w:pPr>
                  <w:r>
                    <w:rPr>
                      <w:kern w:val="1"/>
                      <w:szCs w:val="21"/>
                    </w:rPr>
                    <w:t>功率6kw</w:t>
                  </w:r>
                </w:p>
              </w:tc>
              <w:tc>
                <w:tcPr>
                  <w:tcW w:w="861" w:type="pct"/>
                  <w:vAlign w:val="center"/>
                </w:tcPr>
                <w:p>
                  <w:pPr>
                    <w:adjustRightInd w:val="0"/>
                    <w:snapToGrid w:val="0"/>
                    <w:jc w:val="center"/>
                    <w:rPr>
                      <w:szCs w:val="21"/>
                    </w:rPr>
                  </w:pPr>
                  <w:r>
                    <w:rPr>
                      <w:szCs w:val="21"/>
                    </w:rPr>
                    <w:t>2</w:t>
                  </w:r>
                  <w:r>
                    <w:rPr>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7</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bCs/>
                      <w:szCs w:val="21"/>
                    </w:rPr>
                  </w:pPr>
                </w:p>
              </w:tc>
              <w:tc>
                <w:tcPr>
                  <w:tcW w:w="928" w:type="pct"/>
                  <w:vAlign w:val="center"/>
                </w:tcPr>
                <w:p>
                  <w:pPr>
                    <w:adjustRightInd w:val="0"/>
                    <w:snapToGrid w:val="0"/>
                    <w:jc w:val="center"/>
                    <w:rPr>
                      <w:szCs w:val="21"/>
                    </w:rPr>
                  </w:pPr>
                  <w:r>
                    <w:rPr>
                      <w:rFonts w:hint="eastAsia"/>
                      <w:bCs/>
                      <w:szCs w:val="21"/>
                    </w:rPr>
                    <w:t>小油压冲床</w:t>
                  </w:r>
                </w:p>
              </w:tc>
              <w:tc>
                <w:tcPr>
                  <w:tcW w:w="1104" w:type="pct"/>
                  <w:vAlign w:val="center"/>
                </w:tcPr>
                <w:p>
                  <w:pPr>
                    <w:adjustRightInd w:val="0"/>
                    <w:snapToGrid w:val="0"/>
                    <w:jc w:val="center"/>
                    <w:rPr>
                      <w:kern w:val="0"/>
                      <w:szCs w:val="21"/>
                    </w:rPr>
                  </w:pPr>
                  <w:r>
                    <w:rPr>
                      <w:kern w:val="1"/>
                      <w:szCs w:val="21"/>
                    </w:rPr>
                    <w:t>功率3.5kw</w:t>
                  </w:r>
                </w:p>
              </w:tc>
              <w:tc>
                <w:tcPr>
                  <w:tcW w:w="861" w:type="pct"/>
                  <w:vAlign w:val="center"/>
                </w:tcPr>
                <w:p>
                  <w:pPr>
                    <w:adjustRightInd w:val="0"/>
                    <w:snapToGrid w:val="0"/>
                    <w:jc w:val="center"/>
                    <w:rPr>
                      <w:szCs w:val="21"/>
                    </w:rPr>
                  </w:pPr>
                  <w:r>
                    <w:rPr>
                      <w:kern w:val="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8</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bCs/>
                      <w:szCs w:val="21"/>
                    </w:rPr>
                  </w:pPr>
                </w:p>
              </w:tc>
              <w:tc>
                <w:tcPr>
                  <w:tcW w:w="928" w:type="pct"/>
                  <w:vAlign w:val="center"/>
                </w:tcPr>
                <w:p>
                  <w:pPr>
                    <w:adjustRightInd w:val="0"/>
                    <w:snapToGrid w:val="0"/>
                    <w:jc w:val="center"/>
                    <w:rPr>
                      <w:bCs/>
                      <w:szCs w:val="21"/>
                    </w:rPr>
                  </w:pPr>
                  <w:r>
                    <w:rPr>
                      <w:rFonts w:hint="eastAsia"/>
                      <w:bCs/>
                      <w:szCs w:val="21"/>
                    </w:rPr>
                    <w:t>切角机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9</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bCs/>
                      <w:szCs w:val="21"/>
                    </w:rPr>
                  </w:pPr>
                </w:p>
              </w:tc>
              <w:tc>
                <w:tcPr>
                  <w:tcW w:w="928" w:type="pct"/>
                  <w:vAlign w:val="center"/>
                </w:tcPr>
                <w:p>
                  <w:pPr>
                    <w:adjustRightInd w:val="0"/>
                    <w:snapToGrid w:val="0"/>
                    <w:jc w:val="center"/>
                    <w:rPr>
                      <w:bCs/>
                      <w:szCs w:val="21"/>
                    </w:rPr>
                  </w:pPr>
                  <w:r>
                    <w:rPr>
                      <w:rFonts w:hint="eastAsia"/>
                      <w:bCs/>
                      <w:szCs w:val="21"/>
                    </w:rPr>
                    <w:t>切</w:t>
                  </w:r>
                  <w:r>
                    <w:rPr>
                      <w:bCs/>
                      <w:szCs w:val="21"/>
                    </w:rPr>
                    <w:t>底机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10</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平切</w:t>
                  </w:r>
                </w:p>
              </w:tc>
              <w:tc>
                <w:tcPr>
                  <w:tcW w:w="928" w:type="pct"/>
                  <w:vAlign w:val="center"/>
                </w:tcPr>
                <w:p>
                  <w:pPr>
                    <w:adjustRightInd w:val="0"/>
                    <w:snapToGrid w:val="0"/>
                    <w:jc w:val="center"/>
                    <w:rPr>
                      <w:szCs w:val="21"/>
                    </w:rPr>
                  </w:pPr>
                  <w:r>
                    <w:rPr>
                      <w:rFonts w:hint="eastAsia"/>
                      <w:bCs/>
                      <w:szCs w:val="21"/>
                    </w:rPr>
                    <w:t>平式平切机</w:t>
                  </w:r>
                </w:p>
              </w:tc>
              <w:tc>
                <w:tcPr>
                  <w:tcW w:w="1104" w:type="pct"/>
                  <w:vAlign w:val="center"/>
                </w:tcPr>
                <w:p>
                  <w:pPr>
                    <w:adjustRightInd w:val="0"/>
                    <w:snapToGrid w:val="0"/>
                    <w:jc w:val="center"/>
                    <w:rPr>
                      <w:kern w:val="0"/>
                      <w:szCs w:val="21"/>
                    </w:rPr>
                  </w:pPr>
                  <w:r>
                    <w:rPr>
                      <w:kern w:val="0"/>
                      <w:szCs w:val="21"/>
                    </w:rPr>
                    <w:t>功率2.5kw</w:t>
                  </w:r>
                </w:p>
              </w:tc>
              <w:tc>
                <w:tcPr>
                  <w:tcW w:w="861" w:type="pct"/>
                  <w:vAlign w:val="center"/>
                </w:tcPr>
                <w:p>
                  <w:pPr>
                    <w:adjustRightInd w:val="0"/>
                    <w:snapToGrid w:val="0"/>
                    <w:jc w:val="center"/>
                    <w:rPr>
                      <w:szCs w:val="21"/>
                    </w:rPr>
                  </w:pPr>
                  <w:r>
                    <w:rPr>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11</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szCs w:val="21"/>
                    </w:rPr>
                  </w:pPr>
                  <w:r>
                    <w:rPr>
                      <w:rFonts w:hint="eastAsia"/>
                      <w:bCs/>
                      <w:szCs w:val="21"/>
                    </w:rPr>
                    <w:t>立式平切机</w:t>
                  </w:r>
                </w:p>
              </w:tc>
              <w:tc>
                <w:tcPr>
                  <w:tcW w:w="1104" w:type="pct"/>
                  <w:vAlign w:val="center"/>
                </w:tcPr>
                <w:p>
                  <w:pPr>
                    <w:adjustRightInd w:val="0"/>
                    <w:snapToGrid w:val="0"/>
                    <w:jc w:val="center"/>
                    <w:rPr>
                      <w:kern w:val="0"/>
                      <w:szCs w:val="21"/>
                    </w:rPr>
                  </w:pPr>
                  <w:r>
                    <w:rPr>
                      <w:kern w:val="1"/>
                      <w:szCs w:val="21"/>
                    </w:rPr>
                    <w:t>功率1.5kw</w:t>
                  </w:r>
                </w:p>
              </w:tc>
              <w:tc>
                <w:tcPr>
                  <w:tcW w:w="861" w:type="pct"/>
                  <w:vAlign w:val="center"/>
                </w:tcPr>
                <w:p>
                  <w:pPr>
                    <w:adjustRightInd w:val="0"/>
                    <w:snapToGrid w:val="0"/>
                    <w:jc w:val="center"/>
                    <w:rPr>
                      <w:szCs w:val="21"/>
                    </w:rPr>
                  </w:pPr>
                  <w:r>
                    <w:rPr>
                      <w:kern w:val="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12</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仿形</w:t>
                  </w:r>
                </w:p>
              </w:tc>
              <w:tc>
                <w:tcPr>
                  <w:tcW w:w="928" w:type="pct"/>
                  <w:vAlign w:val="center"/>
                </w:tcPr>
                <w:p>
                  <w:pPr>
                    <w:adjustRightInd w:val="0"/>
                    <w:snapToGrid w:val="0"/>
                    <w:jc w:val="center"/>
                    <w:rPr>
                      <w:bCs/>
                      <w:szCs w:val="21"/>
                    </w:rPr>
                  </w:pPr>
                  <w:r>
                    <w:rPr>
                      <w:rFonts w:hint="eastAsia"/>
                      <w:bCs/>
                      <w:szCs w:val="21"/>
                    </w:rPr>
                    <w:t>手动</w:t>
                  </w:r>
                  <w:r>
                    <w:rPr>
                      <w:bCs/>
                      <w:szCs w:val="21"/>
                    </w:rPr>
                    <w:t>仿形机</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13</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自动</w:t>
                  </w:r>
                  <w:r>
                    <w:rPr>
                      <w:bCs/>
                      <w:szCs w:val="21"/>
                    </w:rPr>
                    <w:t>仿形机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14</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印刷</w:t>
                  </w:r>
                </w:p>
              </w:tc>
              <w:tc>
                <w:tcPr>
                  <w:tcW w:w="928" w:type="pct"/>
                  <w:vAlign w:val="center"/>
                </w:tcPr>
                <w:p>
                  <w:pPr>
                    <w:adjustRightInd w:val="0"/>
                    <w:snapToGrid w:val="0"/>
                    <w:jc w:val="center"/>
                    <w:rPr>
                      <w:bCs/>
                      <w:szCs w:val="21"/>
                    </w:rPr>
                  </w:pPr>
                  <w:r>
                    <w:rPr>
                      <w:rFonts w:hint="eastAsia"/>
                      <w:bCs/>
                      <w:szCs w:val="21"/>
                    </w:rPr>
                    <w:t>印刷机</w:t>
                  </w:r>
                </w:p>
              </w:tc>
              <w:tc>
                <w:tcPr>
                  <w:tcW w:w="1104" w:type="pct"/>
                  <w:vAlign w:val="center"/>
                </w:tcPr>
                <w:p>
                  <w:pPr>
                    <w:adjustRightInd w:val="0"/>
                    <w:snapToGrid w:val="0"/>
                    <w:jc w:val="center"/>
                    <w:rPr>
                      <w:kern w:val="1"/>
                      <w:szCs w:val="21"/>
                    </w:rPr>
                  </w:pPr>
                  <w:r>
                    <w:rPr>
                      <w:rFonts w:hint="eastAsia"/>
                      <w:kern w:val="1"/>
                      <w:szCs w:val="21"/>
                    </w:rPr>
                    <w:t>印刷速度125个/</w:t>
                  </w:r>
                  <w:r>
                    <w:rPr>
                      <w:kern w:val="1"/>
                      <w:szCs w:val="21"/>
                    </w:rPr>
                    <w:t>h</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15</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烘干</w:t>
                  </w:r>
                </w:p>
              </w:tc>
              <w:tc>
                <w:tcPr>
                  <w:tcW w:w="928" w:type="pct"/>
                  <w:vAlign w:val="center"/>
                </w:tcPr>
                <w:p>
                  <w:pPr>
                    <w:adjustRightInd w:val="0"/>
                    <w:snapToGrid w:val="0"/>
                    <w:jc w:val="center"/>
                    <w:rPr>
                      <w:bCs/>
                      <w:szCs w:val="21"/>
                    </w:rPr>
                  </w:pPr>
                  <w:r>
                    <w:rPr>
                      <w:bCs/>
                      <w:szCs w:val="21"/>
                    </w:rPr>
                    <w:t>烘干机</w:t>
                  </w:r>
                </w:p>
              </w:tc>
              <w:tc>
                <w:tcPr>
                  <w:tcW w:w="1104" w:type="pct"/>
                  <w:vAlign w:val="center"/>
                </w:tcPr>
                <w:p>
                  <w:pPr>
                    <w:adjustRightInd w:val="0"/>
                    <w:snapToGrid w:val="0"/>
                    <w:jc w:val="center"/>
                    <w:rPr>
                      <w:kern w:val="1"/>
                      <w:szCs w:val="21"/>
                    </w:rPr>
                  </w:pPr>
                  <w:r>
                    <w:rPr>
                      <w:kern w:val="1"/>
                      <w:szCs w:val="21"/>
                    </w:rPr>
                    <w:t>功率2.5kw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16</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激光</w:t>
                  </w:r>
                  <w:r>
                    <w:rPr>
                      <w:kern w:val="0"/>
                      <w:szCs w:val="21"/>
                    </w:rPr>
                    <w:t>开槽</w:t>
                  </w:r>
                </w:p>
              </w:tc>
              <w:tc>
                <w:tcPr>
                  <w:tcW w:w="928" w:type="pct"/>
                  <w:vAlign w:val="center"/>
                </w:tcPr>
                <w:p>
                  <w:pPr>
                    <w:adjustRightInd w:val="0"/>
                    <w:snapToGrid w:val="0"/>
                    <w:jc w:val="center"/>
                    <w:rPr>
                      <w:bCs/>
                      <w:szCs w:val="21"/>
                    </w:rPr>
                  </w:pPr>
                  <w:r>
                    <w:rPr>
                      <w:rFonts w:hint="eastAsia"/>
                      <w:bCs/>
                      <w:szCs w:val="21"/>
                    </w:rPr>
                    <w:t>激光</w:t>
                  </w:r>
                  <w:r>
                    <w:rPr>
                      <w:bCs/>
                      <w:szCs w:val="21"/>
                    </w:rPr>
                    <w:t>切割机</w:t>
                  </w:r>
                </w:p>
              </w:tc>
              <w:tc>
                <w:tcPr>
                  <w:tcW w:w="1104" w:type="pct"/>
                  <w:vAlign w:val="center"/>
                </w:tcPr>
                <w:p>
                  <w:pPr>
                    <w:adjustRightInd w:val="0"/>
                    <w:snapToGrid w:val="0"/>
                    <w:jc w:val="center"/>
                    <w:rPr>
                      <w:kern w:val="1"/>
                      <w:szCs w:val="21"/>
                    </w:rPr>
                  </w:pPr>
                  <w:r>
                    <w:rPr>
                      <w:kern w:val="1"/>
                      <w:szCs w:val="21"/>
                    </w:rPr>
                    <w:t>功率3.5kw</w:t>
                  </w:r>
                </w:p>
              </w:tc>
              <w:tc>
                <w:tcPr>
                  <w:tcW w:w="861" w:type="pct"/>
                  <w:vAlign w:val="center"/>
                </w:tcPr>
                <w:p>
                  <w:pPr>
                    <w:adjustRightInd w:val="0"/>
                    <w:snapToGrid w:val="0"/>
                    <w:jc w:val="center"/>
                    <w:rPr>
                      <w:kern w:val="1"/>
                      <w:szCs w:val="21"/>
                    </w:rPr>
                  </w:pPr>
                  <w:r>
                    <w:rPr>
                      <w:kern w:val="1"/>
                      <w:szCs w:val="21"/>
                    </w:rPr>
                    <w:t>5</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17</w:t>
                  </w:r>
                </w:p>
              </w:tc>
              <w:tc>
                <w:tcPr>
                  <w:tcW w:w="590" w:type="pct"/>
                  <w:vMerge w:val="restart"/>
                  <w:vAlign w:val="center"/>
                </w:tcPr>
                <w:p>
                  <w:pPr>
                    <w:adjustRightInd w:val="0"/>
                    <w:snapToGrid w:val="0"/>
                    <w:jc w:val="center"/>
                    <w:rPr>
                      <w:kern w:val="0"/>
                      <w:szCs w:val="21"/>
                    </w:rPr>
                  </w:pPr>
                  <w:r>
                    <w:rPr>
                      <w:rFonts w:hint="eastAsia"/>
                      <w:kern w:val="0"/>
                      <w:szCs w:val="21"/>
                    </w:rPr>
                    <w:t>手机</w:t>
                  </w:r>
                  <w:r>
                    <w:rPr>
                      <w:kern w:val="0"/>
                      <w:szCs w:val="21"/>
                    </w:rPr>
                    <w:t>抛光刷子生产单元</w:t>
                  </w:r>
                </w:p>
              </w:tc>
              <w:tc>
                <w:tcPr>
                  <w:tcW w:w="1095" w:type="pct"/>
                  <w:vAlign w:val="center"/>
                </w:tcPr>
                <w:p>
                  <w:pPr>
                    <w:adjustRightInd w:val="0"/>
                    <w:snapToGrid w:val="0"/>
                    <w:jc w:val="center"/>
                    <w:rPr>
                      <w:kern w:val="0"/>
                      <w:szCs w:val="21"/>
                    </w:rPr>
                  </w:pPr>
                  <w:r>
                    <w:rPr>
                      <w:rFonts w:hint="eastAsia"/>
                      <w:kern w:val="0"/>
                      <w:szCs w:val="21"/>
                    </w:rPr>
                    <w:t>分条</w:t>
                  </w:r>
                </w:p>
              </w:tc>
              <w:tc>
                <w:tcPr>
                  <w:tcW w:w="928" w:type="pct"/>
                  <w:vAlign w:val="center"/>
                </w:tcPr>
                <w:p>
                  <w:pPr>
                    <w:adjustRightInd w:val="0"/>
                    <w:snapToGrid w:val="0"/>
                    <w:jc w:val="center"/>
                    <w:rPr>
                      <w:bCs/>
                      <w:szCs w:val="21"/>
                    </w:rPr>
                  </w:pPr>
                  <w:r>
                    <w:rPr>
                      <w:rFonts w:hint="eastAsia"/>
                      <w:bCs/>
                      <w:szCs w:val="21"/>
                    </w:rPr>
                    <w:t>分条机</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18</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切平</w:t>
                  </w:r>
                </w:p>
              </w:tc>
              <w:tc>
                <w:tcPr>
                  <w:tcW w:w="928" w:type="pct"/>
                  <w:vAlign w:val="center"/>
                </w:tcPr>
                <w:p>
                  <w:pPr>
                    <w:adjustRightInd w:val="0"/>
                    <w:snapToGrid w:val="0"/>
                    <w:jc w:val="center"/>
                    <w:rPr>
                      <w:bCs/>
                      <w:szCs w:val="21"/>
                    </w:rPr>
                  </w:pPr>
                  <w:r>
                    <w:rPr>
                      <w:rFonts w:hint="eastAsia"/>
                      <w:bCs/>
                      <w:szCs w:val="21"/>
                    </w:rPr>
                    <w:t>气动</w:t>
                  </w:r>
                  <w:r>
                    <w:rPr>
                      <w:bCs/>
                      <w:szCs w:val="21"/>
                    </w:rPr>
                    <w:t>切平机</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19</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接驳</w:t>
                  </w:r>
                </w:p>
              </w:tc>
              <w:tc>
                <w:tcPr>
                  <w:tcW w:w="928" w:type="pct"/>
                  <w:vAlign w:val="center"/>
                </w:tcPr>
                <w:p>
                  <w:pPr>
                    <w:adjustRightInd w:val="0"/>
                    <w:snapToGrid w:val="0"/>
                    <w:jc w:val="center"/>
                    <w:rPr>
                      <w:bCs/>
                      <w:szCs w:val="21"/>
                    </w:rPr>
                  </w:pPr>
                  <w:r>
                    <w:rPr>
                      <w:rFonts w:hint="eastAsia"/>
                      <w:bCs/>
                      <w:szCs w:val="21"/>
                    </w:rPr>
                    <w:t>接驳机</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20</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模切</w:t>
                  </w:r>
                </w:p>
              </w:tc>
              <w:tc>
                <w:tcPr>
                  <w:tcW w:w="928" w:type="pct"/>
                  <w:vAlign w:val="center"/>
                </w:tcPr>
                <w:p>
                  <w:pPr>
                    <w:adjustRightInd w:val="0"/>
                    <w:snapToGrid w:val="0"/>
                    <w:jc w:val="center"/>
                    <w:rPr>
                      <w:bCs/>
                      <w:szCs w:val="21"/>
                    </w:rPr>
                  </w:pPr>
                  <w:r>
                    <w:rPr>
                      <w:rFonts w:hint="eastAsia"/>
                      <w:bCs/>
                      <w:szCs w:val="21"/>
                    </w:rPr>
                    <w:t>模切</w:t>
                  </w:r>
                  <w:r>
                    <w:rPr>
                      <w:bCs/>
                      <w:szCs w:val="21"/>
                    </w:rPr>
                    <w:t>冲床</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2</w:t>
                  </w:r>
                  <w:r>
                    <w:rPr>
                      <w:kern w:val="1"/>
                      <w:szCs w:val="21"/>
                    </w:rPr>
                    <w:t>0</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21</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分段</w:t>
                  </w:r>
                </w:p>
              </w:tc>
              <w:tc>
                <w:tcPr>
                  <w:tcW w:w="928" w:type="pct"/>
                  <w:vAlign w:val="center"/>
                </w:tcPr>
                <w:p>
                  <w:pPr>
                    <w:adjustRightInd w:val="0"/>
                    <w:snapToGrid w:val="0"/>
                    <w:jc w:val="center"/>
                    <w:rPr>
                      <w:bCs/>
                      <w:szCs w:val="21"/>
                    </w:rPr>
                  </w:pPr>
                  <w:r>
                    <w:rPr>
                      <w:rFonts w:hint="eastAsia"/>
                      <w:bCs/>
                      <w:szCs w:val="21"/>
                    </w:rPr>
                    <w:t>分段机</w:t>
                  </w:r>
                </w:p>
              </w:tc>
              <w:tc>
                <w:tcPr>
                  <w:tcW w:w="1104" w:type="pct"/>
                  <w:vAlign w:val="center"/>
                </w:tcPr>
                <w:p>
                  <w:pPr>
                    <w:adjustRightInd w:val="0"/>
                    <w:snapToGrid w:val="0"/>
                    <w:jc w:val="center"/>
                    <w:rPr>
                      <w:kern w:val="1"/>
                      <w:szCs w:val="21"/>
                    </w:rPr>
                  </w:pPr>
                  <w:r>
                    <w:rPr>
                      <w:kern w:val="1"/>
                      <w:szCs w:val="21"/>
                    </w:rPr>
                    <w:t>功率</w:t>
                  </w:r>
                  <w:r>
                    <w:rPr>
                      <w:rFonts w:hint="eastAsia"/>
                      <w:kern w:val="1"/>
                      <w:szCs w:val="21"/>
                    </w:rPr>
                    <w:t>0</w:t>
                  </w:r>
                  <w:r>
                    <w:rPr>
                      <w:kern w:val="1"/>
                      <w:szCs w:val="21"/>
                    </w:rPr>
                    <w:t>.5kw</w:t>
                  </w:r>
                </w:p>
              </w:tc>
              <w:tc>
                <w:tcPr>
                  <w:tcW w:w="861" w:type="pct"/>
                  <w:vAlign w:val="center"/>
                </w:tcPr>
                <w:p>
                  <w:pPr>
                    <w:adjustRightInd w:val="0"/>
                    <w:snapToGrid w:val="0"/>
                    <w:jc w:val="center"/>
                    <w:rPr>
                      <w:kern w:val="1"/>
                      <w:szCs w:val="21"/>
                    </w:rPr>
                  </w:pPr>
                  <w:r>
                    <w:rPr>
                      <w:rFonts w:hint="eastAsia"/>
                      <w:kern w:val="1"/>
                      <w:szCs w:val="21"/>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22</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植皮</w:t>
                  </w:r>
                </w:p>
              </w:tc>
              <w:tc>
                <w:tcPr>
                  <w:tcW w:w="928" w:type="pct"/>
                  <w:vAlign w:val="center"/>
                </w:tcPr>
                <w:p>
                  <w:pPr>
                    <w:adjustRightInd w:val="0"/>
                    <w:snapToGrid w:val="0"/>
                    <w:jc w:val="center"/>
                    <w:rPr>
                      <w:bCs/>
                      <w:szCs w:val="21"/>
                    </w:rPr>
                  </w:pPr>
                  <w:r>
                    <w:rPr>
                      <w:rFonts w:hint="eastAsia"/>
                      <w:bCs/>
                      <w:szCs w:val="21"/>
                    </w:rPr>
                    <w:t>植皮机</w:t>
                  </w:r>
                </w:p>
              </w:tc>
              <w:tc>
                <w:tcPr>
                  <w:tcW w:w="1104" w:type="pct"/>
                  <w:vAlign w:val="center"/>
                </w:tcPr>
                <w:p>
                  <w:pPr>
                    <w:adjustRightInd w:val="0"/>
                    <w:snapToGrid w:val="0"/>
                    <w:jc w:val="center"/>
                    <w:rPr>
                      <w:kern w:val="1"/>
                      <w:szCs w:val="21"/>
                    </w:rPr>
                  </w:pPr>
                  <w:r>
                    <w:rPr>
                      <w:kern w:val="1"/>
                      <w:szCs w:val="21"/>
                    </w:rPr>
                    <w:t>功率2.5kw</w:t>
                  </w:r>
                </w:p>
              </w:tc>
              <w:tc>
                <w:tcPr>
                  <w:tcW w:w="861" w:type="pct"/>
                  <w:vAlign w:val="center"/>
                </w:tcPr>
                <w:p>
                  <w:pPr>
                    <w:adjustRightInd w:val="0"/>
                    <w:snapToGrid w:val="0"/>
                    <w:jc w:val="center"/>
                    <w:rPr>
                      <w:kern w:val="1"/>
                      <w:szCs w:val="21"/>
                    </w:rPr>
                  </w:pPr>
                  <w:r>
                    <w:rPr>
                      <w:rFonts w:hint="eastAsia"/>
                      <w:kern w:val="1"/>
                      <w:szCs w:val="21"/>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23</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植毛</w:t>
                  </w:r>
                </w:p>
              </w:tc>
              <w:tc>
                <w:tcPr>
                  <w:tcW w:w="928" w:type="pct"/>
                  <w:vAlign w:val="center"/>
                </w:tcPr>
                <w:p>
                  <w:pPr>
                    <w:adjustRightInd w:val="0"/>
                    <w:snapToGrid w:val="0"/>
                    <w:jc w:val="center"/>
                    <w:rPr>
                      <w:bCs/>
                      <w:szCs w:val="21"/>
                    </w:rPr>
                  </w:pPr>
                  <w:r>
                    <w:rPr>
                      <w:rFonts w:hint="eastAsia"/>
                      <w:bCs/>
                      <w:szCs w:val="21"/>
                    </w:rPr>
                    <w:t>植毛机</w:t>
                  </w:r>
                </w:p>
              </w:tc>
              <w:tc>
                <w:tcPr>
                  <w:tcW w:w="1104" w:type="pct"/>
                  <w:vAlign w:val="center"/>
                </w:tcPr>
                <w:p>
                  <w:pPr>
                    <w:adjustRightInd w:val="0"/>
                    <w:snapToGrid w:val="0"/>
                    <w:jc w:val="center"/>
                    <w:rPr>
                      <w:kern w:val="1"/>
                      <w:szCs w:val="21"/>
                    </w:rPr>
                  </w:pPr>
                  <w:r>
                    <w:rPr>
                      <w:kern w:val="1"/>
                      <w:szCs w:val="21"/>
                    </w:rPr>
                    <w:t>功率2.5kw</w:t>
                  </w:r>
                </w:p>
              </w:tc>
              <w:tc>
                <w:tcPr>
                  <w:tcW w:w="861" w:type="pct"/>
                  <w:vAlign w:val="center"/>
                </w:tcPr>
                <w:p>
                  <w:pPr>
                    <w:adjustRightInd w:val="0"/>
                    <w:snapToGrid w:val="0"/>
                    <w:jc w:val="center"/>
                    <w:rPr>
                      <w:kern w:val="1"/>
                      <w:szCs w:val="21"/>
                    </w:rPr>
                  </w:pPr>
                  <w:r>
                    <w:rPr>
                      <w:rFonts w:hint="eastAsia"/>
                      <w:kern w:val="1"/>
                      <w:szCs w:val="21"/>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24</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修毛</w:t>
                  </w:r>
                </w:p>
              </w:tc>
              <w:tc>
                <w:tcPr>
                  <w:tcW w:w="928" w:type="pct"/>
                  <w:vAlign w:val="center"/>
                </w:tcPr>
                <w:p>
                  <w:pPr>
                    <w:adjustRightInd w:val="0"/>
                    <w:snapToGrid w:val="0"/>
                    <w:jc w:val="center"/>
                    <w:rPr>
                      <w:bCs/>
                      <w:szCs w:val="21"/>
                    </w:rPr>
                  </w:pPr>
                  <w:r>
                    <w:rPr>
                      <w:rFonts w:hint="eastAsia"/>
                      <w:bCs/>
                      <w:szCs w:val="21"/>
                    </w:rPr>
                    <w:t>飞毛机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25</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贴合</w:t>
                  </w:r>
                </w:p>
              </w:tc>
              <w:tc>
                <w:tcPr>
                  <w:tcW w:w="928" w:type="pct"/>
                  <w:vAlign w:val="center"/>
                </w:tcPr>
                <w:p>
                  <w:pPr>
                    <w:adjustRightInd w:val="0"/>
                    <w:snapToGrid w:val="0"/>
                    <w:jc w:val="center"/>
                    <w:rPr>
                      <w:bCs/>
                      <w:szCs w:val="21"/>
                    </w:rPr>
                  </w:pPr>
                  <w:r>
                    <w:rPr>
                      <w:rFonts w:hint="eastAsia"/>
                      <w:bCs/>
                      <w:szCs w:val="21"/>
                    </w:rPr>
                    <w:t>点胶机</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26</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bCs/>
                      <w:szCs w:val="21"/>
                    </w:rPr>
                  </w:pPr>
                  <w:r>
                    <w:rPr>
                      <w:rFonts w:hint="eastAsia"/>
                      <w:bCs/>
                      <w:szCs w:val="21"/>
                    </w:rPr>
                    <w:t>过胶机</w:t>
                  </w:r>
                </w:p>
              </w:tc>
              <w:tc>
                <w:tcPr>
                  <w:tcW w:w="1104" w:type="pct"/>
                  <w:vAlign w:val="center"/>
                </w:tcPr>
                <w:p>
                  <w:pPr>
                    <w:adjustRightInd w:val="0"/>
                    <w:snapToGrid w:val="0"/>
                    <w:jc w:val="center"/>
                    <w:rPr>
                      <w:kern w:val="1"/>
                      <w:szCs w:val="21"/>
                    </w:rPr>
                  </w:pPr>
                  <w:r>
                    <w:rPr>
                      <w:kern w:val="1"/>
                      <w:szCs w:val="21"/>
                    </w:rPr>
                    <w:t>功率1.0kw</w:t>
                  </w:r>
                </w:p>
              </w:tc>
              <w:tc>
                <w:tcPr>
                  <w:tcW w:w="861" w:type="pct"/>
                  <w:vAlign w:val="center"/>
                </w:tcPr>
                <w:p>
                  <w:pPr>
                    <w:adjustRightInd w:val="0"/>
                    <w:snapToGrid w:val="0"/>
                    <w:jc w:val="center"/>
                    <w:rPr>
                      <w:kern w:val="1"/>
                      <w:szCs w:val="21"/>
                    </w:rPr>
                  </w:pPr>
                  <w:r>
                    <w:rPr>
                      <w:rFonts w:hint="eastAsia"/>
                      <w:kern w:val="1"/>
                      <w:szCs w:val="21"/>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27</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裁切</w:t>
                  </w:r>
                </w:p>
              </w:tc>
              <w:tc>
                <w:tcPr>
                  <w:tcW w:w="928" w:type="pct"/>
                  <w:vAlign w:val="center"/>
                </w:tcPr>
                <w:p>
                  <w:pPr>
                    <w:adjustRightInd w:val="0"/>
                    <w:snapToGrid w:val="0"/>
                    <w:jc w:val="center"/>
                    <w:rPr>
                      <w:bCs/>
                      <w:szCs w:val="21"/>
                    </w:rPr>
                  </w:pPr>
                  <w:r>
                    <w:rPr>
                      <w:rFonts w:hint="eastAsia"/>
                      <w:bCs/>
                      <w:szCs w:val="21"/>
                    </w:rPr>
                    <w:t>激光</w:t>
                  </w:r>
                  <w:r>
                    <w:rPr>
                      <w:bCs/>
                      <w:szCs w:val="21"/>
                    </w:rPr>
                    <w:t>切割机</w:t>
                  </w:r>
                </w:p>
              </w:tc>
              <w:tc>
                <w:tcPr>
                  <w:tcW w:w="1104" w:type="pct"/>
                  <w:vAlign w:val="center"/>
                </w:tcPr>
                <w:p>
                  <w:pPr>
                    <w:adjustRightInd w:val="0"/>
                    <w:snapToGrid w:val="0"/>
                    <w:jc w:val="center"/>
                    <w:rPr>
                      <w:kern w:val="1"/>
                      <w:szCs w:val="21"/>
                    </w:rPr>
                  </w:pPr>
                  <w:r>
                    <w:rPr>
                      <w:kern w:val="1"/>
                      <w:szCs w:val="21"/>
                    </w:rPr>
                    <w:t>功率3.5kw</w:t>
                  </w:r>
                </w:p>
              </w:tc>
              <w:tc>
                <w:tcPr>
                  <w:tcW w:w="861" w:type="pct"/>
                  <w:vAlign w:val="center"/>
                </w:tcPr>
                <w:p>
                  <w:pPr>
                    <w:adjustRightInd w:val="0"/>
                    <w:snapToGrid w:val="0"/>
                    <w:jc w:val="center"/>
                    <w:rPr>
                      <w:kern w:val="1"/>
                      <w:szCs w:val="21"/>
                    </w:rPr>
                  </w:pPr>
                  <w:r>
                    <w:rPr>
                      <w:kern w:val="1"/>
                      <w:szCs w:val="21"/>
                    </w:rPr>
                    <w:t>5</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28</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jc w:val="center"/>
                    <w:rPr>
                      <w:bCs/>
                      <w:szCs w:val="21"/>
                    </w:rPr>
                  </w:pPr>
                  <w:r>
                    <w:rPr>
                      <w:rFonts w:hint="eastAsia"/>
                      <w:bCs/>
                      <w:szCs w:val="21"/>
                    </w:rPr>
                    <w:t>开槽机</w:t>
                  </w:r>
                </w:p>
              </w:tc>
              <w:tc>
                <w:tcPr>
                  <w:tcW w:w="1104" w:type="pct"/>
                  <w:vAlign w:val="center"/>
                </w:tcPr>
                <w:p>
                  <w:pPr>
                    <w:adjustRightInd w:val="0"/>
                    <w:snapToGrid w:val="0"/>
                    <w:jc w:val="center"/>
                    <w:rPr>
                      <w:kern w:val="1"/>
                      <w:szCs w:val="21"/>
                    </w:rPr>
                  </w:pPr>
                  <w:r>
                    <w:rPr>
                      <w:kern w:val="1"/>
                      <w:szCs w:val="21"/>
                    </w:rPr>
                    <w:t>功率2.5kw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29</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jc w:val="center"/>
                    <w:rPr>
                      <w:bCs/>
                      <w:szCs w:val="21"/>
                    </w:rPr>
                  </w:pPr>
                  <w:r>
                    <w:rPr>
                      <w:rFonts w:hint="eastAsia"/>
                      <w:bCs/>
                      <w:szCs w:val="21"/>
                    </w:rPr>
                    <w:t>雕刻机</w:t>
                  </w:r>
                </w:p>
              </w:tc>
              <w:tc>
                <w:tcPr>
                  <w:tcW w:w="1104" w:type="pct"/>
                  <w:vAlign w:val="center"/>
                </w:tcPr>
                <w:p>
                  <w:pPr>
                    <w:adjustRightInd w:val="0"/>
                    <w:snapToGrid w:val="0"/>
                    <w:jc w:val="center"/>
                    <w:rPr>
                      <w:kern w:val="1"/>
                      <w:szCs w:val="21"/>
                    </w:rPr>
                  </w:pPr>
                  <w:r>
                    <w:rPr>
                      <w:kern w:val="1"/>
                      <w:szCs w:val="21"/>
                    </w:rPr>
                    <w:t>功率2.5kw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30</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adjustRightInd w:val="0"/>
                    <w:snapToGrid w:val="0"/>
                    <w:jc w:val="center"/>
                    <w:rPr>
                      <w:szCs w:val="21"/>
                    </w:rPr>
                  </w:pPr>
                  <w:r>
                    <w:rPr>
                      <w:rFonts w:hint="eastAsia"/>
                      <w:bCs/>
                      <w:szCs w:val="21"/>
                    </w:rPr>
                    <w:t>波浪机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31</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组装</w:t>
                  </w:r>
                </w:p>
              </w:tc>
              <w:tc>
                <w:tcPr>
                  <w:tcW w:w="928" w:type="pct"/>
                  <w:vAlign w:val="center"/>
                </w:tcPr>
                <w:p>
                  <w:pPr>
                    <w:adjustRightInd w:val="0"/>
                    <w:snapToGrid w:val="0"/>
                    <w:jc w:val="center"/>
                    <w:rPr>
                      <w:bCs/>
                      <w:szCs w:val="21"/>
                    </w:rPr>
                  </w:pPr>
                  <w:r>
                    <w:rPr>
                      <w:rFonts w:hint="eastAsia"/>
                      <w:bCs/>
                      <w:szCs w:val="21"/>
                    </w:rPr>
                    <w:t>组装</w:t>
                  </w:r>
                  <w:r>
                    <w:rPr>
                      <w:bCs/>
                      <w:szCs w:val="21"/>
                    </w:rPr>
                    <w:t>流水线</w:t>
                  </w:r>
                </w:p>
              </w:tc>
              <w:tc>
                <w:tcPr>
                  <w:tcW w:w="1104" w:type="pct"/>
                  <w:vAlign w:val="center"/>
                </w:tcPr>
                <w:p>
                  <w:pPr>
                    <w:adjustRightInd w:val="0"/>
                    <w:snapToGrid w:val="0"/>
                    <w:jc w:val="center"/>
                    <w:rPr>
                      <w:kern w:val="1"/>
                      <w:szCs w:val="21"/>
                    </w:rPr>
                  </w:pPr>
                  <w:r>
                    <w:rPr>
                      <w:rFonts w:hint="eastAsia"/>
                      <w:kern w:val="1"/>
                      <w:szCs w:val="21"/>
                    </w:rPr>
                    <w:t>/</w:t>
                  </w:r>
                </w:p>
              </w:tc>
              <w:tc>
                <w:tcPr>
                  <w:tcW w:w="861" w:type="pct"/>
                  <w:vAlign w:val="center"/>
                </w:tcPr>
                <w:p>
                  <w:pPr>
                    <w:adjustRightInd w:val="0"/>
                    <w:snapToGrid w:val="0"/>
                    <w:jc w:val="center"/>
                    <w:rPr>
                      <w:kern w:val="1"/>
                      <w:szCs w:val="21"/>
                    </w:rPr>
                  </w:pPr>
                  <w:r>
                    <w:rPr>
                      <w:rFonts w:hint="eastAsia"/>
                      <w:kern w:val="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32</w:t>
                  </w:r>
                </w:p>
              </w:tc>
              <w:tc>
                <w:tcPr>
                  <w:tcW w:w="590" w:type="pct"/>
                  <w:vMerge w:val="restart"/>
                  <w:vAlign w:val="center"/>
                </w:tcPr>
                <w:p>
                  <w:pPr>
                    <w:adjustRightInd w:val="0"/>
                    <w:snapToGrid w:val="0"/>
                    <w:jc w:val="center"/>
                    <w:rPr>
                      <w:kern w:val="0"/>
                      <w:szCs w:val="21"/>
                    </w:rPr>
                  </w:pPr>
                  <w:r>
                    <w:rPr>
                      <w:rFonts w:hint="eastAsia"/>
                      <w:kern w:val="0"/>
                      <w:szCs w:val="21"/>
                    </w:rPr>
                    <w:t>PP片</w:t>
                  </w:r>
                  <w:r>
                    <w:rPr>
                      <w:kern w:val="0"/>
                      <w:szCs w:val="21"/>
                    </w:rPr>
                    <w:t>生产单元</w:t>
                  </w:r>
                </w:p>
              </w:tc>
              <w:tc>
                <w:tcPr>
                  <w:tcW w:w="1095" w:type="pct"/>
                  <w:vAlign w:val="center"/>
                </w:tcPr>
                <w:p>
                  <w:pPr>
                    <w:adjustRightInd w:val="0"/>
                    <w:snapToGrid w:val="0"/>
                    <w:jc w:val="center"/>
                    <w:rPr>
                      <w:kern w:val="0"/>
                      <w:szCs w:val="21"/>
                    </w:rPr>
                  </w:pPr>
                  <w:r>
                    <w:rPr>
                      <w:bCs/>
                      <w:szCs w:val="21"/>
                    </w:rPr>
                    <w:t>投料、挤出、冷却、裁切</w:t>
                  </w:r>
                </w:p>
              </w:tc>
              <w:tc>
                <w:tcPr>
                  <w:tcW w:w="928" w:type="pct"/>
                  <w:vAlign w:val="center"/>
                </w:tcPr>
                <w:p>
                  <w:pPr>
                    <w:adjustRightInd w:val="0"/>
                    <w:snapToGrid w:val="0"/>
                    <w:jc w:val="center"/>
                    <w:rPr>
                      <w:bCs/>
                      <w:szCs w:val="21"/>
                    </w:rPr>
                  </w:pPr>
                  <w:r>
                    <w:rPr>
                      <w:rFonts w:hint="eastAsia"/>
                      <w:bCs/>
                      <w:szCs w:val="21"/>
                    </w:rPr>
                    <w:t>PP片</w:t>
                  </w:r>
                  <w:r>
                    <w:rPr>
                      <w:bCs/>
                      <w:szCs w:val="21"/>
                    </w:rPr>
                    <w:t>生产线</w:t>
                  </w:r>
                </w:p>
              </w:tc>
              <w:tc>
                <w:tcPr>
                  <w:tcW w:w="1104" w:type="pct"/>
                  <w:vAlign w:val="center"/>
                </w:tcPr>
                <w:p>
                  <w:pPr>
                    <w:adjustRightInd w:val="0"/>
                    <w:snapToGrid w:val="0"/>
                    <w:jc w:val="center"/>
                    <w:rPr>
                      <w:kern w:val="1"/>
                      <w:szCs w:val="21"/>
                    </w:rPr>
                  </w:pPr>
                  <w:r>
                    <w:rPr>
                      <w:rFonts w:hint="eastAsia"/>
                      <w:kern w:val="1"/>
                      <w:szCs w:val="21"/>
                    </w:rPr>
                    <w:t>处理</w:t>
                  </w:r>
                  <w:r>
                    <w:rPr>
                      <w:kern w:val="1"/>
                      <w:szCs w:val="21"/>
                    </w:rPr>
                    <w:t>能力</w:t>
                  </w:r>
                  <w:r>
                    <w:rPr>
                      <w:rFonts w:hint="eastAsia"/>
                      <w:kern w:val="1"/>
                      <w:szCs w:val="21"/>
                    </w:rPr>
                    <w:t>3.0kg/h</w:t>
                  </w:r>
                </w:p>
              </w:tc>
              <w:tc>
                <w:tcPr>
                  <w:tcW w:w="861" w:type="pct"/>
                  <w:vAlign w:val="center"/>
                </w:tcPr>
                <w:p>
                  <w:pPr>
                    <w:adjustRightInd w:val="0"/>
                    <w:snapToGrid w:val="0"/>
                    <w:jc w:val="center"/>
                    <w:rPr>
                      <w:kern w:val="1"/>
                      <w:szCs w:val="21"/>
                    </w:rPr>
                  </w:pPr>
                  <w:r>
                    <w:rPr>
                      <w:rFonts w:hint="eastAsia"/>
                      <w:kern w:val="1"/>
                      <w:szCs w:val="21"/>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33</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冷却</w:t>
                  </w:r>
                </w:p>
              </w:tc>
              <w:tc>
                <w:tcPr>
                  <w:tcW w:w="928" w:type="pct"/>
                  <w:vAlign w:val="center"/>
                </w:tcPr>
                <w:p>
                  <w:pPr>
                    <w:adjustRightInd w:val="0"/>
                    <w:snapToGrid w:val="0"/>
                    <w:jc w:val="center"/>
                    <w:rPr>
                      <w:bCs/>
                      <w:szCs w:val="21"/>
                    </w:rPr>
                  </w:pPr>
                  <w:r>
                    <w:rPr>
                      <w:rFonts w:hint="eastAsia"/>
                      <w:bCs/>
                      <w:szCs w:val="21"/>
                    </w:rPr>
                    <w:t>冷却塔</w:t>
                  </w:r>
                </w:p>
              </w:tc>
              <w:tc>
                <w:tcPr>
                  <w:tcW w:w="1104" w:type="pct"/>
                  <w:vAlign w:val="center"/>
                </w:tcPr>
                <w:p>
                  <w:pPr>
                    <w:adjustRightInd w:val="0"/>
                    <w:snapToGrid w:val="0"/>
                    <w:jc w:val="center"/>
                    <w:rPr>
                      <w:kern w:val="1"/>
                      <w:szCs w:val="21"/>
                    </w:rPr>
                  </w:pPr>
                  <w:r>
                    <w:rPr>
                      <w:rFonts w:hint="eastAsia"/>
                      <w:szCs w:val="21"/>
                    </w:rPr>
                    <w:t>循环水量</w:t>
                  </w:r>
                  <w:r>
                    <w:rPr>
                      <w:rFonts w:hint="eastAsia"/>
                      <w:kern w:val="0"/>
                      <w:szCs w:val="21"/>
                    </w:rPr>
                    <w:t>1</w:t>
                  </w:r>
                  <w:r>
                    <w:rPr>
                      <w:kern w:val="0"/>
                      <w:szCs w:val="21"/>
                    </w:rPr>
                    <w:t>5m</w:t>
                  </w:r>
                  <w:r>
                    <w:rPr>
                      <w:kern w:val="0"/>
                      <w:szCs w:val="21"/>
                      <w:vertAlign w:val="superscript"/>
                    </w:rPr>
                    <w:t>3</w:t>
                  </w:r>
                  <w:r>
                    <w:rPr>
                      <w:kern w:val="0"/>
                      <w:szCs w:val="21"/>
                    </w:rPr>
                    <w:t>/h</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34</w:t>
                  </w:r>
                </w:p>
              </w:tc>
              <w:tc>
                <w:tcPr>
                  <w:tcW w:w="590" w:type="pct"/>
                  <w:vMerge w:val="restart"/>
                  <w:vAlign w:val="center"/>
                </w:tcPr>
                <w:p>
                  <w:pPr>
                    <w:adjustRightInd w:val="0"/>
                    <w:snapToGrid w:val="0"/>
                    <w:jc w:val="center"/>
                    <w:rPr>
                      <w:kern w:val="0"/>
                      <w:szCs w:val="21"/>
                    </w:rPr>
                  </w:pPr>
                  <w:r>
                    <w:rPr>
                      <w:rFonts w:hint="eastAsia"/>
                      <w:kern w:val="0"/>
                      <w:szCs w:val="21"/>
                    </w:rPr>
                    <w:t>公用</w:t>
                  </w:r>
                  <w:r>
                    <w:rPr>
                      <w:kern w:val="0"/>
                      <w:szCs w:val="21"/>
                    </w:rPr>
                    <w:t>单元</w:t>
                  </w:r>
                </w:p>
              </w:tc>
              <w:tc>
                <w:tcPr>
                  <w:tcW w:w="1095" w:type="pct"/>
                  <w:vAlign w:val="center"/>
                </w:tcPr>
                <w:p>
                  <w:pPr>
                    <w:adjustRightInd w:val="0"/>
                    <w:snapToGrid w:val="0"/>
                    <w:jc w:val="center"/>
                    <w:rPr>
                      <w:kern w:val="0"/>
                      <w:szCs w:val="21"/>
                    </w:rPr>
                  </w:pPr>
                  <w:r>
                    <w:rPr>
                      <w:rFonts w:hint="eastAsia"/>
                      <w:kern w:val="0"/>
                      <w:szCs w:val="21"/>
                    </w:rPr>
                    <w:t>边角料</w:t>
                  </w:r>
                  <w:r>
                    <w:rPr>
                      <w:kern w:val="0"/>
                      <w:szCs w:val="21"/>
                    </w:rPr>
                    <w:t>打包</w:t>
                  </w:r>
                </w:p>
              </w:tc>
              <w:tc>
                <w:tcPr>
                  <w:tcW w:w="928" w:type="pct"/>
                  <w:vAlign w:val="center"/>
                </w:tcPr>
                <w:p>
                  <w:pPr>
                    <w:adjustRightInd w:val="0"/>
                    <w:snapToGrid w:val="0"/>
                    <w:jc w:val="center"/>
                    <w:rPr>
                      <w:bCs/>
                      <w:szCs w:val="21"/>
                    </w:rPr>
                  </w:pPr>
                  <w:r>
                    <w:rPr>
                      <w:rFonts w:hint="eastAsia"/>
                      <w:bCs/>
                      <w:szCs w:val="21"/>
                    </w:rPr>
                    <w:t>边角料</w:t>
                  </w:r>
                  <w:r>
                    <w:rPr>
                      <w:bCs/>
                      <w:szCs w:val="21"/>
                    </w:rPr>
                    <w:t>打包机</w:t>
                  </w:r>
                </w:p>
              </w:tc>
              <w:tc>
                <w:tcPr>
                  <w:tcW w:w="1104" w:type="pct"/>
                  <w:vAlign w:val="center"/>
                </w:tcPr>
                <w:p>
                  <w:pPr>
                    <w:adjustRightInd w:val="0"/>
                    <w:snapToGrid w:val="0"/>
                    <w:jc w:val="center"/>
                    <w:rPr>
                      <w:kern w:val="1"/>
                      <w:szCs w:val="21"/>
                    </w:rPr>
                  </w:pPr>
                  <w:r>
                    <w:rPr>
                      <w:kern w:val="1"/>
                      <w:szCs w:val="21"/>
                    </w:rPr>
                    <w:t>功率1.5kw</w:t>
                  </w:r>
                </w:p>
              </w:tc>
              <w:tc>
                <w:tcPr>
                  <w:tcW w:w="861" w:type="pct"/>
                  <w:vAlign w:val="center"/>
                </w:tcPr>
                <w:p>
                  <w:pPr>
                    <w:adjustRightInd w:val="0"/>
                    <w:snapToGrid w:val="0"/>
                    <w:jc w:val="center"/>
                    <w:rPr>
                      <w:kern w:val="1"/>
                      <w:szCs w:val="21"/>
                    </w:rPr>
                  </w:pPr>
                  <w:r>
                    <w:rPr>
                      <w:rFonts w:hint="eastAsia"/>
                      <w:kern w:val="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2" w:type="pct"/>
                  <w:vAlign w:val="center"/>
                </w:tcPr>
                <w:p>
                  <w:pPr>
                    <w:adjustRightInd w:val="0"/>
                    <w:snapToGrid w:val="0"/>
                    <w:jc w:val="center"/>
                    <w:rPr>
                      <w:szCs w:val="21"/>
                    </w:rPr>
                  </w:pPr>
                  <w:r>
                    <w:rPr>
                      <w:rFonts w:hint="eastAsia"/>
                      <w:szCs w:val="21"/>
                    </w:rPr>
                    <w:t>35</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打样</w:t>
                  </w:r>
                </w:p>
              </w:tc>
              <w:tc>
                <w:tcPr>
                  <w:tcW w:w="928" w:type="pct"/>
                  <w:vAlign w:val="center"/>
                </w:tcPr>
                <w:p>
                  <w:pPr>
                    <w:adjustRightInd w:val="0"/>
                    <w:snapToGrid w:val="0"/>
                    <w:jc w:val="center"/>
                    <w:rPr>
                      <w:bCs/>
                      <w:szCs w:val="21"/>
                    </w:rPr>
                  </w:pPr>
                  <w:r>
                    <w:rPr>
                      <w:rFonts w:hint="eastAsia"/>
                      <w:bCs/>
                      <w:szCs w:val="21"/>
                    </w:rPr>
                    <w:t>台钻</w:t>
                  </w:r>
                </w:p>
              </w:tc>
              <w:tc>
                <w:tcPr>
                  <w:tcW w:w="1104" w:type="pct"/>
                  <w:vAlign w:val="center"/>
                </w:tcPr>
                <w:p>
                  <w:pPr>
                    <w:adjustRightInd w:val="0"/>
                    <w:snapToGrid w:val="0"/>
                    <w:jc w:val="center"/>
                    <w:rPr>
                      <w:kern w:val="1"/>
                      <w:szCs w:val="21"/>
                    </w:rPr>
                  </w:pPr>
                  <w:r>
                    <w:rPr>
                      <w:kern w:val="1"/>
                      <w:szCs w:val="21"/>
                    </w:rPr>
                    <w:t>功率0.5kw</w:t>
                  </w:r>
                </w:p>
              </w:tc>
              <w:tc>
                <w:tcPr>
                  <w:tcW w:w="861" w:type="pct"/>
                  <w:vAlign w:val="center"/>
                </w:tcPr>
                <w:p>
                  <w:pPr>
                    <w:adjustRightInd w:val="0"/>
                    <w:snapToGrid w:val="0"/>
                    <w:jc w:val="center"/>
                    <w:rPr>
                      <w:kern w:val="1"/>
                      <w:szCs w:val="21"/>
                    </w:rPr>
                  </w:pPr>
                  <w:r>
                    <w:rPr>
                      <w:rFonts w:hint="eastAsia"/>
                      <w:kern w:val="1"/>
                      <w:szCs w:val="21"/>
                    </w:rPr>
                    <w:t>3台</w:t>
                  </w:r>
                </w:p>
              </w:tc>
            </w:tr>
          </w:tbl>
          <w:p>
            <w:pPr>
              <w:spacing w:line="360" w:lineRule="auto"/>
              <w:rPr>
                <w:bCs/>
                <w:szCs w:val="21"/>
              </w:rPr>
            </w:pPr>
            <w:r>
              <w:rPr>
                <w:bCs/>
                <w:szCs w:val="21"/>
              </w:rPr>
              <w:t>注：所有设备均采用电能。</w:t>
            </w:r>
          </w:p>
          <w:p>
            <w:pPr>
              <w:adjustRightInd w:val="0"/>
              <w:snapToGrid w:val="0"/>
              <w:spacing w:line="360" w:lineRule="auto"/>
              <w:ind w:firstLine="422" w:firstLineChars="200"/>
              <w:rPr>
                <w:b/>
                <w:bCs/>
              </w:rPr>
            </w:pPr>
            <w:r>
              <w:rPr>
                <w:rFonts w:hint="eastAsia"/>
                <w:b/>
                <w:bCs/>
              </w:rPr>
              <w:t>5</w:t>
            </w:r>
            <w:r>
              <w:rPr>
                <w:b/>
                <w:bCs/>
              </w:rPr>
              <w:t>、给排水和供电</w:t>
            </w:r>
          </w:p>
          <w:p>
            <w:pPr>
              <w:widowControl/>
              <w:adjustRightInd w:val="0"/>
              <w:snapToGrid w:val="0"/>
              <w:spacing w:line="360" w:lineRule="auto"/>
              <w:ind w:firstLine="422" w:firstLineChars="200"/>
              <w:jc w:val="left"/>
              <w:rPr>
                <w:b/>
                <w:bCs/>
                <w:szCs w:val="21"/>
              </w:rPr>
            </w:pPr>
            <w:r>
              <w:rPr>
                <w:rFonts w:hint="eastAsia"/>
                <w:b/>
                <w:bCs/>
              </w:rPr>
              <w:t>（1）</w:t>
            </w:r>
            <w:r>
              <w:rPr>
                <w:b/>
                <w:bCs/>
              </w:rPr>
              <w:t>给排水</w:t>
            </w:r>
          </w:p>
          <w:p>
            <w:pPr>
              <w:widowControl/>
              <w:adjustRightInd w:val="0"/>
              <w:snapToGrid w:val="0"/>
              <w:spacing w:line="360" w:lineRule="auto"/>
              <w:ind w:firstLine="420" w:firstLineChars="200"/>
              <w:jc w:val="left"/>
            </w:pPr>
            <w:r>
              <w:t>项目用水由附近市政供水管网接入，运营期用水主要有冷却用水及员工生活用水。</w:t>
            </w:r>
          </w:p>
          <w:p>
            <w:pPr>
              <w:widowControl/>
              <w:adjustRightInd w:val="0"/>
              <w:snapToGrid w:val="0"/>
              <w:spacing w:line="360" w:lineRule="auto"/>
              <w:ind w:firstLine="420" w:firstLineChars="200"/>
              <w:jc w:val="left"/>
            </w:pPr>
            <w:r>
              <w:t>项目采用雨、污水分流制，雨水经暗渠汇集后直接排入市政雨水管网，冷却用水循环使用不外排，生活污水经三级化粪池预处理后纳入杨侨镇生活污水处理厂处理。</w:t>
            </w:r>
          </w:p>
          <w:p>
            <w:pPr>
              <w:widowControl/>
              <w:adjustRightInd w:val="0"/>
              <w:snapToGrid w:val="0"/>
              <w:spacing w:line="360" w:lineRule="auto"/>
              <w:ind w:firstLine="422" w:firstLineChars="200"/>
              <w:jc w:val="left"/>
              <w:rPr>
                <w:b/>
                <w:bCs/>
              </w:rPr>
            </w:pPr>
            <w:r>
              <w:rPr>
                <w:rFonts w:hint="eastAsia"/>
                <w:b/>
                <w:bCs/>
              </w:rPr>
              <w:t>（2）</w:t>
            </w:r>
            <w:r>
              <w:rPr>
                <w:b/>
                <w:bCs/>
              </w:rPr>
              <w:t>供电</w:t>
            </w:r>
          </w:p>
          <w:p>
            <w:pPr>
              <w:widowControl/>
              <w:adjustRightInd w:val="0"/>
              <w:snapToGrid w:val="0"/>
              <w:spacing w:line="360" w:lineRule="auto"/>
              <w:ind w:firstLine="420" w:firstLineChars="200"/>
              <w:jc w:val="left"/>
            </w:pPr>
            <w:r>
              <w:t>项目年耗电量约50万度，供电由市政电网提供。</w:t>
            </w:r>
          </w:p>
          <w:p>
            <w:pPr>
              <w:adjustRightInd w:val="0"/>
              <w:snapToGrid w:val="0"/>
              <w:spacing w:line="360" w:lineRule="auto"/>
              <w:ind w:firstLine="422" w:firstLineChars="200"/>
              <w:rPr>
                <w:b/>
                <w:bCs/>
              </w:rPr>
            </w:pPr>
            <w:r>
              <w:rPr>
                <w:rFonts w:hint="eastAsia"/>
                <w:b/>
                <w:bCs/>
              </w:rPr>
              <w:t>6</w:t>
            </w:r>
            <w:r>
              <w:rPr>
                <w:b/>
                <w:bCs/>
              </w:rPr>
              <w:t>、水平衡分析</w:t>
            </w:r>
          </w:p>
          <w:p>
            <w:pPr>
              <w:adjustRightInd w:val="0"/>
              <w:snapToGrid w:val="0"/>
              <w:spacing w:line="360" w:lineRule="auto"/>
              <w:ind w:firstLine="422" w:firstLineChars="200"/>
              <w:rPr>
                <w:b/>
                <w:bCs/>
                <w:szCs w:val="21"/>
              </w:rPr>
            </w:pPr>
            <w:r>
              <w:rPr>
                <w:rFonts w:hint="eastAsia"/>
                <w:b/>
                <w:bCs/>
              </w:rPr>
              <w:t>（1）</w:t>
            </w:r>
            <w:r>
              <w:rPr>
                <w:b/>
                <w:bCs/>
              </w:rPr>
              <w:t>冷却用水</w:t>
            </w:r>
          </w:p>
          <w:p>
            <w:pPr>
              <w:adjustRightInd w:val="0"/>
              <w:snapToGrid w:val="0"/>
              <w:spacing w:line="360" w:lineRule="auto"/>
              <w:ind w:firstLine="420" w:firstLineChars="200"/>
            </w:pPr>
            <w:r>
              <w:rPr>
                <w:rFonts w:hint="eastAsia"/>
                <w:szCs w:val="21"/>
              </w:rPr>
              <w:t>项目共设</w:t>
            </w:r>
            <w:r>
              <w:rPr>
                <w:szCs w:val="21"/>
              </w:rPr>
              <w:t>1</w:t>
            </w:r>
            <w:r>
              <w:rPr>
                <w:rFonts w:hint="eastAsia"/>
                <w:szCs w:val="21"/>
              </w:rPr>
              <w:t>台冷却塔，循环水量</w:t>
            </w:r>
            <w:r>
              <w:rPr>
                <w:rFonts w:hint="eastAsia"/>
                <w:kern w:val="0"/>
                <w:szCs w:val="21"/>
              </w:rPr>
              <w:t>1</w:t>
            </w:r>
            <w:r>
              <w:rPr>
                <w:kern w:val="0"/>
                <w:szCs w:val="21"/>
              </w:rPr>
              <w:t>5m</w:t>
            </w:r>
            <w:r>
              <w:rPr>
                <w:kern w:val="0"/>
                <w:szCs w:val="21"/>
                <w:vertAlign w:val="superscript"/>
              </w:rPr>
              <w:t>3</w:t>
            </w:r>
            <w:r>
              <w:rPr>
                <w:kern w:val="0"/>
                <w:szCs w:val="21"/>
              </w:rPr>
              <w:t>/h</w:t>
            </w:r>
            <w:r>
              <w:rPr>
                <w:rFonts w:hint="eastAsia"/>
                <w:szCs w:val="21"/>
              </w:rPr>
              <w:t>，日工作</w:t>
            </w:r>
            <w:r>
              <w:rPr>
                <w:szCs w:val="21"/>
              </w:rPr>
              <w:t>8</w:t>
            </w:r>
            <w:r>
              <w:rPr>
                <w:rFonts w:hint="eastAsia"/>
                <w:szCs w:val="21"/>
              </w:rPr>
              <w:t>小时，冷却方式为间接冷却，冷却水循环</w:t>
            </w:r>
            <w:r>
              <w:rPr>
                <w:szCs w:val="21"/>
              </w:rPr>
              <w:t>使用</w:t>
            </w:r>
            <w:r>
              <w:rPr>
                <w:rFonts w:hint="eastAsia"/>
                <w:szCs w:val="21"/>
              </w:rPr>
              <w:t>，不外排，根据《工业循环水冷却设计规范》（G</w:t>
            </w:r>
            <w:r>
              <w:rPr>
                <w:szCs w:val="21"/>
              </w:rPr>
              <w:t>B/T50102-2014</w:t>
            </w:r>
            <w:r>
              <w:rPr>
                <w:rFonts w:hint="eastAsia"/>
                <w:szCs w:val="21"/>
              </w:rPr>
              <w:t>），本项目冷却塔日常损耗率约</w:t>
            </w:r>
            <w:r>
              <w:rPr>
                <w:szCs w:val="21"/>
              </w:rPr>
              <w:t>1</w:t>
            </w:r>
            <w:r>
              <w:rPr>
                <w:rFonts w:hint="eastAsia"/>
                <w:szCs w:val="21"/>
              </w:rPr>
              <w:t>%，则需补充水量约</w:t>
            </w:r>
            <w:r>
              <w:rPr>
                <w:szCs w:val="21"/>
              </w:rPr>
              <w:t>1.2</w:t>
            </w:r>
            <w:r>
              <w:rPr>
                <w:rFonts w:hint="eastAsia"/>
                <w:szCs w:val="21"/>
              </w:rPr>
              <w:t>t/d（</w:t>
            </w:r>
            <w:r>
              <w:rPr>
                <w:szCs w:val="21"/>
              </w:rPr>
              <w:t>360</w:t>
            </w:r>
            <w:r>
              <w:rPr>
                <w:rFonts w:hint="eastAsia"/>
                <w:szCs w:val="21"/>
              </w:rPr>
              <w:t>t/a）</w:t>
            </w:r>
            <w:r>
              <w:t>。</w:t>
            </w:r>
          </w:p>
          <w:p>
            <w:pPr>
              <w:adjustRightInd w:val="0"/>
              <w:snapToGrid w:val="0"/>
              <w:spacing w:line="360" w:lineRule="auto"/>
              <w:ind w:firstLine="422" w:firstLineChars="200"/>
              <w:rPr>
                <w:b/>
                <w:bCs/>
                <w:szCs w:val="21"/>
              </w:rPr>
            </w:pPr>
            <w:r>
              <w:rPr>
                <w:rFonts w:hint="eastAsia"/>
                <w:b/>
                <w:bCs/>
              </w:rPr>
              <w:t>（</w:t>
            </w:r>
            <w:r>
              <w:rPr>
                <w:b/>
                <w:bCs/>
              </w:rPr>
              <w:t>2</w:t>
            </w:r>
            <w:r>
              <w:rPr>
                <w:rFonts w:hint="eastAsia"/>
                <w:b/>
                <w:bCs/>
              </w:rPr>
              <w:t>）喷淋塔</w:t>
            </w:r>
            <w:r>
              <w:rPr>
                <w:b/>
                <w:bCs/>
              </w:rPr>
              <w:t>用水</w:t>
            </w:r>
          </w:p>
          <w:p>
            <w:pPr>
              <w:adjustRightInd w:val="0"/>
              <w:snapToGrid w:val="0"/>
              <w:spacing w:line="360" w:lineRule="auto"/>
              <w:ind w:firstLine="420" w:firstLineChars="200"/>
              <w:rPr>
                <w:szCs w:val="21"/>
              </w:rPr>
            </w:pPr>
            <w:r>
              <w:rPr>
                <w:szCs w:val="21"/>
              </w:rPr>
              <w:t>项目</w:t>
            </w:r>
            <w:r>
              <w:rPr>
                <w:rFonts w:hint="eastAsia"/>
                <w:szCs w:val="21"/>
              </w:rPr>
              <w:t>挤出</w:t>
            </w:r>
            <w:r>
              <w:rPr>
                <w:szCs w:val="21"/>
              </w:rPr>
              <w:t>废气收集后经“喷淋塔+干式除雾器+两级活性炭吸附”装置处理，项目共设置1</w:t>
            </w:r>
            <w:r>
              <w:rPr>
                <w:rFonts w:hint="eastAsia"/>
                <w:szCs w:val="21"/>
              </w:rPr>
              <w:t>个</w:t>
            </w:r>
            <w:r>
              <w:rPr>
                <w:szCs w:val="21"/>
              </w:rPr>
              <w:t>水喷淋塔，储水量为2m</w:t>
            </w:r>
            <w:r>
              <w:rPr>
                <w:szCs w:val="21"/>
                <w:vertAlign w:val="superscript"/>
              </w:rPr>
              <w:t>3</w:t>
            </w:r>
            <w:r>
              <w:rPr>
                <w:szCs w:val="21"/>
              </w:rPr>
              <w:t>，水喷淋塔用水对水质要求不高，项目喷淋塔水箱设置过滤设施，喷淋塔用水经过滤除渣后可循环使用，喷淋塔循环水量约5m</w:t>
            </w:r>
            <w:r>
              <w:rPr>
                <w:szCs w:val="21"/>
                <w:vertAlign w:val="superscript"/>
              </w:rPr>
              <w:t>3</w:t>
            </w:r>
            <w:r>
              <w:rPr>
                <w:szCs w:val="21"/>
              </w:rPr>
              <w:t>/h，项目日开工8小时，则每日循环水量约40m</w:t>
            </w:r>
            <w:r>
              <w:rPr>
                <w:szCs w:val="21"/>
                <w:vertAlign w:val="superscript"/>
              </w:rPr>
              <w:t>3</w:t>
            </w:r>
            <w:r>
              <w:rPr>
                <w:szCs w:val="21"/>
              </w:rPr>
              <w:t>/d，由于蒸发损耗及废气带走，每天需补充</w:t>
            </w:r>
            <w:r>
              <w:rPr>
                <w:rFonts w:hint="eastAsia"/>
                <w:szCs w:val="21"/>
              </w:rPr>
              <w:t>新鲜水</w:t>
            </w:r>
            <w:r>
              <w:rPr>
                <w:szCs w:val="21"/>
              </w:rPr>
              <w:t>，</w:t>
            </w:r>
            <w:r>
              <w:t>参考《建筑给水排水设计标准》（GB50015-2019）3.11.14，补充水量应按</w:t>
            </w:r>
            <w:r>
              <w:rPr>
                <w:rFonts w:hint="eastAsia"/>
              </w:rPr>
              <w:t>储水量</w:t>
            </w:r>
            <w:r>
              <w:t>的1~2%计算，本项目取2%，</w:t>
            </w:r>
            <w:r>
              <w:rPr>
                <w:szCs w:val="21"/>
              </w:rPr>
              <w:t>则每日补充水量约0.04m</w:t>
            </w:r>
            <w:r>
              <w:rPr>
                <w:szCs w:val="21"/>
                <w:vertAlign w:val="superscript"/>
              </w:rPr>
              <w:t>3</w:t>
            </w:r>
            <w:r>
              <w:rPr>
                <w:szCs w:val="21"/>
              </w:rPr>
              <w:t>，年工作 300天，年补充水量12m</w:t>
            </w:r>
            <w:r>
              <w:rPr>
                <w:szCs w:val="21"/>
                <w:vertAlign w:val="superscript"/>
              </w:rPr>
              <w:t>3</w:t>
            </w:r>
            <w:r>
              <w:t>。</w:t>
            </w:r>
            <w:r>
              <w:rPr>
                <w:rFonts w:hint="eastAsia"/>
              </w:rPr>
              <w:t>喷淋塔用水循环使用，不外排，喷淋塔沉渣定期打捞交由专业公司处理</w:t>
            </w:r>
            <w:r>
              <w:rPr>
                <w:szCs w:val="21"/>
              </w:rPr>
              <w:t>。</w:t>
            </w:r>
          </w:p>
          <w:p>
            <w:pPr>
              <w:adjustRightInd w:val="0"/>
              <w:snapToGrid w:val="0"/>
              <w:spacing w:line="360" w:lineRule="auto"/>
              <w:ind w:firstLine="422" w:firstLineChars="200"/>
              <w:rPr>
                <w:b/>
                <w:bCs/>
              </w:rPr>
            </w:pPr>
            <w:r>
              <w:rPr>
                <w:rFonts w:hint="eastAsia"/>
                <w:b/>
                <w:bCs/>
              </w:rPr>
              <w:t>（</w:t>
            </w:r>
            <w:r>
              <w:rPr>
                <w:b/>
                <w:bCs/>
              </w:rPr>
              <w:t>3</w:t>
            </w:r>
            <w:r>
              <w:rPr>
                <w:rFonts w:hint="eastAsia"/>
                <w:b/>
                <w:bCs/>
              </w:rPr>
              <w:t>）</w:t>
            </w:r>
            <w:r>
              <w:rPr>
                <w:b/>
                <w:bCs/>
              </w:rPr>
              <w:t>员工生活用水</w:t>
            </w:r>
          </w:p>
          <w:p>
            <w:pPr>
              <w:adjustRightInd w:val="0"/>
              <w:snapToGrid w:val="0"/>
              <w:spacing w:line="360" w:lineRule="auto"/>
              <w:ind w:firstLine="420" w:firstLineChars="200"/>
            </w:pPr>
            <w:r>
              <w:t>项目拟劳动定员为100人，</w:t>
            </w:r>
            <w:r>
              <w:rPr>
                <w:rFonts w:hint="eastAsia"/>
              </w:rPr>
              <w:t>均不在项目</w:t>
            </w:r>
            <w:r>
              <w:t>内食宿，年工作日300d，</w:t>
            </w:r>
            <w:r>
              <w:rPr>
                <w:kern w:val="0"/>
              </w:rPr>
              <w:t>根据广东省《用水定额 第3部分：生活》（DB44/T1461.3-2021），</w:t>
            </w:r>
            <w:r>
              <w:rPr>
                <w:rFonts w:hint="eastAsia"/>
                <w:kern w:val="0"/>
              </w:rPr>
              <w:t>无</w:t>
            </w:r>
            <w:r>
              <w:rPr>
                <w:kern w:val="0"/>
              </w:rPr>
              <w:t>食堂和浴室的用水定额为10m</w:t>
            </w:r>
            <w:r>
              <w:rPr>
                <w:kern w:val="0"/>
                <w:vertAlign w:val="superscript"/>
              </w:rPr>
              <w:t>3</w:t>
            </w:r>
            <w:r>
              <w:rPr>
                <w:kern w:val="0"/>
              </w:rPr>
              <w:t>/人•a，则项目生活用水量为1000m</w:t>
            </w:r>
            <w:r>
              <w:rPr>
                <w:kern w:val="0"/>
                <w:vertAlign w:val="superscript"/>
              </w:rPr>
              <w:t>3</w:t>
            </w:r>
            <w:r>
              <w:rPr>
                <w:kern w:val="0"/>
              </w:rPr>
              <w:t>/a，排污系数为0.8，因此员工生活污水排放量为800m</w:t>
            </w:r>
            <w:r>
              <w:rPr>
                <w:kern w:val="0"/>
                <w:vertAlign w:val="superscript"/>
              </w:rPr>
              <w:t>3</w:t>
            </w:r>
            <w:r>
              <w:rPr>
                <w:kern w:val="0"/>
              </w:rPr>
              <w:t>/a</w:t>
            </w:r>
            <w:r>
              <w:rPr>
                <w:bCs/>
              </w:rPr>
              <w:t>，经三级</w:t>
            </w:r>
            <w:r>
              <w:t>化粪池预处理后</w:t>
            </w:r>
            <w:r>
              <w:rPr>
                <w:rFonts w:hint="eastAsia"/>
              </w:rPr>
              <w:t>经</w:t>
            </w:r>
            <w:r>
              <w:t>市政污水</w:t>
            </w:r>
            <w:r>
              <w:rPr>
                <w:rFonts w:hint="eastAsia"/>
              </w:rPr>
              <w:t>管网</w:t>
            </w:r>
            <w:r>
              <w:t>排入杨侨镇生活污水处理厂。</w:t>
            </w:r>
          </w:p>
          <w:p>
            <w:pPr>
              <w:jc w:val="center"/>
              <w:rPr>
                <w:szCs w:val="21"/>
              </w:rPr>
            </w:pPr>
            <w:r>
              <w:rPr>
                <w:b/>
              </w:rPr>
              <mc:AlternateContent>
                <mc:Choice Requires="wpc">
                  <w:drawing>
                    <wp:inline distT="0" distB="0" distL="0" distR="0">
                      <wp:extent cx="5372100" cy="2517775"/>
                      <wp:effectExtent l="0" t="0" r="19050" b="15875"/>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矩形 419"/>
                              <wps:cNvSpPr>
                                <a:spLocks noChangeArrowheads="1"/>
                              </wps:cNvSpPr>
                              <wps:spPr bwMode="auto">
                                <a:xfrm>
                                  <a:off x="130810" y="1155267"/>
                                  <a:ext cx="383540" cy="661035"/>
                                </a:xfrm>
                                <a:prstGeom prst="rect">
                                  <a:avLst/>
                                </a:prstGeom>
                                <a:noFill/>
                                <a:ln w="9525">
                                  <a:solidFill>
                                    <a:srgbClr val="000000"/>
                                  </a:solidFill>
                                  <a:miter lim="800000"/>
                                </a:ln>
                                <a:effectLst/>
                              </wps:spPr>
                              <wps:txbx>
                                <w:txbxContent>
                                  <w:p>
                                    <w:pPr>
                                      <w:adjustRightInd w:val="0"/>
                                      <w:snapToGrid w:val="0"/>
                                      <w:jc w:val="center"/>
                                    </w:pPr>
                                    <w:r>
                                      <w:rPr>
                                        <w:rFonts w:hint="eastAsia"/>
                                      </w:rPr>
                                      <w:t>新</w:t>
                                    </w:r>
                                  </w:p>
                                  <w:p>
                                    <w:pPr>
                                      <w:adjustRightInd w:val="0"/>
                                      <w:snapToGrid w:val="0"/>
                                      <w:jc w:val="center"/>
                                    </w:pPr>
                                    <w:r>
                                      <w:rPr>
                                        <w:rFonts w:hint="eastAsia"/>
                                      </w:rPr>
                                      <w:t>鲜</w:t>
                                    </w:r>
                                  </w:p>
                                  <w:p>
                                    <w:pPr>
                                      <w:adjustRightInd w:val="0"/>
                                      <w:snapToGrid w:val="0"/>
                                      <w:jc w:val="center"/>
                                    </w:pPr>
                                    <w:r>
                                      <w:rPr>
                                        <w:rFonts w:hint="eastAsia"/>
                                      </w:rPr>
                                      <w:t>水</w:t>
                                    </w:r>
                                  </w:p>
                                </w:txbxContent>
                              </wps:txbx>
                              <wps:bodyPr rot="0" vert="horz" wrap="square" lIns="91440" tIns="45720" rIns="91440" bIns="45720" anchor="t" anchorCtr="0" upright="1">
                                <a:noAutofit/>
                              </wps:bodyPr>
                            </wps:wsp>
                            <wps:wsp>
                              <wps:cNvPr id="5" name="矩形 435"/>
                              <wps:cNvSpPr>
                                <a:spLocks noChangeArrowheads="1"/>
                              </wps:cNvSpPr>
                              <wps:spPr bwMode="auto">
                                <a:xfrm>
                                  <a:off x="958026" y="2039408"/>
                                  <a:ext cx="584200" cy="273050"/>
                                </a:xfrm>
                                <a:prstGeom prst="rect">
                                  <a:avLst/>
                                </a:prstGeom>
                                <a:noFill/>
                                <a:ln>
                                  <a:noFill/>
                                </a:ln>
                                <a:effectLst/>
                              </wps:spPr>
                              <wps:txbx>
                                <w:txbxContent>
                                  <w:p>
                                    <w:pPr>
                                      <w:adjustRightInd w:val="0"/>
                                      <w:snapToGrid w:val="0"/>
                                    </w:pPr>
                                    <w:r>
                                      <w:t>3.33</w:t>
                                    </w:r>
                                  </w:p>
                                </w:txbxContent>
                              </wps:txbx>
                              <wps:bodyPr rot="0" vert="horz" wrap="square" lIns="91440" tIns="45720" rIns="91440" bIns="45720" anchor="t" anchorCtr="0" upright="1">
                                <a:noAutofit/>
                              </wps:bodyPr>
                            </wps:wsp>
                            <wps:wsp>
                              <wps:cNvPr id="7" name="矩形 437"/>
                              <wps:cNvSpPr>
                                <a:spLocks noChangeArrowheads="1"/>
                              </wps:cNvSpPr>
                              <wps:spPr bwMode="auto">
                                <a:xfrm>
                                  <a:off x="1266191" y="367432"/>
                                  <a:ext cx="948005" cy="272415"/>
                                </a:xfrm>
                                <a:prstGeom prst="rect">
                                  <a:avLst/>
                                </a:prstGeom>
                                <a:solidFill>
                                  <a:srgbClr val="FFFFFF"/>
                                </a:solidFill>
                                <a:ln w="9525">
                                  <a:solidFill>
                                    <a:srgbClr val="000000"/>
                                  </a:solidFill>
                                  <a:miter lim="800000"/>
                                </a:ln>
                                <a:effectLst/>
                              </wps:spPr>
                              <wps:txbx>
                                <w:txbxContent>
                                  <w:p>
                                    <w:pPr>
                                      <w:adjustRightInd w:val="0"/>
                                      <w:snapToGrid w:val="0"/>
                                      <w:jc w:val="center"/>
                                    </w:pPr>
                                    <w:r>
                                      <w:rPr>
                                        <w:rFonts w:hint="eastAsia"/>
                                      </w:rPr>
                                      <w:t>冷水用水</w:t>
                                    </w:r>
                                  </w:p>
                                </w:txbxContent>
                              </wps:txbx>
                              <wps:bodyPr rot="0" vert="horz" wrap="square" lIns="91440" tIns="45720" rIns="91440" bIns="45720" anchor="t" anchorCtr="0" upright="1">
                                <a:noAutofit/>
                              </wps:bodyPr>
                            </wps:wsp>
                            <wps:wsp>
                              <wps:cNvPr id="34" name="矩形 419"/>
                              <wps:cNvSpPr>
                                <a:spLocks noChangeArrowheads="1"/>
                              </wps:cNvSpPr>
                              <wps:spPr bwMode="auto">
                                <a:xfrm>
                                  <a:off x="1897967" y="9066"/>
                                  <a:ext cx="910590" cy="291465"/>
                                </a:xfrm>
                                <a:prstGeom prst="rect">
                                  <a:avLst/>
                                </a:prstGeom>
                                <a:noFill/>
                                <a:ln>
                                  <a:noFill/>
                                </a:ln>
                                <a:effectLst/>
                              </wps:spPr>
                              <wps:txbx>
                                <w:txbxContent>
                                  <w:p>
                                    <w:pPr>
                                      <w:adjustRightInd w:val="0"/>
                                      <w:snapToGrid w:val="0"/>
                                      <w:jc w:val="center"/>
                                    </w:pPr>
                                    <w:r>
                                      <w:rPr>
                                        <w:rFonts w:hint="eastAsia"/>
                                      </w:rPr>
                                      <w:t>损耗</w:t>
                                    </w:r>
                                    <w:r>
                                      <w:t>1.2</w:t>
                                    </w:r>
                                  </w:p>
                                </w:txbxContent>
                              </wps:txbx>
                              <wps:bodyPr rot="0" vert="horz" wrap="square" lIns="91440" tIns="45720" rIns="91440" bIns="45720" anchor="t" anchorCtr="0" upright="1">
                                <a:noAutofit/>
                              </wps:bodyPr>
                            </wps:wsp>
                            <wpg:wgp>
                              <wpg:cNvPr id="44" name="组合 44"/>
                              <wpg:cNvGrpSpPr/>
                              <wpg:grpSpPr>
                                <a:xfrm>
                                  <a:off x="514350" y="503640"/>
                                  <a:ext cx="823251" cy="1803210"/>
                                  <a:chOff x="514350" y="201178"/>
                                  <a:chExt cx="823251" cy="1803210"/>
                                </a:xfrm>
                              </wpg:grpSpPr>
                              <wps:wsp>
                                <wps:cNvPr id="36" name="肘形连接符 36"/>
                                <wps:cNvCnPr>
                                  <a:stCxn id="7" idx="1"/>
                                  <a:endCxn id="4" idx="1"/>
                                </wps:cNvCnPr>
                                <wps:spPr>
                                  <a:xfrm rot="10800000" flipH="1" flipV="1">
                                    <a:off x="1266190" y="201178"/>
                                    <a:ext cx="71411" cy="1803210"/>
                                  </a:xfrm>
                                  <a:prstGeom prst="bentConnector3">
                                    <a:avLst>
                                      <a:gd name="adj1" fmla="val -320119"/>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8" name="直接箭头连接符 38"/>
                                <wps:cNvCnPr/>
                                <wps:spPr>
                                  <a:xfrm>
                                    <a:off x="514350" y="120015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wps:wsp>
                              <wps:cNvPr id="117" name="矩形 117"/>
                              <wps:cNvSpPr>
                                <a:spLocks noChangeArrowheads="1"/>
                              </wps:cNvSpPr>
                              <wps:spPr bwMode="auto">
                                <a:xfrm>
                                  <a:off x="958026" y="230590"/>
                                  <a:ext cx="421194"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1.2</w:t>
                                    </w:r>
                                  </w:p>
                                </w:txbxContent>
                              </wps:txbx>
                              <wps:bodyPr rot="0" vert="horz" wrap="square" lIns="91440" tIns="45720" rIns="91440" bIns="45720" anchor="t" anchorCtr="0" upright="1">
                                <a:noAutofit/>
                              </wps:bodyPr>
                            </wps:wsp>
                            <wps:wsp>
                              <wps:cNvPr id="118" name="矩形 118"/>
                              <wps:cNvSpPr>
                                <a:spLocks noChangeArrowheads="1"/>
                              </wps:cNvSpPr>
                              <wps:spPr bwMode="auto">
                                <a:xfrm>
                                  <a:off x="561000" y="1290820"/>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4.57</w:t>
                                    </w:r>
                                  </w:p>
                                </w:txbxContent>
                              </wps:txbx>
                              <wps:bodyPr rot="0" vert="horz" wrap="square" lIns="91440" tIns="45720" rIns="91440" bIns="45720" anchor="t" anchorCtr="0" upright="1">
                                <a:noAutofit/>
                              </wps:bodyPr>
                            </wps:wsp>
                            <wpg:wgp>
                              <wpg:cNvPr id="99" name="组合 99"/>
                              <wpg:cNvGrpSpPr/>
                              <wpg:grpSpPr>
                                <a:xfrm>
                                  <a:off x="1337602" y="1735049"/>
                                  <a:ext cx="3930014" cy="783252"/>
                                  <a:chOff x="1315085" y="1185248"/>
                                  <a:chExt cx="3930014" cy="783252"/>
                                </a:xfrm>
                              </wpg:grpSpPr>
                              <wps:wsp>
                                <wps:cNvPr id="115" name="矩形 115"/>
                                <wps:cNvSpPr>
                                  <a:spLocks noChangeArrowheads="1"/>
                                </wps:cNvSpPr>
                                <wps:spPr bwMode="auto">
                                  <a:xfrm>
                                    <a:off x="1825920" y="1185248"/>
                                    <a:ext cx="910590" cy="291465"/>
                                  </a:xfrm>
                                  <a:prstGeom prst="rect">
                                    <a:avLst/>
                                  </a:prstGeom>
                                  <a:noFill/>
                                  <a:ln>
                                    <a:noFill/>
                                  </a:ln>
                                  <a:effectLst/>
                                </wps:spPr>
                                <wps:txb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0.67</w:t>
                                      </w:r>
                                    </w:p>
                                  </w:txbxContent>
                                </wps:txbx>
                                <wps:bodyPr rot="0" vert="horz" wrap="square" lIns="91440" tIns="45720" rIns="91440" bIns="45720" anchor="t" anchorCtr="0" upright="1">
                                  <a:noAutofit/>
                                </wps:bodyPr>
                              </wps:wsp>
                              <wpg:grpSp>
                                <wpg:cNvPr id="6" name="组合 6"/>
                                <wpg:cNvGrpSpPr/>
                                <wpg:grpSpPr>
                                  <a:xfrm>
                                    <a:off x="1315085" y="1486094"/>
                                    <a:ext cx="3930014" cy="482406"/>
                                    <a:chOff x="1315085" y="1486094"/>
                                    <a:chExt cx="3930014" cy="482406"/>
                                  </a:xfrm>
                                </wpg:grpSpPr>
                                <wps:wsp>
                                  <wps:cNvPr id="2" name="矩形 439"/>
                                  <wps:cNvSpPr>
                                    <a:spLocks noChangeArrowheads="1"/>
                                  </wps:cNvSpPr>
                                  <wps:spPr bwMode="auto">
                                    <a:xfrm>
                                      <a:off x="4077042" y="1546225"/>
                                      <a:ext cx="1168057" cy="422275"/>
                                    </a:xfrm>
                                    <a:prstGeom prst="rect">
                                      <a:avLst/>
                                    </a:prstGeom>
                                    <a:solidFill>
                                      <a:srgbClr val="FFFFFF"/>
                                    </a:solidFill>
                                    <a:ln w="9525">
                                      <a:solidFill>
                                        <a:srgbClr val="000000"/>
                                      </a:solidFill>
                                      <a:miter lim="800000"/>
                                    </a:ln>
                                    <a:effectLst/>
                                  </wps:spPr>
                                  <wps:txbx>
                                    <w:txbxContent>
                                      <w:p>
                                        <w:pPr>
                                          <w:adjustRightInd w:val="0"/>
                                          <w:snapToGrid w:val="0"/>
                                          <w:jc w:val="center"/>
                                          <w:rPr>
                                            <w:color w:val="000000" w:themeColor="text1"/>
                                            <w:sz w:val="20"/>
                                            <w14:textFill>
                                              <w14:solidFill>
                                                <w14:schemeClr w14:val="tx1"/>
                                              </w14:solidFill>
                                            </w14:textFill>
                                          </w:rPr>
                                        </w:pPr>
                                        <w:r>
                                          <w:rPr>
                                            <w:rFonts w:hint="eastAsia" w:ascii="宋体" w:hAnsi="宋体"/>
                                            <w:color w:val="000000" w:themeColor="text1"/>
                                            <w14:textFill>
                                              <w14:solidFill>
                                                <w14:schemeClr w14:val="tx1"/>
                                              </w14:solidFill>
                                            </w14:textFill>
                                          </w:rPr>
                                          <w:t>杨桥镇生活污水处理厂</w:t>
                                        </w:r>
                                      </w:p>
                                    </w:txbxContent>
                                  </wps:txbx>
                                  <wps:bodyPr rot="0" vert="horz" wrap="square" lIns="91440" tIns="45720" rIns="91440" bIns="45720" anchor="t" anchorCtr="0" upright="1">
                                    <a:noAutofit/>
                                  </wps:bodyPr>
                                </wps:wsp>
                                <wps:wsp>
                                  <wps:cNvPr id="4" name="矩形 421"/>
                                  <wps:cNvSpPr>
                                    <a:spLocks noChangeArrowheads="1"/>
                                  </wps:cNvSpPr>
                                  <wps:spPr bwMode="auto">
                                    <a:xfrm>
                                      <a:off x="1315085" y="1620524"/>
                                      <a:ext cx="773431" cy="273050"/>
                                    </a:xfrm>
                                    <a:prstGeom prst="rect">
                                      <a:avLst/>
                                    </a:prstGeom>
                                    <a:solidFill>
                                      <a:srgbClr val="FFFFFF"/>
                                    </a:solidFill>
                                    <a:ln w="9525">
                                      <a:solidFill>
                                        <a:srgbClr val="000000"/>
                                      </a:solidFill>
                                      <a:miter lim="800000"/>
                                    </a:ln>
                                    <a:effectLst/>
                                  </wps:spPr>
                                  <wps:txbx>
                                    <w:txbxContent>
                                      <w:p>
                                        <w:pPr>
                                          <w:adjustRightInd w:val="0"/>
                                          <w:snapToGrid w:val="0"/>
                                        </w:pPr>
                                        <w:r>
                                          <w:rPr>
                                            <w:rFonts w:hint="eastAsia"/>
                                          </w:rPr>
                                          <w:t>生活</w:t>
                                        </w:r>
                                        <w:r>
                                          <w:t>用水</w:t>
                                        </w:r>
                                      </w:p>
                                    </w:txbxContent>
                                  </wps:txbx>
                                  <wps:bodyPr rot="0" vert="horz" wrap="square" lIns="91440" tIns="45720" rIns="91440" bIns="45720" anchor="t" anchorCtr="0" upright="1">
                                    <a:noAutofit/>
                                  </wps:bodyPr>
                                </wps:wsp>
                                <wps:wsp>
                                  <wps:cNvPr id="106" name="矩形 106"/>
                                  <wps:cNvSpPr>
                                    <a:spLocks noChangeArrowheads="1"/>
                                  </wps:cNvSpPr>
                                  <wps:spPr bwMode="auto">
                                    <a:xfrm>
                                      <a:off x="2638380" y="1622619"/>
                                      <a:ext cx="912200" cy="273050"/>
                                    </a:xfrm>
                                    <a:prstGeom prst="rect">
                                      <a:avLst/>
                                    </a:prstGeom>
                                    <a:solidFill>
                                      <a:srgbClr val="FFFFFF"/>
                                    </a:solidFill>
                                    <a:ln w="9525">
                                      <a:solidFill>
                                        <a:srgbClr val="000000"/>
                                      </a:solidFill>
                                      <a:miter lim="800000"/>
                                    </a:ln>
                                    <a:effectLst/>
                                  </wps:spPr>
                                  <wps:txbx>
                                    <w:txbxContent>
                                      <w:p>
                                        <w:pPr>
                                          <w:pStyle w:val="25"/>
                                          <w:spacing w:before="0" w:beforeAutospacing="0" w:after="0" w:afterAutospacing="0"/>
                                          <w:jc w:val="both"/>
                                          <w:rPr>
                                            <w:szCs w:val="24"/>
                                          </w:rPr>
                                        </w:pPr>
                                        <w:r>
                                          <w:rPr>
                                            <w:rFonts w:hint="eastAsia" w:ascii="Times New Roman"/>
                                            <w:kern w:val="2"/>
                                            <w:sz w:val="21"/>
                                            <w:szCs w:val="21"/>
                                          </w:rPr>
                                          <w:t>三级</w:t>
                                        </w:r>
                                        <w:r>
                                          <w:rPr>
                                            <w:rFonts w:ascii="Times New Roman"/>
                                            <w:kern w:val="2"/>
                                            <w:sz w:val="21"/>
                                            <w:szCs w:val="21"/>
                                          </w:rPr>
                                          <w:t>化粪池</w:t>
                                        </w:r>
                                      </w:p>
                                    </w:txbxContent>
                                  </wps:txbx>
                                  <wps:bodyPr rot="0" vert="horz" wrap="square" lIns="91440" tIns="45720" rIns="91440" bIns="45720" anchor="t" anchorCtr="0" upright="1">
                                    <a:noAutofit/>
                                  </wps:bodyPr>
                                </wps:wsp>
                                <wps:wsp>
                                  <wps:cNvPr id="42" name="直接箭头连接符 42"/>
                                  <wps:cNvCnPr>
                                    <a:stCxn id="4" idx="3"/>
                                    <a:endCxn id="106" idx="1"/>
                                  </wps:cNvCnPr>
                                  <wps:spPr>
                                    <a:xfrm>
                                      <a:off x="2088516" y="1757049"/>
                                      <a:ext cx="549864" cy="2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直接箭头连接符 43"/>
                                  <wps:cNvCnPr>
                                    <a:stCxn id="106" idx="3"/>
                                    <a:endCxn id="2" idx="1"/>
                                  </wps:cNvCnPr>
                                  <wps:spPr>
                                    <a:xfrm flipV="1">
                                      <a:off x="3550580" y="1757363"/>
                                      <a:ext cx="526462" cy="1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矩形 119"/>
                                  <wps:cNvSpPr>
                                    <a:spLocks noChangeArrowheads="1"/>
                                  </wps:cNvSpPr>
                                  <wps:spPr bwMode="auto">
                                    <a:xfrm>
                                      <a:off x="2088516" y="1541592"/>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2.66</w:t>
                                        </w:r>
                                      </w:p>
                                    </w:txbxContent>
                                  </wps:txbx>
                                  <wps:bodyPr rot="0" vert="horz" wrap="square" lIns="91440" tIns="45720" rIns="91440" bIns="45720" anchor="t" anchorCtr="0" upright="1">
                                    <a:noAutofit/>
                                  </wps:bodyPr>
                                </wps:wsp>
                                <wps:wsp>
                                  <wps:cNvPr id="120" name="矩形 120"/>
                                  <wps:cNvSpPr>
                                    <a:spLocks noChangeArrowheads="1"/>
                                  </wps:cNvSpPr>
                                  <wps:spPr bwMode="auto">
                                    <a:xfrm>
                                      <a:off x="3535339" y="1486094"/>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2.66</w:t>
                                        </w:r>
                                      </w:p>
                                    </w:txbxContent>
                                  </wps:txbx>
                                  <wps:bodyPr rot="0" vert="horz" wrap="square" lIns="91440" tIns="45720" rIns="91440" bIns="45720" anchor="t" anchorCtr="0" upright="1">
                                    <a:noAutofit/>
                                  </wps:bodyPr>
                                </wps:wsp>
                              </wpg:grpSp>
                            </wpg:wgp>
                            <wps:wsp>
                              <wps:cNvPr id="186" name="矩形 186"/>
                              <wps:cNvSpPr>
                                <a:spLocks noChangeArrowheads="1"/>
                              </wps:cNvSpPr>
                              <wps:spPr bwMode="auto">
                                <a:xfrm>
                                  <a:off x="1928155" y="629411"/>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120</w:t>
                                    </w:r>
                                  </w:p>
                                </w:txbxContent>
                              </wps:txbx>
                              <wps:bodyPr rot="0" vert="horz" wrap="square" lIns="91440" tIns="45720" rIns="91440" bIns="45720" anchor="t" anchorCtr="0" upright="1">
                                <a:noAutofit/>
                              </wps:bodyPr>
                            </wps:wsp>
                            <wps:wsp>
                              <wps:cNvPr id="227" name="曲线连接符 227"/>
                              <wps:cNvCnPr>
                                <a:stCxn id="7" idx="0"/>
                              </wps:cNvCnPr>
                              <wps:spPr>
                                <a:xfrm rot="5400000" flipH="1" flipV="1">
                                  <a:off x="1783978" y="94692"/>
                                  <a:ext cx="228957" cy="316525"/>
                                </a:xfrm>
                                <a:prstGeom prst="curved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14" name="曲线连接符 214"/>
                              <wps:cNvCnPr/>
                              <wps:spPr>
                                <a:xfrm rot="5400000" flipH="1" flipV="1">
                                  <a:off x="1690371" y="1891855"/>
                                  <a:ext cx="228600" cy="307340"/>
                                </a:xfrm>
                                <a:prstGeom prst="curved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89" name="肘形连接符 189"/>
                              <wps:cNvCnPr>
                                <a:stCxn id="7" idx="3"/>
                                <a:endCxn id="7" idx="2"/>
                              </wps:cNvCnPr>
                              <wps:spPr>
                                <a:xfrm flipH="1">
                                  <a:off x="1740194" y="503640"/>
                                  <a:ext cx="474002" cy="136207"/>
                                </a:xfrm>
                                <a:prstGeom prst="bentConnector4">
                                  <a:avLst>
                                    <a:gd name="adj1" fmla="val -48228"/>
                                    <a:gd name="adj2" fmla="val 26783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3" name="矩形 373"/>
                              <wps:cNvSpPr>
                                <a:spLocks noChangeArrowheads="1"/>
                              </wps:cNvSpPr>
                              <wps:spPr bwMode="auto">
                                <a:xfrm>
                                  <a:off x="1491911" y="1230197"/>
                                  <a:ext cx="947420" cy="272415"/>
                                </a:xfrm>
                                <a:prstGeom prst="rect">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喷淋塔用水</w:t>
                                    </w:r>
                                  </w:p>
                                </w:txbxContent>
                              </wps:txbx>
                              <wps:bodyPr rot="0" vert="horz" wrap="square" lIns="91440" tIns="45720" rIns="91440" bIns="45720" anchor="t" anchorCtr="0" upright="1">
                                <a:noAutofit/>
                              </wps:bodyPr>
                            </wps:wsp>
                            <wps:wsp>
                              <wps:cNvPr id="200" name="直接箭头连接符 200"/>
                              <wps:cNvCnPr/>
                              <wps:spPr>
                                <a:xfrm>
                                  <a:off x="1041401" y="1366405"/>
                                  <a:ext cx="4505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肘形连接符 203"/>
                              <wps:cNvCnPr/>
                              <wps:spPr>
                                <a:xfrm flipH="1">
                                  <a:off x="1965621" y="1366405"/>
                                  <a:ext cx="473710" cy="136207"/>
                                </a:xfrm>
                                <a:prstGeom prst="bentConnector4">
                                  <a:avLst>
                                    <a:gd name="adj1" fmla="val -48257"/>
                                    <a:gd name="adj2" fmla="val 26783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6" name="曲线连接符 376"/>
                              <wps:cNvCnPr/>
                              <wps:spPr>
                                <a:xfrm rot="5400000" flipH="1" flipV="1">
                                  <a:off x="1941781" y="957782"/>
                                  <a:ext cx="228600" cy="316230"/>
                                </a:xfrm>
                                <a:prstGeom prst="curved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77" name="矩形 377"/>
                              <wps:cNvSpPr>
                                <a:spLocks noChangeArrowheads="1"/>
                              </wps:cNvSpPr>
                              <wps:spPr bwMode="auto">
                                <a:xfrm>
                                  <a:off x="2111033" y="863802"/>
                                  <a:ext cx="910590" cy="291465"/>
                                </a:xfrm>
                                <a:prstGeom prst="rect">
                                  <a:avLst/>
                                </a:prstGeom>
                                <a:noFill/>
                                <a:ln>
                                  <a:noFill/>
                                </a:ln>
                                <a:effectLst/>
                              </wps:spPr>
                              <wps:txb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0.04</w:t>
                                    </w:r>
                                  </w:p>
                                </w:txbxContent>
                              </wps:txbx>
                              <wps:bodyPr rot="0" vert="horz" wrap="square" lIns="91440" tIns="45720" rIns="91440" bIns="45720" anchor="t" anchorCtr="0" upright="1">
                                <a:noAutofit/>
                              </wps:bodyPr>
                            </wps:wsp>
                            <wps:wsp>
                              <wps:cNvPr id="378" name="矩形 378"/>
                              <wps:cNvSpPr>
                                <a:spLocks noChangeArrowheads="1"/>
                              </wps:cNvSpPr>
                              <wps:spPr bwMode="auto">
                                <a:xfrm>
                                  <a:off x="2076697" y="1502612"/>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40</w:t>
                                    </w:r>
                                  </w:p>
                                </w:txbxContent>
                              </wps:txbx>
                              <wps:bodyPr rot="0" vert="horz" wrap="square" lIns="91440" tIns="45720" rIns="91440" bIns="45720" anchor="t" anchorCtr="0" upright="1">
                                <a:noAutofit/>
                              </wps:bodyPr>
                            </wps:wsp>
                            <wps:wsp>
                              <wps:cNvPr id="379" name="矩形 379"/>
                              <wps:cNvSpPr>
                                <a:spLocks noChangeArrowheads="1"/>
                              </wps:cNvSpPr>
                              <wps:spPr bwMode="auto">
                                <a:xfrm>
                                  <a:off x="1028700" y="1093355"/>
                                  <a:ext cx="421005"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0.04</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98.25pt;width:423pt;" coordsize="5372100,2517775" editas="canvas" o:gfxdata="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PeFZETVAAAABQEAAA8AAAAAAAAAAQAgAAAAIgAAAGRycy9kb3ducmV2Lnht&#10;bFBLAQIUABQAAAAIAIdO4kCYLkj9jgkAAGhHAAAOAAAAAAAAAAEAIAAAACQBAABkcnMvZTJvRG9j&#10;LnhtbFBLBQYAAAAABgAGAFkBAAAkDQAAAAA=&#10;">
                      <o:lock v:ext="edit" aspectratio="f"/>
                      <v:shape id="_x0000_s1026" o:spid="_x0000_s1026" style="position:absolute;left:0;top:0;height:2517775;width:5372100;" filled="f" stroked="t" coordsize="21600,21600" o:gfxdata="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">
                        <v:fill on="f" focussize="0,0"/>
                        <v:stroke color="#000000" miterlimit="8" joinstyle="miter"/>
                        <v:imagedata o:title=""/>
                        <o:lock v:ext="edit" aspectratio="t"/>
                      </v:shape>
                      <v:rect id="矩形 419" o:spid="_x0000_s1026" o:spt="1" style="position:absolute;left:130810;top:1155267;height:661035;width:383540;" filled="f" stroked="t" coordsize="21600,21600" o:gfxdata="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4VkRNUAAAAFAQAADwAAAAAAAAABACAAAAAiAAAA&#10;ZHJzL2Rvd25yZXYueG1sUEsBAhQAFAAAAAgAh07iQETr4DRDAgAAawQAAA4AAAAAAAAAAQAgAAAA&#10;JAEAAGRycy9lMm9Eb2MueG1sUEsFBgAAAAAGAAYAWQEAANkFAAAAAA==&#10;">
                        <v:fill on="f" focussize="0,0"/>
                        <v:stroke color="#000000" miterlimit="8" joinstyle="miter"/>
                        <v:imagedata o:title=""/>
                        <o:lock v:ext="edit" aspectratio="f"/>
                        <v:textbox>
                          <w:txbxContent>
                            <w:p>
                              <w:pPr>
                                <w:adjustRightInd w:val="0"/>
                                <w:snapToGrid w:val="0"/>
                                <w:jc w:val="center"/>
                              </w:pPr>
                              <w:r>
                                <w:rPr>
                                  <w:rFonts w:hint="eastAsia"/>
                                </w:rPr>
                                <w:t>新</w:t>
                              </w:r>
                            </w:p>
                            <w:p>
                              <w:pPr>
                                <w:adjustRightInd w:val="0"/>
                                <w:snapToGrid w:val="0"/>
                                <w:jc w:val="center"/>
                              </w:pPr>
                              <w:r>
                                <w:rPr>
                                  <w:rFonts w:hint="eastAsia"/>
                                </w:rPr>
                                <w:t>鲜</w:t>
                              </w:r>
                            </w:p>
                            <w:p>
                              <w:pPr>
                                <w:adjustRightInd w:val="0"/>
                                <w:snapToGrid w:val="0"/>
                                <w:jc w:val="center"/>
                              </w:pPr>
                              <w:r>
                                <w:rPr>
                                  <w:rFonts w:hint="eastAsia"/>
                                </w:rPr>
                                <w:t>水</w:t>
                              </w:r>
                            </w:p>
                          </w:txbxContent>
                        </v:textbox>
                      </v:rect>
                      <v:rect id="矩形 435" o:spid="_x0000_s1026" o:spt="1" style="position:absolute;left:958026;top:2039408;height:273050;width:58420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9/c31wAA&#10;AAUBAAAPAAAAAAAAAAEAIAAAACIAAABkcnMvZG93bnJldi54bWxQSwECFAAUAAAACACHTuJA22vc&#10;Qh8CAAAiBAAADgAAAAAAAAABACAAAAAmAQAAZHJzL2Uyb0RvYy54bWxQSwUGAAAAAAYABgBZAQAA&#10;twUAAAAA&#10;">
                        <v:fill on="f" focussize="0,0"/>
                        <v:stroke on="f"/>
                        <v:imagedata o:title=""/>
                        <o:lock v:ext="edit" aspectratio="f"/>
                        <v:textbox>
                          <w:txbxContent>
                            <w:p>
                              <w:pPr>
                                <w:adjustRightInd w:val="0"/>
                                <w:snapToGrid w:val="0"/>
                              </w:pPr>
                              <w:r>
                                <w:t>3.33</w:t>
                              </w:r>
                            </w:p>
                          </w:txbxContent>
                        </v:textbox>
                      </v:rect>
                      <v:rect id="矩形 437" o:spid="_x0000_s1026" o:spt="1" style="position:absolute;left:1266191;top:367432;height:272415;width:948005;" fillcolor="#FFFFFF" filled="t" stroked="t" coordsize="21600,21600" o:gfxdata="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pft4tUAAAAFAQAADwAAAAAAAAAB&#10;ACAAAAAiAAAAZHJzL2Rvd25yZXYueG1sUEsBAhQAFAAAAAgAh07iQJYzeEtMAgAAlAQAAA4AAAAA&#10;AAAAAQAgAAAAJAEAAGRycy9lMm9Eb2MueG1sUEsFBgAAAAAGAAYAWQEAAOIFAAAAAA==&#10;">
                        <v:fill on="t" focussize="0,0"/>
                        <v:stroke color="#000000" miterlimit="8" joinstyle="miter"/>
                        <v:imagedata o:title=""/>
                        <o:lock v:ext="edit" aspectratio="f"/>
                        <v:textbox>
                          <w:txbxContent>
                            <w:p>
                              <w:pPr>
                                <w:adjustRightInd w:val="0"/>
                                <w:snapToGrid w:val="0"/>
                                <w:jc w:val="center"/>
                              </w:pPr>
                              <w:r>
                                <w:rPr>
                                  <w:rFonts w:hint="eastAsia"/>
                                </w:rPr>
                                <w:t>冷水用水</w:t>
                              </w:r>
                            </w:p>
                          </w:txbxContent>
                        </v:textbox>
                      </v:rect>
                      <v:rect id="矩形 419" o:spid="_x0000_s1026" o:spt="1" style="position:absolute;left:1897967;top:9066;height:291465;width:91059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f3N9cAAAAF&#10;AQAADwAAAAAAAAABACAAAAAiAAAAZHJzL2Rvd25yZXYueG1sUEsBAhQAFAAAAAgAh07iQCIo3IYd&#10;AgAAIQQAAA4AAAAAAAAAAQAgAAAAJgEAAGRycy9lMm9Eb2MueG1sUEsFBgAAAAAGAAYAWQEAALUF&#10;AAAAAA==&#10;">
                        <v:fill on="f" focussize="0,0"/>
                        <v:stroke on="f"/>
                        <v:imagedata o:title=""/>
                        <o:lock v:ext="edit" aspectratio="f"/>
                        <v:textbox>
                          <w:txbxContent>
                            <w:p>
                              <w:pPr>
                                <w:adjustRightInd w:val="0"/>
                                <w:snapToGrid w:val="0"/>
                                <w:jc w:val="center"/>
                              </w:pPr>
                              <w:r>
                                <w:rPr>
                                  <w:rFonts w:hint="eastAsia"/>
                                </w:rPr>
                                <w:t>损耗</w:t>
                              </w:r>
                              <w:r>
                                <w:t>1.2</w:t>
                              </w:r>
                            </w:p>
                          </w:txbxContent>
                        </v:textbox>
                      </v:rect>
                      <v:group id="_x0000_s1026" o:spid="_x0000_s1026" o:spt="203" style="position:absolute;left:514350;top:503640;height:1803210;width:823251;" coordorigin="514350,201178" coordsize="823251,1803210" o:gfxdata="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Oy2TNYAAAAFAQAADwAAAAAAAAABACAAAAAiAAAAZHJz&#10;L2Rvd25yZXYueG1sUEsBAhQAFAAAAAgAh07iQFibE4kjAwAA6gcAAA4AAAAAAAAAAQAgAAAAJQEA&#10;AGRycy9lMm9Eb2MueG1sUEsFBgAAAAAGAAYAWQEAALoGAAAAAA==&#10;">
                        <o:lock v:ext="edit" aspectratio="f"/>
                        <v:shape id="_x0000_s1026" o:spid="_x0000_s1026" o:spt="34" type="#_x0000_t34" style="position:absolute;left:1266190;top:201178;flip:x y;height:1803210;width:71411;rotation:11796480f;" filled="f" stroked="t" coordsize="21600,21600" o:gfxdata="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6umDy8AAAA&#10;2wAAAA8AAAAAAAAAAQAgAAAAIgAAAGRycy9kb3ducmV2LnhtbFBLAQIUABQAAAAIAIdO4kAzLwWe&#10;OwAAADkAAAAQAAAAAAAAAAEAIAAAAAsBAABkcnMvc2hhcGV4bWwueG1sUEsFBgAAAAAGAAYAWwEA&#10;ALUDAAAAAA==&#10;" adj="-69146">
                          <v:fill on="f" focussize="0,0"/>
                          <v:stroke weight="0.5pt" color="#000000 [3200]" miterlimit="8" joinstyle="miter" startarrow="block" endarrow="block"/>
                          <v:imagedata o:title=""/>
                          <o:lock v:ext="edit" aspectratio="f"/>
                        </v:shape>
                        <v:shape id="_x0000_s1026" o:spid="_x0000_s1026" o:spt="32" type="#_x0000_t32" style="position:absolute;left:514350;top:1200150;height:0;width:495300;" filled="f" stroked="t" coordsize="21600,21600" o:gfxdata="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4MKm5AAAA2wAA&#10;AA8AAAAAAAAAAQAgAAAAIgAAAGRycy9kb3ducmV2LnhtbFBLAQIUABQAAAAIAIdO4kAzLwWeOwAA&#10;ADkAAAAQAAAAAAAAAAEAIAAAAAgBAABkcnMvc2hhcGV4bWwueG1sUEsFBgAAAAAGAAYAWwEAALID&#10;AAAAAA==&#10;">
                          <v:fill on="f" focussize="0,0"/>
                          <v:stroke weight="0.5pt" color="#000000 [3200]" miterlimit="8" joinstyle="miter" endarrow="block"/>
                          <v:imagedata o:title=""/>
                          <o:lock v:ext="edit" aspectratio="f"/>
                        </v:shape>
                      </v:group>
                      <v:rect id="_x0000_s1026" o:spid="_x0000_s1026" o:spt="1" style="position:absolute;left:958026;top:230590;height:273050;width:421194;"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9/c31wAAAAUB&#10;AAAPAAAAAAAAAAEAIAAAACIAAABkcnMvZG93bnJldi54bWxQSwECFAAUAAAACACHTuJAGsM7rBwC&#10;AAAjBAAADgAAAAAAAAABACAAAAAmAQAAZHJzL2Uyb0RvYy54bWxQSwUGAAAAAAYABgBZAQAAtAUA&#10;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1.2</w:t>
                              </w:r>
                            </w:p>
                          </w:txbxContent>
                        </v:textbox>
                      </v:rect>
                      <v:rect id="_x0000_s1026" o:spid="_x0000_s1026" o:spt="1" style="position:absolute;left:561000;top:1290820;height:273050;width:58420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9/c31wAAAAUB&#10;AAAPAAAAAAAAAAEAIAAAACIAAABkcnMvZG93bnJldi54bWxQSwECFAAUAAAACACHTuJAbY0I/RwC&#10;AAAkBAAADgAAAAAAAAABACAAAAAmAQAAZHJzL2Uyb0RvYy54bWxQSwUGAAAAAAYABgBZAQAAtAUA&#10;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4.57</w:t>
                              </w:r>
                            </w:p>
                          </w:txbxContent>
                        </v:textbox>
                      </v:rect>
                      <v:group id="_x0000_s1026" o:spid="_x0000_s1026" o:spt="203" style="position:absolute;left:1337602;top:1735049;height:783252;width:3930014;" coordorigin="1315085,1185248" coordsize="3930014,783252" o:gfxdata="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PzstkzWAAAABQEAAA8AAAAAAAAAAQAgAAAAIgAAAGRycy9kb3ducmV2LnhtbFBLAQIUABQAAAAI&#10;AIdO4kDs1e0FDQUAACMYAAAOAAAAAAAAAAEAIAAAACUBAABkcnMvZTJvRG9jLnhtbFBLBQYAAAAA&#10;BgAGAFkBAACkCAAAAAA=&#10;">
                        <o:lock v:ext="edit" aspectratio="f"/>
                        <v:rect id="_x0000_s1026" o:spid="_x0000_s1026" o:spt="1" style="position:absolute;left:1825920;top:1185248;height:291465;width:910590;" filled="f" stroked="f" coordsize="21600,21600" o:gfxdata="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Kp2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0.67</w:t>
                                </w:r>
                              </w:p>
                            </w:txbxContent>
                          </v:textbox>
                        </v:rect>
                        <v:group id="_x0000_s1026" o:spid="_x0000_s1026" o:spt="203" style="position:absolute;left:1315085;top:1486094;height:482406;width:3930014;" coordorigin="1315085,1486094" coordsize="3930014,48240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矩形 439" o:spid="_x0000_s1026" o:spt="1" style="position:absolute;left:4077042;top:1546225;height:422275;width:116805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adjustRightInd w:val="0"/>
                                    <w:snapToGrid w:val="0"/>
                                    <w:jc w:val="center"/>
                                    <w:rPr>
                                      <w:color w:val="000000" w:themeColor="text1"/>
                                      <w:sz w:val="20"/>
                                      <w14:textFill>
                                        <w14:solidFill>
                                          <w14:schemeClr w14:val="tx1"/>
                                        </w14:solidFill>
                                      </w14:textFill>
                                    </w:rPr>
                                  </w:pPr>
                                  <w:r>
                                    <w:rPr>
                                      <w:rFonts w:hint="eastAsia" w:ascii="宋体" w:hAnsi="宋体"/>
                                      <w:color w:val="000000" w:themeColor="text1"/>
                                      <w14:textFill>
                                        <w14:solidFill>
                                          <w14:schemeClr w14:val="tx1"/>
                                        </w14:solidFill>
                                      </w14:textFill>
                                    </w:rPr>
                                    <w:t>杨桥镇生活污水处理厂</w:t>
                                  </w:r>
                                </w:p>
                              </w:txbxContent>
                            </v:textbox>
                          </v:rect>
                          <v:rect id="矩形 421" o:spid="_x0000_s1026" o:spt="1" style="position:absolute;left:1315085;top:1620524;height:273050;width:77343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adjustRightInd w:val="0"/>
                                    <w:snapToGrid w:val="0"/>
                                  </w:pPr>
                                  <w:r>
                                    <w:rPr>
                                      <w:rFonts w:hint="eastAsia"/>
                                    </w:rPr>
                                    <w:t>生活</w:t>
                                  </w:r>
                                  <w:r>
                                    <w:t>用水</w:t>
                                  </w:r>
                                </w:p>
                              </w:txbxContent>
                            </v:textbox>
                          </v:rect>
                          <v:rect id="_x0000_s1026" o:spid="_x0000_s1026" o:spt="1" style="position:absolute;left:2638380;top:1622619;height:273050;width:912200;" fillcolor="#FFFFFF" filled="t" stroked="t" coordsize="21600,21600" o:gfxdata="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URf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pStyle w:val="25"/>
                                    <w:spacing w:before="0" w:beforeAutospacing="0" w:after="0" w:afterAutospacing="0"/>
                                    <w:jc w:val="both"/>
                                    <w:rPr>
                                      <w:szCs w:val="24"/>
                                    </w:rPr>
                                  </w:pPr>
                                  <w:r>
                                    <w:rPr>
                                      <w:rFonts w:hint="eastAsia" w:ascii="Times New Roman"/>
                                      <w:kern w:val="2"/>
                                      <w:sz w:val="21"/>
                                      <w:szCs w:val="21"/>
                                    </w:rPr>
                                    <w:t>三级</w:t>
                                  </w:r>
                                  <w:r>
                                    <w:rPr>
                                      <w:rFonts w:ascii="Times New Roman"/>
                                      <w:kern w:val="2"/>
                                      <w:sz w:val="21"/>
                                      <w:szCs w:val="21"/>
                                    </w:rPr>
                                    <w:t>化粪池</w:t>
                                  </w:r>
                                </w:p>
                              </w:txbxContent>
                            </v:textbox>
                          </v:rect>
                          <v:shape id="_x0000_s1026" o:spid="_x0000_s1026" o:spt="32" type="#_x0000_t32" style="position:absolute;left:2088516;top:1757049;height:2095;width:549864;" filled="f" stroked="t" coordsize="21600,21600" o:gfxdata="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VZ0PrsAAADb&#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2" type="#_x0000_t32" style="position:absolute;left:3550580;top:1757363;flip:y;height:1781;width:526462;" filled="f" stroked="t" coordsize="21600,21600"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v:fill on="f" focussize="0,0"/>
                            <v:stroke weight="0.5pt" color="#000000 [3200]" miterlimit="8" joinstyle="miter" endarrow="block"/>
                            <v:imagedata o:title=""/>
                            <o:lock v:ext="edit" aspectratio="f"/>
                          </v:shape>
                          <v:rect id="_x0000_s1026" o:spid="_x0000_s1026" o:spt="1" style="position:absolute;left:2088516;top:1541592;height:273050;width:584200;" filled="f" stroked="f" coordsize="21600,21600" o:gfxdata="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3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2.66</w:t>
                                  </w:r>
                                </w:p>
                              </w:txbxContent>
                            </v:textbox>
                          </v:rect>
                          <v:rect id="_x0000_s1026" o:spid="_x0000_s1026" o:spt="1" style="position:absolute;left:3535339;top:1486094;height:273050;width:584200;"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2.66</w:t>
                                  </w:r>
                                </w:p>
                              </w:txbxContent>
                            </v:textbox>
                          </v:rect>
                        </v:group>
                      </v:group>
                      <v:rect id="_x0000_s1026" o:spid="_x0000_s1026" o:spt="1" style="position:absolute;left:1928155;top:629411;height:273050;width:58420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9/c31wAA&#10;AAUBAAAPAAAAAAAAAAEAIAAAACIAAABkcnMvZG93bnJldi54bWxQSwECFAAUAAAACACHTuJAFvvF&#10;OB8CAAAkBAAADgAAAAAAAAABACAAAAAmAQAAZHJzL2Uyb0RvYy54bWxQSwUGAAAAAAYABgBZAQAA&#10;twU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120</w:t>
                              </w:r>
                            </w:p>
                          </w:txbxContent>
                        </v:textbox>
                      </v:rect>
                      <v:shape id="_x0000_s1026" o:spid="_x0000_s1026" o:spt="37" type="#_x0000_t37" style="position:absolute;left:1783978;top:94692;flip:x y;height:316525;width:228957;rotation:5898240f;" filled="f" stroked="t" coordsize="21600,21600" o:gfxdata="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Ffl0NQAAAAFAQAADwAAAAAAAAABACAAAAAiAAAAZHJzL2Rvd25yZXYueG1s&#10;UEsBAhQAFAAAAAgAh07iQFh9J+U1AgAAMgQAAA4AAAAAAAAAAQAgAAAAIwEAAGRycy9lMm9Eb2Mu&#10;eG1sUEsFBgAAAAAGAAYAWQEAAMoFAAAAAA==&#10;">
                        <v:fill on="f" focussize="0,0"/>
                        <v:stroke weight="0.5pt" color="#000000 [3213]" miterlimit="8" joinstyle="miter" dashstyle="dash" endarrow="block"/>
                        <v:imagedata o:title=""/>
                        <o:lock v:ext="edit" aspectratio="f"/>
                      </v:shape>
                      <v:shape id="_x0000_s1026" o:spid="_x0000_s1026" o:spt="37" type="#_x0000_t37" style="position:absolute;left:1690371;top:1891855;flip:x y;height:307340;width:228600;rotation:5898240f;" filled="f" stroked="t" coordsize="21600,21600" o:gfxdata="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RX&#10;5dDUAAAABQEAAA8AAAAAAAAAAQAgAAAAIgAAAGRycy9kb3ducmV2LnhtbFBLAQIUABQAAAAIAIdO&#10;4kB+Q/e5JwIAAA4EAAAOAAAAAAAAAAEAIAAAACMBAABkcnMvZTJvRG9jLnhtbFBLBQYAAAAABgAG&#10;AFkBAAC8BQAAAAA=&#10;">
                        <v:fill on="f" focussize="0,0"/>
                        <v:stroke weight="0.5pt" color="#000000 [3213]" miterlimit="8" joinstyle="miter" dashstyle="dash" endarrow="block"/>
                        <v:imagedata o:title=""/>
                        <o:lock v:ext="edit" aspectratio="f"/>
                      </v:shape>
                      <v:shape id="_x0000_s1026" o:spid="_x0000_s1026" o:spt="35" type="#_x0000_t35" style="position:absolute;left:1740194;top:503640;flip:x;height:136207;width:474002;" filled="f" stroked="t" coordsize="21600,21600" o:gfxdata="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QoMF7XAAAA&#10;BQEAAA8AAAAAAAAAAQAgAAAAIgAAAGRycy9kb3ducmV2LnhtbFBLAQIUABQAAAAIAIdO4kBT4fod&#10;VwIAAIcEAAAOAAAAAAAAAAEAIAAAACYBAABkcnMvZTJvRG9jLnhtbFBLBQYAAAAABgAGAFkBAADv&#10;BQAAAAA=&#10;" adj="-10417,57852">
                        <v:fill on="f" focussize="0,0"/>
                        <v:stroke weight="0.5pt" color="#000000 [3213]" miterlimit="8" joinstyle="miter" endarrow="block"/>
                        <v:imagedata o:title=""/>
                        <o:lock v:ext="edit" aspectratio="f"/>
                      </v:shape>
                      <v:rect id="_x0000_s1026" o:spid="_x0000_s1026" o:spt="1" style="position:absolute;left:1491911;top:1230197;height:272415;width:947420;" fillcolor="#FFFFFF" filled="t" stroked="t" coordsize="21600,21600" o:gfxdata="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l+3i1QAAAAUBAAAPAAAAAAAAAAEA&#10;IAAAACIAAABkcnMvZG93bnJldi54bWxQSwECFAAUAAAACACHTuJAL1dWGEsCAACXBAAADgAAAAAA&#10;AAABACAAAAAkAQAAZHJzL2Uyb0RvYy54bWxQSwUGAAAAAAYABgBZAQAA4QUAAAAA&#10;">
                        <v:fill on="t"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喷淋塔用水</w:t>
                              </w:r>
                            </w:p>
                          </w:txbxContent>
                        </v:textbox>
                      </v:rect>
                      <v:shape id="_x0000_s1026" o:spid="_x0000_s1026" o:spt="32" type="#_x0000_t32" style="position:absolute;left:1041401;top:1366405;height:0;width:450510;" filled="f" stroked="t" coordsize="21600,21600" o:gfxdata="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DO1MXTAAAABQEAAA8AAAAAAAAAAQAg&#10;AAAAIgAAAGRycy9kb3ducmV2LnhtbFBLAQIUABQAAAAIAIdO4kDoiZdBEwIAAPADAAAOAAAAAAAA&#10;AAEAIAAAACIBAABkcnMvZTJvRG9jLnhtbFBLBQYAAAAABgAGAFkBAACnBQAAAAA=&#10;">
                        <v:fill on="f" focussize="0,0"/>
                        <v:stroke weight="0.5pt" color="#000000 [3213]" miterlimit="8" joinstyle="miter" endarrow="block"/>
                        <v:imagedata o:title=""/>
                        <o:lock v:ext="edit" aspectratio="f"/>
                      </v:shape>
                      <v:shape id="_x0000_s1026" o:spid="_x0000_s1026" o:spt="35" type="#_x0000_t35" style="position:absolute;left:1965621;top:1366405;flip:x;height:136207;width:473710;" filled="f" stroked="t" coordsize="21600,21600" o:gfxdata="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6Y9ONcAAAAFAQAADwAAAAAAAAABACAAAAAiAAAAZHJz&#10;L2Rvd25yZXYueG1sUEsBAhQAFAAAAAgAh07iQARi2PE+AgAASAQAAA4AAAAAAAAAAQAgAAAAJgEA&#10;AGRycy9lMm9Eb2MueG1sUEsFBgAAAAAGAAYAWQEAANYFAAAAAA==&#10;" adj="-10424,57852">
                        <v:fill on="f" focussize="0,0"/>
                        <v:stroke weight="0.5pt" color="#000000 [3213]" miterlimit="8" joinstyle="miter" endarrow="block"/>
                        <v:imagedata o:title=""/>
                        <o:lock v:ext="edit" aspectratio="f"/>
                      </v:shape>
                      <v:shape id="_x0000_s1026" o:spid="_x0000_s1026" o:spt="37" type="#_x0000_t37" style="position:absolute;left:1941781;top:957782;flip:x y;height:316230;width:228600;rotation:5898240f;" filled="f" stroked="t" coordsize="21600,21600" o:gfxdata="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V+XQ1AAAAAUBAAAPAAAAAAAAAAEAIAAAACIAAABkcnMvZG93bnJldi54bWxQSwECFAAUAAAACACH&#10;TuJATCmOkSgCAAANBAAADgAAAAAAAAABACAAAAAjAQAAZHJzL2Uyb0RvYy54bWxQSwUGAAAAAAYA&#10;BgBZAQAAvQUAAAAA&#10;">
                        <v:fill on="f" focussize="0,0"/>
                        <v:stroke weight="0.5pt" color="#000000 [3213]" miterlimit="8" joinstyle="miter" dashstyle="dash" endarrow="block"/>
                        <v:imagedata o:title=""/>
                        <o:lock v:ext="edit" aspectratio="f"/>
                      </v:shape>
                      <v:rect id="_x0000_s1026" o:spid="_x0000_s1026" o:spt="1" style="position:absolute;left:2111033;top:863802;height:291465;width:91059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9/c31wAA&#10;AAUBAAAPAAAAAAAAAAEAIAAAACIAAABkcnMvZG93bnJldi54bWxQSwECFAAUAAAACACHTuJAfdmn&#10;Ch8CAAAkBAAADgAAAAAAAAABACAAAAAmAQAAZHJzL2Uyb0RvYy54bWxQSwUGAAAAAAYABgBZAQAA&#10;twUAAAAA&#10;">
                        <v:fill on="f" focussize="0,0"/>
                        <v:stroke on="f"/>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0.04</w:t>
                              </w:r>
                            </w:p>
                          </w:txbxContent>
                        </v:textbox>
                      </v:rect>
                      <v:rect id="_x0000_s1026" o:spid="_x0000_s1026" o:spt="1" style="position:absolute;left:2076697;top:1502612;height:273050;width:584200;"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f3N9cA&#10;AAAFAQAADwAAAAAAAAABACAAAAAiAAAAZHJzL2Rvd25yZXYueG1sUEsBAhQAFAAAAAgAh07iQKPW&#10;TtYgAgAAJQQAAA4AAAAAAAAAAQAgAAAAJgEAAGRycy9lMm9Eb2MueG1sUEsFBgAAAAAGAAYAWQEA&#10;ALgFA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40</w:t>
                              </w:r>
                            </w:p>
                          </w:txbxContent>
                        </v:textbox>
                      </v:rect>
                      <v:rect id="_x0000_s1026" o:spid="_x0000_s1026" o:spt="1" style="position:absolute;left:1028700;top:1093355;height:273050;width:421005;" filled="f" stroked="f" coordsize="21600,21600" o:gfxdata="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9/c31wAA&#10;AAUBAAAPAAAAAAAAAAEAIAAAACIAAABkcnMvZG93bnJldi54bWxQSwECFAAUAAAACACHTuJAry3h&#10;SB8CAAAlBAAADgAAAAAAAAABACAAAAAmAQAAZHJzL2Uyb0RvYy54bWxQSwUGAAAAAAYABgBZAQAA&#10;twU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0.04</w:t>
                              </w:r>
                            </w:p>
                          </w:txbxContent>
                        </v:textbox>
                      </v:rect>
                      <w10:wrap type="none"/>
                      <w10:anchorlock/>
                    </v:group>
                  </w:pict>
                </mc:Fallback>
              </mc:AlternateContent>
            </w:r>
          </w:p>
          <w:p>
            <w:pPr>
              <w:pStyle w:val="43"/>
              <w:ind w:firstLine="422"/>
              <w:rPr>
                <w:rFonts w:ascii="Times New Roman" w:hAnsi="Times New Roman"/>
                <w:b/>
                <w:color w:val="auto"/>
              </w:rPr>
            </w:pPr>
            <w:r>
              <w:rPr>
                <w:rFonts w:ascii="Times New Roman" w:hAnsi="Times New Roman"/>
                <w:b/>
                <w:color w:val="auto"/>
                <w:sz w:val="21"/>
                <w:szCs w:val="21"/>
              </w:rPr>
              <w:t>图</w:t>
            </w:r>
            <w:r>
              <w:rPr>
                <w:rFonts w:ascii="Times New Roman" w:hAnsi="Times New Roman"/>
                <w:b/>
                <w:color w:val="auto"/>
                <w:sz w:val="21"/>
                <w:szCs w:val="21"/>
              </w:rPr>
              <w:fldChar w:fldCharType="begin"/>
            </w:r>
            <w:r>
              <w:rPr>
                <w:rFonts w:ascii="Times New Roman" w:hAnsi="Times New Roman"/>
                <w:b/>
                <w:color w:val="auto"/>
                <w:sz w:val="21"/>
                <w:szCs w:val="21"/>
              </w:rPr>
              <w:instrText xml:space="preserve"> SEQ 图 \* ARABIC </w:instrText>
            </w:r>
            <w:r>
              <w:rPr>
                <w:rFonts w:ascii="Times New Roman" w:hAnsi="Times New Roman"/>
                <w:b/>
                <w:color w:val="auto"/>
                <w:sz w:val="21"/>
                <w:szCs w:val="21"/>
              </w:rPr>
              <w:fldChar w:fldCharType="separate"/>
            </w:r>
            <w:r>
              <w:rPr>
                <w:rFonts w:ascii="Times New Roman" w:hAnsi="Times New Roman"/>
                <w:b/>
                <w:color w:val="auto"/>
                <w:sz w:val="21"/>
                <w:szCs w:val="21"/>
              </w:rPr>
              <w:t>1</w:t>
            </w:r>
            <w:r>
              <w:rPr>
                <w:rFonts w:ascii="Times New Roman" w:hAnsi="Times New Roman"/>
                <w:b/>
                <w:color w:val="auto"/>
                <w:sz w:val="21"/>
                <w:szCs w:val="21"/>
              </w:rPr>
              <w:fldChar w:fldCharType="end"/>
            </w:r>
            <w:r>
              <w:rPr>
                <w:rFonts w:ascii="Times New Roman" w:hAnsi="Times New Roman"/>
                <w:b/>
                <w:color w:val="auto"/>
                <w:sz w:val="21"/>
                <w:szCs w:val="21"/>
              </w:rPr>
              <w:t xml:space="preserve"> 项目水平衡示意图 单位：m</w:t>
            </w:r>
            <w:r>
              <w:rPr>
                <w:rFonts w:ascii="Times New Roman" w:hAnsi="Times New Roman"/>
                <w:b/>
                <w:color w:val="auto"/>
                <w:sz w:val="21"/>
                <w:szCs w:val="21"/>
                <w:vertAlign w:val="superscript"/>
              </w:rPr>
              <w:t>3</w:t>
            </w:r>
            <w:r>
              <w:rPr>
                <w:rFonts w:ascii="Times New Roman" w:hAnsi="Times New Roman"/>
                <w:b/>
                <w:color w:val="auto"/>
                <w:sz w:val="21"/>
                <w:szCs w:val="21"/>
              </w:rPr>
              <w:t>/d</w:t>
            </w:r>
          </w:p>
          <w:p>
            <w:pPr>
              <w:adjustRightInd w:val="0"/>
              <w:snapToGrid w:val="0"/>
              <w:spacing w:line="360" w:lineRule="auto"/>
              <w:ind w:firstLine="422" w:firstLineChars="200"/>
              <w:rPr>
                <w:b/>
                <w:bCs/>
              </w:rPr>
            </w:pPr>
            <w:r>
              <w:rPr>
                <w:rFonts w:hint="eastAsia"/>
                <w:b/>
                <w:bCs/>
              </w:rPr>
              <w:t>7</w:t>
            </w:r>
            <w:r>
              <w:rPr>
                <w:b/>
                <w:bCs/>
              </w:rPr>
              <w:t>、平面布置及四至情况</w:t>
            </w:r>
          </w:p>
          <w:p>
            <w:pPr>
              <w:widowControl/>
              <w:adjustRightInd w:val="0"/>
              <w:snapToGrid w:val="0"/>
              <w:spacing w:line="360" w:lineRule="auto"/>
              <w:ind w:firstLine="420" w:firstLineChars="200"/>
            </w:pPr>
            <w:r>
              <w:rPr>
                <w:rFonts w:hint="eastAsia"/>
              </w:rPr>
              <w:t>（1）</w:t>
            </w:r>
            <w:r>
              <w:t>四至情况</w:t>
            </w:r>
          </w:p>
          <w:p>
            <w:pPr>
              <w:widowControl/>
              <w:adjustRightInd w:val="0"/>
              <w:snapToGrid w:val="0"/>
              <w:spacing w:line="360" w:lineRule="auto"/>
              <w:ind w:firstLine="420" w:firstLineChars="200"/>
            </w:pPr>
            <w:r>
              <w:t>本项目位于</w:t>
            </w:r>
            <w:r>
              <w:rPr>
                <w:kern w:val="0"/>
              </w:rPr>
              <w:t>惠州市博罗县杨侨镇十二岭办事处广梅公路边</w:t>
            </w:r>
            <w:r>
              <w:t>，根据现场勘察，本项目东北面为</w:t>
            </w:r>
            <w:r>
              <w:rPr>
                <w:rFonts w:hint="eastAsia"/>
              </w:rPr>
              <w:t>平辉汽贸</w:t>
            </w:r>
            <w:r>
              <w:t>汽车专卖店，东南面为</w:t>
            </w:r>
            <w:r>
              <w:rPr>
                <w:rFonts w:hint="eastAsia"/>
              </w:rPr>
              <w:t>荒地</w:t>
            </w:r>
            <w:r>
              <w:t>，西南面为</w:t>
            </w:r>
            <w:r>
              <w:rPr>
                <w:rFonts w:hint="eastAsia"/>
              </w:rPr>
              <w:t>加油站</w:t>
            </w:r>
            <w:r>
              <w:t>，西北面为</w:t>
            </w:r>
            <w:r>
              <w:rPr>
                <w:rFonts w:hint="eastAsia"/>
              </w:rPr>
              <w:t>驰新车辆保管场和广梅</w:t>
            </w:r>
            <w:r>
              <w:t>公路，具体四至关系见下表，四邻位置图见附图2。</w:t>
            </w:r>
          </w:p>
          <w:p>
            <w:pPr>
              <w:numPr>
                <w:ilvl w:val="0"/>
                <w:numId w:val="2"/>
              </w:numPr>
              <w:adjustRightInd w:val="0"/>
              <w:snapToGrid w:val="0"/>
              <w:spacing w:line="360" w:lineRule="auto"/>
              <w:ind w:left="322"/>
              <w:jc w:val="center"/>
              <w:rPr>
                <w:b/>
              </w:rPr>
            </w:pPr>
            <w:r>
              <w:rPr>
                <w:b/>
              </w:rPr>
              <w:t>项目四邻关系一览表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077"/>
              <w:gridCol w:w="3332"/>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5" w:type="pct"/>
                  <w:vAlign w:val="center"/>
                </w:tcPr>
                <w:p>
                  <w:pPr>
                    <w:jc w:val="center"/>
                    <w:rPr>
                      <w:b/>
                      <w:szCs w:val="21"/>
                    </w:rPr>
                  </w:pPr>
                  <w:r>
                    <w:rPr>
                      <w:b/>
                      <w:szCs w:val="21"/>
                    </w:rPr>
                    <w:t>方位</w:t>
                  </w:r>
                </w:p>
              </w:tc>
              <w:tc>
                <w:tcPr>
                  <w:tcW w:w="2182" w:type="pct"/>
                  <w:vAlign w:val="center"/>
                </w:tcPr>
                <w:p>
                  <w:pPr>
                    <w:jc w:val="center"/>
                    <w:rPr>
                      <w:b/>
                      <w:szCs w:val="21"/>
                    </w:rPr>
                  </w:pPr>
                  <w:r>
                    <w:rPr>
                      <w:b/>
                      <w:szCs w:val="21"/>
                    </w:rPr>
                    <w:t>名称</w:t>
                  </w:r>
                </w:p>
              </w:tc>
              <w:tc>
                <w:tcPr>
                  <w:tcW w:w="1783" w:type="pct"/>
                  <w:vAlign w:val="center"/>
                </w:tcPr>
                <w:p>
                  <w:pPr>
                    <w:jc w:val="center"/>
                    <w:rPr>
                      <w:b/>
                      <w:szCs w:val="21"/>
                    </w:rPr>
                  </w:pPr>
                  <w:r>
                    <w:rPr>
                      <w:b/>
                      <w:szCs w:val="21"/>
                    </w:rPr>
                    <w:t>距离（m）</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5" w:type="pct"/>
                  <w:vAlign w:val="center"/>
                </w:tcPr>
                <w:p>
                  <w:pPr>
                    <w:jc w:val="center"/>
                    <w:rPr>
                      <w:szCs w:val="21"/>
                    </w:rPr>
                  </w:pPr>
                  <w:r>
                    <w:rPr>
                      <w:szCs w:val="21"/>
                    </w:rPr>
                    <w:t>东北面</w:t>
                  </w:r>
                </w:p>
              </w:tc>
              <w:tc>
                <w:tcPr>
                  <w:tcW w:w="2182" w:type="pct"/>
                  <w:vAlign w:val="center"/>
                </w:tcPr>
                <w:p>
                  <w:pPr>
                    <w:jc w:val="center"/>
                    <w:rPr>
                      <w:szCs w:val="21"/>
                    </w:rPr>
                  </w:pPr>
                  <w:r>
                    <w:rPr>
                      <w:rFonts w:hint="eastAsia"/>
                    </w:rPr>
                    <w:t>平辉汽贸</w:t>
                  </w:r>
                  <w:r>
                    <w:t>汽车专卖店</w:t>
                  </w:r>
                </w:p>
              </w:tc>
              <w:tc>
                <w:tcPr>
                  <w:tcW w:w="1783" w:type="pct"/>
                  <w:vAlign w:val="center"/>
                </w:tcPr>
                <w:p>
                  <w:pPr>
                    <w:jc w:val="center"/>
                    <w:rPr>
                      <w:szCs w:val="21"/>
                    </w:rPr>
                  </w:pPr>
                  <w:r>
                    <w:rPr>
                      <w:rFonts w:hint="eastAsia"/>
                      <w:szCs w:val="21"/>
                    </w:rPr>
                    <w:t>7</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5" w:type="pct"/>
                  <w:vAlign w:val="center"/>
                </w:tcPr>
                <w:p>
                  <w:pPr>
                    <w:jc w:val="center"/>
                    <w:rPr>
                      <w:szCs w:val="21"/>
                    </w:rPr>
                  </w:pPr>
                  <w:r>
                    <w:rPr>
                      <w:szCs w:val="21"/>
                    </w:rPr>
                    <w:t>东南面</w:t>
                  </w:r>
                </w:p>
              </w:tc>
              <w:tc>
                <w:tcPr>
                  <w:tcW w:w="2182" w:type="pct"/>
                  <w:vAlign w:val="center"/>
                </w:tcPr>
                <w:p>
                  <w:pPr>
                    <w:jc w:val="center"/>
                    <w:rPr>
                      <w:szCs w:val="21"/>
                    </w:rPr>
                  </w:pPr>
                  <w:r>
                    <w:rPr>
                      <w:rFonts w:hint="eastAsia"/>
                    </w:rPr>
                    <w:t>荒地</w:t>
                  </w:r>
                </w:p>
              </w:tc>
              <w:tc>
                <w:tcPr>
                  <w:tcW w:w="1783" w:type="pct"/>
                  <w:vAlign w:val="center"/>
                </w:tcPr>
                <w:p>
                  <w:pPr>
                    <w:jc w:val="center"/>
                    <w:rPr>
                      <w:szCs w:val="21"/>
                    </w:rPr>
                  </w:pPr>
                  <w:r>
                    <w:rPr>
                      <w:szCs w:val="21"/>
                    </w:rPr>
                    <w:t>0</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5" w:type="pct"/>
                  <w:vAlign w:val="center"/>
                </w:tcPr>
                <w:p>
                  <w:pPr>
                    <w:jc w:val="center"/>
                    <w:rPr>
                      <w:szCs w:val="21"/>
                    </w:rPr>
                  </w:pPr>
                  <w:r>
                    <w:rPr>
                      <w:szCs w:val="21"/>
                    </w:rPr>
                    <w:t>西南面</w:t>
                  </w:r>
                </w:p>
              </w:tc>
              <w:tc>
                <w:tcPr>
                  <w:tcW w:w="2182" w:type="pct"/>
                  <w:vAlign w:val="center"/>
                </w:tcPr>
                <w:p>
                  <w:pPr>
                    <w:jc w:val="center"/>
                    <w:rPr>
                      <w:szCs w:val="21"/>
                    </w:rPr>
                  </w:pPr>
                  <w:r>
                    <w:rPr>
                      <w:rFonts w:hint="eastAsia"/>
                    </w:rPr>
                    <w:t>加油站</w:t>
                  </w:r>
                </w:p>
              </w:tc>
              <w:tc>
                <w:tcPr>
                  <w:tcW w:w="1783" w:type="pct"/>
                  <w:vAlign w:val="center"/>
                </w:tcPr>
                <w:p>
                  <w:pPr>
                    <w:jc w:val="center"/>
                    <w:rPr>
                      <w:szCs w:val="21"/>
                    </w:rPr>
                  </w:pPr>
                  <w:r>
                    <w:rPr>
                      <w:szCs w:val="21"/>
                    </w:rPr>
                    <w:t>9</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35" w:type="pct"/>
                  <w:vAlign w:val="center"/>
                </w:tcPr>
                <w:p>
                  <w:pPr>
                    <w:jc w:val="center"/>
                    <w:rPr>
                      <w:szCs w:val="21"/>
                    </w:rPr>
                  </w:pPr>
                  <w:r>
                    <w:rPr>
                      <w:szCs w:val="21"/>
                    </w:rPr>
                    <w:t>西北面</w:t>
                  </w:r>
                </w:p>
              </w:tc>
              <w:tc>
                <w:tcPr>
                  <w:tcW w:w="2182" w:type="pct"/>
                  <w:vAlign w:val="center"/>
                </w:tcPr>
                <w:p>
                  <w:pPr>
                    <w:jc w:val="center"/>
                    <w:rPr>
                      <w:szCs w:val="21"/>
                    </w:rPr>
                  </w:pPr>
                  <w:r>
                    <w:rPr>
                      <w:rFonts w:hint="eastAsia"/>
                    </w:rPr>
                    <w:t>驰新车辆保管场和广梅</w:t>
                  </w:r>
                  <w:r>
                    <w:t>公路</w:t>
                  </w:r>
                </w:p>
              </w:tc>
              <w:tc>
                <w:tcPr>
                  <w:tcW w:w="1783" w:type="pct"/>
                  <w:vAlign w:val="center"/>
                </w:tcPr>
                <w:p>
                  <w:pPr>
                    <w:jc w:val="center"/>
                    <w:rPr>
                      <w:szCs w:val="21"/>
                    </w:rPr>
                  </w:pPr>
                  <w:r>
                    <w:rPr>
                      <w:rFonts w:hint="eastAsia"/>
                      <w:szCs w:val="21"/>
                    </w:rPr>
                    <w:t>紧邻</w:t>
                  </w:r>
                </w:p>
              </w:tc>
            </w:tr>
          </w:tbl>
          <w:p>
            <w:pPr>
              <w:widowControl/>
              <w:adjustRightInd w:val="0"/>
              <w:snapToGrid w:val="0"/>
              <w:spacing w:line="360" w:lineRule="auto"/>
              <w:ind w:firstLine="420" w:firstLineChars="200"/>
            </w:pPr>
            <w:r>
              <w:rPr>
                <w:rFonts w:hint="eastAsia"/>
              </w:rPr>
              <w:t>（2）</w:t>
            </w:r>
            <w:r>
              <w:t>平面布置情况</w:t>
            </w:r>
          </w:p>
          <w:p>
            <w:pPr>
              <w:widowControl/>
              <w:adjustRightInd w:val="0"/>
              <w:snapToGrid w:val="0"/>
              <w:spacing w:line="360" w:lineRule="auto"/>
              <w:ind w:firstLine="420" w:firstLineChars="200"/>
            </w:pPr>
            <w:r>
              <w:t>本项目厂区主入口位于厂区</w:t>
            </w:r>
            <w:r>
              <w:rPr>
                <w:rFonts w:hint="eastAsia"/>
              </w:rPr>
              <w:t>东北角</w:t>
            </w:r>
            <w:r>
              <w:t>，</w:t>
            </w:r>
            <w:r>
              <w:rPr>
                <w:rFonts w:hint="eastAsia"/>
              </w:rPr>
              <w:t>生产车间</w:t>
            </w:r>
            <w:r>
              <w:t>位于厂区</w:t>
            </w:r>
            <w:r>
              <w:rPr>
                <w:rFonts w:hint="eastAsia"/>
              </w:rPr>
              <w:t>东侧</w:t>
            </w:r>
            <w:r>
              <w:t>，办公楼位于厂区</w:t>
            </w:r>
            <w:r>
              <w:rPr>
                <w:rFonts w:hint="eastAsia"/>
              </w:rPr>
              <w:t>西南</w:t>
            </w:r>
            <w:r>
              <w:t>侧，项目车间平面布置图见附图4。与项目生产车间距离最近的敏感点为东北面的</w:t>
            </w:r>
            <w:r>
              <w:rPr>
                <w:rFonts w:hint="eastAsia"/>
              </w:rPr>
              <w:t>居民楼</w:t>
            </w:r>
            <w:r>
              <w:t>，与项目</w:t>
            </w:r>
            <w:r>
              <w:rPr>
                <w:rFonts w:hint="eastAsia"/>
              </w:rPr>
              <w:t>生产车间最近</w:t>
            </w:r>
            <w:r>
              <w:t>距离</w:t>
            </w:r>
            <w:r>
              <w:rPr>
                <w:rFonts w:hint="eastAsia"/>
              </w:rPr>
              <w:t>3米</w:t>
            </w:r>
            <w:r>
              <w:t>。</w:t>
            </w:r>
          </w:p>
          <w:p>
            <w:pPr>
              <w:widowControl/>
              <w:spacing w:line="360" w:lineRule="auto"/>
              <w:ind w:firstLine="422" w:firstLineChars="200"/>
              <w:rPr>
                <w:b/>
                <w:bCs/>
                <w:szCs w:val="21"/>
              </w:rPr>
            </w:pPr>
            <w:r>
              <w:rPr>
                <w:rFonts w:hint="eastAsia"/>
                <w:b/>
                <w:bCs/>
                <w:szCs w:val="21"/>
              </w:rPr>
              <w:t>8</w:t>
            </w:r>
            <w:r>
              <w:rPr>
                <w:b/>
                <w:bCs/>
                <w:szCs w:val="21"/>
              </w:rPr>
              <w:t>、劳动定员及工作制度</w:t>
            </w:r>
          </w:p>
          <w:p>
            <w:pPr>
              <w:adjustRightInd w:val="0"/>
              <w:snapToGrid w:val="0"/>
              <w:spacing w:line="360" w:lineRule="auto"/>
              <w:ind w:firstLine="420" w:firstLineChars="200"/>
              <w:jc w:val="left"/>
              <w:rPr>
                <w:szCs w:val="21"/>
              </w:rPr>
            </w:pPr>
            <w:r>
              <w:rPr>
                <w:szCs w:val="21"/>
              </w:rPr>
              <w:t>项目拟招员工100人，</w:t>
            </w:r>
            <w:r>
              <w:rPr>
                <w:rFonts w:hint="eastAsia"/>
              </w:rPr>
              <w:t>均不在项目</w:t>
            </w:r>
            <w:r>
              <w:t>内食宿，年工作日300d，</w:t>
            </w:r>
            <w:r>
              <w:rPr>
                <w:szCs w:val="21"/>
              </w:rPr>
              <w:t>日运行8小时，</w:t>
            </w:r>
            <w:r>
              <w:rPr>
                <w:rFonts w:hint="eastAsia"/>
                <w:szCs w:val="21"/>
              </w:rPr>
              <w:t>单</w:t>
            </w:r>
            <w:r>
              <w:rPr>
                <w:szCs w:val="21"/>
              </w:rPr>
              <w:t>班制。</w:t>
            </w:r>
          </w:p>
          <w:p>
            <w:pPr>
              <w:pStyle w:val="5"/>
              <w:ind w:left="98" w:leftChars="0" w:hanging="98" w:hangingChars="47"/>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8"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4463" w:type="pct"/>
          </w:tcPr>
          <w:p>
            <w:pPr>
              <w:adjustRightInd w:val="0"/>
              <w:snapToGrid w:val="0"/>
              <w:spacing w:line="360" w:lineRule="auto"/>
              <w:ind w:firstLine="422" w:firstLineChars="200"/>
              <w:rPr>
                <w:b/>
                <w:bCs/>
              </w:rPr>
            </w:pPr>
            <w:r>
              <w:rPr>
                <w:rFonts w:hint="eastAsia"/>
                <w:b/>
                <w:bCs/>
              </w:rPr>
              <w:t>1</w:t>
            </w:r>
            <w:r>
              <w:rPr>
                <w:b/>
                <w:bCs/>
              </w:rPr>
              <w:t>、施工期</w:t>
            </w:r>
          </w:p>
          <w:p>
            <w:pPr>
              <w:adjustRightInd w:val="0"/>
              <w:snapToGrid w:val="0"/>
              <w:spacing w:line="360" w:lineRule="auto"/>
              <w:ind w:firstLine="420" w:firstLineChars="200"/>
            </w:pPr>
            <w:r>
              <w:t>根据现场勘踏，项目租用厂房已建成，其他附属设施已经建成，施工期仅需进行设备安装及调试，施工期环境影响不明显。</w:t>
            </w:r>
          </w:p>
          <w:p>
            <w:pPr>
              <w:adjustRightInd w:val="0"/>
              <w:snapToGrid w:val="0"/>
              <w:spacing w:line="360" w:lineRule="auto"/>
              <w:ind w:firstLine="422" w:firstLineChars="200"/>
              <w:rPr>
                <w:b/>
                <w:bCs/>
              </w:rPr>
            </w:pPr>
            <w:r>
              <w:rPr>
                <w:rFonts w:hint="eastAsia"/>
                <w:b/>
                <w:bCs/>
              </w:rPr>
              <w:t>2</w:t>
            </w:r>
            <w:r>
              <w:rPr>
                <w:b/>
                <w:bCs/>
              </w:rPr>
              <w:t>、运营期</w:t>
            </w:r>
          </w:p>
          <w:p>
            <w:pPr>
              <w:adjustRightInd w:val="0"/>
              <w:snapToGrid w:val="0"/>
              <w:spacing w:line="360" w:lineRule="auto"/>
              <w:ind w:firstLine="420" w:firstLineChars="200"/>
            </w:pPr>
            <w:r>
              <w:rPr>
                <w:rFonts w:hint="eastAsia"/>
              </w:rPr>
              <w:t>（</w:t>
            </w:r>
            <w:r>
              <w:t>1</w:t>
            </w:r>
            <w:r>
              <w:rPr>
                <w:rFonts w:hint="eastAsia"/>
              </w:rPr>
              <w:t>）汽车</w:t>
            </w:r>
            <w:r>
              <w:t>抛光用海绵</w:t>
            </w:r>
          </w:p>
          <w:p>
            <w:pPr>
              <w:pStyle w:val="43"/>
              <w:rPr>
                <w:rFonts w:ascii="Times New Roman" w:hAnsi="Times New Roman"/>
                <w:color w:val="auto"/>
              </w:rPr>
            </w:pPr>
            <w:r>
              <w:rPr>
                <w:rFonts w:ascii="Times New Roman" w:hAnsi="Times New Roman"/>
                <w:color w:val="auto"/>
              </w:rPr>
              <mc:AlternateContent>
                <mc:Choice Requires="wpc">
                  <w:drawing>
                    <wp:inline distT="0" distB="0" distL="0" distR="0">
                      <wp:extent cx="5863590" cy="2415540"/>
                      <wp:effectExtent l="0" t="0" r="3810" b="3810"/>
                      <wp:docPr id="322" name="画布 3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313" name="AutoShape 121"/>
                              <wps:cNvSpPr>
                                <a:spLocks noChangeArrowheads="1"/>
                              </wps:cNvSpPr>
                              <wps:spPr bwMode="auto">
                                <a:xfrm>
                                  <a:off x="0" y="672741"/>
                                  <a:ext cx="741680" cy="322712"/>
                                </a:xfrm>
                                <a:prstGeom prst="flowChartProcess">
                                  <a:avLst/>
                                </a:prstGeom>
                                <a:solidFill>
                                  <a:srgbClr val="FFFFFF"/>
                                </a:solidFill>
                                <a:ln>
                                  <a:noFill/>
                                </a:ln>
                                <a:effectLst/>
                              </wps:spPr>
                              <wps:txbx>
                                <w:txbxContent>
                                  <w:p>
                                    <w:pPr>
                                      <w:jc w:val="center"/>
                                      <w:rPr>
                                        <w:rFonts w:ascii="宋体" w:hAnsi="宋体"/>
                                        <w:szCs w:val="21"/>
                                      </w:rPr>
                                    </w:pPr>
                                    <w:r>
                                      <w:rPr>
                                        <w:rFonts w:hint="eastAsia" w:ascii="宋体" w:hAnsi="宋体"/>
                                        <w:szCs w:val="21"/>
                                      </w:rPr>
                                      <w:t>海绵</w:t>
                                    </w:r>
                                  </w:p>
                                </w:txbxContent>
                              </wps:txbx>
                              <wps:bodyPr rot="0" vert="horz" wrap="square" lIns="0" tIns="45720" rIns="0" bIns="45720" anchor="t" anchorCtr="0" upright="1">
                                <a:noAutofit/>
                              </wps:bodyPr>
                            </wps:wsp>
                            <wps:wsp>
                              <wps:cNvPr id="314" name="AutoShape 122"/>
                              <wps:cNvCnPr>
                                <a:cxnSpLocks noChangeShapeType="1"/>
                              </wps:cNvCnPr>
                              <wps:spPr bwMode="auto">
                                <a:xfrm flipV="1">
                                  <a:off x="2103755" y="826179"/>
                                  <a:ext cx="205740" cy="635"/>
                                </a:xfrm>
                                <a:prstGeom prst="straightConnector1">
                                  <a:avLst/>
                                </a:prstGeom>
                                <a:noFill/>
                                <a:ln w="3175">
                                  <a:solidFill>
                                    <a:srgbClr val="000000"/>
                                  </a:solidFill>
                                  <a:round/>
                                  <a:tailEnd type="triangle" w="med" len="med"/>
                                </a:ln>
                                <a:effectLst/>
                              </wps:spPr>
                              <wps:bodyPr/>
                            </wps:wsp>
                            <wps:wsp>
                              <wps:cNvPr id="315" name="AutoShape 124"/>
                              <wps:cNvSpPr>
                                <a:spLocks noChangeArrowheads="1"/>
                              </wps:cNvSpPr>
                              <wps:spPr bwMode="auto">
                                <a:xfrm>
                                  <a:off x="3059430" y="685446"/>
                                  <a:ext cx="492125" cy="294761"/>
                                </a:xfrm>
                                <a:prstGeom prst="flowChartProcess">
                                  <a:avLst/>
                                </a:prstGeom>
                                <a:solidFill>
                                  <a:srgbClr val="FFFFFF"/>
                                </a:solidFill>
                                <a:ln w="9525">
                                  <a:solidFill>
                                    <a:srgbClr val="000000"/>
                                  </a:solidFill>
                                  <a:miter lim="800000"/>
                                </a:ln>
                                <a:effectLst/>
                              </wps:spPr>
                              <wps:txbx>
                                <w:txbxContent>
                                  <w:p>
                                    <w:r>
                                      <w:rPr>
                                        <w:rFonts w:hint="eastAsia"/>
                                      </w:rPr>
                                      <w:t>仿形</w:t>
                                    </w:r>
                                  </w:p>
                                </w:txbxContent>
                              </wps:txbx>
                              <wps:bodyPr rot="0" vert="horz" wrap="square" lIns="91440" tIns="45720" rIns="91440" bIns="45720" anchor="t" anchorCtr="0" upright="1">
                                <a:noAutofit/>
                              </wps:bodyPr>
                            </wps:wsp>
                            <wps:wsp>
                              <wps:cNvPr id="316" name="AutoShape 124"/>
                              <wps:cNvSpPr>
                                <a:spLocks noChangeArrowheads="1"/>
                              </wps:cNvSpPr>
                              <wps:spPr bwMode="auto">
                                <a:xfrm>
                                  <a:off x="5180965" y="667088"/>
                                  <a:ext cx="482600" cy="295396"/>
                                </a:xfrm>
                                <a:prstGeom prst="flowChartProcess">
                                  <a:avLst/>
                                </a:prstGeom>
                                <a:solidFill>
                                  <a:srgbClr val="FFFFFF"/>
                                </a:solidFill>
                                <a:ln w="9525">
                                  <a:solidFill>
                                    <a:srgbClr val="000000"/>
                                  </a:solidFill>
                                  <a:miter lim="800000"/>
                                </a:ln>
                                <a:effectLst/>
                              </wps:spPr>
                              <wps:txbx>
                                <w:txbxContent>
                                  <w:p>
                                    <w:pPr>
                                      <w:jc w:val="center"/>
                                    </w:pPr>
                                    <w:r>
                                      <w:rPr>
                                        <w:rFonts w:hint="eastAsia"/>
                                      </w:rPr>
                                      <w:t>检验</w:t>
                                    </w:r>
                                  </w:p>
                                </w:txbxContent>
                              </wps:txbx>
                              <wps:bodyPr rot="0" vert="horz" wrap="square" lIns="0" tIns="45720" rIns="0" bIns="45720" anchor="t" anchorCtr="0" upright="1">
                                <a:noAutofit/>
                              </wps:bodyPr>
                            </wps:wsp>
                            <wps:wsp>
                              <wps:cNvPr id="317" name="AutoShape 124"/>
                              <wps:cNvSpPr>
                                <a:spLocks noChangeArrowheads="1"/>
                              </wps:cNvSpPr>
                              <wps:spPr bwMode="auto">
                                <a:xfrm>
                                  <a:off x="5036820" y="1243205"/>
                                  <a:ext cx="767080" cy="275703"/>
                                </a:xfrm>
                                <a:prstGeom prst="flowChartProcess">
                                  <a:avLst/>
                                </a:prstGeom>
                                <a:solidFill>
                                  <a:srgbClr val="FFFFFF"/>
                                </a:solidFill>
                                <a:ln w="9525">
                                  <a:solidFill>
                                    <a:srgbClr val="000000"/>
                                  </a:solidFill>
                                  <a:miter lim="800000"/>
                                </a:ln>
                                <a:effectLst/>
                              </wps:spPr>
                              <wps:txbx>
                                <w:txbxContent>
                                  <w:p>
                                    <w:pPr>
                                      <w:jc w:val="center"/>
                                    </w:pPr>
                                    <w:r>
                                      <w:rPr>
                                        <w:rFonts w:hint="eastAsia"/>
                                      </w:rPr>
                                      <w:t>包装出货</w:t>
                                    </w:r>
                                  </w:p>
                                </w:txbxContent>
                              </wps:txbx>
                              <wps:bodyPr rot="0" vert="horz" wrap="square" lIns="0" tIns="45720" rIns="0" bIns="45720" anchor="t" anchorCtr="0" upright="1">
                                <a:noAutofit/>
                              </wps:bodyPr>
                            </wps:wsp>
                            <wps:wsp>
                              <wps:cNvPr id="318" name="AutoShape 122"/>
                              <wps:cNvCnPr>
                                <a:cxnSpLocks noChangeShapeType="1"/>
                              </wps:cNvCnPr>
                              <wps:spPr bwMode="auto">
                                <a:xfrm>
                                  <a:off x="4224655" y="817580"/>
                                  <a:ext cx="236855" cy="635"/>
                                </a:xfrm>
                                <a:prstGeom prst="straightConnector1">
                                  <a:avLst/>
                                </a:prstGeom>
                                <a:noFill/>
                                <a:ln w="3175">
                                  <a:solidFill>
                                    <a:srgbClr val="000000"/>
                                  </a:solidFill>
                                  <a:round/>
                                  <a:tailEnd type="triangle" w="med" len="med"/>
                                </a:ln>
                                <a:effectLst/>
                              </wps:spPr>
                              <wps:bodyPr/>
                            </wps:wsp>
                            <wps:wsp>
                              <wps:cNvPr id="319" name="AutoShape 125"/>
                              <wps:cNvCnPr>
                                <a:cxnSpLocks noChangeShapeType="1"/>
                              </wps:cNvCnPr>
                              <wps:spPr bwMode="auto">
                                <a:xfrm flipV="1">
                                  <a:off x="3296285" y="432612"/>
                                  <a:ext cx="635" cy="242670"/>
                                </a:xfrm>
                                <a:prstGeom prst="straightConnector1">
                                  <a:avLst/>
                                </a:prstGeom>
                                <a:noFill/>
                                <a:ln w="9525">
                                  <a:solidFill>
                                    <a:srgbClr val="000000"/>
                                  </a:solidFill>
                                  <a:prstDash val="dash"/>
                                  <a:round/>
                                  <a:tailEnd type="triangle" w="med" len="med"/>
                                </a:ln>
                                <a:effectLst/>
                              </wps:spPr>
                              <wps:bodyPr/>
                            </wps:wsp>
                            <wps:wsp>
                              <wps:cNvPr id="96" name="AutoShape 126"/>
                              <wps:cNvSpPr>
                                <a:spLocks noChangeArrowheads="1"/>
                              </wps:cNvSpPr>
                              <wps:spPr bwMode="auto">
                                <a:xfrm>
                                  <a:off x="3130550" y="163634"/>
                                  <a:ext cx="421005" cy="275703"/>
                                </a:xfrm>
                                <a:prstGeom prst="flowChartProcess">
                                  <a:avLst/>
                                </a:prstGeom>
                                <a:no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100" name="AutoShape 122"/>
                              <wps:cNvCnPr>
                                <a:cxnSpLocks noChangeShapeType="1"/>
                              </wps:cNvCnPr>
                              <wps:spPr bwMode="auto">
                                <a:xfrm flipV="1">
                                  <a:off x="2853690" y="814478"/>
                                  <a:ext cx="205740" cy="635"/>
                                </a:xfrm>
                                <a:prstGeom prst="straightConnector1">
                                  <a:avLst/>
                                </a:prstGeom>
                                <a:noFill/>
                                <a:ln w="3175">
                                  <a:solidFill>
                                    <a:srgbClr val="000000"/>
                                  </a:solidFill>
                                  <a:round/>
                                  <a:tailEnd type="triangle" w="med" len="med"/>
                                </a:ln>
                                <a:effectLst/>
                              </wps:spPr>
                              <wps:bodyPr/>
                            </wps:wsp>
                            <wps:wsp>
                              <wps:cNvPr id="101" name="文本框 13"/>
                              <wps:cNvSpPr txBox="1">
                                <a:spLocks noChangeArrowheads="1"/>
                              </wps:cNvSpPr>
                              <wps:spPr bwMode="auto">
                                <a:xfrm>
                                  <a:off x="2309495" y="682326"/>
                                  <a:ext cx="544195" cy="273797"/>
                                </a:xfrm>
                                <a:prstGeom prst="rect">
                                  <a:avLst/>
                                </a:prstGeom>
                                <a:solidFill>
                                  <a:srgbClr val="FFFFFF"/>
                                </a:solidFill>
                                <a:ln w="9525">
                                  <a:solidFill>
                                    <a:srgbClr val="000000"/>
                                  </a:solidFill>
                                  <a:miter lim="800000"/>
                                </a:ln>
                                <a:effectLst/>
                              </wps:spPr>
                              <wps:txbx>
                                <w:txbxContent>
                                  <w:p>
                                    <w:pPr>
                                      <w:jc w:val="center"/>
                                    </w:pPr>
                                    <w:r>
                                      <w:rPr>
                                        <w:rFonts w:hint="eastAsia"/>
                                      </w:rPr>
                                      <w:t>裁切</w:t>
                                    </w:r>
                                  </w:p>
                                </w:txbxContent>
                              </wps:txbx>
                              <wps:bodyPr rot="0" vert="horz" wrap="square" lIns="91440" tIns="45720" rIns="91440" bIns="45720" anchor="t" anchorCtr="0" upright="1">
                                <a:noAutofit/>
                              </wps:bodyPr>
                            </wps:wsp>
                            <wps:wsp>
                              <wps:cNvPr id="103" name="AutoShape 125"/>
                              <wps:cNvCnPr>
                                <a:cxnSpLocks noChangeShapeType="1"/>
                              </wps:cNvCnPr>
                              <wps:spPr bwMode="auto">
                                <a:xfrm flipV="1">
                                  <a:off x="1845310" y="437059"/>
                                  <a:ext cx="0" cy="241399"/>
                                </a:xfrm>
                                <a:prstGeom prst="straightConnector1">
                                  <a:avLst/>
                                </a:prstGeom>
                                <a:noFill/>
                                <a:ln w="9525">
                                  <a:solidFill>
                                    <a:srgbClr val="000000"/>
                                  </a:solidFill>
                                  <a:prstDash val="dash"/>
                                  <a:round/>
                                  <a:tailEnd type="triangle" w="med" len="med"/>
                                </a:ln>
                                <a:effectLst/>
                              </wps:spPr>
                              <wps:bodyPr/>
                            </wps:wsp>
                            <wps:wsp>
                              <wps:cNvPr id="104" name="AutoShape 126"/>
                              <wps:cNvSpPr>
                                <a:spLocks noChangeArrowheads="1"/>
                              </wps:cNvSpPr>
                              <wps:spPr bwMode="auto">
                                <a:xfrm>
                                  <a:off x="1544954" y="161356"/>
                                  <a:ext cx="687705" cy="261727"/>
                                </a:xfrm>
                                <a:prstGeom prst="flowChartProcess">
                                  <a:avLst/>
                                </a:prstGeom>
                                <a:solidFill>
                                  <a:srgbClr val="FFFFFF"/>
                                </a:solidFill>
                                <a:ln w="9525">
                                  <a:solidFill>
                                    <a:srgbClr val="000000"/>
                                  </a:solidFill>
                                  <a:prstDash val="dashDot"/>
                                  <a:miter lim="800000"/>
                                </a:ln>
                                <a:effectLst/>
                              </wps:spPr>
                              <wps:txbx>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wps:txbx>
                              <wps:bodyPr rot="0" vert="horz" wrap="square" lIns="0" tIns="45720" rIns="0" bIns="45720" anchor="t" anchorCtr="0" upright="1">
                                <a:noAutofit/>
                              </wps:bodyPr>
                            </wps:wsp>
                            <wps:wsp>
                              <wps:cNvPr id="107" name="AutoShape 126"/>
                              <wps:cNvSpPr>
                                <a:spLocks noChangeArrowheads="1"/>
                              </wps:cNvSpPr>
                              <wps:spPr bwMode="auto">
                                <a:xfrm>
                                  <a:off x="3668395" y="185684"/>
                                  <a:ext cx="732155" cy="266809"/>
                                </a:xfrm>
                                <a:prstGeom prst="flowChartProcess">
                                  <a:avLst/>
                                </a:prstGeom>
                                <a:solidFill>
                                  <a:srgbClr val="FFFFFF"/>
                                </a:solidFill>
                                <a:ln w="9525">
                                  <a:solidFill>
                                    <a:srgbClr val="000000"/>
                                  </a:solidFill>
                                  <a:prstDash val="dashDot"/>
                                  <a:miter lim="800000"/>
                                </a:ln>
                                <a:effectLst/>
                              </wps:spPr>
                              <wps:txbx>
                                <w:txbxContent>
                                  <w:p>
                                    <w:pPr>
                                      <w:jc w:val="center"/>
                                    </w:pPr>
                                    <w:r>
                                      <w:t>N</w:t>
                                    </w:r>
                                    <w:r>
                                      <w:rPr>
                                        <w:rFonts w:hint="eastAsia"/>
                                      </w:rPr>
                                      <w:t>、</w:t>
                                    </w:r>
                                    <w:r>
                                      <w:t>G</w:t>
                                    </w:r>
                                    <w:r>
                                      <w:rPr>
                                        <w:vertAlign w:val="subscript"/>
                                      </w:rPr>
                                      <w:t>1</w:t>
                                    </w:r>
                                    <w:r>
                                      <w:rPr>
                                        <w:rFonts w:hint="eastAsia"/>
                                      </w:rPr>
                                      <w:t>、</w:t>
                                    </w:r>
                                    <w:r>
                                      <w:t>S</w:t>
                                    </w:r>
                                    <w:r>
                                      <w:rPr>
                                        <w:vertAlign w:val="subscript"/>
                                      </w:rPr>
                                      <w:t>2</w:t>
                                    </w:r>
                                  </w:p>
                                </w:txbxContent>
                              </wps:txbx>
                              <wps:bodyPr rot="0" vert="horz" wrap="square" lIns="0" tIns="45720" rIns="0" bIns="45720" anchor="t" anchorCtr="0" upright="1">
                                <a:noAutofit/>
                              </wps:bodyPr>
                            </wps:wsp>
                            <wps:wsp>
                              <wps:cNvPr id="108" name="AutoShape 125"/>
                              <wps:cNvCnPr>
                                <a:cxnSpLocks noChangeShapeType="1"/>
                              </wps:cNvCnPr>
                              <wps:spPr bwMode="auto">
                                <a:xfrm flipV="1">
                                  <a:off x="3991610" y="433883"/>
                                  <a:ext cx="0" cy="241399"/>
                                </a:xfrm>
                                <a:prstGeom prst="straightConnector1">
                                  <a:avLst/>
                                </a:prstGeom>
                                <a:noFill/>
                                <a:ln w="9525">
                                  <a:solidFill>
                                    <a:srgbClr val="000000"/>
                                  </a:solidFill>
                                  <a:prstDash val="dash"/>
                                  <a:round/>
                                  <a:tailEnd type="triangle" w="med" len="med"/>
                                </a:ln>
                                <a:effectLst/>
                              </wps:spPr>
                              <wps:bodyPr/>
                            </wps:wsp>
                            <wps:wsp>
                              <wps:cNvPr id="109" name="AutoShape 122"/>
                              <wps:cNvCnPr>
                                <a:cxnSpLocks noChangeShapeType="1"/>
                              </wps:cNvCnPr>
                              <wps:spPr bwMode="auto">
                                <a:xfrm flipV="1">
                                  <a:off x="3551555" y="817580"/>
                                  <a:ext cx="203200" cy="0"/>
                                </a:xfrm>
                                <a:prstGeom prst="straightConnector1">
                                  <a:avLst/>
                                </a:prstGeom>
                                <a:noFill/>
                                <a:ln w="3175">
                                  <a:solidFill>
                                    <a:srgbClr val="000000"/>
                                  </a:solidFill>
                                  <a:round/>
                                  <a:tailEnd type="triangle" w="med" len="med"/>
                                </a:ln>
                                <a:effectLst/>
                              </wps:spPr>
                              <wps:bodyPr/>
                            </wps:wsp>
                            <wps:wsp>
                              <wps:cNvPr id="113" name="AutoShape 122"/>
                              <wps:cNvCnPr>
                                <a:cxnSpLocks noChangeShapeType="1"/>
                              </wps:cNvCnPr>
                              <wps:spPr bwMode="auto">
                                <a:xfrm flipH="1">
                                  <a:off x="1831975" y="989101"/>
                                  <a:ext cx="5080" cy="254104"/>
                                </a:xfrm>
                                <a:prstGeom prst="straightConnector1">
                                  <a:avLst/>
                                </a:prstGeom>
                                <a:noFill/>
                                <a:ln w="3175">
                                  <a:solidFill>
                                    <a:srgbClr val="000000"/>
                                  </a:solidFill>
                                  <a:round/>
                                  <a:headEnd type="triangle" w="med" len="med"/>
                                </a:ln>
                                <a:effectLst/>
                              </wps:spPr>
                              <wps:bodyPr/>
                            </wps:wsp>
                            <wps:wsp>
                              <wps:cNvPr id="114" name="AutoShape 122"/>
                              <wps:cNvCnPr>
                                <a:cxnSpLocks noChangeShapeType="1"/>
                              </wps:cNvCnPr>
                              <wps:spPr bwMode="auto">
                                <a:xfrm flipV="1">
                                  <a:off x="532130" y="817580"/>
                                  <a:ext cx="203200" cy="0"/>
                                </a:xfrm>
                                <a:prstGeom prst="straightConnector1">
                                  <a:avLst/>
                                </a:prstGeom>
                                <a:noFill/>
                                <a:ln w="3175">
                                  <a:solidFill>
                                    <a:srgbClr val="000000"/>
                                  </a:solidFill>
                                  <a:round/>
                                  <a:tailEnd type="triangle" w="med" len="med"/>
                                </a:ln>
                                <a:effectLst/>
                              </wps:spPr>
                              <wps:bodyPr/>
                            </wps:wsp>
                            <wps:wsp>
                              <wps:cNvPr id="121" name="AutoShape 122"/>
                              <wps:cNvCnPr>
                                <a:cxnSpLocks noChangeShapeType="1"/>
                              </wps:cNvCnPr>
                              <wps:spPr bwMode="auto">
                                <a:xfrm flipV="1">
                                  <a:off x="1341755" y="827109"/>
                                  <a:ext cx="203200" cy="0"/>
                                </a:xfrm>
                                <a:prstGeom prst="straightConnector1">
                                  <a:avLst/>
                                </a:prstGeom>
                                <a:noFill/>
                                <a:ln w="3175">
                                  <a:solidFill>
                                    <a:srgbClr val="000000"/>
                                  </a:solidFill>
                                  <a:round/>
                                  <a:tailEnd type="triangle" w="med" len="med"/>
                                </a:ln>
                                <a:effectLst/>
                              </wps:spPr>
                              <wps:bodyPr/>
                            </wps:wsp>
                            <wps:wsp>
                              <wps:cNvPr id="122" name="文本框 196"/>
                              <wps:cNvSpPr txBox="1">
                                <a:spLocks noChangeArrowheads="1"/>
                              </wps:cNvSpPr>
                              <wps:spPr bwMode="auto">
                                <a:xfrm>
                                  <a:off x="789305" y="675282"/>
                                  <a:ext cx="533400" cy="304925"/>
                                </a:xfrm>
                                <a:prstGeom prst="rect">
                                  <a:avLst/>
                                </a:prstGeom>
                                <a:solidFill>
                                  <a:srgbClr val="FFFFFF"/>
                                </a:solidFill>
                                <a:ln w="9525">
                                  <a:solidFill>
                                    <a:srgbClr val="000000"/>
                                  </a:solidFill>
                                  <a:miter lim="800000"/>
                                </a:ln>
                                <a:effectLst/>
                              </wps:spPr>
                              <wps:txbx>
                                <w:txbxContent>
                                  <w:p>
                                    <w:pPr>
                                      <w:jc w:val="center"/>
                                    </w:pPr>
                                    <w:r>
                                      <w:rPr>
                                        <w:rFonts w:hint="eastAsia"/>
                                      </w:rPr>
                                      <w:t>平切</w:t>
                                    </w:r>
                                  </w:p>
                                </w:txbxContent>
                              </wps:txbx>
                              <wps:bodyPr rot="0" vert="horz" wrap="square" lIns="91440" tIns="45720" rIns="91440" bIns="45720" anchor="t" anchorCtr="0" upright="1">
                                <a:noAutofit/>
                              </wps:bodyPr>
                            </wps:wsp>
                            <wps:wsp>
                              <wps:cNvPr id="123" name="文本框 197"/>
                              <wps:cNvSpPr txBox="1">
                                <a:spLocks noChangeArrowheads="1"/>
                              </wps:cNvSpPr>
                              <wps:spPr bwMode="auto">
                                <a:xfrm>
                                  <a:off x="1555115" y="684811"/>
                                  <a:ext cx="533400" cy="304925"/>
                                </a:xfrm>
                                <a:prstGeom prst="rect">
                                  <a:avLst/>
                                </a:prstGeom>
                                <a:solidFill>
                                  <a:srgbClr val="FFFFFF"/>
                                </a:solidFill>
                                <a:ln w="9525">
                                  <a:solidFill>
                                    <a:srgbClr val="000000"/>
                                  </a:solidFill>
                                  <a:miter lim="800000"/>
                                </a:ln>
                                <a:effectLst/>
                              </wps:spPr>
                              <wps:txbx>
                                <w:txbxContent>
                                  <w:p>
                                    <w:pPr>
                                      <w:jc w:val="center"/>
                                    </w:pPr>
                                    <w:r>
                                      <w:rPr>
                                        <w:rFonts w:hint="eastAsia"/>
                                      </w:rPr>
                                      <w:t>贴合</w:t>
                                    </w:r>
                                  </w:p>
                                </w:txbxContent>
                              </wps:txbx>
                              <wps:bodyPr rot="0" vert="horz" wrap="square" lIns="91440" tIns="45720" rIns="91440" bIns="45720" anchor="t" anchorCtr="0" upright="1">
                                <a:noAutofit/>
                              </wps:bodyPr>
                            </wps:wsp>
                            <wps:wsp>
                              <wps:cNvPr id="124" name="文本框 198"/>
                              <wps:cNvSpPr txBox="1">
                                <a:spLocks noChangeArrowheads="1"/>
                              </wps:cNvSpPr>
                              <wps:spPr bwMode="auto">
                                <a:xfrm>
                                  <a:off x="1108710" y="1243205"/>
                                  <a:ext cx="1629410" cy="623695"/>
                                </a:xfrm>
                                <a:prstGeom prst="rect">
                                  <a:avLst/>
                                </a:prstGeom>
                                <a:noFill/>
                                <a:ln w="9525">
                                  <a:noFill/>
                                  <a:miter lim="800000"/>
                                </a:ln>
                                <a:effectLst/>
                              </wps:spPr>
                              <wps:txbx>
                                <w:txbxContent>
                                  <w:p>
                                    <w:pPr>
                                      <w:jc w:val="center"/>
                                    </w:pPr>
                                    <w:r>
                                      <w:rPr>
                                        <w:rFonts w:hint="eastAsia"/>
                                      </w:rPr>
                                      <w:t>尼龙布料、</w:t>
                                    </w:r>
                                    <w:r>
                                      <w:t>胶水</w:t>
                                    </w:r>
                                    <w:r>
                                      <w:rPr>
                                        <w:rFonts w:hint="eastAsia"/>
                                      </w:rPr>
                                      <w:t>/塑料托盘、</w:t>
                                    </w:r>
                                    <w:r>
                                      <w:t>胶水</w:t>
                                    </w:r>
                                    <w:r>
                                      <w:rPr>
                                        <w:rFonts w:hint="eastAsia"/>
                                      </w:rPr>
                                      <w:t>/EVA</w:t>
                                    </w:r>
                                    <w:r>
                                      <w:t>+</w:t>
                                    </w:r>
                                    <w:r>
                                      <w:rPr>
                                        <w:rFonts w:hint="eastAsia"/>
                                      </w:rPr>
                                      <w:t>不干胶+尼龙</w:t>
                                    </w:r>
                                    <w:r>
                                      <w:t>布料</w:t>
                                    </w:r>
                                    <w:r>
                                      <w:rPr>
                                        <w:rFonts w:hint="eastAsia"/>
                                      </w:rPr>
                                      <w:t>、</w:t>
                                    </w:r>
                                    <w:r>
                                      <w:t>胶水、热熔胶</w:t>
                                    </w:r>
                                  </w:p>
                                </w:txbxContent>
                              </wps:txbx>
                              <wps:bodyPr rot="0" vert="horz" wrap="square" lIns="91440" tIns="45720" rIns="91440" bIns="45720" anchor="t" anchorCtr="0" upright="1">
                                <a:noAutofit/>
                              </wps:bodyPr>
                            </wps:wsp>
                            <wps:wsp>
                              <wps:cNvPr id="125" name="AutoShape 126"/>
                              <wps:cNvSpPr>
                                <a:spLocks noChangeArrowheads="1"/>
                              </wps:cNvSpPr>
                              <wps:spPr bwMode="auto">
                                <a:xfrm>
                                  <a:off x="827405" y="160721"/>
                                  <a:ext cx="419100"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127" name="AutoShape 126"/>
                              <wps:cNvSpPr>
                                <a:spLocks noChangeArrowheads="1"/>
                              </wps:cNvSpPr>
                              <wps:spPr bwMode="auto">
                                <a:xfrm>
                                  <a:off x="2418080" y="170250"/>
                                  <a:ext cx="419100"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320" name="AutoShape 125"/>
                              <wps:cNvCnPr>
                                <a:cxnSpLocks noChangeShapeType="1"/>
                              </wps:cNvCnPr>
                              <wps:spPr bwMode="auto">
                                <a:xfrm flipV="1">
                                  <a:off x="1017905" y="437059"/>
                                  <a:ext cx="0" cy="241399"/>
                                </a:xfrm>
                                <a:prstGeom prst="straightConnector1">
                                  <a:avLst/>
                                </a:prstGeom>
                                <a:noFill/>
                                <a:ln w="9525">
                                  <a:solidFill>
                                    <a:srgbClr val="000000"/>
                                  </a:solidFill>
                                  <a:prstDash val="dash"/>
                                  <a:round/>
                                  <a:tailEnd type="triangle" w="med" len="med"/>
                                </a:ln>
                                <a:effectLst/>
                              </wps:spPr>
                              <wps:bodyPr/>
                            </wps:wsp>
                            <wps:wsp>
                              <wps:cNvPr id="321" name="AutoShape 125"/>
                              <wps:cNvCnPr>
                                <a:cxnSpLocks noChangeShapeType="1"/>
                              </wps:cNvCnPr>
                              <wps:spPr bwMode="auto">
                                <a:xfrm flipV="1">
                                  <a:off x="2646680" y="456117"/>
                                  <a:ext cx="0" cy="241399"/>
                                </a:xfrm>
                                <a:prstGeom prst="straightConnector1">
                                  <a:avLst/>
                                </a:prstGeom>
                                <a:noFill/>
                                <a:ln w="9525">
                                  <a:solidFill>
                                    <a:srgbClr val="000000"/>
                                  </a:solidFill>
                                  <a:prstDash val="dash"/>
                                  <a:round/>
                                  <a:tailEnd type="triangle" w="med" len="med"/>
                                </a:ln>
                                <a:effectLst/>
                              </wps:spPr>
                              <wps:bodyPr/>
                            </wps:wsp>
                            <wps:wsp>
                              <wps:cNvPr id="329" name="AutoShape 124"/>
                              <wps:cNvSpPr>
                                <a:spLocks noChangeArrowheads="1"/>
                              </wps:cNvSpPr>
                              <wps:spPr bwMode="auto">
                                <a:xfrm>
                                  <a:off x="4461510" y="670784"/>
                                  <a:ext cx="482600"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烘干</w:t>
                                    </w:r>
                                  </w:p>
                                </w:txbxContent>
                              </wps:txbx>
                              <wps:bodyPr rot="0" vert="horz" wrap="square" lIns="0" tIns="45720" rIns="0" bIns="45720" anchor="t" anchorCtr="0" upright="1">
                                <a:noAutofit/>
                              </wps:bodyPr>
                            </wps:wsp>
                            <wps:wsp>
                              <wps:cNvPr id="330" name="AutoShape 124"/>
                              <wps:cNvSpPr>
                                <a:spLocks noChangeArrowheads="1"/>
                              </wps:cNvSpPr>
                              <wps:spPr bwMode="auto">
                                <a:xfrm>
                                  <a:off x="3754755" y="672741"/>
                                  <a:ext cx="482600"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印刷</w:t>
                                    </w:r>
                                  </w:p>
                                </w:txbxContent>
                              </wps:txbx>
                              <wps:bodyPr rot="0" vert="horz" wrap="square" lIns="0" tIns="45720" rIns="0" bIns="45720" anchor="t" anchorCtr="0" upright="1">
                                <a:noAutofit/>
                              </wps:bodyPr>
                            </wps:wsp>
                            <wps:wsp>
                              <wps:cNvPr id="332" name="AutoShape 122"/>
                              <wps:cNvCnPr>
                                <a:cxnSpLocks noChangeShapeType="1"/>
                              </wps:cNvCnPr>
                              <wps:spPr bwMode="auto">
                                <a:xfrm>
                                  <a:off x="4944110" y="818215"/>
                                  <a:ext cx="236855" cy="635"/>
                                </a:xfrm>
                                <a:prstGeom prst="straightConnector1">
                                  <a:avLst/>
                                </a:prstGeom>
                                <a:noFill/>
                                <a:ln w="3175">
                                  <a:solidFill>
                                    <a:srgbClr val="000000"/>
                                  </a:solidFill>
                                  <a:round/>
                                  <a:tailEnd type="triangle" w="med" len="med"/>
                                </a:ln>
                                <a:effectLst/>
                              </wps:spPr>
                              <wps:bodyPr/>
                            </wps:wsp>
                            <wps:wsp>
                              <wps:cNvPr id="333" name="直接箭头连接符 333"/>
                              <wps:cNvCnPr>
                                <a:stCxn id="316" idx="2"/>
                                <a:endCxn id="317" idx="0"/>
                              </wps:cNvCnPr>
                              <wps:spPr>
                                <a:xfrm flipH="1">
                                  <a:off x="5420360" y="962484"/>
                                  <a:ext cx="1905" cy="2807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4" name="AutoShape 125"/>
                              <wps:cNvCnPr>
                                <a:cxnSpLocks noChangeShapeType="1"/>
                              </wps:cNvCnPr>
                              <wps:spPr bwMode="auto">
                                <a:xfrm flipV="1">
                                  <a:off x="4697390" y="431441"/>
                                  <a:ext cx="0" cy="241300"/>
                                </a:xfrm>
                                <a:prstGeom prst="straightConnector1">
                                  <a:avLst/>
                                </a:prstGeom>
                                <a:noFill/>
                                <a:ln w="9525">
                                  <a:solidFill>
                                    <a:srgbClr val="000000"/>
                                  </a:solidFill>
                                  <a:prstDash val="dash"/>
                                  <a:round/>
                                  <a:tailEnd type="triangle" w="med" len="med"/>
                                </a:ln>
                                <a:effectLst/>
                              </wps:spPr>
                              <wps:bodyPr/>
                            </wps:wsp>
                            <wps:wsp>
                              <wps:cNvPr id="335" name="AutoShape 126"/>
                              <wps:cNvSpPr>
                                <a:spLocks noChangeArrowheads="1"/>
                              </wps:cNvSpPr>
                              <wps:spPr bwMode="auto">
                                <a:xfrm>
                                  <a:off x="4523105" y="185684"/>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G</w:t>
                                    </w:r>
                                    <w:r>
                                      <w:rPr>
                                        <w:rFonts w:ascii="Times New Roman" w:hAnsi="Times New Roman"/>
                                        <w:kern w:val="2"/>
                                        <w:sz w:val="21"/>
                                        <w:szCs w:val="21"/>
                                        <w:vertAlign w:val="subscript"/>
                                      </w:rPr>
                                      <w:t>1</w:t>
                                    </w:r>
                                  </w:p>
                                </w:txbxContent>
                              </wps:txbx>
                              <wps:bodyPr rot="0" vert="horz" wrap="square" lIns="0" tIns="45720" rIns="0" bIns="45720" anchor="t" anchorCtr="0" upright="1">
                                <a:noAutofit/>
                              </wps:bodyPr>
                            </wps:wsp>
                            <wps:wsp>
                              <wps:cNvPr id="336" name="直接箭头连接符 336"/>
                              <wps:cNvCnPr/>
                              <wps:spPr>
                                <a:xfrm flipH="1">
                                  <a:off x="4777740" y="1371600"/>
                                  <a:ext cx="25908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37" name="AutoShape 126"/>
                              <wps:cNvSpPr>
                                <a:spLocks noChangeArrowheads="1"/>
                              </wps:cNvSpPr>
                              <wps:spPr bwMode="auto">
                                <a:xfrm>
                                  <a:off x="4356735" y="1245160"/>
                                  <a:ext cx="421005" cy="276275"/>
                                </a:xfrm>
                                <a:prstGeom prst="flowChartProcess">
                                  <a:avLst/>
                                </a:prstGeom>
                                <a:solidFill>
                                  <a:srgbClr val="FFFFFF"/>
                                </a:solidFill>
                                <a:ln w="9525">
                                  <a:solidFill>
                                    <a:srgbClr val="000000"/>
                                  </a:solidFill>
                                  <a:prstDash val="dashDot"/>
                                  <a:miter lim="800000"/>
                                </a:ln>
                                <a:effectLst/>
                              </wps:spPr>
                              <wps:txbx>
                                <w:txbxContent>
                                  <w:p>
                                    <w:pPr>
                                      <w:pStyle w:val="25"/>
                                      <w:adjustRightInd w:val="0"/>
                                      <w:snapToGrid w:val="0"/>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wps:txbx>
                              <wps:bodyPr rot="0" vert="horz" wrap="square" lIns="0" tIns="45720" rIns="0" bIns="45720" anchor="t" anchorCtr="0" upright="1">
                                <a:noAutofit/>
                              </wps:bodyPr>
                            </wps:wsp>
                            <wps:wsp>
                              <wps:cNvPr id="338" name="AutoShape 125"/>
                              <wps:cNvCnPr>
                                <a:cxnSpLocks noChangeShapeType="1"/>
                              </wps:cNvCnPr>
                              <wps:spPr bwMode="auto">
                                <a:xfrm flipV="1">
                                  <a:off x="5393350" y="423083"/>
                                  <a:ext cx="0" cy="241300"/>
                                </a:xfrm>
                                <a:prstGeom prst="straightConnector1">
                                  <a:avLst/>
                                </a:prstGeom>
                                <a:noFill/>
                                <a:ln w="9525">
                                  <a:solidFill>
                                    <a:srgbClr val="000000"/>
                                  </a:solidFill>
                                  <a:prstDash val="dash"/>
                                  <a:round/>
                                  <a:tailEnd type="triangle" w="med" len="med"/>
                                </a:ln>
                                <a:effectLst/>
                              </wps:spPr>
                              <wps:bodyPr/>
                            </wps:wsp>
                            <wps:wsp>
                              <wps:cNvPr id="339" name="AutoShape 126"/>
                              <wps:cNvSpPr>
                                <a:spLocks noChangeArrowheads="1"/>
                              </wps:cNvSpPr>
                              <wps:spPr bwMode="auto">
                                <a:xfrm>
                                  <a:off x="5158105" y="185684"/>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wps:txbx>
                              <wps:bodyPr rot="0" vert="horz" wrap="square" lIns="0" tIns="45720" rIns="0" bIns="45720" anchor="t" anchorCtr="0" upright="1">
                                <a:noAutofit/>
                              </wps:bodyPr>
                            </wps:wsp>
                            <wps:wsp>
                              <wps:cNvPr id="170" name="文本框 170"/>
                              <wps:cNvSpPr txBox="1"/>
                              <wps:spPr>
                                <a:xfrm>
                                  <a:off x="3754755" y="1630680"/>
                                  <a:ext cx="1998345" cy="769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1" name="AutoShape 122"/>
                              <wps:cNvCnPr>
                                <a:cxnSpLocks noChangeShapeType="1"/>
                              </wps:cNvCnPr>
                              <wps:spPr bwMode="auto">
                                <a:xfrm flipH="1">
                                  <a:off x="3981110" y="956123"/>
                                  <a:ext cx="5080" cy="254000"/>
                                </a:xfrm>
                                <a:prstGeom prst="straightConnector1">
                                  <a:avLst/>
                                </a:prstGeom>
                                <a:noFill/>
                                <a:ln w="3175">
                                  <a:solidFill>
                                    <a:srgbClr val="000000"/>
                                  </a:solidFill>
                                  <a:round/>
                                  <a:headEnd type="triangle" w="med" len="med"/>
                                </a:ln>
                                <a:effectLst/>
                              </wps:spPr>
                              <wps:bodyPr/>
                            </wps:wsp>
                            <wps:wsp>
                              <wps:cNvPr id="472" name="文本框 198"/>
                              <wps:cNvSpPr txBox="1">
                                <a:spLocks noChangeArrowheads="1"/>
                              </wps:cNvSpPr>
                              <wps:spPr bwMode="auto">
                                <a:xfrm>
                                  <a:off x="3551555" y="1210123"/>
                                  <a:ext cx="846455" cy="265430"/>
                                </a:xfrm>
                                <a:prstGeom prst="rect">
                                  <a:avLst/>
                                </a:prstGeom>
                                <a:noFill/>
                                <a:ln w="9525">
                                  <a:no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水性油墨</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90.2pt;width:461.7pt;" coordsize="5863590,2415540" editas="canvas" o:gfxdata="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">
                      <o:lock v:ext="edit" aspectratio="f"/>
                      <v:shape id="_x0000_s1026" o:spid="_x0000_s1026" style="position:absolute;left:0;top:0;height:2415540;width:5863590;" fillcolor="#FFFFFF" filled="t" stroked="f" coordsize="21600,21600" o:gfxdata="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">
                        <v:fill on="t" focussize="0,0"/>
                        <v:stroke on="f"/>
                        <v:imagedata o:title=""/>
                        <o:lock v:ext="edit" aspectratio="t"/>
                      </v:shape>
                      <v:shape id="AutoShape 121" o:spid="_x0000_s1026" o:spt="109" type="#_x0000_t109" style="position:absolute;left:0;top:672741;height:322712;width:741680;" fillcolor="#FFFFFF" filled="t" stroked="f" coordsize="21600,21600" o:gfxdata="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YgU9QA&#10;AAAFAQAADwAAAAAAAAABACAAAAAiAAAAZHJzL2Rvd25yZXYueG1sUEsBAhQAFAAAAAgAh07iQH1f&#10;vPQjAgAATgQAAA4AAAAAAAAAAQAgAAAAIwEAAGRycy9lMm9Eb2MueG1sUEsFBgAAAAAGAAYAWQEA&#10;ALgFAAAAAA==&#10;">
                        <v:fill on="t" focussize="0,0"/>
                        <v:stroke on="f"/>
                        <v:imagedata o:title=""/>
                        <o:lock v:ext="edit" aspectratio="f"/>
                        <v:textbox inset="0mm,1.27mm,0mm,1.27mm">
                          <w:txbxContent>
                            <w:p>
                              <w:pPr>
                                <w:jc w:val="center"/>
                                <w:rPr>
                                  <w:rFonts w:ascii="宋体" w:hAnsi="宋体"/>
                                  <w:szCs w:val="21"/>
                                </w:rPr>
                              </w:pPr>
                              <w:r>
                                <w:rPr>
                                  <w:rFonts w:hint="eastAsia" w:ascii="宋体" w:hAnsi="宋体"/>
                                  <w:szCs w:val="21"/>
                                </w:rPr>
                                <w:t>海绵</w:t>
                              </w:r>
                            </w:p>
                          </w:txbxContent>
                        </v:textbox>
                      </v:shape>
                      <v:shape id="AutoShape 122" o:spid="_x0000_s1026" o:spt="32" type="#_x0000_t32" style="position:absolute;left:2103755;top:826179;flip:y;height:635;width:20574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CgcD1wAAAAUBAAAPAAAAAAAAAAEAIAAAACIA&#10;AABkcnMvZG93bnJldi54bWxQSwECFAAUAAAACACHTuJAiF1RSgoCAAAIBAAADgAAAAAAAAABACAA&#10;AAAmAQAAZHJzL2Uyb0RvYy54bWxQSwUGAAAAAAYABgBZAQAAogUAAAAA&#10;">
                        <v:fill on="f" focussize="0,0"/>
                        <v:stroke weight="0.25pt" color="#000000" joinstyle="round" endarrow="block"/>
                        <v:imagedata o:title=""/>
                        <o:lock v:ext="edit" aspectratio="f"/>
                      </v:shape>
                      <v:shape id="AutoShape 124" o:spid="_x0000_s1026" o:spt="109" type="#_x0000_t109" style="position:absolute;left:3059430;top:685446;height:294761;width:492125;" fillcolor="#FFFFFF" filled="t" stroked="t" coordsize="21600,21600" o:gfxdata="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M5vT9YAAAAFAQAADwAAAAAAAAABACAAAAAiAAAA&#10;ZHJzL2Rvd25yZXYueG1sUEsBAhQAFAAAAAgAh07iQBUO8+lCAgAApQQAAA4AAAAAAAAAAQAgAAAA&#10;JQEAAGRycy9lMm9Eb2MueG1sUEsFBgAAAAAGAAYAWQEAANkFAAAAAA==&#10;">
                        <v:fill on="t" focussize="0,0"/>
                        <v:stroke color="#000000" miterlimit="8" joinstyle="miter"/>
                        <v:imagedata o:title=""/>
                        <o:lock v:ext="edit" aspectratio="f"/>
                        <v:textbox>
                          <w:txbxContent>
                            <w:p>
                              <w:r>
                                <w:rPr>
                                  <w:rFonts w:hint="eastAsia"/>
                                </w:rPr>
                                <w:t>仿形</w:t>
                              </w:r>
                            </w:p>
                          </w:txbxContent>
                        </v:textbox>
                      </v:shape>
                      <v:shape id="AutoShape 124" o:spid="_x0000_s1026" o:spt="109" type="#_x0000_t109" style="position:absolute;left:5180965;top:667088;height:295396;width:48260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49hZtcAAAAFAQAADwAAAAAAAAABACAAAAAi&#10;AAAAZHJzL2Rvd25yZXYueG1sUEsBAhQAFAAAAAgAh07iQOwK9SVEAgAAnQQAAA4AAAAAAAAAAQAg&#10;AAAAJgEAAGRycy9lMm9Eb2MueG1sUEsFBgAAAAAGAAYAWQEAANwFAAAAAA==&#10;">
                        <v:fill on="t" focussize="0,0"/>
                        <v:stroke color="#000000" miterlimit="8" joinstyle="miter"/>
                        <v:imagedata o:title=""/>
                        <o:lock v:ext="edit" aspectratio="f"/>
                        <v:textbox inset="0mm,1.27mm,0mm,1.27mm">
                          <w:txbxContent>
                            <w:p>
                              <w:pPr>
                                <w:jc w:val="center"/>
                              </w:pPr>
                              <w:r>
                                <w:rPr>
                                  <w:rFonts w:hint="eastAsia"/>
                                </w:rPr>
                                <w:t>检验</w:t>
                              </w:r>
                            </w:p>
                          </w:txbxContent>
                        </v:textbox>
                      </v:shape>
                      <v:shape id="AutoShape 124" o:spid="_x0000_s1026" o:spt="109" type="#_x0000_t109" style="position:absolute;left:5036820;top:1243205;height:275703;width:76708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j2Fm1wAAAAUBAAAPAAAAAAAAAAEAIAAAACIA&#10;AABkcnMvZG93bnJldi54bWxQSwECFAAUAAAACACHTuJApbDoz0MCAACeBAAADgAAAAAAAAABACAA&#10;AAAmAQAAZHJzL2Uyb0RvYy54bWxQSwUGAAAAAAYABgBZAQAA2wUAAAAA&#10;">
                        <v:fill on="t" focussize="0,0"/>
                        <v:stroke color="#000000" miterlimit="8" joinstyle="miter"/>
                        <v:imagedata o:title=""/>
                        <o:lock v:ext="edit" aspectratio="f"/>
                        <v:textbox inset="0mm,1.27mm,0mm,1.27mm">
                          <w:txbxContent>
                            <w:p>
                              <w:pPr>
                                <w:jc w:val="center"/>
                              </w:pPr>
                              <w:r>
                                <w:rPr>
                                  <w:rFonts w:hint="eastAsia"/>
                                </w:rPr>
                                <w:t>包装出货</w:t>
                              </w:r>
                            </w:p>
                          </w:txbxContent>
                        </v:textbox>
                      </v:shape>
                      <v:shape id="AutoShape 122" o:spid="_x0000_s1026" o:spt="32" type="#_x0000_t32" style="position:absolute;left:4224655;top:817580;height:635;width:236855;" filled="f" stroked="t" coordsize="21600,21600" o:gfxdata="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nmY61QAAAAUBAAAPAAAAAAAAAAEAIAAAACIAAABkcnMvZG93&#10;bnJldi54bWxQSwECFAAUAAAACACHTuJAAJ5jkQMCAAD+AwAADgAAAAAAAAABACAAAAAkAQAAZHJz&#10;L2Uyb0RvYy54bWxQSwUGAAAAAAYABgBZAQAAmQUAAAAA&#10;">
                        <v:fill on="f" focussize="0,0"/>
                        <v:stroke weight="0.25pt" color="#000000" joinstyle="round" endarrow="block"/>
                        <v:imagedata o:title=""/>
                        <o:lock v:ext="edit" aspectratio="f"/>
                      </v:shape>
                      <v:shape id="AutoShape 125" o:spid="_x0000_s1026" o:spt="32" type="#_x0000_t32" style="position:absolute;left:3296285;top:432612;flip:y;height:242670;width:635;"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TRc7LSAAAABQEAAA8AAAAAAAAAAQAg&#10;AAAAIgAAAGRycy9kb3ducmV2LnhtbFBLAQIUABQAAAAIAIdO4kBPSn3CFAIAACAEAAAOAAAAAAAA&#10;AAEAIAAAACEBAABkcnMvZTJvRG9jLnhtbFBLBQYAAAAABgAGAFkBAACnBQAAAAA=&#10;">
                        <v:fill on="f" focussize="0,0"/>
                        <v:stroke color="#000000" joinstyle="round" dashstyle="dash" endarrow="block"/>
                        <v:imagedata o:title=""/>
                        <o:lock v:ext="edit" aspectratio="f"/>
                      </v:shape>
                      <v:shape id="AutoShape 126" o:spid="_x0000_s1026" o:spt="109" type="#_x0000_t109" style="position:absolute;left:3130550;top:163634;height:275703;width:421005;" filled="f" stroked="t" coordsize="21600,21600" o:gfxdata="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z9W1XTAAAABQEAAA8AAAAAAAAAAQAgAAAA&#10;IgAAAGRycy9kb3ducmV2LnhtbFBLAQIUABQAAAAIAIdO4kCSgYuiSQIAAI4EAAAOAAAAAAAAAAEA&#10;IAAAACIBAABkcnMvZTJvRG9jLnhtbFBLBQYAAAAABgAGAFkBAADdBQAAAAA=&#10;">
                        <v:fill on="f"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2" o:spid="_x0000_s1026" o:spt="32" type="#_x0000_t32" style="position:absolute;left:2853690;top:814478;flip:y;height:635;width:20574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CgcD1wAAAAUBAAAPAAAAAAAAAAEAIAAAACIA&#10;AABkcnMvZG93bnJldi54bWxQSwECFAAUAAAACACHTuJAZGwtGQoCAAAIBAAADgAAAAAAAAABACAA&#10;AAAmAQAAZHJzL2Uyb0RvYy54bWxQSwUGAAAAAAYABgBZAQAAogUAAAAA&#10;">
                        <v:fill on="f" focussize="0,0"/>
                        <v:stroke weight="0.25pt" color="#000000" joinstyle="round" endarrow="block"/>
                        <v:imagedata o:title=""/>
                        <o:lock v:ext="edit" aspectratio="f"/>
                      </v:shape>
                      <v:shape id="文本框 13" o:spid="_x0000_s1026" o:spt="202" type="#_x0000_t202" style="position:absolute;left:2309495;top:682326;height:273797;width:544195;"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AXtniNUAgAA&#10;og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裁切</w:t>
                              </w:r>
                            </w:p>
                          </w:txbxContent>
                        </v:textbox>
                      </v:shape>
                      <v:shape id="AutoShape 125" o:spid="_x0000_s1026" o:spt="32" type="#_x0000_t32" style="position:absolute;left:1845310;top:437059;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TRc7LSAAAABQEAAA8AAAAAAAAAAQAgAAAA&#10;IgAAAGRycy9kb3ducmV2LnhtbFBLAQIUABQAAAAIAIdO4kBKv5CgEQIAAB4EAAAOAAAAAAAAAAEA&#10;IAAAACEBAABkcnMvZTJvRG9jLnhtbFBLBQYAAAAABgAGAFkBAACkBQAAAAA=&#10;">
                        <v:fill on="f" focussize="0,0"/>
                        <v:stroke color="#000000" joinstyle="round" dashstyle="dash" endarrow="block"/>
                        <v:imagedata o:title=""/>
                        <o:lock v:ext="edit" aspectratio="f"/>
                      </v:shape>
                      <v:shape id="AutoShape 126" o:spid="_x0000_s1026" o:spt="109" type="#_x0000_t109" style="position:absolute;left:1544954;top:161356;height:261727;width:6877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pvDHnVAAAABQEAAA8AAAAA&#10;AAAAAQAgAAAAIgAAAGRycy9kb3ducmV2LnhtbFBLAQIUABQAAAAIAIdO4kBzJY+KUAIAALgEAAAO&#10;AAAAAAAAAAEAIAAAACQBAABkcnMvZTJvRG9jLnhtbFBLBQYAAAAABgAGAFkBAADmBQAAAAA=&#10;">
                        <v:fill on="t" focussize="0,0"/>
                        <v:stroke color="#000000" miterlimit="8" joinstyle="miter" dashstyle="dashDot"/>
                        <v:imagedata o:title=""/>
                        <o:lock v:ext="edit" aspectratio="f"/>
                        <v:textbox inset="0mm,1.27mm,0mm,1.27mm">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v:textbox>
                      </v:shape>
                      <v:shape id="AutoShape 126" o:spid="_x0000_s1026" o:spt="109" type="#_x0000_t109" style="position:absolute;left:3668395;top:185684;height:266809;width:73215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m8MedUAAAAFAQAADwAAAAAA&#10;AAABACAAAAAiAAAAZHJzL2Rvd25yZXYueG1sUEsBAhQAFAAAAAgAh07iQPEH4ktPAgAAuAQAAA4A&#10;AAAAAAAAAQAgAAAAJAEAAGRycy9lMm9Eb2MueG1sUEsFBgAAAAAGAAYAWQEAAOUFAAAAAA==&#10;">
                        <v:fill on="t" focussize="0,0"/>
                        <v:stroke color="#000000" miterlimit="8" joinstyle="miter" dashstyle="dashDot"/>
                        <v:imagedata o:title=""/>
                        <o:lock v:ext="edit" aspectratio="f"/>
                        <v:textbox inset="0mm,1.27mm,0mm,1.27mm">
                          <w:txbxContent>
                            <w:p>
                              <w:pPr>
                                <w:jc w:val="center"/>
                              </w:pPr>
                              <w:r>
                                <w:t>N</w:t>
                              </w:r>
                              <w:r>
                                <w:rPr>
                                  <w:rFonts w:hint="eastAsia"/>
                                </w:rPr>
                                <w:t>、</w:t>
                              </w:r>
                              <w:r>
                                <w:t>G</w:t>
                              </w:r>
                              <w:r>
                                <w:rPr>
                                  <w:vertAlign w:val="subscript"/>
                                </w:rPr>
                                <w:t>1</w:t>
                              </w:r>
                              <w:r>
                                <w:rPr>
                                  <w:rFonts w:hint="eastAsia"/>
                                </w:rPr>
                                <w:t>、</w:t>
                              </w:r>
                              <w:r>
                                <w:t>S</w:t>
                              </w:r>
                              <w:r>
                                <w:rPr>
                                  <w:vertAlign w:val="subscript"/>
                                </w:rPr>
                                <w:t>2</w:t>
                              </w:r>
                            </w:p>
                          </w:txbxContent>
                        </v:textbox>
                      </v:shape>
                      <v:shape id="AutoShape 125" o:spid="_x0000_s1026" o:spt="32" type="#_x0000_t32" style="position:absolute;left:3991610;top:433883;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TRc7LSAAAABQEAAA8AAAAAAAAAAQAgAAAA&#10;IgAAAGRycy9kb3ducmV2LnhtbFBLAQIUABQAAAAIAIdO4kBrqOr8EQIAAB4EAAAOAAAAAAAAAAEA&#10;IAAAACEBAABkcnMvZTJvRG9jLnhtbFBLBQYAAAAABgAGAFkBAACkBQAAAAA=&#10;">
                        <v:fill on="f" focussize="0,0"/>
                        <v:stroke color="#000000" joinstyle="round" dashstyle="dash" endarrow="block"/>
                        <v:imagedata o:title=""/>
                        <o:lock v:ext="edit" aspectratio="f"/>
                      </v:shape>
                      <v:shape id="AutoShape 122" o:spid="_x0000_s1026" o:spt="32" type="#_x0000_t32" style="position:absolute;left:3551555;top:817580;flip:y;height:0;width:20320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&#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CgcD1wAAAAUBAAAPAAAAAAAAAAEAIAAAACIAAABk&#10;cnMvZG93bnJldi54bWxQSwECFAAUAAAACACHTuJAydheZQcCAAAGBAAADgAAAAAAAAABACAAAAAm&#10;AQAAZHJzL2Uyb0RvYy54bWxQSwUGAAAAAAYABgBZAQAAnwUAAAAA&#10;">
                        <v:fill on="f" focussize="0,0"/>
                        <v:stroke weight="0.25pt" color="#000000" joinstyle="round" endarrow="block"/>
                        <v:imagedata o:title=""/>
                        <o:lock v:ext="edit" aspectratio="f"/>
                      </v:shape>
                      <v:shape id="AutoShape 122" o:spid="_x0000_s1026" o:spt="32" type="#_x0000_t32" style="position:absolute;left:1831975;top:989101;flip:x;height:254104;width:5080;" filled="f" stroked="t" coordsize="21600,21600" o:gfxdata="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MJxp2QAAAAUBAAAPAAAAAAAAAAEAIAAA&#10;ACIAAABkcnMvZG93bnJldi54bWxQSwECFAAUAAAACACHTuJAm6cS+QsCAAAJBAAADgAAAAAAAAAB&#10;ACAAAAAoAQAAZHJzL2Uyb0RvYy54bWxQSwUGAAAAAAYABgBZAQAApQUAAAAA&#10;">
                        <v:fill on="f" focussize="0,0"/>
                        <v:stroke weight="0.25pt" color="#000000" joinstyle="round" startarrow="block"/>
                        <v:imagedata o:title=""/>
                        <o:lock v:ext="edit" aspectratio="f"/>
                      </v:shape>
                      <v:shape id="AutoShape 122" o:spid="_x0000_s1026" o:spt="32" type="#_x0000_t32" style="position:absolute;left:532130;top:817580;flip:y;height:0;width:20320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CgcD1wAAAAUBAAAPAAAAAAAAAAEAIAAAACIAAABk&#10;cnMvZG93bnJldi54bWxQSwECFAAUAAAACACHTuJAOMzNXAcCAAAFBAAADgAAAAAAAAABACAAAAAm&#10;AQAAZHJzL2Uyb0RvYy54bWxQSwUGAAAAAAYABgBZAQAAnwUAAAAA&#10;">
                        <v:fill on="f" focussize="0,0"/>
                        <v:stroke weight="0.25pt" color="#000000" joinstyle="round" endarrow="block"/>
                        <v:imagedata o:title=""/>
                        <o:lock v:ext="edit" aspectratio="f"/>
                      </v:shape>
                      <v:shape id="AutoShape 122" o:spid="_x0000_s1026" o:spt="32" type="#_x0000_t32" style="position:absolute;left:1341755;top:827109;flip:y;height:0;width:20320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KBwPXAAAABQEAAA8AAAAAAAAAAQAgAAAAIgAA&#10;AGRycy9kb3ducmV2LnhtbFBLAQIUABQAAAAIAIdO4kCSmtnzCQIAAAYEAAAOAAAAAAAAAAEAIAAA&#10;ACYBAABkcnMvZTJvRG9jLnhtbFBLBQYAAAAABgAGAFkBAAChBQAAAAA=&#10;">
                        <v:fill on="f" focussize="0,0"/>
                        <v:stroke weight="0.25pt" color="#000000" joinstyle="round" endarrow="block"/>
                        <v:imagedata o:title=""/>
                        <o:lock v:ext="edit" aspectratio="f"/>
                      </v:shape>
                      <v:shape id="文本框 196" o:spid="_x0000_s1026" o:spt="202" type="#_x0000_t202" style="position:absolute;left:789305;top:675282;height:304925;width:533400;"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MhxMiJUAgAA&#10;og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平切</w:t>
                              </w:r>
                            </w:p>
                          </w:txbxContent>
                        </v:textbox>
                      </v:shape>
                      <v:shape id="文本框 197" o:spid="_x0000_s1026" o:spt="202" type="#_x0000_t202" style="position:absolute;left:1555115;top:684811;height:304925;width:533400;"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HT9285UAgAA&#10;ow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贴合</w:t>
                              </w:r>
                            </w:p>
                          </w:txbxContent>
                        </v:textbox>
                      </v:shape>
                      <v:shape id="文本框 198" o:spid="_x0000_s1026" o:spt="202" type="#_x0000_t202" style="position:absolute;left:1108710;top:1243205;height:623695;width:1629410;" filled="f" stroked="f" coordsize="21600,21600" o:gfxdata="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0W46M1AAAAAUBAAAPAAAAAAAAAAEAIAAAACIAAABkcnMvZG93&#10;bnJldi54bWxQSwECFAAUAAAACACHTuJAIbWRez0CAABTBAAADgAAAAAAAAABACAAAAAjAQAAZHJz&#10;L2Uyb0RvYy54bWxQSwUGAAAAAAYABgBZAQAA0gUAAAAA&#10;">
                        <v:fill on="f" focussize="0,0"/>
                        <v:stroke on="f" miterlimit="8" joinstyle="miter"/>
                        <v:imagedata o:title=""/>
                        <o:lock v:ext="edit" aspectratio="f"/>
                        <v:textbox>
                          <w:txbxContent>
                            <w:p>
                              <w:pPr>
                                <w:jc w:val="center"/>
                              </w:pPr>
                              <w:r>
                                <w:rPr>
                                  <w:rFonts w:hint="eastAsia"/>
                                </w:rPr>
                                <w:t>尼龙布料、</w:t>
                              </w:r>
                              <w:r>
                                <w:t>胶水</w:t>
                              </w:r>
                              <w:r>
                                <w:rPr>
                                  <w:rFonts w:hint="eastAsia"/>
                                </w:rPr>
                                <w:t>/塑料托盘、</w:t>
                              </w:r>
                              <w:r>
                                <w:t>胶水</w:t>
                              </w:r>
                              <w:r>
                                <w:rPr>
                                  <w:rFonts w:hint="eastAsia"/>
                                </w:rPr>
                                <w:t>/EVA</w:t>
                              </w:r>
                              <w:r>
                                <w:t>+</w:t>
                              </w:r>
                              <w:r>
                                <w:rPr>
                                  <w:rFonts w:hint="eastAsia"/>
                                </w:rPr>
                                <w:t>不干胶+尼龙</w:t>
                              </w:r>
                              <w:r>
                                <w:t>布料</w:t>
                              </w:r>
                              <w:r>
                                <w:rPr>
                                  <w:rFonts w:hint="eastAsia"/>
                                </w:rPr>
                                <w:t>、</w:t>
                              </w:r>
                              <w:r>
                                <w:t>胶水、热熔胶</w:t>
                              </w:r>
                            </w:p>
                          </w:txbxContent>
                        </v:textbox>
                      </v:shape>
                      <v:shape id="AutoShape 126" o:spid="_x0000_s1026" o:spt="109" type="#_x0000_t109" style="position:absolute;left:827405;top:160721;height:266809;width:419100;"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vDHnVAAAABQEAAA8AAAAAAAAAAQAg&#10;AAAAIgAAAGRycy9kb3ducmV2LnhtbFBLAQIUABQAAAAIAIdO4kAe/rU1SgIAALcEAAAOAAAAAAAA&#10;AAEAIAAAACQBAABkcnMvZTJvRG9jLnhtbFBLBQYAAAAABgAGAFkBAADgBQAAAAA=&#10;">
                        <v:fill on="t"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6" o:spid="_x0000_s1026" o:spt="109" type="#_x0000_t109" style="position:absolute;left:2418080;top:170250;height:266809;width:419100;"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qbwx51QAAAAUBAAAPAAAAAAAA&#10;AAEAIAAAACIAAABkcnMvZG93bnJldi54bWxQSwECFAAUAAAACACHTuJAijx36k4CAAC4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5" o:spid="_x0000_s1026" o:spt="32" type="#_x0000_t32" style="position:absolute;left:1017905;top:437059;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TRc7LSAAAABQEAAA8AAAAAAAAAAQAgAAAA&#10;IgAAAGRycy9kb3ducmV2LnhtbFBLAQIUABQAAAAIAIdO4kB5CF8+EQIAAB4EAAAOAAAAAAAAAAEA&#10;IAAAACEBAABkcnMvZTJvRG9jLnhtbFBLBQYAAAAABgAGAFkBAACkBQAAAAA=&#10;">
                        <v:fill on="f" focussize="0,0"/>
                        <v:stroke color="#000000" joinstyle="round" dashstyle="dash" endarrow="block"/>
                        <v:imagedata o:title=""/>
                        <o:lock v:ext="edit" aspectratio="f"/>
                      </v:shape>
                      <v:shape id="AutoShape 125" o:spid="_x0000_s1026" o:spt="32" type="#_x0000_t32" style="position:absolute;left:2646680;top:456117;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NFzstIAAAAFAQAADwAAAAAAAAABACAA&#10;AAAiAAAAZHJzL2Rvd25yZXYueG1sUEsBAhQAFAAAAAgAh07iQPrt3GwTAgAAHgQAAA4AAAAAAAAA&#10;AQAgAAAAIQEAAGRycy9lMm9Eb2MueG1sUEsFBgAAAAAGAAYAWQEAAKYFAAAAAA==&#10;">
                        <v:fill on="f" focussize="0,0"/>
                        <v:stroke color="#000000" joinstyle="round" dashstyle="dash" endarrow="block"/>
                        <v:imagedata o:title=""/>
                        <o:lock v:ext="edit" aspectratio="f"/>
                      </v:shape>
                      <v:shape id="AutoShape 124" o:spid="_x0000_s1026" o:spt="109" type="#_x0000_t109" style="position:absolute;left:4461510;top:670784;height:295275;width:48260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49hZtcAAAAFAQAADwAAAAAAAAABACAAAAAiAAAA&#10;ZHJzL2Rvd25yZXYueG1sUEsBAhQAFAAAAAgAh07iQO7n4zdBAgAAnQQAAA4AAAAAAAAAAQAgAAAA&#10;JgEAAGRycy9lMm9Eb2MueG1sUEsFBgAAAAAGAAYAWQEAANkFA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烘干</w:t>
                              </w:r>
                            </w:p>
                          </w:txbxContent>
                        </v:textbox>
                      </v:shape>
                      <v:shape id="AutoShape 124" o:spid="_x0000_s1026" o:spt="109" type="#_x0000_t109" style="position:absolute;left:3754755;top:672741;height:295275;width:48260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ePYWbXAAAABQEAAA8AAAAAAAAAAQAgAAAAIgAA&#10;AGRycy9kb3ducmV2LnhtbFBLAQIUABQAAAAIAIdO4kD8L5WYQgIAAJ0EAAAOAAAAAAAAAAEAIAAA&#10;ACYBAABkcnMvZTJvRG9jLnhtbFBLBQYAAAAABgAGAFkBAADaBQ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印刷</w:t>
                              </w:r>
                            </w:p>
                          </w:txbxContent>
                        </v:textbox>
                      </v:shape>
                      <v:shape id="AutoShape 122" o:spid="_x0000_s1026" o:spt="32" type="#_x0000_t32" style="position:absolute;left:4944110;top:818215;height:635;width:236855;" filled="f" stroked="t" coordsize="21600,21600" o:gfxdata="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p5mOtUAAAAFAQAADwAAAAAAAAABACAAAAAiAAAAZHJz&#10;L2Rvd25yZXYueG1sUEsBAhQAFAAAAAgAh07iQPhiXAkHAgAA/gMAAA4AAAAAAAAAAQAgAAAAJAEA&#10;AGRycy9lMm9Eb2MueG1sUEsFBgAAAAAGAAYAWQEAAJ0FAAAAAA==&#10;">
                        <v:fill on="f" focussize="0,0"/>
                        <v:stroke weight="0.25pt" color="#000000" joinstyle="round" endarrow="block"/>
                        <v:imagedata o:title=""/>
                        <o:lock v:ext="edit" aspectratio="f"/>
                      </v:shape>
                      <v:shape id="_x0000_s1026" o:spid="_x0000_s1026" o:spt="32" type="#_x0000_t32" style="position:absolute;left:5420360;top:962484;flip:x;height:280721;width:1905;" filled="f" stroked="t" coordsize="21600,21600" o:gfxdata="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WQ2n1gAAAAUBAAAPAAAAAAAAAAEAIAAAACIAAABkcnMvZG93bnJl&#10;di54bWxQSwECFAAUAAAACACHTuJA+0sbpzgCAABABAAADgAAAAAAAAABACAAAAAlAQAAZHJzL2Uy&#10;b0RvYy54bWxQSwUGAAAAAAYABgBZAQAAzwUAAAAA&#10;">
                        <v:fill on="f" focussize="0,0"/>
                        <v:stroke weight="0.5pt" color="#000000 [3213]" miterlimit="8" joinstyle="miter" endarrow="block"/>
                        <v:imagedata o:title=""/>
                        <o:lock v:ext="edit" aspectratio="f"/>
                      </v:shape>
                      <v:shape id="AutoShape 125" o:spid="_x0000_s1026" o:spt="32" type="#_x0000_t32" style="position:absolute;left:4697390;top:431441;flip:y;height:241300;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0XOy0gAAAAUBAAAPAAAAAAAAAAEAIAAA&#10;ACIAAABkcnMvZG93bnJldi54bWxQSwECFAAUAAAACACHTuJAjib+2xICAAAe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4523105;top:185684;height:236316;width:4210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qbwx51QAAAAUBAAAPAAAAAAAA&#10;AAEAIAAAACIAAABkcnMvZG93bnJldi54bWxQSwECFAAUAAAACACHTuJAzCA0UU4CAAC4BAAADgAA&#10;AAAAAAABACAAAAAkAQAAZHJzL2Uyb0RvYy54bWxQSwUGAAAAAAYABgBZAQAA5A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G</w:t>
                              </w:r>
                              <w:r>
                                <w:rPr>
                                  <w:rFonts w:ascii="Times New Roman" w:hAnsi="Times New Roman"/>
                                  <w:kern w:val="2"/>
                                  <w:sz w:val="21"/>
                                  <w:szCs w:val="21"/>
                                  <w:vertAlign w:val="subscript"/>
                                </w:rPr>
                                <w:t>1</w:t>
                              </w:r>
                            </w:p>
                          </w:txbxContent>
                        </v:textbox>
                      </v:shape>
                      <v:shape id="_x0000_s1026" o:spid="_x0000_s1026" o:spt="32" type="#_x0000_t32" style="position:absolute;left:4777740;top:1371600;flip:x;height:0;width:259080;" filled="f" stroked="t" coordsize="21600,21600" o:gfxdata="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komLbXAAAABQEA&#10;AA8AAAAAAAAAAQAgAAAAIgAAAGRycy9kb3ducmV2LnhtbFBLAQIUABQAAAAIAIdO4kCiC+S8GwIA&#10;APkDAAAOAAAAAAAAAAEAIAAAACYBAABkcnMvZTJvRG9jLnhtbFBLBQYAAAAABgAGAFkBAACzBQAA&#10;AAA=&#10;">
                        <v:fill on="f" focussize="0,0"/>
                        <v:stroke weight="0.5pt" color="#000000 [3213]" miterlimit="8" joinstyle="miter" dashstyle="dash" endarrow="block"/>
                        <v:imagedata o:title=""/>
                        <o:lock v:ext="edit" aspectratio="f"/>
                      </v:shape>
                      <v:shape id="AutoShape 126" o:spid="_x0000_s1026" o:spt="109" type="#_x0000_t109" style="position:absolute;left:4356735;top:1245160;height:276275;width:4210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pvDHnVAAAABQEAAA8AAAAA&#10;AAAAAQAgAAAAIgAAAGRycy9kb3ducmV2LnhtbFBLAQIUABQAAAAIAIdO4kADztwdUAIAALk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adjustRightInd w:val="0"/>
                                <w:snapToGrid w:val="0"/>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v:textbox>
                      </v:shape>
                      <v:shape id="AutoShape 125" o:spid="_x0000_s1026" o:spt="32" type="#_x0000_t32" style="position:absolute;left:5393350;top:423083;flip:y;height:241300;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0XOy0gAAAAUBAAAPAAAAAAAAAAEAIAAA&#10;ACIAAABkcnMvZG93bnJldi54bWxQSwECFAAUAAAACACHTuJAAbQArhICAAAe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5158105;top:185684;height:236316;width:4210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pvDHnVAAAABQEAAA8AAAAA&#10;AAAAAQAgAAAAIgAAAGRycy9kb3ducmV2LnhtbFBLAQIUABQAAAAIAIdO4kAuSao1UAIAALg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v:textbox>
                      </v:shape>
                      <v:shape id="_x0000_s1026" o:spid="_x0000_s1026" o:spt="202" type="#_x0000_t202" style="position:absolute;left:3754755;top:1630680;height:769620;width:1998345;" fillcolor="#FFFFFF [3201]" filled="t" stroked="t" coordsize="21600,21600" o:gfxdata="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sPNvW1AAAAAUBAAAPAAAAAAAAAAEAIAAAACIAAABkcnMvZG93bnJldi54bWxQ&#10;SwECFAAUAAAACACHTuJAl/jfPm0CAADVBAAADgAAAAAAAAABACAAAAAjAQAAZHJzL2Uyb0RvYy54&#10;bWxQSwUGAAAAAAYABgBZAQAAAgYAAAAA&#10;">
                        <v:fill on="t" focussize="0,0"/>
                        <v:stroke weight="0.5pt" color="#000000 [3204]" joinstyle="round"/>
                        <v:imagedata o:title=""/>
                        <o:lock v:ext="edit" aspectratio="f"/>
                        <v:textbo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v:textbox>
                      </v:shape>
                      <v:shape id="AutoShape 122" o:spid="_x0000_s1026" o:spt="32" type="#_x0000_t32" style="position:absolute;left:3981110;top:956123;flip:x;height:254000;width:5080;" filled="f" stroked="t" coordsize="21600,21600" o:gfxdata="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MJxp2QAAAAUBAAAPAAAAAAAAAAEA&#10;IAAAACIAAABkcnMvZG93bnJldi54bWxQSwECFAAUAAAACACHTuJAFEkiyQ4CAAAJBAAADgAAAAAA&#10;AAABACAAAAAoAQAAZHJzL2Uyb0RvYy54bWxQSwUGAAAAAAYABgBZAQAAqAUAAAAA&#10;">
                        <v:fill on="f" focussize="0,0"/>
                        <v:stroke weight="0.25pt" color="#000000" joinstyle="round" startarrow="block"/>
                        <v:imagedata o:title=""/>
                        <o:lock v:ext="edit" aspectratio="f"/>
                      </v:shape>
                      <v:shape id="文本框 198" o:spid="_x0000_s1026" o:spt="202" type="#_x0000_t202" style="position:absolute;left:3551555;top:1210123;height:265430;width:846455;" filled="f" stroked="f" coordsize="21600,21600" o:gfxdata="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W46M1AAAAAUBAAAPAAAAAAAAAAEAIAAAACIAAABkcnMv&#10;ZG93bnJldi54bWxQSwECFAAUAAAACACHTuJAvO//iUACAABSBAAADgAAAAAAAAABACAAAAAjAQAA&#10;ZHJzL2Uyb0RvYy54bWxQSwUGAAAAAAYABgBZAQAA1QUAAAAA&#10;">
                        <v:fill on="f" focussize="0,0"/>
                        <v:stroke on="f"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水性油墨</w:t>
                              </w:r>
                            </w:p>
                          </w:txbxContent>
                        </v:textbox>
                      </v:shape>
                      <w10:wrap type="none"/>
                      <w10:anchorlock/>
                    </v:group>
                  </w:pict>
                </mc:Fallback>
              </mc:AlternateContent>
            </w:r>
          </w:p>
          <w:p>
            <w:pPr>
              <w:pStyle w:val="43"/>
              <w:rPr>
                <w:rFonts w:ascii="Times New Roman" w:hAnsi="Times New Roman"/>
                <w:b/>
                <w:color w:val="auto"/>
              </w:rPr>
            </w:pPr>
            <w:r>
              <w:rPr>
                <w:rFonts w:ascii="Times New Roman" w:hAnsi="Times New Roman"/>
                <w:b/>
                <w:color w:val="auto"/>
                <w:sz w:val="21"/>
                <w:szCs w:val="21"/>
              </w:rPr>
              <w:t xml:space="preserve">图2 </w:t>
            </w:r>
            <w:r>
              <w:rPr>
                <w:rFonts w:hint="eastAsia" w:ascii="Times New Roman" w:hAnsi="Times New Roman"/>
                <w:b/>
                <w:color w:val="auto"/>
                <w:sz w:val="21"/>
                <w:szCs w:val="21"/>
              </w:rPr>
              <w:t>汽车</w:t>
            </w:r>
            <w:r>
              <w:rPr>
                <w:rFonts w:ascii="Times New Roman" w:hAnsi="Times New Roman"/>
                <w:b/>
                <w:color w:val="auto"/>
                <w:sz w:val="21"/>
                <w:szCs w:val="21"/>
              </w:rPr>
              <w:t>抛光用海绵产品工艺流程及产污环节分析示意图</w:t>
            </w:r>
          </w:p>
          <w:p>
            <w:pPr>
              <w:adjustRightInd w:val="0"/>
              <w:snapToGrid w:val="0"/>
              <w:spacing w:line="360" w:lineRule="auto"/>
              <w:ind w:firstLine="420" w:firstLineChars="200"/>
              <w:rPr>
                <w:szCs w:val="21"/>
              </w:rPr>
            </w:pPr>
            <w:r>
              <w:rPr>
                <w:szCs w:val="21"/>
              </w:rPr>
              <w:t>工艺流程说明：</w:t>
            </w:r>
          </w:p>
          <w:p>
            <w:pPr>
              <w:spacing w:line="360" w:lineRule="auto"/>
              <w:ind w:firstLine="420" w:firstLineChars="200"/>
              <w:jc w:val="left"/>
              <w:rPr>
                <w:bCs/>
                <w:szCs w:val="21"/>
              </w:rPr>
            </w:pPr>
            <w:r>
              <w:rPr>
                <w:rFonts w:hint="eastAsia"/>
                <w:bCs/>
                <w:szCs w:val="21"/>
              </w:rPr>
              <w:t>平切：将外购的海绵按客户需求经平式平切机</w:t>
            </w:r>
            <w:r>
              <w:rPr>
                <w:bCs/>
                <w:szCs w:val="21"/>
              </w:rPr>
              <w:t>或立式平切机</w:t>
            </w:r>
            <w:r>
              <w:rPr>
                <w:rFonts w:hint="eastAsia"/>
                <w:bCs/>
                <w:szCs w:val="21"/>
              </w:rPr>
              <w:t>切割成一定厚度，此过程会产生一定的噪声和海绵边角料。</w:t>
            </w:r>
          </w:p>
          <w:p>
            <w:pPr>
              <w:spacing w:line="360" w:lineRule="auto"/>
              <w:ind w:firstLine="420" w:firstLineChars="200"/>
              <w:jc w:val="left"/>
              <w:rPr>
                <w:bCs/>
                <w:szCs w:val="21"/>
              </w:rPr>
            </w:pPr>
            <w:r>
              <w:rPr>
                <w:rFonts w:hint="eastAsia"/>
                <w:bCs/>
                <w:szCs w:val="21"/>
              </w:rPr>
              <w:t>贴合：根据</w:t>
            </w:r>
            <w:r>
              <w:rPr>
                <w:bCs/>
                <w:szCs w:val="21"/>
              </w:rPr>
              <w:t>客户需求</w:t>
            </w:r>
            <w:r>
              <w:rPr>
                <w:rFonts w:hint="eastAsia"/>
                <w:bCs/>
                <w:szCs w:val="21"/>
              </w:rPr>
              <w:t>选择</w:t>
            </w:r>
            <w:r>
              <w:rPr>
                <w:bCs/>
                <w:szCs w:val="21"/>
              </w:rPr>
              <w:t>贴合材料</w:t>
            </w:r>
            <w:r>
              <w:rPr>
                <w:rFonts w:hint="eastAsia"/>
                <w:bCs/>
                <w:szCs w:val="21"/>
              </w:rPr>
              <w:t>进行</w:t>
            </w:r>
            <w:r>
              <w:rPr>
                <w:bCs/>
                <w:szCs w:val="21"/>
              </w:rPr>
              <w:t>贴合，共有三种贴合材料</w:t>
            </w:r>
            <w:r>
              <w:rPr>
                <w:rFonts w:hint="eastAsia"/>
                <w:bCs/>
                <w:szCs w:val="21"/>
              </w:rPr>
              <w:t>。第一种是</w:t>
            </w:r>
            <w:r>
              <w:rPr>
                <w:bCs/>
                <w:szCs w:val="21"/>
              </w:rPr>
              <w:t>采用独立贴合机将</w:t>
            </w:r>
            <w:r>
              <w:rPr>
                <w:rFonts w:hint="eastAsia"/>
                <w:bCs/>
                <w:szCs w:val="21"/>
              </w:rPr>
              <w:t>外购</w:t>
            </w:r>
            <w:r>
              <w:rPr>
                <w:bCs/>
                <w:szCs w:val="21"/>
              </w:rPr>
              <w:t>的尼龙布料</w:t>
            </w:r>
            <w:r>
              <w:rPr>
                <w:rFonts w:hint="eastAsia"/>
                <w:bCs/>
                <w:szCs w:val="21"/>
              </w:rPr>
              <w:t>将外直接贴合在海绵上，此过程</w:t>
            </w:r>
            <w:r>
              <w:rPr>
                <w:bCs/>
                <w:szCs w:val="21"/>
              </w:rPr>
              <w:t>采用水性胶水</w:t>
            </w:r>
            <w:r>
              <w:rPr>
                <w:rFonts w:hint="eastAsia"/>
                <w:bCs/>
                <w:szCs w:val="21"/>
              </w:rPr>
              <w:t>作为</w:t>
            </w:r>
            <w:r>
              <w:rPr>
                <w:bCs/>
                <w:szCs w:val="21"/>
              </w:rPr>
              <w:t>粘合剂</w:t>
            </w:r>
            <w:r>
              <w:rPr>
                <w:rFonts w:hint="eastAsia"/>
                <w:bCs/>
                <w:szCs w:val="21"/>
              </w:rPr>
              <w:t>；</w:t>
            </w:r>
            <w:r>
              <w:rPr>
                <w:bCs/>
                <w:szCs w:val="21"/>
              </w:rPr>
              <w:t>第二种是</w:t>
            </w:r>
            <w:r>
              <w:rPr>
                <w:rFonts w:hint="eastAsia"/>
                <w:bCs/>
                <w:szCs w:val="21"/>
              </w:rPr>
              <w:t>采用上胶贴合机</w:t>
            </w:r>
            <w:r>
              <w:rPr>
                <w:bCs/>
                <w:szCs w:val="21"/>
              </w:rPr>
              <w:t>将</w:t>
            </w:r>
            <w:r>
              <w:rPr>
                <w:rFonts w:hint="eastAsia"/>
                <w:bCs/>
                <w:szCs w:val="21"/>
              </w:rPr>
              <w:t>外购</w:t>
            </w:r>
            <w:r>
              <w:rPr>
                <w:bCs/>
                <w:szCs w:val="21"/>
              </w:rPr>
              <w:t>的塑料托盘直接贴合在海绵上</w:t>
            </w:r>
            <w:r>
              <w:rPr>
                <w:rFonts w:hint="eastAsia"/>
                <w:bCs/>
                <w:szCs w:val="21"/>
              </w:rPr>
              <w:t>，此过程</w:t>
            </w:r>
            <w:r>
              <w:rPr>
                <w:bCs/>
                <w:szCs w:val="21"/>
              </w:rPr>
              <w:t>采用水性胶水</w:t>
            </w:r>
            <w:r>
              <w:rPr>
                <w:rFonts w:hint="eastAsia"/>
                <w:bCs/>
                <w:szCs w:val="21"/>
              </w:rPr>
              <w:t>作为</w:t>
            </w:r>
            <w:r>
              <w:rPr>
                <w:bCs/>
                <w:szCs w:val="21"/>
              </w:rPr>
              <w:t>粘合剂；第三种是先</w:t>
            </w:r>
            <w:r>
              <w:rPr>
                <w:rFonts w:hint="eastAsia"/>
                <w:bCs/>
                <w:szCs w:val="21"/>
              </w:rPr>
              <w:t>采用</w:t>
            </w:r>
            <w:r>
              <w:rPr>
                <w:bCs/>
                <w:szCs w:val="21"/>
              </w:rPr>
              <w:t>覆膜贴合机将外购的</w:t>
            </w:r>
            <w:r>
              <w:rPr>
                <w:rFonts w:hint="eastAsia"/>
                <w:bCs/>
                <w:szCs w:val="21"/>
              </w:rPr>
              <w:t>EVA与</w:t>
            </w:r>
            <w:r>
              <w:rPr>
                <w:bCs/>
                <w:szCs w:val="21"/>
              </w:rPr>
              <w:t>尼龙布料贴合在一起，</w:t>
            </w:r>
            <w:r>
              <w:rPr>
                <w:rFonts w:hint="eastAsia"/>
                <w:bCs/>
                <w:szCs w:val="21"/>
              </w:rPr>
              <w:t>此过程</w:t>
            </w:r>
            <w:r>
              <w:rPr>
                <w:bCs/>
                <w:szCs w:val="21"/>
              </w:rPr>
              <w:t>采用</w:t>
            </w:r>
            <w:r>
              <w:rPr>
                <w:rFonts w:hint="eastAsia"/>
                <w:bCs/>
                <w:szCs w:val="21"/>
              </w:rPr>
              <w:t>热熔胶作为</w:t>
            </w:r>
            <w:r>
              <w:rPr>
                <w:bCs/>
                <w:szCs w:val="21"/>
              </w:rPr>
              <w:t>粘合剂</w:t>
            </w:r>
            <w:r>
              <w:rPr>
                <w:rFonts w:hint="eastAsia"/>
                <w:bCs/>
                <w:szCs w:val="21"/>
              </w:rPr>
              <w:t>，</w:t>
            </w:r>
            <w:r>
              <w:rPr>
                <w:bCs/>
                <w:szCs w:val="21"/>
              </w:rPr>
              <w:t>然后</w:t>
            </w:r>
            <w:r>
              <w:rPr>
                <w:rFonts w:hint="eastAsia"/>
                <w:bCs/>
                <w:szCs w:val="21"/>
              </w:rPr>
              <w:t>采用</w:t>
            </w:r>
            <w:r>
              <w:rPr>
                <w:bCs/>
                <w:szCs w:val="21"/>
              </w:rPr>
              <w:t>联合贴合机</w:t>
            </w:r>
            <w:r>
              <w:rPr>
                <w:rFonts w:hint="eastAsia"/>
                <w:bCs/>
                <w:szCs w:val="21"/>
              </w:rPr>
              <w:t>将</w:t>
            </w:r>
            <w:r>
              <w:rPr>
                <w:bCs/>
                <w:szCs w:val="21"/>
              </w:rPr>
              <w:t>贴合好的</w:t>
            </w:r>
            <w:r>
              <w:rPr>
                <w:rFonts w:hint="eastAsia"/>
                <w:bCs/>
                <w:szCs w:val="21"/>
              </w:rPr>
              <w:t>EVA和</w:t>
            </w:r>
            <w:r>
              <w:rPr>
                <w:bCs/>
                <w:szCs w:val="21"/>
              </w:rPr>
              <w:t>尼龙布料贴合在</w:t>
            </w:r>
            <w:r>
              <w:rPr>
                <w:rFonts w:hint="eastAsia"/>
                <w:bCs/>
                <w:szCs w:val="21"/>
              </w:rPr>
              <w:t>海绵</w:t>
            </w:r>
            <w:r>
              <w:rPr>
                <w:bCs/>
                <w:szCs w:val="21"/>
              </w:rPr>
              <w:t>上，</w:t>
            </w:r>
            <w:r>
              <w:rPr>
                <w:rFonts w:hint="eastAsia"/>
                <w:bCs/>
                <w:szCs w:val="21"/>
              </w:rPr>
              <w:t>此过程</w:t>
            </w:r>
            <w:r>
              <w:rPr>
                <w:bCs/>
                <w:szCs w:val="21"/>
              </w:rPr>
              <w:t>采用水性胶水</w:t>
            </w:r>
            <w:r>
              <w:rPr>
                <w:rFonts w:hint="eastAsia"/>
                <w:bCs/>
                <w:szCs w:val="21"/>
              </w:rPr>
              <w:t>作为</w:t>
            </w:r>
            <w:r>
              <w:rPr>
                <w:bCs/>
                <w:szCs w:val="21"/>
              </w:rPr>
              <w:t>粘合剂</w:t>
            </w:r>
            <w:r>
              <w:rPr>
                <w:rFonts w:hint="eastAsia"/>
                <w:bCs/>
                <w:szCs w:val="21"/>
              </w:rPr>
              <w:t>，</w:t>
            </w:r>
            <w:r>
              <w:rPr>
                <w:bCs/>
                <w:szCs w:val="21"/>
              </w:rPr>
              <w:t>最后采用气压覆膜机贴合一层不干胶</w:t>
            </w:r>
            <w:r>
              <w:rPr>
                <w:rFonts w:hint="eastAsia"/>
                <w:bCs/>
                <w:szCs w:val="21"/>
              </w:rPr>
              <w:t>，</w:t>
            </w:r>
            <w:r>
              <w:rPr>
                <w:bCs/>
                <w:szCs w:val="21"/>
              </w:rPr>
              <w:t>不干胶</w:t>
            </w:r>
            <w:r>
              <w:rPr>
                <w:rFonts w:hint="eastAsia"/>
                <w:bCs/>
                <w:szCs w:val="21"/>
              </w:rPr>
              <w:t>背面</w:t>
            </w:r>
            <w:r>
              <w:rPr>
                <w:bCs/>
                <w:szCs w:val="21"/>
              </w:rPr>
              <w:t>具有粘性，此过程</w:t>
            </w:r>
            <w:r>
              <w:rPr>
                <w:rFonts w:hint="eastAsia"/>
                <w:bCs/>
                <w:szCs w:val="21"/>
              </w:rPr>
              <w:t>无需</w:t>
            </w:r>
            <w:r>
              <w:rPr>
                <w:bCs/>
                <w:szCs w:val="21"/>
              </w:rPr>
              <w:t>使用粘合剂</w:t>
            </w:r>
            <w:r>
              <w:rPr>
                <w:rFonts w:hint="eastAsia"/>
                <w:bCs/>
                <w:szCs w:val="21"/>
              </w:rPr>
              <w:t>。此工序</w:t>
            </w:r>
            <w:r>
              <w:rPr>
                <w:bCs/>
                <w:szCs w:val="21"/>
              </w:rPr>
              <w:t>会产生有机废气、噪声</w:t>
            </w:r>
            <w:r>
              <w:rPr>
                <w:rFonts w:hint="eastAsia"/>
                <w:bCs/>
                <w:szCs w:val="21"/>
              </w:rPr>
              <w:t>和废胶水桶。</w:t>
            </w:r>
          </w:p>
          <w:p>
            <w:pPr>
              <w:spacing w:line="360" w:lineRule="auto"/>
              <w:ind w:firstLine="420" w:firstLineChars="200"/>
              <w:jc w:val="left"/>
              <w:rPr>
                <w:bCs/>
                <w:szCs w:val="21"/>
              </w:rPr>
            </w:pPr>
            <w:r>
              <w:rPr>
                <w:rFonts w:hint="eastAsia"/>
                <w:bCs/>
                <w:szCs w:val="21"/>
              </w:rPr>
              <w:t>裁切：将贴合好的海绵按客户要求经大油压</w:t>
            </w:r>
            <w:r>
              <w:rPr>
                <w:bCs/>
                <w:szCs w:val="21"/>
              </w:rPr>
              <w:t>冲床、小油压冲床</w:t>
            </w:r>
            <w:r>
              <w:rPr>
                <w:rFonts w:hint="eastAsia"/>
                <w:bCs/>
                <w:szCs w:val="21"/>
              </w:rPr>
              <w:t>、</w:t>
            </w:r>
            <w:r>
              <w:rPr>
                <w:bCs/>
                <w:szCs w:val="21"/>
              </w:rPr>
              <w:t>切角机、切底机</w:t>
            </w:r>
            <w:r>
              <w:rPr>
                <w:rFonts w:hint="eastAsia"/>
                <w:bCs/>
                <w:szCs w:val="21"/>
              </w:rPr>
              <w:t>裁切成一定尺寸。此过程会产生一定的海绵边角料和噪声。</w:t>
            </w:r>
          </w:p>
          <w:p>
            <w:pPr>
              <w:spacing w:line="360" w:lineRule="auto"/>
              <w:ind w:firstLine="420" w:firstLineChars="200"/>
              <w:jc w:val="left"/>
              <w:rPr>
                <w:bCs/>
                <w:szCs w:val="21"/>
              </w:rPr>
            </w:pPr>
            <w:r>
              <w:rPr>
                <w:rFonts w:hint="eastAsia"/>
                <w:bCs/>
                <w:szCs w:val="21"/>
              </w:rPr>
              <w:t>仿形：将裁切好的海绵按客户要求经自动仿形机</w:t>
            </w:r>
            <w:r>
              <w:rPr>
                <w:bCs/>
                <w:szCs w:val="21"/>
              </w:rPr>
              <w:t>或手动仿形机</w:t>
            </w:r>
            <w:r>
              <w:rPr>
                <w:rFonts w:hint="eastAsia"/>
                <w:bCs/>
                <w:szCs w:val="21"/>
              </w:rPr>
              <w:t>精准切割成一定的形状。此过程</w:t>
            </w:r>
            <w:r>
              <w:rPr>
                <w:bCs/>
                <w:szCs w:val="21"/>
              </w:rPr>
              <w:t>会产生少量的噪声</w:t>
            </w:r>
            <w:r>
              <w:rPr>
                <w:rFonts w:hint="eastAsia"/>
                <w:bCs/>
                <w:szCs w:val="21"/>
              </w:rPr>
              <w:t>和海绵边角料。</w:t>
            </w:r>
          </w:p>
          <w:p>
            <w:pPr>
              <w:spacing w:line="360" w:lineRule="auto"/>
              <w:ind w:firstLine="420" w:firstLineChars="200"/>
              <w:jc w:val="left"/>
              <w:rPr>
                <w:bCs/>
                <w:szCs w:val="21"/>
              </w:rPr>
            </w:pPr>
            <w:r>
              <w:rPr>
                <w:rFonts w:hint="eastAsia"/>
                <w:bCs/>
                <w:szCs w:val="21"/>
              </w:rPr>
              <w:t>印刷、</w:t>
            </w:r>
            <w:r>
              <w:rPr>
                <w:bCs/>
                <w:szCs w:val="21"/>
              </w:rPr>
              <w:t>烘干</w:t>
            </w:r>
            <w:r>
              <w:rPr>
                <w:rFonts w:hint="eastAsia"/>
                <w:bCs/>
                <w:szCs w:val="21"/>
              </w:rPr>
              <w:t>：根据</w:t>
            </w:r>
            <w:r>
              <w:rPr>
                <w:bCs/>
                <w:szCs w:val="21"/>
              </w:rPr>
              <w:t>客户需求，部分产品需要在表面印刷编码和简单的</w:t>
            </w:r>
            <w:r>
              <w:rPr>
                <w:rFonts w:hint="eastAsia"/>
                <w:bCs/>
                <w:szCs w:val="21"/>
              </w:rPr>
              <w:t>logo，</w:t>
            </w:r>
            <w:r>
              <w:rPr>
                <w:bCs/>
                <w:szCs w:val="21"/>
              </w:rPr>
              <w:t>印刷后采用烘干机烘干，</w:t>
            </w:r>
            <w:r>
              <w:rPr>
                <w:rFonts w:hint="eastAsia"/>
                <w:bCs/>
                <w:szCs w:val="21"/>
              </w:rPr>
              <w:t>印刷过程</w:t>
            </w:r>
            <w:r>
              <w:rPr>
                <w:bCs/>
                <w:szCs w:val="21"/>
              </w:rPr>
              <w:t>会产生少量的噪声</w:t>
            </w:r>
            <w:r>
              <w:rPr>
                <w:rFonts w:hint="eastAsia"/>
                <w:bCs/>
                <w:szCs w:val="21"/>
              </w:rPr>
              <w:t>、有机</w:t>
            </w:r>
            <w:r>
              <w:rPr>
                <w:bCs/>
                <w:szCs w:val="21"/>
              </w:rPr>
              <w:t>废气</w:t>
            </w:r>
            <w:r>
              <w:rPr>
                <w:rFonts w:hint="eastAsia"/>
                <w:bCs/>
                <w:szCs w:val="21"/>
              </w:rPr>
              <w:t>和</w:t>
            </w:r>
            <w:r>
              <w:rPr>
                <w:bCs/>
                <w:szCs w:val="21"/>
              </w:rPr>
              <w:t>废油墨桶</w:t>
            </w:r>
            <w:r>
              <w:rPr>
                <w:rFonts w:hint="eastAsia"/>
                <w:bCs/>
                <w:szCs w:val="21"/>
              </w:rPr>
              <w:t>，</w:t>
            </w:r>
            <w:r>
              <w:rPr>
                <w:bCs/>
                <w:szCs w:val="21"/>
              </w:rPr>
              <w:t>烘干过程会产生有机废气</w:t>
            </w:r>
            <w:r>
              <w:rPr>
                <w:rFonts w:hint="eastAsia"/>
                <w:bCs/>
                <w:szCs w:val="21"/>
              </w:rPr>
              <w:t>。</w:t>
            </w:r>
          </w:p>
          <w:p>
            <w:pPr>
              <w:spacing w:line="360" w:lineRule="auto"/>
              <w:ind w:firstLine="420" w:firstLineChars="200"/>
              <w:jc w:val="left"/>
              <w:rPr>
                <w:bCs/>
                <w:szCs w:val="21"/>
              </w:rPr>
            </w:pPr>
            <w:r>
              <w:rPr>
                <w:rFonts w:hint="eastAsia"/>
                <w:bCs/>
                <w:szCs w:val="21"/>
              </w:rPr>
              <w:t>检验、包装出货：加工好</w:t>
            </w:r>
            <w:r>
              <w:rPr>
                <w:bCs/>
                <w:szCs w:val="21"/>
              </w:rPr>
              <w:t>的产品</w:t>
            </w:r>
            <w:r>
              <w:rPr>
                <w:rFonts w:hint="eastAsia"/>
                <w:bCs/>
                <w:szCs w:val="21"/>
              </w:rPr>
              <w:t>经检验通过后可包装出货。检验</w:t>
            </w:r>
            <w:r>
              <w:rPr>
                <w:bCs/>
                <w:szCs w:val="21"/>
              </w:rPr>
              <w:t>过程会产少量废次品，</w:t>
            </w:r>
            <w:r>
              <w:rPr>
                <w:rFonts w:hint="eastAsia"/>
                <w:bCs/>
                <w:szCs w:val="21"/>
              </w:rPr>
              <w:t>包装</w:t>
            </w:r>
            <w:r>
              <w:rPr>
                <w:bCs/>
                <w:szCs w:val="21"/>
              </w:rPr>
              <w:t>过程会产生少量的</w:t>
            </w:r>
            <w:r>
              <w:rPr>
                <w:rFonts w:hint="eastAsia"/>
                <w:bCs/>
                <w:szCs w:val="21"/>
              </w:rPr>
              <w:t>包装废料。</w:t>
            </w:r>
          </w:p>
          <w:p>
            <w:pPr>
              <w:adjustRightInd w:val="0"/>
              <w:snapToGrid w:val="0"/>
              <w:spacing w:line="360" w:lineRule="auto"/>
              <w:ind w:firstLine="420" w:firstLineChars="200"/>
            </w:pPr>
            <w:r>
              <w:rPr>
                <w:rFonts w:hint="eastAsia"/>
              </w:rPr>
              <w:t>（</w:t>
            </w:r>
            <w:r>
              <w:t>2</w:t>
            </w:r>
            <w:r>
              <w:rPr>
                <w:rFonts w:hint="eastAsia"/>
              </w:rPr>
              <w:t>）手机</w:t>
            </w:r>
            <w:r>
              <w:t>抛光用</w:t>
            </w:r>
            <w:r>
              <w:rPr>
                <w:rFonts w:hint="eastAsia"/>
              </w:rPr>
              <w:t>刷子</w:t>
            </w:r>
          </w:p>
          <w:p>
            <w:pPr>
              <w:pStyle w:val="43"/>
              <w:rPr>
                <w:rFonts w:ascii="Times New Roman" w:hAnsi="Times New Roman"/>
                <w:color w:val="auto"/>
              </w:rPr>
            </w:pPr>
            <w:r>
              <w:rPr>
                <w:rFonts w:ascii="Times New Roman" w:hAnsi="Times New Roman"/>
                <w:color w:val="auto"/>
              </w:rPr>
              <mc:AlternateContent>
                <mc:Choice Requires="wpc">
                  <w:drawing>
                    <wp:inline distT="0" distB="0" distL="0" distR="0">
                      <wp:extent cx="5863590" cy="6464300"/>
                      <wp:effectExtent l="0" t="0" r="3810" b="12700"/>
                      <wp:docPr id="358" name="画布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71" name="AutoShape 121"/>
                              <wps:cNvSpPr>
                                <a:spLocks noChangeArrowheads="1"/>
                              </wps:cNvSpPr>
                              <wps:spPr bwMode="auto">
                                <a:xfrm>
                                  <a:off x="134619" y="732572"/>
                                  <a:ext cx="586740" cy="322712"/>
                                </a:xfrm>
                                <a:prstGeom prst="flowChartProcess">
                                  <a:avLst/>
                                </a:prstGeom>
                                <a:solidFill>
                                  <a:srgbClr val="FFFFFF"/>
                                </a:solidFill>
                                <a:ln>
                                  <a:noFill/>
                                </a:ln>
                                <a:effectLst/>
                              </wps:spPr>
                              <wps:txbx>
                                <w:txbxContent>
                                  <w:p>
                                    <w:pPr>
                                      <w:jc w:val="center"/>
                                      <w:rPr>
                                        <w:szCs w:val="21"/>
                                      </w:rPr>
                                    </w:pPr>
                                    <w:r>
                                      <w:rPr>
                                        <w:szCs w:val="21"/>
                                      </w:rPr>
                                      <w:t>ABS底板</w:t>
                                    </w:r>
                                  </w:p>
                                </w:txbxContent>
                              </wps:txbx>
                              <wps:bodyPr rot="0" vert="horz" wrap="square" lIns="0" tIns="45720" rIns="0" bIns="45720" anchor="t" anchorCtr="0" upright="1">
                                <a:noAutofit/>
                              </wps:bodyPr>
                            </wps:wsp>
                            <wps:wsp>
                              <wps:cNvPr id="173" name="AutoShape 122"/>
                              <wps:cNvCnPr>
                                <a:cxnSpLocks noChangeShapeType="1"/>
                              </wps:cNvCnPr>
                              <wps:spPr bwMode="auto">
                                <a:xfrm flipV="1">
                                  <a:off x="1476374" y="876343"/>
                                  <a:ext cx="205740" cy="635"/>
                                </a:xfrm>
                                <a:prstGeom prst="straightConnector1">
                                  <a:avLst/>
                                </a:prstGeom>
                                <a:noFill/>
                                <a:ln w="3175">
                                  <a:solidFill>
                                    <a:srgbClr val="000000"/>
                                  </a:solidFill>
                                  <a:round/>
                                  <a:tailEnd type="triangle" w="med" len="med"/>
                                </a:ln>
                                <a:effectLst/>
                              </wps:spPr>
                              <wps:bodyPr/>
                            </wps:wsp>
                            <wps:wsp>
                              <wps:cNvPr id="177" name="AutoShape 124"/>
                              <wps:cNvSpPr>
                                <a:spLocks noChangeArrowheads="1"/>
                              </wps:cNvSpPr>
                              <wps:spPr bwMode="auto">
                                <a:xfrm>
                                  <a:off x="3893819" y="755397"/>
                                  <a:ext cx="482600" cy="290054"/>
                                </a:xfrm>
                                <a:prstGeom prst="flowChartProcess">
                                  <a:avLst/>
                                </a:prstGeom>
                                <a:solidFill>
                                  <a:srgbClr val="FFFFFF"/>
                                </a:solidFill>
                                <a:ln w="9525">
                                  <a:solidFill>
                                    <a:srgbClr val="000000"/>
                                  </a:solidFill>
                                  <a:miter lim="800000"/>
                                </a:ln>
                                <a:effectLst/>
                              </wps:spPr>
                              <wps:txbx>
                                <w:txbxContent>
                                  <w:p>
                                    <w:pPr>
                                      <w:jc w:val="center"/>
                                    </w:pPr>
                                    <w:r>
                                      <w:rPr>
                                        <w:rFonts w:hint="eastAsia"/>
                                      </w:rPr>
                                      <w:t>检验</w:t>
                                    </w:r>
                                  </w:p>
                                </w:txbxContent>
                              </wps:txbx>
                              <wps:bodyPr rot="0" vert="horz" wrap="square" lIns="0" tIns="45720" rIns="0" bIns="45720" anchor="t" anchorCtr="0" upright="1">
                                <a:noAutofit/>
                              </wps:bodyPr>
                            </wps:wsp>
                            <wps:wsp>
                              <wps:cNvPr id="178" name="AutoShape 124"/>
                              <wps:cNvSpPr>
                                <a:spLocks noChangeArrowheads="1"/>
                              </wps:cNvSpPr>
                              <wps:spPr bwMode="auto">
                                <a:xfrm>
                                  <a:off x="4703238" y="2114038"/>
                                  <a:ext cx="767080" cy="275703"/>
                                </a:xfrm>
                                <a:prstGeom prst="flowChartProcess">
                                  <a:avLst/>
                                </a:prstGeom>
                                <a:solidFill>
                                  <a:srgbClr val="FFFFFF"/>
                                </a:solidFill>
                                <a:ln w="9525">
                                  <a:solidFill>
                                    <a:srgbClr val="000000"/>
                                  </a:solidFill>
                                  <a:miter lim="800000"/>
                                </a:ln>
                                <a:effectLst/>
                              </wps:spPr>
                              <wps:txbx>
                                <w:txbxContent>
                                  <w:p>
                                    <w:pPr>
                                      <w:jc w:val="center"/>
                                    </w:pPr>
                                    <w:r>
                                      <w:rPr>
                                        <w:rFonts w:hint="eastAsia"/>
                                      </w:rPr>
                                      <w:t>包装出货</w:t>
                                    </w:r>
                                  </w:p>
                                </w:txbxContent>
                              </wps:txbx>
                              <wps:bodyPr rot="0" vert="horz" wrap="square" lIns="0" tIns="45720" rIns="0" bIns="45720" anchor="t" anchorCtr="0" upright="1">
                                <a:noAutofit/>
                              </wps:bodyPr>
                            </wps:wsp>
                            <wps:wsp>
                              <wps:cNvPr id="195" name="AutoShape 122"/>
                              <wps:cNvCnPr>
                                <a:cxnSpLocks noChangeShapeType="1"/>
                              </wps:cNvCnPr>
                              <wps:spPr bwMode="auto">
                                <a:xfrm flipV="1">
                                  <a:off x="3069088" y="2274745"/>
                                  <a:ext cx="205740" cy="635"/>
                                </a:xfrm>
                                <a:prstGeom prst="straightConnector1">
                                  <a:avLst/>
                                </a:prstGeom>
                                <a:noFill/>
                                <a:ln w="3175">
                                  <a:solidFill>
                                    <a:srgbClr val="000000"/>
                                  </a:solidFill>
                                  <a:round/>
                                  <a:tailEnd type="triangle" w="med" len="med"/>
                                </a:ln>
                                <a:effectLst/>
                              </wps:spPr>
                              <wps:bodyPr/>
                            </wps:wsp>
                            <wps:wsp>
                              <wps:cNvPr id="196" name="文本框 13"/>
                              <wps:cNvSpPr txBox="1">
                                <a:spLocks noChangeArrowheads="1"/>
                              </wps:cNvSpPr>
                              <wps:spPr bwMode="auto">
                                <a:xfrm>
                                  <a:off x="2524893" y="2134775"/>
                                  <a:ext cx="544195" cy="273797"/>
                                </a:xfrm>
                                <a:prstGeom prst="rect">
                                  <a:avLst/>
                                </a:prstGeom>
                                <a:noFill/>
                                <a:ln w="9525">
                                  <a:solidFill>
                                    <a:srgbClr val="000000"/>
                                  </a:solidFill>
                                  <a:miter lim="800000"/>
                                </a:ln>
                                <a:effectLst/>
                              </wps:spPr>
                              <wps:txbx>
                                <w:txbxContent>
                                  <w:p>
                                    <w:pPr>
                                      <w:jc w:val="center"/>
                                    </w:pPr>
                                    <w:r>
                                      <w:rPr>
                                        <w:rFonts w:hint="eastAsia"/>
                                      </w:rPr>
                                      <w:t>贴合</w:t>
                                    </w:r>
                                  </w:p>
                                </w:txbxContent>
                              </wps:txbx>
                              <wps:bodyPr rot="0" vert="horz" wrap="square" lIns="91440" tIns="45720" rIns="91440" bIns="45720" anchor="t" anchorCtr="0" upright="1">
                                <a:noAutofit/>
                              </wps:bodyPr>
                            </wps:wsp>
                            <wps:wsp>
                              <wps:cNvPr id="197" name="AutoShape 125"/>
                              <wps:cNvCnPr>
                                <a:cxnSpLocks noChangeShapeType="1"/>
                              </wps:cNvCnPr>
                              <wps:spPr bwMode="auto">
                                <a:xfrm flipV="1">
                                  <a:off x="1926384" y="513998"/>
                                  <a:ext cx="0" cy="241399"/>
                                </a:xfrm>
                                <a:prstGeom prst="straightConnector1">
                                  <a:avLst/>
                                </a:prstGeom>
                                <a:noFill/>
                                <a:ln w="9525">
                                  <a:solidFill>
                                    <a:srgbClr val="000000"/>
                                  </a:solidFill>
                                  <a:prstDash val="dash"/>
                                  <a:round/>
                                  <a:tailEnd type="triangle" w="med" len="med"/>
                                </a:ln>
                                <a:effectLst/>
                              </wps:spPr>
                              <wps:bodyPr/>
                            </wps:wsp>
                            <wps:wsp>
                              <wps:cNvPr id="201" name="AutoShape 126"/>
                              <wps:cNvSpPr>
                                <a:spLocks noChangeArrowheads="1"/>
                              </wps:cNvSpPr>
                              <wps:spPr bwMode="auto">
                                <a:xfrm>
                                  <a:off x="1722503" y="1583469"/>
                                  <a:ext cx="732628" cy="261727"/>
                                </a:xfrm>
                                <a:prstGeom prst="flowChartProcess">
                                  <a:avLst/>
                                </a:prstGeom>
                                <a:solidFill>
                                  <a:srgbClr val="FFFFFF"/>
                                </a:solidFill>
                                <a:ln w="9525">
                                  <a:solidFill>
                                    <a:srgbClr val="000000"/>
                                  </a:solidFill>
                                  <a:prstDash val="dashDot"/>
                                  <a:miter lim="800000"/>
                                </a:ln>
                                <a:effectLst/>
                              </wps:spPr>
                              <wps:txbx>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wps:txbx>
                              <wps:bodyPr rot="0" vert="horz" wrap="square" lIns="0" tIns="45720" rIns="0" bIns="45720" anchor="t" anchorCtr="0" upright="1">
                                <a:noAutofit/>
                              </wps:bodyPr>
                            </wps:wsp>
                            <wps:wsp>
                              <wps:cNvPr id="206" name="AutoShape 122"/>
                              <wps:cNvCnPr>
                                <a:cxnSpLocks noChangeShapeType="1"/>
                              </wps:cNvCnPr>
                              <wps:spPr bwMode="auto">
                                <a:xfrm flipH="1">
                                  <a:off x="1178560" y="1013413"/>
                                  <a:ext cx="5080" cy="254104"/>
                                </a:xfrm>
                                <a:prstGeom prst="straightConnector1">
                                  <a:avLst/>
                                </a:prstGeom>
                                <a:noFill/>
                                <a:ln w="3175">
                                  <a:solidFill>
                                    <a:srgbClr val="000000"/>
                                  </a:solidFill>
                                  <a:round/>
                                  <a:headEnd type="triangle" w="med" len="med"/>
                                </a:ln>
                                <a:effectLst/>
                              </wps:spPr>
                              <wps:bodyPr/>
                            </wps:wsp>
                            <wps:wsp>
                              <wps:cNvPr id="208" name="AutoShape 122"/>
                              <wps:cNvCnPr>
                                <a:cxnSpLocks noChangeShapeType="1"/>
                              </wps:cNvCnPr>
                              <wps:spPr bwMode="auto">
                                <a:xfrm flipV="1">
                                  <a:off x="526799" y="3833943"/>
                                  <a:ext cx="203200" cy="0"/>
                                </a:xfrm>
                                <a:prstGeom prst="straightConnector1">
                                  <a:avLst/>
                                </a:prstGeom>
                                <a:noFill/>
                                <a:ln w="3175">
                                  <a:solidFill>
                                    <a:srgbClr val="000000"/>
                                  </a:solidFill>
                                  <a:round/>
                                  <a:tailEnd type="triangle" w="med" len="med"/>
                                </a:ln>
                                <a:effectLst/>
                              </wps:spPr>
                              <wps:bodyPr/>
                            </wps:wsp>
                            <wps:wsp>
                              <wps:cNvPr id="209" name="AutoShape 122"/>
                              <wps:cNvCnPr>
                                <a:cxnSpLocks noChangeShapeType="1"/>
                              </wps:cNvCnPr>
                              <wps:spPr bwMode="auto">
                                <a:xfrm flipV="1">
                                  <a:off x="721359" y="876978"/>
                                  <a:ext cx="203200" cy="0"/>
                                </a:xfrm>
                                <a:prstGeom prst="straightConnector1">
                                  <a:avLst/>
                                </a:prstGeom>
                                <a:noFill/>
                                <a:ln w="3175">
                                  <a:solidFill>
                                    <a:srgbClr val="000000"/>
                                  </a:solidFill>
                                  <a:round/>
                                  <a:tailEnd type="triangle" w="med" len="med"/>
                                </a:ln>
                                <a:effectLst/>
                              </wps:spPr>
                              <wps:bodyPr/>
                            </wps:wsp>
                            <wps:wsp>
                              <wps:cNvPr id="210" name="文本框 196"/>
                              <wps:cNvSpPr txBox="1">
                                <a:spLocks noChangeArrowheads="1"/>
                              </wps:cNvSpPr>
                              <wps:spPr bwMode="auto">
                                <a:xfrm>
                                  <a:off x="923923" y="732572"/>
                                  <a:ext cx="533400" cy="280841"/>
                                </a:xfrm>
                                <a:prstGeom prst="rect">
                                  <a:avLst/>
                                </a:prstGeom>
                                <a:noFill/>
                                <a:ln w="9525">
                                  <a:solidFill>
                                    <a:srgbClr val="000000"/>
                                  </a:solidFill>
                                  <a:miter lim="800000"/>
                                </a:ln>
                                <a:effectLst/>
                              </wps:spPr>
                              <wps:txbx>
                                <w:txbxContent>
                                  <w:p>
                                    <w:pPr>
                                      <w:jc w:val="center"/>
                                    </w:pPr>
                                    <w:r>
                                      <w:rPr>
                                        <w:rFonts w:hint="eastAsia"/>
                                      </w:rPr>
                                      <w:t>植毛</w:t>
                                    </w:r>
                                  </w:p>
                                </w:txbxContent>
                              </wps:txbx>
                              <wps:bodyPr rot="0" vert="horz" wrap="square" lIns="91440" tIns="45720" rIns="91440" bIns="45720" anchor="t" anchorCtr="0" upright="1">
                                <a:noAutofit/>
                              </wps:bodyPr>
                            </wps:wsp>
                            <wps:wsp>
                              <wps:cNvPr id="211" name="文本框 197"/>
                              <wps:cNvSpPr txBox="1">
                                <a:spLocks noChangeArrowheads="1"/>
                              </wps:cNvSpPr>
                              <wps:spPr bwMode="auto">
                                <a:xfrm>
                                  <a:off x="1682114" y="732537"/>
                                  <a:ext cx="533400" cy="292220"/>
                                </a:xfrm>
                                <a:prstGeom prst="rect">
                                  <a:avLst/>
                                </a:prstGeom>
                                <a:solidFill>
                                  <a:srgbClr val="FFFFFF"/>
                                </a:solidFill>
                                <a:ln w="9525">
                                  <a:solidFill>
                                    <a:srgbClr val="000000"/>
                                  </a:solidFill>
                                  <a:miter lim="800000"/>
                                </a:ln>
                                <a:effectLst/>
                              </wps:spPr>
                              <wps:txbx>
                                <w:txbxContent>
                                  <w:p>
                                    <w:pPr>
                                      <w:jc w:val="center"/>
                                    </w:pPr>
                                    <w:r>
                                      <w:rPr>
                                        <w:rFonts w:hint="eastAsia"/>
                                      </w:rPr>
                                      <w:t>修毛</w:t>
                                    </w:r>
                                  </w:p>
                                </w:txbxContent>
                              </wps:txbx>
                              <wps:bodyPr rot="0" vert="horz" wrap="square" lIns="91440" tIns="45720" rIns="91440" bIns="45720" anchor="t" anchorCtr="0" upright="1">
                                <a:noAutofit/>
                              </wps:bodyPr>
                            </wps:wsp>
                            <wps:wsp>
                              <wps:cNvPr id="212" name="文本框 198"/>
                              <wps:cNvSpPr txBox="1">
                                <a:spLocks noChangeArrowheads="1"/>
                              </wps:cNvSpPr>
                              <wps:spPr bwMode="auto">
                                <a:xfrm>
                                  <a:off x="813434" y="1267517"/>
                                  <a:ext cx="723266" cy="420453"/>
                                </a:xfrm>
                                <a:prstGeom prst="rect">
                                  <a:avLst/>
                                </a:prstGeom>
                                <a:solidFill>
                                  <a:srgbClr val="FFFFFF"/>
                                </a:solidFill>
                                <a:ln w="9525">
                                  <a:noFill/>
                                  <a:miter lim="800000"/>
                                </a:ln>
                                <a:effectLst/>
                              </wps:spPr>
                              <wps:txbx>
                                <w:txbxContent>
                                  <w:p>
                                    <w:pPr>
                                      <w:jc w:val="center"/>
                                    </w:pPr>
                                    <w:r>
                                      <w:rPr>
                                        <w:rFonts w:hint="eastAsia"/>
                                      </w:rPr>
                                      <w:t>P</w:t>
                                    </w:r>
                                    <w:r>
                                      <w:t>P</w:t>
                                    </w:r>
                                    <w:r>
                                      <w:rPr>
                                        <w:rFonts w:hint="eastAsia"/>
                                      </w:rPr>
                                      <w:t>胶丝、</w:t>
                                    </w:r>
                                    <w:r>
                                      <w:t>铁丝</w:t>
                                    </w:r>
                                  </w:p>
                                </w:txbxContent>
                              </wps:txbx>
                              <wps:bodyPr rot="0" vert="horz" wrap="square" lIns="91440" tIns="45720" rIns="91440" bIns="45720" anchor="t" anchorCtr="0" upright="1">
                                <a:noAutofit/>
                              </wps:bodyPr>
                            </wps:wsp>
                            <wps:wsp>
                              <wps:cNvPr id="215" name="AutoShape 126"/>
                              <wps:cNvSpPr>
                                <a:spLocks noChangeArrowheads="1"/>
                              </wps:cNvSpPr>
                              <wps:spPr bwMode="auto">
                                <a:xfrm>
                                  <a:off x="985608" y="224329"/>
                                  <a:ext cx="487725" cy="266809"/>
                                </a:xfrm>
                                <a:prstGeom prst="flowChartProcess">
                                  <a:avLst/>
                                </a:prstGeom>
                                <a:solidFill>
                                  <a:schemeClr val="bg1"/>
                                </a:solid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216" name="AutoShape 126"/>
                              <wps:cNvSpPr>
                                <a:spLocks noChangeArrowheads="1"/>
                              </wps:cNvSpPr>
                              <wps:spPr bwMode="auto">
                                <a:xfrm>
                                  <a:off x="2418714" y="250089"/>
                                  <a:ext cx="676276"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w:t>
                                    </w:r>
                                    <w:r>
                                      <w:t>G</w:t>
                                    </w:r>
                                    <w:r>
                                      <w:rPr>
                                        <w:rFonts w:hint="eastAsia"/>
                                        <w:vertAlign w:val="subscript"/>
                                      </w:rPr>
                                      <w:t>1</w:t>
                                    </w:r>
                                    <w:r>
                                      <w:rPr>
                                        <w:rFonts w:hint="eastAsia"/>
                                      </w:rPr>
                                      <w:t>、S</w:t>
                                    </w:r>
                                    <w:r>
                                      <w:rPr>
                                        <w:rFonts w:hint="eastAsia"/>
                                        <w:vertAlign w:val="subscript"/>
                                      </w:rPr>
                                      <w:t>2</w:t>
                                    </w:r>
                                  </w:p>
                                </w:txbxContent>
                              </wps:txbx>
                              <wps:bodyPr rot="0" vert="horz" wrap="square" lIns="0" tIns="45720" rIns="0" bIns="45720" anchor="t" anchorCtr="0" upright="1">
                                <a:noAutofit/>
                              </wps:bodyPr>
                            </wps:wsp>
                            <wps:wsp>
                              <wps:cNvPr id="217" name="AutoShape 125"/>
                              <wps:cNvCnPr>
                                <a:cxnSpLocks noChangeShapeType="1"/>
                              </wps:cNvCnPr>
                              <wps:spPr bwMode="auto">
                                <a:xfrm flipV="1">
                                  <a:off x="1212850" y="491138"/>
                                  <a:ext cx="0" cy="241399"/>
                                </a:xfrm>
                                <a:prstGeom prst="straightConnector1">
                                  <a:avLst/>
                                </a:prstGeom>
                                <a:noFill/>
                                <a:ln w="9525">
                                  <a:solidFill>
                                    <a:srgbClr val="000000"/>
                                  </a:solidFill>
                                  <a:prstDash val="dash"/>
                                  <a:round/>
                                  <a:tailEnd type="triangle" w="med" len="med"/>
                                </a:ln>
                                <a:effectLst/>
                              </wps:spPr>
                              <wps:bodyPr/>
                            </wps:wsp>
                            <wps:wsp>
                              <wps:cNvPr id="218" name="AutoShape 125"/>
                              <wps:cNvCnPr>
                                <a:cxnSpLocks noChangeShapeType="1"/>
                              </wps:cNvCnPr>
                              <wps:spPr bwMode="auto">
                                <a:xfrm flipV="1">
                                  <a:off x="2701630" y="508656"/>
                                  <a:ext cx="0" cy="241399"/>
                                </a:xfrm>
                                <a:prstGeom prst="straightConnector1">
                                  <a:avLst/>
                                </a:prstGeom>
                                <a:noFill/>
                                <a:ln w="9525">
                                  <a:solidFill>
                                    <a:srgbClr val="000000"/>
                                  </a:solidFill>
                                  <a:prstDash val="dash"/>
                                  <a:round/>
                                  <a:tailEnd type="triangle" w="med" len="med"/>
                                </a:ln>
                                <a:effectLst/>
                              </wps:spPr>
                              <wps:bodyPr/>
                            </wps:wsp>
                            <wps:wsp>
                              <wps:cNvPr id="219" name="AutoShape 124"/>
                              <wps:cNvSpPr>
                                <a:spLocks noChangeArrowheads="1"/>
                              </wps:cNvSpPr>
                              <wps:spPr bwMode="auto">
                                <a:xfrm>
                                  <a:off x="3274828" y="2120170"/>
                                  <a:ext cx="482600"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裁切</w:t>
                                    </w:r>
                                  </w:p>
                                </w:txbxContent>
                              </wps:txbx>
                              <wps:bodyPr rot="0" vert="horz" wrap="square" lIns="0" tIns="45720" rIns="0" bIns="45720" anchor="t" anchorCtr="0" upright="1">
                                <a:noAutofit/>
                              </wps:bodyPr>
                            </wps:wsp>
                            <wps:wsp>
                              <wps:cNvPr id="221" name="AutoShape 122"/>
                              <wps:cNvCnPr>
                                <a:cxnSpLocks noChangeShapeType="1"/>
                              </wps:cNvCnPr>
                              <wps:spPr bwMode="auto">
                                <a:xfrm>
                                  <a:off x="3656964" y="896474"/>
                                  <a:ext cx="236855" cy="635"/>
                                </a:xfrm>
                                <a:prstGeom prst="straightConnector1">
                                  <a:avLst/>
                                </a:prstGeom>
                                <a:noFill/>
                                <a:ln w="3175">
                                  <a:solidFill>
                                    <a:srgbClr val="000000"/>
                                  </a:solidFill>
                                  <a:round/>
                                  <a:tailEnd type="triangle" w="med" len="med"/>
                                </a:ln>
                                <a:effectLst/>
                              </wps:spPr>
                              <wps:bodyPr/>
                            </wps:wsp>
                            <wps:wsp>
                              <wps:cNvPr id="222" name="直接箭头连接符 222"/>
                              <wps:cNvCnPr/>
                              <wps:spPr>
                                <a:xfrm flipH="1">
                                  <a:off x="2783973" y="2392245"/>
                                  <a:ext cx="1905" cy="280721"/>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23" name="AutoShape 125"/>
                              <wps:cNvCnPr>
                                <a:cxnSpLocks noChangeShapeType="1"/>
                              </wps:cNvCnPr>
                              <wps:spPr bwMode="auto">
                                <a:xfrm flipV="1">
                                  <a:off x="3405298" y="510721"/>
                                  <a:ext cx="0" cy="241300"/>
                                </a:xfrm>
                                <a:prstGeom prst="straightConnector1">
                                  <a:avLst/>
                                </a:prstGeom>
                                <a:noFill/>
                                <a:ln w="9525">
                                  <a:solidFill>
                                    <a:srgbClr val="000000"/>
                                  </a:solidFill>
                                  <a:prstDash val="dash"/>
                                  <a:round/>
                                  <a:tailEnd type="triangle" w="med" len="med"/>
                                </a:ln>
                                <a:effectLst/>
                              </wps:spPr>
                              <wps:bodyPr/>
                            </wps:wsp>
                            <wps:wsp>
                              <wps:cNvPr id="352" name="AutoShape 126"/>
                              <wps:cNvSpPr>
                                <a:spLocks noChangeArrowheads="1"/>
                              </wps:cNvSpPr>
                              <wps:spPr bwMode="auto">
                                <a:xfrm>
                                  <a:off x="4711404" y="274405"/>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4</w:t>
                                    </w:r>
                                  </w:p>
                                </w:txbxContent>
                              </wps:txbx>
                              <wps:bodyPr rot="0" vert="horz" wrap="square" lIns="0" tIns="45720" rIns="0" bIns="45720" anchor="t" anchorCtr="0" upright="1">
                                <a:noAutofit/>
                              </wps:bodyPr>
                            </wps:wsp>
                            <wps:wsp>
                              <wps:cNvPr id="354" name="AutoShape 126"/>
                              <wps:cNvSpPr>
                                <a:spLocks noChangeArrowheads="1"/>
                              </wps:cNvSpPr>
                              <wps:spPr bwMode="auto">
                                <a:xfrm>
                                  <a:off x="5243580" y="4301440"/>
                                  <a:ext cx="421005" cy="276275"/>
                                </a:xfrm>
                                <a:prstGeom prst="flowChartProcess">
                                  <a:avLst/>
                                </a:prstGeom>
                                <a:solidFill>
                                  <a:srgbClr val="FFFFFF"/>
                                </a:solidFill>
                                <a:ln w="9525">
                                  <a:solidFill>
                                    <a:srgbClr val="000000"/>
                                  </a:solidFill>
                                  <a:prstDash val="dashDot"/>
                                  <a:miter lim="800000"/>
                                </a:ln>
                                <a:effectLst/>
                              </wps:spPr>
                              <wps:txbx>
                                <w:txbxContent>
                                  <w:p>
                                    <w:pPr>
                                      <w:pStyle w:val="25"/>
                                      <w:adjustRightInd w:val="0"/>
                                      <w:snapToGrid w:val="0"/>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wps:txbx>
                              <wps:bodyPr rot="0" vert="horz" wrap="square" lIns="0" tIns="45720" rIns="0" bIns="45720" anchor="t" anchorCtr="0" upright="1">
                                <a:noAutofit/>
                              </wps:bodyPr>
                            </wps:wsp>
                            <wps:wsp>
                              <wps:cNvPr id="355" name="AutoShape 125"/>
                              <wps:cNvCnPr>
                                <a:cxnSpLocks noChangeShapeType="1"/>
                              </wps:cNvCnPr>
                              <wps:spPr bwMode="auto">
                                <a:xfrm flipV="1">
                                  <a:off x="4124029" y="491272"/>
                                  <a:ext cx="0" cy="241300"/>
                                </a:xfrm>
                                <a:prstGeom prst="straightConnector1">
                                  <a:avLst/>
                                </a:prstGeom>
                                <a:noFill/>
                                <a:ln w="9525">
                                  <a:solidFill>
                                    <a:srgbClr val="000000"/>
                                  </a:solidFill>
                                  <a:prstDash val="dash"/>
                                  <a:round/>
                                  <a:tailEnd type="triangle" w="med" len="med"/>
                                </a:ln>
                                <a:effectLst/>
                              </wps:spPr>
                              <wps:bodyPr/>
                            </wps:wsp>
                            <wps:wsp>
                              <wps:cNvPr id="356" name="AutoShape 126"/>
                              <wps:cNvSpPr>
                                <a:spLocks noChangeArrowheads="1"/>
                              </wps:cNvSpPr>
                              <wps:spPr bwMode="auto">
                                <a:xfrm>
                                  <a:off x="3914819" y="254822"/>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wps:txbx>
                              <wps:bodyPr rot="0" vert="horz" wrap="square" lIns="0" tIns="45720" rIns="0" bIns="45720" anchor="t" anchorCtr="0" upright="1">
                                <a:noAutofit/>
                              </wps:bodyPr>
                            </wps:wsp>
                            <wps:wsp>
                              <wps:cNvPr id="357" name="文本框 357"/>
                              <wps:cNvSpPr txBox="1"/>
                              <wps:spPr>
                                <a:xfrm>
                                  <a:off x="3855424" y="5694680"/>
                                  <a:ext cx="1998345" cy="769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5" name="AutoShape 121"/>
                              <wps:cNvSpPr>
                                <a:spLocks noChangeArrowheads="1"/>
                              </wps:cNvSpPr>
                              <wps:spPr bwMode="auto">
                                <a:xfrm>
                                  <a:off x="2133600" y="1308517"/>
                                  <a:ext cx="1092199" cy="322580"/>
                                </a:xfrm>
                                <a:prstGeom prst="flowChartProcess">
                                  <a:avLst/>
                                </a:prstGeom>
                                <a:noFill/>
                                <a:ln>
                                  <a:noFill/>
                                </a:ln>
                                <a:effectLst/>
                              </wps:spPr>
                              <wps:txbx>
                                <w:txbxContent>
                                  <w:p>
                                    <w:pPr>
                                      <w:pStyle w:val="25"/>
                                      <w:spacing w:before="0" w:beforeAutospacing="0" w:after="0" w:afterAutospacing="0"/>
                                      <w:jc w:val="center"/>
                                      <w:rPr>
                                        <w:szCs w:val="24"/>
                                      </w:rPr>
                                    </w:pPr>
                                    <w:r>
                                      <w:rPr>
                                        <w:rFonts w:hint="eastAsia" w:ascii="Times New Roman" w:hAnsi="Times New Roman"/>
                                        <w:kern w:val="2"/>
                                        <w:sz w:val="21"/>
                                        <w:szCs w:val="21"/>
                                      </w:rPr>
                                      <w:t>尼龙</w:t>
                                    </w:r>
                                    <w:r>
                                      <w:rPr>
                                        <w:rFonts w:ascii="Times New Roman" w:hAnsi="Times New Roman"/>
                                        <w:kern w:val="2"/>
                                        <w:sz w:val="21"/>
                                        <w:szCs w:val="21"/>
                                      </w:rPr>
                                      <w:t>布料、胶水</w:t>
                                    </w:r>
                                  </w:p>
                                </w:txbxContent>
                              </wps:txbx>
                              <wps:bodyPr rot="0" vert="horz" wrap="square" lIns="0" tIns="45720" rIns="0" bIns="45720" anchor="t" anchorCtr="0" upright="1">
                                <a:noAutofit/>
                              </wps:bodyPr>
                            </wps:wsp>
                            <wps:wsp>
                              <wps:cNvPr id="396" name="文本框 196"/>
                              <wps:cNvSpPr txBox="1">
                                <a:spLocks noChangeArrowheads="1"/>
                              </wps:cNvSpPr>
                              <wps:spPr bwMode="auto">
                                <a:xfrm>
                                  <a:off x="729999" y="3684302"/>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分条</w:t>
                                    </w:r>
                                  </w:p>
                                </w:txbxContent>
                              </wps:txbx>
                              <wps:bodyPr rot="0" vert="horz" wrap="square" lIns="91440" tIns="45720" rIns="91440" bIns="45720" anchor="t" anchorCtr="0" upright="1">
                                <a:noAutofit/>
                              </wps:bodyPr>
                            </wps:wsp>
                            <wps:wsp>
                              <wps:cNvPr id="397" name="AutoShape 121"/>
                              <wps:cNvSpPr>
                                <a:spLocks noChangeArrowheads="1"/>
                              </wps:cNvSpPr>
                              <wps:spPr bwMode="auto">
                                <a:xfrm>
                                  <a:off x="7620" y="3599706"/>
                                  <a:ext cx="510539" cy="452460"/>
                                </a:xfrm>
                                <a:prstGeom prst="flowChartProcess">
                                  <a:avLst/>
                                </a:prstGeom>
                                <a:solidFill>
                                  <a:srgbClr val="FFFFFF"/>
                                </a:solidFill>
                                <a:ln>
                                  <a:noFill/>
                                </a:ln>
                                <a:effectLst/>
                              </wps:spPr>
                              <wps:txbx>
                                <w:txbxContent>
                                  <w:p>
                                    <w:pPr>
                                      <w:pStyle w:val="25"/>
                                      <w:spacing w:before="0" w:beforeAutospacing="0" w:after="0" w:afterAutospacing="0"/>
                                      <w:jc w:val="center"/>
                                      <w:rPr>
                                        <w:szCs w:val="24"/>
                                      </w:rPr>
                                    </w:pPr>
                                    <w:r>
                                      <w:rPr>
                                        <w:rFonts w:hint="eastAsia" w:ascii="Times New Roman" w:hAnsi="Times New Roman"/>
                                        <w:kern w:val="2"/>
                                        <w:sz w:val="21"/>
                                        <w:szCs w:val="21"/>
                                      </w:rPr>
                                      <w:t>聚氨酯抛光皮</w:t>
                                    </w:r>
                                  </w:p>
                                </w:txbxContent>
                              </wps:txbx>
                              <wps:bodyPr rot="0" vert="horz" wrap="square" lIns="0" tIns="45720" rIns="0" bIns="45720" anchor="t" anchorCtr="0" upright="1">
                                <a:noAutofit/>
                              </wps:bodyPr>
                            </wps:wsp>
                            <wps:wsp>
                              <wps:cNvPr id="398" name="文本框 196"/>
                              <wps:cNvSpPr txBox="1">
                                <a:spLocks noChangeArrowheads="1"/>
                              </wps:cNvSpPr>
                              <wps:spPr bwMode="auto">
                                <a:xfrm>
                                  <a:off x="3683384" y="3673360"/>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分段</w:t>
                                    </w:r>
                                  </w:p>
                                </w:txbxContent>
                              </wps:txbx>
                              <wps:bodyPr rot="0" vert="horz" wrap="square" lIns="91440" tIns="45720" rIns="91440" bIns="45720" anchor="t" anchorCtr="0" upright="1">
                                <a:noAutofit/>
                              </wps:bodyPr>
                            </wps:wsp>
                            <wps:wsp>
                              <wps:cNvPr id="399" name="文本框 196"/>
                              <wps:cNvSpPr txBox="1">
                                <a:spLocks noChangeArrowheads="1"/>
                              </wps:cNvSpPr>
                              <wps:spPr bwMode="auto">
                                <a:xfrm>
                                  <a:off x="2946784" y="3673360"/>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模切</w:t>
                                    </w:r>
                                  </w:p>
                                </w:txbxContent>
                              </wps:txbx>
                              <wps:bodyPr rot="0" vert="horz" wrap="square" lIns="91440" tIns="45720" rIns="91440" bIns="45720" anchor="t" anchorCtr="0" upright="1">
                                <a:noAutofit/>
                              </wps:bodyPr>
                            </wps:wsp>
                            <wps:wsp>
                              <wps:cNvPr id="400" name="文本框 196"/>
                              <wps:cNvSpPr txBox="1">
                                <a:spLocks noChangeArrowheads="1"/>
                              </wps:cNvSpPr>
                              <wps:spPr bwMode="auto">
                                <a:xfrm>
                                  <a:off x="2210184" y="3670493"/>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接驳</w:t>
                                    </w:r>
                                  </w:p>
                                </w:txbxContent>
                              </wps:txbx>
                              <wps:bodyPr rot="0" vert="horz" wrap="square" lIns="91440" tIns="45720" rIns="91440" bIns="45720" anchor="t" anchorCtr="0" upright="1">
                                <a:noAutofit/>
                              </wps:bodyPr>
                            </wps:wsp>
                            <wps:wsp>
                              <wps:cNvPr id="401" name="文本框 196"/>
                              <wps:cNvSpPr txBox="1">
                                <a:spLocks noChangeArrowheads="1"/>
                              </wps:cNvSpPr>
                              <wps:spPr bwMode="auto">
                                <a:xfrm>
                                  <a:off x="1473584" y="3673360"/>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切平</w:t>
                                    </w:r>
                                  </w:p>
                                </w:txbxContent>
                              </wps:txbx>
                              <wps:bodyPr rot="0" vert="horz" wrap="square" lIns="91440" tIns="45720" rIns="91440" bIns="45720" anchor="t" anchorCtr="0" upright="1">
                                <a:noAutofit/>
                              </wps:bodyPr>
                            </wps:wsp>
                            <wps:wsp>
                              <wps:cNvPr id="402" name="AutoShape 122"/>
                              <wps:cNvCnPr>
                                <a:cxnSpLocks noChangeShapeType="1"/>
                              </wps:cNvCnPr>
                              <wps:spPr bwMode="auto">
                                <a:xfrm flipV="1">
                                  <a:off x="1281814" y="3810788"/>
                                  <a:ext cx="203200" cy="0"/>
                                </a:xfrm>
                                <a:prstGeom prst="straightConnector1">
                                  <a:avLst/>
                                </a:prstGeom>
                                <a:noFill/>
                                <a:ln w="3175">
                                  <a:solidFill>
                                    <a:srgbClr val="000000"/>
                                  </a:solidFill>
                                  <a:round/>
                                  <a:tailEnd type="triangle" w="med" len="med"/>
                                </a:ln>
                                <a:effectLst/>
                              </wps:spPr>
                              <wps:bodyPr/>
                            </wps:wsp>
                            <wps:wsp>
                              <wps:cNvPr id="403" name="AutoShape 122"/>
                              <wps:cNvCnPr>
                                <a:cxnSpLocks noChangeShapeType="1"/>
                              </wps:cNvCnPr>
                              <wps:spPr bwMode="auto">
                                <a:xfrm flipV="1">
                                  <a:off x="2006984" y="3810788"/>
                                  <a:ext cx="203200" cy="0"/>
                                </a:xfrm>
                                <a:prstGeom prst="straightConnector1">
                                  <a:avLst/>
                                </a:prstGeom>
                                <a:noFill/>
                                <a:ln w="3175">
                                  <a:solidFill>
                                    <a:srgbClr val="000000"/>
                                  </a:solidFill>
                                  <a:round/>
                                  <a:tailEnd type="triangle" w="med" len="med"/>
                                </a:ln>
                                <a:effectLst/>
                              </wps:spPr>
                              <wps:bodyPr/>
                            </wps:wsp>
                            <wps:wsp>
                              <wps:cNvPr id="404" name="AutoShape 122"/>
                              <wps:cNvCnPr>
                                <a:cxnSpLocks noChangeShapeType="1"/>
                              </wps:cNvCnPr>
                              <wps:spPr bwMode="auto">
                                <a:xfrm flipV="1">
                                  <a:off x="2743584" y="3810909"/>
                                  <a:ext cx="203200" cy="0"/>
                                </a:xfrm>
                                <a:prstGeom prst="straightConnector1">
                                  <a:avLst/>
                                </a:prstGeom>
                                <a:noFill/>
                                <a:ln w="3175">
                                  <a:solidFill>
                                    <a:srgbClr val="000000"/>
                                  </a:solidFill>
                                  <a:round/>
                                  <a:tailEnd type="triangle" w="med" len="med"/>
                                </a:ln>
                                <a:effectLst/>
                              </wps:spPr>
                              <wps:bodyPr/>
                            </wps:wsp>
                            <wps:wsp>
                              <wps:cNvPr id="405" name="AutoShape 122"/>
                              <wps:cNvCnPr>
                                <a:cxnSpLocks noChangeShapeType="1"/>
                              </wps:cNvCnPr>
                              <wps:spPr bwMode="auto">
                                <a:xfrm flipV="1">
                                  <a:off x="3480184" y="3803289"/>
                                  <a:ext cx="203200" cy="0"/>
                                </a:xfrm>
                                <a:prstGeom prst="straightConnector1">
                                  <a:avLst/>
                                </a:prstGeom>
                                <a:noFill/>
                                <a:ln w="3175">
                                  <a:solidFill>
                                    <a:srgbClr val="000000"/>
                                  </a:solidFill>
                                  <a:round/>
                                  <a:tailEnd type="triangle" w="med" len="med"/>
                                </a:ln>
                                <a:effectLst/>
                              </wps:spPr>
                              <wps:bodyPr/>
                            </wps:wsp>
                            <wps:wsp>
                              <wps:cNvPr id="406" name="AutoShape 122"/>
                              <wps:cNvCnPr>
                                <a:cxnSpLocks noChangeShapeType="1"/>
                              </wps:cNvCnPr>
                              <wps:spPr bwMode="auto">
                                <a:xfrm flipV="1">
                                  <a:off x="2215514" y="876978"/>
                                  <a:ext cx="203200" cy="0"/>
                                </a:xfrm>
                                <a:prstGeom prst="straightConnector1">
                                  <a:avLst/>
                                </a:prstGeom>
                                <a:noFill/>
                                <a:ln w="3175">
                                  <a:solidFill>
                                    <a:srgbClr val="000000"/>
                                  </a:solidFill>
                                  <a:round/>
                                  <a:tailEnd type="triangle" w="med" len="med"/>
                                </a:ln>
                                <a:effectLst/>
                              </wps:spPr>
                              <wps:bodyPr/>
                            </wps:wsp>
                            <wps:wsp>
                              <wps:cNvPr id="407" name="AutoShape 122"/>
                              <wps:cNvCnPr>
                                <a:cxnSpLocks noChangeShapeType="1"/>
                              </wps:cNvCnPr>
                              <wps:spPr bwMode="auto">
                                <a:xfrm flipV="1">
                                  <a:off x="2321693" y="2264473"/>
                                  <a:ext cx="203200" cy="0"/>
                                </a:xfrm>
                                <a:prstGeom prst="straightConnector1">
                                  <a:avLst/>
                                </a:prstGeom>
                                <a:noFill/>
                                <a:ln w="3175">
                                  <a:solidFill>
                                    <a:srgbClr val="000000"/>
                                  </a:solidFill>
                                  <a:round/>
                                  <a:tailEnd type="triangle" w="med" len="med"/>
                                </a:ln>
                                <a:effectLst/>
                              </wps:spPr>
                              <wps:bodyPr/>
                            </wps:wsp>
                            <wps:wsp>
                              <wps:cNvPr id="408" name="文本框 196"/>
                              <wps:cNvSpPr txBox="1">
                                <a:spLocks noChangeArrowheads="1"/>
                              </wps:cNvSpPr>
                              <wps:spPr bwMode="auto">
                                <a:xfrm>
                                  <a:off x="1788293" y="2134775"/>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植皮</w:t>
                                    </w:r>
                                  </w:p>
                                </w:txbxContent>
                              </wps:txbx>
                              <wps:bodyPr rot="0" vert="horz" wrap="square" lIns="91440" tIns="45720" rIns="91440" bIns="45720" anchor="t" anchorCtr="0" upright="1">
                                <a:noAutofit/>
                              </wps:bodyPr>
                            </wps:wsp>
                            <wps:wsp>
                              <wps:cNvPr id="409" name="直接箭头连接符 409"/>
                              <wps:cNvCnPr/>
                              <wps:spPr>
                                <a:xfrm flipV="1">
                                  <a:off x="2054993" y="1852925"/>
                                  <a:ext cx="0" cy="28185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10" name="直接箭头连接符 410"/>
                              <wps:cNvCnPr/>
                              <wps:spPr>
                                <a:xfrm flipV="1">
                                  <a:off x="4942840" y="516898"/>
                                  <a:ext cx="0" cy="3219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12" name="直接箭头连接符 412"/>
                              <wps:cNvCnPr/>
                              <wps:spPr>
                                <a:xfrm flipH="1">
                                  <a:off x="2646680" y="1027847"/>
                                  <a:ext cx="1905" cy="28067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14" name="AutoShape 121"/>
                              <wps:cNvSpPr>
                                <a:spLocks noChangeArrowheads="1"/>
                              </wps:cNvSpPr>
                              <wps:spPr bwMode="auto">
                                <a:xfrm>
                                  <a:off x="892307" y="2134775"/>
                                  <a:ext cx="586740" cy="322712"/>
                                </a:xfrm>
                                <a:prstGeom prst="flowChartProcess">
                                  <a:avLst/>
                                </a:prstGeom>
                                <a:noFill/>
                                <a:ln>
                                  <a:noFill/>
                                </a:ln>
                                <a:effectLst/>
                              </wps:spPr>
                              <wps:txbx>
                                <w:txbxContent>
                                  <w:p>
                                    <w:pPr>
                                      <w:jc w:val="center"/>
                                      <w:rPr>
                                        <w:szCs w:val="21"/>
                                      </w:rPr>
                                    </w:pPr>
                                    <w:r>
                                      <w:rPr>
                                        <w:szCs w:val="21"/>
                                      </w:rPr>
                                      <w:t>ABS底板</w:t>
                                    </w:r>
                                  </w:p>
                                </w:txbxContent>
                              </wps:txbx>
                              <wps:bodyPr rot="0" vert="horz" wrap="square" lIns="0" tIns="45720" rIns="0" bIns="45720" anchor="t" anchorCtr="0" upright="1">
                                <a:noAutofit/>
                              </wps:bodyPr>
                            </wps:wsp>
                            <wps:wsp>
                              <wps:cNvPr id="433" name="AutoShape 122"/>
                              <wps:cNvCnPr>
                                <a:cxnSpLocks noChangeShapeType="1"/>
                              </wps:cNvCnPr>
                              <wps:spPr bwMode="auto">
                                <a:xfrm flipV="1">
                                  <a:off x="2968624" y="886614"/>
                                  <a:ext cx="205740" cy="635"/>
                                </a:xfrm>
                                <a:prstGeom prst="straightConnector1">
                                  <a:avLst/>
                                </a:prstGeom>
                                <a:noFill/>
                                <a:ln w="3175">
                                  <a:solidFill>
                                    <a:srgbClr val="000000"/>
                                  </a:solidFill>
                                  <a:round/>
                                  <a:tailEnd type="triangle" w="med" len="med"/>
                                </a:ln>
                                <a:effectLst/>
                              </wps:spPr>
                              <wps:bodyPr/>
                            </wps:wsp>
                            <wps:wsp>
                              <wps:cNvPr id="434" name="文本框 13"/>
                              <wps:cNvSpPr txBox="1">
                                <a:spLocks noChangeArrowheads="1"/>
                              </wps:cNvSpPr>
                              <wps:spPr bwMode="auto">
                                <a:xfrm>
                                  <a:off x="2418714" y="755397"/>
                                  <a:ext cx="544195" cy="273685"/>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贴合</w:t>
                                    </w:r>
                                  </w:p>
                                </w:txbxContent>
                              </wps:txbx>
                              <wps:bodyPr rot="0" vert="horz" wrap="square" lIns="91440" tIns="45720" rIns="91440" bIns="45720" anchor="t" anchorCtr="0" upright="1">
                                <a:noAutofit/>
                              </wps:bodyPr>
                            </wps:wsp>
                            <wps:wsp>
                              <wps:cNvPr id="435" name="AutoShape 124"/>
                              <wps:cNvSpPr>
                                <a:spLocks noChangeArrowheads="1"/>
                              </wps:cNvSpPr>
                              <wps:spPr bwMode="auto">
                                <a:xfrm>
                                  <a:off x="3174364" y="755397"/>
                                  <a:ext cx="482600" cy="272450"/>
                                </a:xfrm>
                                <a:prstGeom prst="flowChartProcess">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裁切</w:t>
                                    </w:r>
                                  </w:p>
                                </w:txbxContent>
                              </wps:txbx>
                              <wps:bodyPr rot="0" vert="horz" wrap="square" lIns="0" tIns="45720" rIns="0" bIns="45720" anchor="t" anchorCtr="0" upright="1">
                                <a:noAutofit/>
                              </wps:bodyPr>
                            </wps:wsp>
                            <wps:wsp>
                              <wps:cNvPr id="445" name="AutoShape 122"/>
                              <wps:cNvCnPr>
                                <a:cxnSpLocks noChangeShapeType="1"/>
                              </wps:cNvCnPr>
                              <wps:spPr bwMode="auto">
                                <a:xfrm>
                                  <a:off x="1535563" y="2275380"/>
                                  <a:ext cx="236855" cy="635"/>
                                </a:xfrm>
                                <a:prstGeom prst="straightConnector1">
                                  <a:avLst/>
                                </a:prstGeom>
                                <a:noFill/>
                                <a:ln w="3175">
                                  <a:solidFill>
                                    <a:srgbClr val="000000"/>
                                  </a:solidFill>
                                  <a:round/>
                                  <a:tailEnd type="triangle" w="med" len="med"/>
                                </a:ln>
                                <a:effectLst/>
                              </wps:spPr>
                              <wps:bodyPr/>
                            </wps:wsp>
                            <wps:wsp>
                              <wps:cNvPr id="446" name="AutoShape 122"/>
                              <wps:cNvCnPr>
                                <a:cxnSpLocks noChangeShapeType="1"/>
                              </wps:cNvCnPr>
                              <wps:spPr bwMode="auto">
                                <a:xfrm>
                                  <a:off x="3757428" y="2249005"/>
                                  <a:ext cx="236855" cy="635"/>
                                </a:xfrm>
                                <a:prstGeom prst="straightConnector1">
                                  <a:avLst/>
                                </a:prstGeom>
                                <a:noFill/>
                                <a:ln w="3175">
                                  <a:solidFill>
                                    <a:srgbClr val="000000"/>
                                  </a:solidFill>
                                  <a:round/>
                                  <a:tailEnd type="triangle" w="med" len="med"/>
                                </a:ln>
                                <a:effectLst/>
                              </wps:spPr>
                              <wps:bodyPr/>
                            </wps:wsp>
                            <wps:wsp>
                              <wps:cNvPr id="447" name="AutoShape 122"/>
                              <wps:cNvCnPr>
                                <a:cxnSpLocks noChangeShapeType="1"/>
                              </wps:cNvCnPr>
                              <wps:spPr bwMode="auto">
                                <a:xfrm>
                                  <a:off x="4466383" y="2263838"/>
                                  <a:ext cx="236855" cy="635"/>
                                </a:xfrm>
                                <a:prstGeom prst="straightConnector1">
                                  <a:avLst/>
                                </a:prstGeom>
                                <a:noFill/>
                                <a:ln w="3175">
                                  <a:solidFill>
                                    <a:srgbClr val="000000"/>
                                  </a:solidFill>
                                  <a:round/>
                                  <a:tailEnd type="triangle" w="med" len="med"/>
                                </a:ln>
                                <a:effectLst/>
                              </wps:spPr>
                              <wps:bodyPr/>
                            </wps:wsp>
                            <wps:wsp>
                              <wps:cNvPr id="448" name="AutoShape 124"/>
                              <wps:cNvSpPr>
                                <a:spLocks noChangeArrowheads="1"/>
                              </wps:cNvSpPr>
                              <wps:spPr bwMode="auto">
                                <a:xfrm>
                                  <a:off x="3994283" y="2112214"/>
                                  <a:ext cx="482600"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检验</w:t>
                                    </w:r>
                                  </w:p>
                                </w:txbxContent>
                              </wps:txbx>
                              <wps:bodyPr rot="0" vert="horz" wrap="square" lIns="0" tIns="45720" rIns="0" bIns="45720" anchor="t" anchorCtr="0" upright="1">
                                <a:noAutofit/>
                              </wps:bodyPr>
                            </wps:wsp>
                            <wps:wsp>
                              <wps:cNvPr id="450" name="肘形连接符 450"/>
                              <wps:cNvCnPr>
                                <a:stCxn id="398" idx="0"/>
                                <a:endCxn id="408" idx="2"/>
                              </wps:cNvCnPr>
                              <wps:spPr>
                                <a:xfrm rot="16200000" flipV="1">
                                  <a:off x="2373582" y="2096857"/>
                                  <a:ext cx="1257915" cy="189509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1" name="AutoShape 122"/>
                              <wps:cNvCnPr>
                                <a:cxnSpLocks noChangeShapeType="1"/>
                              </wps:cNvCnPr>
                              <wps:spPr bwMode="auto">
                                <a:xfrm flipV="1">
                                  <a:off x="4376419" y="875708"/>
                                  <a:ext cx="205740" cy="635"/>
                                </a:xfrm>
                                <a:prstGeom prst="straightConnector1">
                                  <a:avLst/>
                                </a:prstGeom>
                                <a:noFill/>
                                <a:ln w="3175">
                                  <a:solidFill>
                                    <a:srgbClr val="000000"/>
                                  </a:solidFill>
                                  <a:round/>
                                  <a:tailEnd type="triangle" w="med" len="med"/>
                                </a:ln>
                                <a:effectLst/>
                              </wps:spPr>
                              <wps:bodyPr/>
                            </wps:wsp>
                            <wps:wsp>
                              <wps:cNvPr id="452" name="AutoShape 121"/>
                              <wps:cNvSpPr>
                                <a:spLocks noChangeArrowheads="1"/>
                              </wps:cNvSpPr>
                              <wps:spPr bwMode="auto">
                                <a:xfrm>
                                  <a:off x="2324322" y="2672966"/>
                                  <a:ext cx="1003935" cy="322712"/>
                                </a:xfrm>
                                <a:prstGeom prst="flowChartProcess">
                                  <a:avLst/>
                                </a:prstGeom>
                                <a:noFill/>
                                <a:ln>
                                  <a:noFill/>
                                </a:ln>
                                <a:effectLst/>
                              </wps:spPr>
                              <wps:txbx>
                                <w:txbxContent>
                                  <w:p>
                                    <w:pPr>
                                      <w:jc w:val="center"/>
                                      <w:rPr>
                                        <w:szCs w:val="21"/>
                                      </w:rPr>
                                    </w:pPr>
                                    <w:r>
                                      <w:rPr>
                                        <w:rFonts w:hint="eastAsia"/>
                                        <w:szCs w:val="21"/>
                                      </w:rPr>
                                      <w:t>尼龙布料、</w:t>
                                    </w:r>
                                    <w:r>
                                      <w:rPr>
                                        <w:szCs w:val="21"/>
                                      </w:rPr>
                                      <w:t>胶水</w:t>
                                    </w:r>
                                  </w:p>
                                </w:txbxContent>
                              </wps:txbx>
                              <wps:bodyPr rot="0" vert="horz" wrap="square" lIns="0" tIns="45720" rIns="0" bIns="45720" anchor="t" anchorCtr="0" upright="1">
                                <a:noAutofit/>
                              </wps:bodyPr>
                            </wps:wsp>
                            <wps:wsp>
                              <wps:cNvPr id="473" name="AutoShape 124"/>
                              <wps:cNvSpPr>
                                <a:spLocks noChangeArrowheads="1"/>
                              </wps:cNvSpPr>
                              <wps:spPr bwMode="auto">
                                <a:xfrm>
                                  <a:off x="4582159" y="740542"/>
                                  <a:ext cx="767080" cy="275590"/>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包装出货</w:t>
                                    </w:r>
                                  </w:p>
                                </w:txbxContent>
                              </wps:txbx>
                              <wps:bodyPr rot="0" vert="horz" wrap="square" lIns="0" tIns="45720" rIns="0" bIns="45720" anchor="t" anchorCtr="0" upright="1">
                                <a:noAutofit/>
                              </wps:bodyPr>
                            </wps:wsp>
                            <wps:wsp>
                              <wps:cNvPr id="474" name="AutoShape 121"/>
                              <wps:cNvSpPr>
                                <a:spLocks noChangeArrowheads="1"/>
                              </wps:cNvSpPr>
                              <wps:spPr bwMode="auto">
                                <a:xfrm>
                                  <a:off x="7620" y="4805045"/>
                                  <a:ext cx="586740" cy="322580"/>
                                </a:xfrm>
                                <a:prstGeom prst="flowChartProcess">
                                  <a:avLst/>
                                </a:prstGeom>
                                <a:solidFill>
                                  <a:srgbClr val="FFFFFF"/>
                                </a:solidFill>
                                <a:ln>
                                  <a:noFill/>
                                </a:ln>
                                <a:effectLst/>
                              </wps:spPr>
                              <wps:txbx>
                                <w:txbxContent>
                                  <w:p>
                                    <w:pPr>
                                      <w:pStyle w:val="25"/>
                                      <w:spacing w:before="0" w:beforeAutospacing="0" w:after="0" w:afterAutospacing="0"/>
                                      <w:jc w:val="center"/>
                                      <w:rPr>
                                        <w:szCs w:val="24"/>
                                      </w:rPr>
                                    </w:pPr>
                                    <w:r>
                                      <w:rPr>
                                        <w:rFonts w:ascii="Times New Roman" w:hAnsi="Times New Roman"/>
                                        <w:kern w:val="2"/>
                                        <w:sz w:val="21"/>
                                        <w:szCs w:val="21"/>
                                      </w:rPr>
                                      <w:t>ABS</w:t>
                                    </w:r>
                                    <w:r>
                                      <w:rPr>
                                        <w:rFonts w:hint="eastAsia" w:ascii="Times New Roman"/>
                                        <w:kern w:val="2"/>
                                        <w:sz w:val="21"/>
                                        <w:szCs w:val="21"/>
                                      </w:rPr>
                                      <w:t>底板</w:t>
                                    </w:r>
                                  </w:p>
                                </w:txbxContent>
                              </wps:txbx>
                              <wps:bodyPr rot="0" vert="horz" wrap="square" lIns="0" tIns="45720" rIns="0" bIns="45720" anchor="t" anchorCtr="0" upright="1">
                                <a:noAutofit/>
                              </wps:bodyPr>
                            </wps:wsp>
                            <wps:wsp>
                              <wps:cNvPr id="475" name="AutoShape 122"/>
                              <wps:cNvCnPr>
                                <a:cxnSpLocks noChangeShapeType="1"/>
                              </wps:cNvCnPr>
                              <wps:spPr bwMode="auto">
                                <a:xfrm flipV="1">
                                  <a:off x="1375159" y="4954270"/>
                                  <a:ext cx="205740" cy="635"/>
                                </a:xfrm>
                                <a:prstGeom prst="straightConnector1">
                                  <a:avLst/>
                                </a:prstGeom>
                                <a:noFill/>
                                <a:ln w="3175">
                                  <a:solidFill>
                                    <a:srgbClr val="000000"/>
                                  </a:solidFill>
                                  <a:round/>
                                  <a:tailEnd type="triangle" w="med" len="med"/>
                                </a:ln>
                                <a:effectLst/>
                              </wps:spPr>
                              <wps:bodyPr/>
                            </wps:wsp>
                            <wps:wsp>
                              <wps:cNvPr id="476" name="AutoShape 124"/>
                              <wps:cNvSpPr>
                                <a:spLocks noChangeArrowheads="1"/>
                              </wps:cNvSpPr>
                              <wps:spPr bwMode="auto">
                                <a:xfrm>
                                  <a:off x="4335824" y="4838700"/>
                                  <a:ext cx="482600"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检验</w:t>
                                    </w:r>
                                  </w:p>
                                </w:txbxContent>
                              </wps:txbx>
                              <wps:bodyPr rot="0" vert="horz" wrap="square" lIns="0" tIns="45720" rIns="0" bIns="45720" anchor="t" anchorCtr="0" upright="1">
                                <a:noAutofit/>
                              </wps:bodyPr>
                            </wps:wsp>
                            <wps:wsp>
                              <wps:cNvPr id="477" name="AutoShape 125"/>
                              <wps:cNvCnPr>
                                <a:cxnSpLocks noChangeShapeType="1"/>
                              </wps:cNvCnPr>
                              <wps:spPr bwMode="auto">
                                <a:xfrm flipV="1">
                                  <a:off x="1823130" y="4587875"/>
                                  <a:ext cx="0" cy="241300"/>
                                </a:xfrm>
                                <a:prstGeom prst="straightConnector1">
                                  <a:avLst/>
                                </a:prstGeom>
                                <a:noFill/>
                                <a:ln w="9525">
                                  <a:solidFill>
                                    <a:srgbClr val="000000"/>
                                  </a:solidFill>
                                  <a:prstDash val="dash"/>
                                  <a:round/>
                                  <a:tailEnd type="triangle" w="med" len="med"/>
                                </a:ln>
                                <a:effectLst/>
                              </wps:spPr>
                              <wps:bodyPr/>
                            </wps:wsp>
                            <wps:wsp>
                              <wps:cNvPr id="478" name="AutoShape 126"/>
                              <wps:cNvSpPr>
                                <a:spLocks noChangeArrowheads="1"/>
                              </wps:cNvSpPr>
                              <wps:spPr bwMode="auto">
                                <a:xfrm>
                                  <a:off x="2600457" y="4311015"/>
                                  <a:ext cx="743423" cy="288925"/>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hAnsi="Times New Roman"/>
                                        <w:kern w:val="2"/>
                                        <w:sz w:val="21"/>
                                        <w:szCs w:val="21"/>
                                      </w:rPr>
                                      <w:t>、</w:t>
                                    </w:r>
                                    <w:r>
                                      <w:rPr>
                                        <w:rFonts w:ascii="Times New Roman" w:hAnsi="Times New Roman"/>
                                        <w:kern w:val="2"/>
                                        <w:sz w:val="21"/>
                                        <w:szCs w:val="21"/>
                                      </w:rPr>
                                      <w:t>G</w:t>
                                    </w:r>
                                    <w:r>
                                      <w:rPr>
                                        <w:rFonts w:ascii="Times New Roman" w:hAnsi="Times New Roman"/>
                                        <w:kern w:val="2"/>
                                        <w:position w:val="-5"/>
                                        <w:sz w:val="21"/>
                                        <w:szCs w:val="21"/>
                                        <w:vertAlign w:val="subscript"/>
                                      </w:rPr>
                                      <w:t>1</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2</w:t>
                                    </w:r>
                                  </w:p>
                                  <w:p>
                                    <w:pPr>
                                      <w:pStyle w:val="25"/>
                                      <w:spacing w:before="0" w:beforeAutospacing="0" w:after="0" w:afterAutospacing="0"/>
                                      <w:jc w:val="both"/>
                                    </w:pPr>
                                    <w:r>
                                      <w:rPr>
                                        <w:rFonts w:ascii="Times New Roman" w:hAnsi="Times New Roman"/>
                                        <w:kern w:val="2"/>
                                        <w:sz w:val="21"/>
                                        <w:szCs w:val="21"/>
                                      </w:rPr>
                                      <w:t>2</w:t>
                                    </w:r>
                                  </w:p>
                                </w:txbxContent>
                              </wps:txbx>
                              <wps:bodyPr rot="0" vert="horz" wrap="square" lIns="0" tIns="45720" rIns="0" bIns="45720" anchor="t" anchorCtr="0" upright="1">
                                <a:noAutofit/>
                              </wps:bodyPr>
                            </wps:wsp>
                            <wps:wsp>
                              <wps:cNvPr id="479" name="AutoShape 122"/>
                              <wps:cNvCnPr>
                                <a:cxnSpLocks noChangeShapeType="1"/>
                              </wps:cNvCnPr>
                              <wps:spPr bwMode="auto">
                                <a:xfrm flipH="1">
                                  <a:off x="1247820" y="5090795"/>
                                  <a:ext cx="5080" cy="254000"/>
                                </a:xfrm>
                                <a:prstGeom prst="straightConnector1">
                                  <a:avLst/>
                                </a:prstGeom>
                                <a:noFill/>
                                <a:ln w="3175">
                                  <a:solidFill>
                                    <a:srgbClr val="000000"/>
                                  </a:solidFill>
                                  <a:round/>
                                  <a:headEnd type="triangle" w="med" len="med"/>
                                </a:ln>
                                <a:effectLst/>
                              </wps:spPr>
                              <wps:bodyPr/>
                            </wps:wsp>
                            <wps:wsp>
                              <wps:cNvPr id="480" name="AutoShape 122"/>
                              <wps:cNvCnPr>
                                <a:cxnSpLocks noChangeShapeType="1"/>
                              </wps:cNvCnPr>
                              <wps:spPr bwMode="auto">
                                <a:xfrm flipV="1">
                                  <a:off x="632845" y="4954905"/>
                                  <a:ext cx="203200" cy="0"/>
                                </a:xfrm>
                                <a:prstGeom prst="straightConnector1">
                                  <a:avLst/>
                                </a:prstGeom>
                                <a:noFill/>
                                <a:ln w="3175">
                                  <a:solidFill>
                                    <a:srgbClr val="000000"/>
                                  </a:solidFill>
                                  <a:round/>
                                  <a:tailEnd type="triangle" w="med" len="med"/>
                                </a:ln>
                                <a:effectLst/>
                              </wps:spPr>
                              <wps:bodyPr/>
                            </wps:wsp>
                            <wps:wsp>
                              <wps:cNvPr id="481" name="文本框 196"/>
                              <wps:cNvSpPr txBox="1">
                                <a:spLocks noChangeArrowheads="1"/>
                              </wps:cNvSpPr>
                              <wps:spPr bwMode="auto">
                                <a:xfrm>
                                  <a:off x="836045" y="4819015"/>
                                  <a:ext cx="533400" cy="28067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植毛</w:t>
                                    </w:r>
                                  </w:p>
                                </w:txbxContent>
                              </wps:txbx>
                              <wps:bodyPr rot="0" vert="horz" wrap="square" lIns="91440" tIns="45720" rIns="91440" bIns="45720" anchor="t" anchorCtr="0" upright="1">
                                <a:noAutofit/>
                              </wps:bodyPr>
                            </wps:wsp>
                            <wps:wsp>
                              <wps:cNvPr id="482" name="文本框 197"/>
                              <wps:cNvSpPr txBox="1">
                                <a:spLocks noChangeArrowheads="1"/>
                              </wps:cNvSpPr>
                              <wps:spPr bwMode="auto">
                                <a:xfrm>
                                  <a:off x="1563119" y="4829175"/>
                                  <a:ext cx="470196" cy="29210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修毛</w:t>
                                    </w:r>
                                  </w:p>
                                </w:txbxContent>
                              </wps:txbx>
                              <wps:bodyPr rot="0" vert="horz" wrap="square" lIns="91440" tIns="45720" rIns="91440" bIns="45720" anchor="t" anchorCtr="0" upright="1">
                                <a:noAutofit/>
                              </wps:bodyPr>
                            </wps:wsp>
                            <wps:wsp>
                              <wps:cNvPr id="483" name="文本框 198"/>
                              <wps:cNvSpPr txBox="1">
                                <a:spLocks noChangeArrowheads="1"/>
                              </wps:cNvSpPr>
                              <wps:spPr bwMode="auto">
                                <a:xfrm>
                                  <a:off x="882060" y="5345430"/>
                                  <a:ext cx="723265" cy="420370"/>
                                </a:xfrm>
                                <a:prstGeom prst="rect">
                                  <a:avLst/>
                                </a:prstGeom>
                                <a:solidFill>
                                  <a:srgbClr val="FFFFFF"/>
                                </a:solidFill>
                                <a:ln w="9525">
                                  <a:noFill/>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PP</w:t>
                                    </w:r>
                                    <w:r>
                                      <w:rPr>
                                        <w:rFonts w:hint="eastAsia" w:ascii="Times New Roman"/>
                                        <w:kern w:val="2"/>
                                        <w:sz w:val="21"/>
                                        <w:szCs w:val="21"/>
                                      </w:rPr>
                                      <w:t>胶丝、铁丝</w:t>
                                    </w:r>
                                  </w:p>
                                </w:txbxContent>
                              </wps:txbx>
                              <wps:bodyPr rot="0" vert="horz" wrap="square" lIns="91440" tIns="45720" rIns="91440" bIns="45720" anchor="t" anchorCtr="0" upright="1">
                                <a:noAutofit/>
                              </wps:bodyPr>
                            </wps:wsp>
                            <wps:wsp>
                              <wps:cNvPr id="484" name="AutoShape 126"/>
                              <wps:cNvSpPr>
                                <a:spLocks noChangeArrowheads="1"/>
                              </wps:cNvSpPr>
                              <wps:spPr bwMode="auto">
                                <a:xfrm>
                                  <a:off x="882060" y="4311015"/>
                                  <a:ext cx="41910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485" name="AutoShape 126"/>
                              <wps:cNvSpPr>
                                <a:spLocks noChangeArrowheads="1"/>
                              </wps:cNvSpPr>
                              <wps:spPr bwMode="auto">
                                <a:xfrm>
                                  <a:off x="1626959" y="4301440"/>
                                  <a:ext cx="41910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486" name="AutoShape 125"/>
                              <wps:cNvCnPr>
                                <a:cxnSpLocks noChangeShapeType="1"/>
                              </wps:cNvCnPr>
                              <wps:spPr bwMode="auto">
                                <a:xfrm flipV="1">
                                  <a:off x="1087165" y="4577715"/>
                                  <a:ext cx="0" cy="241300"/>
                                </a:xfrm>
                                <a:prstGeom prst="straightConnector1">
                                  <a:avLst/>
                                </a:prstGeom>
                                <a:noFill/>
                                <a:ln w="9525">
                                  <a:solidFill>
                                    <a:srgbClr val="000000"/>
                                  </a:solidFill>
                                  <a:prstDash val="dash"/>
                                  <a:round/>
                                  <a:tailEnd type="triangle" w="med" len="med"/>
                                </a:ln>
                                <a:effectLst/>
                              </wps:spPr>
                              <wps:bodyPr/>
                            </wps:wsp>
                            <wps:wsp>
                              <wps:cNvPr id="488" name="AutoShape 122"/>
                              <wps:cNvCnPr>
                                <a:cxnSpLocks noChangeShapeType="1"/>
                              </wps:cNvCnPr>
                              <wps:spPr bwMode="auto">
                                <a:xfrm>
                                  <a:off x="4098969" y="4966970"/>
                                  <a:ext cx="236855" cy="635"/>
                                </a:xfrm>
                                <a:prstGeom prst="straightConnector1">
                                  <a:avLst/>
                                </a:prstGeom>
                                <a:noFill/>
                                <a:ln w="3175">
                                  <a:solidFill>
                                    <a:srgbClr val="000000"/>
                                  </a:solidFill>
                                  <a:round/>
                                  <a:tailEnd type="triangle" w="med" len="med"/>
                                </a:ln>
                                <a:effectLst/>
                              </wps:spPr>
                              <wps:bodyPr/>
                            </wps:wsp>
                            <wps:wsp>
                              <wps:cNvPr id="489" name="AutoShape 125"/>
                              <wps:cNvCnPr>
                                <a:cxnSpLocks noChangeShapeType="1"/>
                              </wps:cNvCnPr>
                              <wps:spPr bwMode="auto">
                                <a:xfrm flipV="1">
                                  <a:off x="3864950" y="4615815"/>
                                  <a:ext cx="0" cy="241300"/>
                                </a:xfrm>
                                <a:prstGeom prst="straightConnector1">
                                  <a:avLst/>
                                </a:prstGeom>
                                <a:noFill/>
                                <a:ln w="9525">
                                  <a:solidFill>
                                    <a:srgbClr val="000000"/>
                                  </a:solidFill>
                                  <a:prstDash val="dash"/>
                                  <a:round/>
                                  <a:tailEnd type="triangle" w="med" len="med"/>
                                </a:ln>
                                <a:effectLst/>
                              </wps:spPr>
                              <wps:bodyPr/>
                            </wps:wsp>
                            <wps:wsp>
                              <wps:cNvPr id="490" name="AutoShape 126"/>
                              <wps:cNvSpPr>
                                <a:spLocks noChangeArrowheads="1"/>
                              </wps:cNvSpPr>
                              <wps:spPr bwMode="auto">
                                <a:xfrm>
                                  <a:off x="3694652" y="4311015"/>
                                  <a:ext cx="429377" cy="28829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hAns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492" name="AutoShape 125"/>
                              <wps:cNvCnPr>
                                <a:cxnSpLocks noChangeShapeType="1"/>
                              </wps:cNvCnPr>
                              <wps:spPr bwMode="auto">
                                <a:xfrm flipV="1">
                                  <a:off x="4588554" y="4599940"/>
                                  <a:ext cx="0" cy="241300"/>
                                </a:xfrm>
                                <a:prstGeom prst="straightConnector1">
                                  <a:avLst/>
                                </a:prstGeom>
                                <a:noFill/>
                                <a:ln w="9525">
                                  <a:solidFill>
                                    <a:srgbClr val="000000"/>
                                  </a:solidFill>
                                  <a:prstDash val="dash"/>
                                  <a:round/>
                                  <a:tailEnd type="triangle" w="med" len="med"/>
                                </a:ln>
                                <a:effectLst/>
                              </wps:spPr>
                              <wps:bodyPr/>
                            </wps:wsp>
                            <wps:wsp>
                              <wps:cNvPr id="493" name="AutoShape 126"/>
                              <wps:cNvSpPr>
                                <a:spLocks noChangeArrowheads="1"/>
                              </wps:cNvSpPr>
                              <wps:spPr bwMode="auto">
                                <a:xfrm>
                                  <a:off x="4404994" y="4311015"/>
                                  <a:ext cx="421005" cy="28829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wps:txbx>
                              <wps:bodyPr rot="0" vert="horz" wrap="square" lIns="0" tIns="45720" rIns="0" bIns="45720" anchor="t" anchorCtr="0" upright="1">
                                <a:noAutofit/>
                              </wps:bodyPr>
                            </wps:wsp>
                            <wps:wsp>
                              <wps:cNvPr id="494" name="AutoShape 121"/>
                              <wps:cNvSpPr>
                                <a:spLocks noChangeArrowheads="1"/>
                              </wps:cNvSpPr>
                              <wps:spPr bwMode="auto">
                                <a:xfrm>
                                  <a:off x="2574039" y="5372100"/>
                                  <a:ext cx="1091565" cy="322580"/>
                                </a:xfrm>
                                <a:prstGeom prst="flowChartProcess">
                                  <a:avLst/>
                                </a:prstGeom>
                                <a:noFill/>
                                <a:ln>
                                  <a:noFill/>
                                </a:ln>
                                <a:effectLst/>
                              </wps:spPr>
                              <wps:txbx>
                                <w:txbxContent>
                                  <w:p>
                                    <w:pPr>
                                      <w:pStyle w:val="25"/>
                                      <w:spacing w:before="0" w:beforeAutospacing="0" w:after="0" w:afterAutospacing="0"/>
                                      <w:jc w:val="center"/>
                                      <w:rPr>
                                        <w:szCs w:val="24"/>
                                      </w:rPr>
                                    </w:pPr>
                                    <w:r>
                                      <w:rPr>
                                        <w:rFonts w:hint="eastAsia" w:ascii="Times New Roman"/>
                                        <w:kern w:val="2"/>
                                        <w:sz w:val="21"/>
                                        <w:szCs w:val="21"/>
                                      </w:rPr>
                                      <w:t>尼龙布料、胶水</w:t>
                                    </w:r>
                                  </w:p>
                                </w:txbxContent>
                              </wps:txbx>
                              <wps:bodyPr rot="0" vert="horz" wrap="square" lIns="0" tIns="45720" rIns="0" bIns="45720" anchor="t" anchorCtr="0" upright="1">
                                <a:noAutofit/>
                              </wps:bodyPr>
                            </wps:wsp>
                            <wps:wsp>
                              <wps:cNvPr id="495" name="AutoShape 122"/>
                              <wps:cNvCnPr>
                                <a:cxnSpLocks noChangeShapeType="1"/>
                              </wps:cNvCnPr>
                              <wps:spPr bwMode="auto">
                                <a:xfrm flipV="1">
                                  <a:off x="2037125" y="4979670"/>
                                  <a:ext cx="203200" cy="0"/>
                                </a:xfrm>
                                <a:prstGeom prst="straightConnector1">
                                  <a:avLst/>
                                </a:prstGeom>
                                <a:noFill/>
                                <a:ln w="3175">
                                  <a:solidFill>
                                    <a:srgbClr val="000000"/>
                                  </a:solidFill>
                                  <a:round/>
                                  <a:tailEnd type="triangle" w="med" len="med"/>
                                </a:ln>
                                <a:effectLst/>
                              </wps:spPr>
                              <wps:bodyPr/>
                            </wps:wsp>
                            <wps:wsp>
                              <wps:cNvPr id="497" name="直接箭头连接符 497"/>
                              <wps:cNvCnPr/>
                              <wps:spPr>
                                <a:xfrm flipH="1">
                                  <a:off x="3174704" y="5136515"/>
                                  <a:ext cx="1905" cy="28067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98" name="AutoShape 122"/>
                              <wps:cNvCnPr>
                                <a:cxnSpLocks noChangeShapeType="1"/>
                              </wps:cNvCnPr>
                              <wps:spPr bwMode="auto">
                                <a:xfrm flipV="1">
                                  <a:off x="3422694" y="4980940"/>
                                  <a:ext cx="205740" cy="635"/>
                                </a:xfrm>
                                <a:prstGeom prst="straightConnector1">
                                  <a:avLst/>
                                </a:prstGeom>
                                <a:noFill/>
                                <a:ln w="3175">
                                  <a:solidFill>
                                    <a:srgbClr val="000000"/>
                                  </a:solidFill>
                                  <a:round/>
                                  <a:tailEnd type="triangle" w="med" len="med"/>
                                </a:ln>
                                <a:effectLst/>
                              </wps:spPr>
                              <wps:bodyPr/>
                            </wps:wsp>
                            <wps:wsp>
                              <wps:cNvPr id="499" name="文本框 13"/>
                              <wps:cNvSpPr txBox="1">
                                <a:spLocks noChangeArrowheads="1"/>
                              </wps:cNvSpPr>
                              <wps:spPr bwMode="auto">
                                <a:xfrm>
                                  <a:off x="2941703" y="4857115"/>
                                  <a:ext cx="480991" cy="273685"/>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贴合</w:t>
                                    </w:r>
                                  </w:p>
                                </w:txbxContent>
                              </wps:txbx>
                              <wps:bodyPr rot="0" vert="horz" wrap="square" lIns="91440" tIns="45720" rIns="91440" bIns="45720" anchor="t" anchorCtr="0" upright="1">
                                <a:noAutofit/>
                              </wps:bodyPr>
                            </wps:wsp>
                            <wps:wsp>
                              <wps:cNvPr id="500" name="AutoShape 124"/>
                              <wps:cNvSpPr>
                                <a:spLocks noChangeArrowheads="1"/>
                              </wps:cNvSpPr>
                              <wps:spPr bwMode="auto">
                                <a:xfrm>
                                  <a:off x="3628434" y="4841240"/>
                                  <a:ext cx="470535"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裁切</w:t>
                                    </w:r>
                                  </w:p>
                                </w:txbxContent>
                              </wps:txbx>
                              <wps:bodyPr rot="0" vert="horz" wrap="square" lIns="0" tIns="45720" rIns="0" bIns="45720" anchor="t" anchorCtr="0" upright="1">
                                <a:noAutofit/>
                              </wps:bodyPr>
                            </wps:wsp>
                            <wps:wsp>
                              <wps:cNvPr id="501" name="AutoShape 122"/>
                              <wps:cNvCnPr>
                                <a:cxnSpLocks noChangeShapeType="1"/>
                              </wps:cNvCnPr>
                              <wps:spPr bwMode="auto">
                                <a:xfrm flipV="1">
                                  <a:off x="4825999" y="4981575"/>
                                  <a:ext cx="205740" cy="635"/>
                                </a:xfrm>
                                <a:prstGeom prst="straightConnector1">
                                  <a:avLst/>
                                </a:prstGeom>
                                <a:noFill/>
                                <a:ln w="3175">
                                  <a:solidFill>
                                    <a:srgbClr val="000000"/>
                                  </a:solidFill>
                                  <a:round/>
                                  <a:tailEnd type="triangle" w="med" len="med"/>
                                </a:ln>
                                <a:effectLst/>
                              </wps:spPr>
                              <wps:bodyPr/>
                            </wps:wsp>
                            <wps:wsp>
                              <wps:cNvPr id="502" name="AutoShape 124"/>
                              <wps:cNvSpPr>
                                <a:spLocks noChangeArrowheads="1"/>
                              </wps:cNvSpPr>
                              <wps:spPr bwMode="auto">
                                <a:xfrm>
                                  <a:off x="5086689" y="4838700"/>
                                  <a:ext cx="767080" cy="275590"/>
                                </a:xfrm>
                                <a:prstGeom prst="flowChartProcess">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包装出货</w:t>
                                    </w:r>
                                  </w:p>
                                </w:txbxContent>
                              </wps:txbx>
                              <wps:bodyPr rot="0" vert="horz" wrap="square" lIns="0" tIns="45720" rIns="0" bIns="45720" anchor="t" anchorCtr="0" upright="1">
                                <a:noAutofit/>
                              </wps:bodyPr>
                            </wps:wsp>
                            <wps:wsp>
                              <wps:cNvPr id="512" name="AutoShape 122"/>
                              <wps:cNvCnPr>
                                <a:cxnSpLocks noChangeShapeType="1"/>
                              </wps:cNvCnPr>
                              <wps:spPr bwMode="auto">
                                <a:xfrm flipV="1">
                                  <a:off x="2701630" y="4980305"/>
                                  <a:ext cx="203200" cy="0"/>
                                </a:xfrm>
                                <a:prstGeom prst="straightConnector1">
                                  <a:avLst/>
                                </a:prstGeom>
                                <a:noFill/>
                                <a:ln w="3175">
                                  <a:solidFill>
                                    <a:srgbClr val="000000"/>
                                  </a:solidFill>
                                  <a:round/>
                                  <a:tailEnd type="triangle" w="med" len="med"/>
                                </a:ln>
                                <a:effectLst/>
                              </wps:spPr>
                              <wps:bodyPr/>
                            </wps:wsp>
                            <wps:wsp>
                              <wps:cNvPr id="513" name="文本框 197"/>
                              <wps:cNvSpPr txBox="1">
                                <a:spLocks noChangeArrowheads="1"/>
                              </wps:cNvSpPr>
                              <wps:spPr bwMode="auto">
                                <a:xfrm>
                                  <a:off x="2240325" y="4838700"/>
                                  <a:ext cx="461305" cy="292100"/>
                                </a:xfrm>
                                <a:prstGeom prst="rect">
                                  <a:avLst/>
                                </a:prstGeom>
                                <a:no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植皮</w:t>
                                    </w:r>
                                  </w:p>
                                </w:txbxContent>
                              </wps:txbx>
                              <wps:bodyPr rot="0" vert="horz" wrap="square" lIns="91440" tIns="45720" rIns="91440" bIns="45720" anchor="t" anchorCtr="0" upright="1">
                                <a:noAutofit/>
                              </wps:bodyPr>
                            </wps:wsp>
                            <wps:wsp>
                              <wps:cNvPr id="514" name="肘形连接符 514"/>
                              <wps:cNvCnPr>
                                <a:stCxn id="398" idx="2"/>
                                <a:endCxn id="513" idx="0"/>
                              </wps:cNvCnPr>
                              <wps:spPr>
                                <a:xfrm rot="5400000">
                                  <a:off x="2768196" y="3656812"/>
                                  <a:ext cx="884670" cy="1479106"/>
                                </a:xfrm>
                                <a:prstGeom prst="bentConnector3">
                                  <a:avLst>
                                    <a:gd name="adj1" fmla="val 3191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5" name="AutoShape 126"/>
                              <wps:cNvSpPr>
                                <a:spLocks noChangeArrowheads="1"/>
                              </wps:cNvSpPr>
                              <wps:spPr bwMode="auto">
                                <a:xfrm>
                                  <a:off x="1741303" y="240873"/>
                                  <a:ext cx="48768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16" name="AutoShape 126"/>
                              <wps:cNvSpPr>
                                <a:spLocks noChangeArrowheads="1"/>
                              </wps:cNvSpPr>
                              <wps:spPr bwMode="auto">
                                <a:xfrm>
                                  <a:off x="3210944" y="240873"/>
                                  <a:ext cx="48768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17" name="直接箭头连接符 517"/>
                              <wps:cNvCnPr/>
                              <wps:spPr>
                                <a:xfrm flipV="1">
                                  <a:off x="2783973" y="1847973"/>
                                  <a:ext cx="0" cy="28130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18" name="AutoShape 126"/>
                              <wps:cNvSpPr>
                                <a:spLocks noChangeArrowheads="1"/>
                              </wps:cNvSpPr>
                              <wps:spPr bwMode="auto">
                                <a:xfrm>
                                  <a:off x="2496127" y="1575725"/>
                                  <a:ext cx="732155" cy="26162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G</w:t>
                                    </w:r>
                                    <w:r>
                                      <w:rPr>
                                        <w:rFonts w:ascii="Times New Roman" w:hAnsi="Times New Roman"/>
                                        <w:kern w:val="2"/>
                                        <w:position w:val="-5"/>
                                        <w:sz w:val="21"/>
                                        <w:szCs w:val="21"/>
                                        <w:vertAlign w:val="subscript"/>
                                      </w:rPr>
                                      <w:t>1</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2</w:t>
                                    </w:r>
                                  </w:p>
                                  <w:p>
                                    <w:pPr>
                                      <w:pStyle w:val="25"/>
                                      <w:spacing w:before="0" w:beforeAutospacing="0" w:after="0" w:afterAutospacing="0"/>
                                      <w:jc w:val="both"/>
                                    </w:pPr>
                                    <w:r>
                                      <w:rPr>
                                        <w:rFonts w:ascii="Times New Roman" w:hAnsi="Times New Roman"/>
                                        <w:kern w:val="2"/>
                                        <w:sz w:val="21"/>
                                        <w:szCs w:val="21"/>
                                      </w:rPr>
                                      <w:t>2</w:t>
                                    </w:r>
                                  </w:p>
                                </w:txbxContent>
                              </wps:txbx>
                              <wps:bodyPr rot="0" vert="horz" wrap="square" lIns="0" tIns="45720" rIns="0" bIns="45720" anchor="t" anchorCtr="0" upright="1">
                                <a:noAutofit/>
                              </wps:bodyPr>
                            </wps:wsp>
                            <wps:wsp>
                              <wps:cNvPr id="519" name="AutoShape 125"/>
                              <wps:cNvCnPr>
                                <a:cxnSpLocks noChangeShapeType="1"/>
                              </wps:cNvCnPr>
                              <wps:spPr bwMode="auto">
                                <a:xfrm flipV="1">
                                  <a:off x="3520573" y="1893475"/>
                                  <a:ext cx="0" cy="241300"/>
                                </a:xfrm>
                                <a:prstGeom prst="straightConnector1">
                                  <a:avLst/>
                                </a:prstGeom>
                                <a:noFill/>
                                <a:ln w="9525">
                                  <a:solidFill>
                                    <a:srgbClr val="000000"/>
                                  </a:solidFill>
                                  <a:prstDash val="dash"/>
                                  <a:round/>
                                  <a:tailEnd type="triangle" w="med" len="med"/>
                                </a:ln>
                                <a:effectLst/>
                              </wps:spPr>
                              <wps:bodyPr/>
                            </wps:wsp>
                            <wps:wsp>
                              <wps:cNvPr id="520" name="AutoShape 126"/>
                              <wps:cNvSpPr>
                                <a:spLocks noChangeArrowheads="1"/>
                              </wps:cNvSpPr>
                              <wps:spPr bwMode="auto">
                                <a:xfrm>
                                  <a:off x="4857588" y="1489942"/>
                                  <a:ext cx="421005" cy="296934"/>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wps:txbx>
                              <wps:bodyPr rot="0" vert="horz" wrap="square" lIns="0" tIns="45720" rIns="0" bIns="45720" anchor="t" anchorCtr="0" upright="1">
                                <a:noAutofit/>
                              </wps:bodyPr>
                            </wps:wsp>
                            <wps:wsp>
                              <wps:cNvPr id="521" name="AutoShape 125"/>
                              <wps:cNvCnPr>
                                <a:cxnSpLocks noChangeShapeType="1"/>
                              </wps:cNvCnPr>
                              <wps:spPr bwMode="auto">
                                <a:xfrm flipV="1">
                                  <a:off x="4224153" y="1878870"/>
                                  <a:ext cx="0" cy="241300"/>
                                </a:xfrm>
                                <a:prstGeom prst="straightConnector1">
                                  <a:avLst/>
                                </a:prstGeom>
                                <a:noFill/>
                                <a:ln w="9525">
                                  <a:solidFill>
                                    <a:srgbClr val="000000"/>
                                  </a:solidFill>
                                  <a:prstDash val="dash"/>
                                  <a:round/>
                                  <a:tailEnd type="triangle" w="med" len="med"/>
                                </a:ln>
                                <a:effectLst/>
                              </wps:spPr>
                              <wps:bodyPr/>
                            </wps:wsp>
                            <wps:wsp>
                              <wps:cNvPr id="522" name="AutoShape 126"/>
                              <wps:cNvSpPr>
                                <a:spLocks noChangeArrowheads="1"/>
                              </wps:cNvSpPr>
                              <wps:spPr bwMode="auto">
                                <a:xfrm>
                                  <a:off x="3980993" y="1535662"/>
                                  <a:ext cx="421005" cy="301683"/>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wps:txbx>
                              <wps:bodyPr rot="0" vert="horz" wrap="square" lIns="0" tIns="45720" rIns="0" bIns="45720" anchor="t" anchorCtr="0" upright="1">
                                <a:noAutofit/>
                              </wps:bodyPr>
                            </wps:wsp>
                            <wps:wsp>
                              <wps:cNvPr id="523" name="直接箭头连接符 523"/>
                              <wps:cNvCnPr/>
                              <wps:spPr>
                                <a:xfrm flipV="1">
                                  <a:off x="5053759" y="1790904"/>
                                  <a:ext cx="0" cy="32131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524" name="AutoShape 126"/>
                              <wps:cNvSpPr>
                                <a:spLocks noChangeArrowheads="1"/>
                              </wps:cNvSpPr>
                              <wps:spPr bwMode="auto">
                                <a:xfrm>
                                  <a:off x="3326647" y="1626775"/>
                                  <a:ext cx="48768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34" name="AutoShape 125"/>
                              <wps:cNvCnPr>
                                <a:cxnSpLocks noChangeShapeType="1"/>
                              </wps:cNvCnPr>
                              <wps:spPr bwMode="auto">
                                <a:xfrm flipV="1">
                                  <a:off x="2496127" y="3429193"/>
                                  <a:ext cx="0" cy="241300"/>
                                </a:xfrm>
                                <a:prstGeom prst="straightConnector1">
                                  <a:avLst/>
                                </a:prstGeom>
                                <a:noFill/>
                                <a:ln w="9525">
                                  <a:solidFill>
                                    <a:srgbClr val="000000"/>
                                  </a:solidFill>
                                  <a:prstDash val="dash"/>
                                  <a:round/>
                                  <a:tailEnd type="triangle" w="med" len="med"/>
                                </a:ln>
                                <a:effectLst/>
                              </wps:spPr>
                              <wps:bodyPr/>
                            </wps:wsp>
                            <wps:wsp>
                              <wps:cNvPr id="535" name="AutoShape 125"/>
                              <wps:cNvCnPr>
                                <a:cxnSpLocks noChangeShapeType="1"/>
                              </wps:cNvCnPr>
                              <wps:spPr bwMode="auto">
                                <a:xfrm flipV="1">
                                  <a:off x="1747904" y="3429193"/>
                                  <a:ext cx="0" cy="241300"/>
                                </a:xfrm>
                                <a:prstGeom prst="straightConnector1">
                                  <a:avLst/>
                                </a:prstGeom>
                                <a:noFill/>
                                <a:ln w="9525">
                                  <a:solidFill>
                                    <a:srgbClr val="000000"/>
                                  </a:solidFill>
                                  <a:prstDash val="dash"/>
                                  <a:round/>
                                  <a:tailEnd type="triangle" w="med" len="med"/>
                                </a:ln>
                                <a:effectLst/>
                              </wps:spPr>
                              <wps:bodyPr/>
                            </wps:wsp>
                            <wps:wsp>
                              <wps:cNvPr id="536" name="AutoShape 125"/>
                              <wps:cNvCnPr>
                                <a:cxnSpLocks noChangeShapeType="1"/>
                              </wps:cNvCnPr>
                              <wps:spPr bwMode="auto">
                                <a:xfrm flipV="1">
                                  <a:off x="1030900" y="3443002"/>
                                  <a:ext cx="0" cy="241300"/>
                                </a:xfrm>
                                <a:prstGeom prst="straightConnector1">
                                  <a:avLst/>
                                </a:prstGeom>
                                <a:noFill/>
                                <a:ln w="9525">
                                  <a:solidFill>
                                    <a:srgbClr val="000000"/>
                                  </a:solidFill>
                                  <a:prstDash val="dash"/>
                                  <a:round/>
                                  <a:tailEnd type="triangle" w="med" len="med"/>
                                </a:ln>
                                <a:effectLst/>
                              </wps:spPr>
                              <wps:bodyPr/>
                            </wps:wsp>
                            <wps:wsp>
                              <wps:cNvPr id="537" name="AutoShape 126"/>
                              <wps:cNvSpPr>
                                <a:spLocks noChangeArrowheads="1"/>
                              </wps:cNvSpPr>
                              <wps:spPr bwMode="auto">
                                <a:xfrm>
                                  <a:off x="3914318" y="3165033"/>
                                  <a:ext cx="487680" cy="266700"/>
                                </a:xfrm>
                                <a:prstGeom prst="flowChartProcess">
                                  <a:avLst/>
                                </a:prstGeom>
                                <a:no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38" name="AutoShape 126"/>
                              <wps:cNvSpPr>
                                <a:spLocks noChangeArrowheads="1"/>
                              </wps:cNvSpPr>
                              <wps:spPr bwMode="auto">
                                <a:xfrm>
                                  <a:off x="1457323" y="3165033"/>
                                  <a:ext cx="48768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39" name="AutoShape 126"/>
                              <wps:cNvSpPr>
                                <a:spLocks noChangeArrowheads="1"/>
                              </wps:cNvSpPr>
                              <wps:spPr bwMode="auto">
                                <a:xfrm>
                                  <a:off x="788079" y="3152673"/>
                                  <a:ext cx="48768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40" name="AutoShape 125"/>
                              <wps:cNvCnPr>
                                <a:cxnSpLocks noChangeShapeType="1"/>
                              </wps:cNvCnPr>
                              <wps:spPr bwMode="auto">
                                <a:xfrm flipV="1">
                                  <a:off x="3204504" y="3419373"/>
                                  <a:ext cx="0" cy="241300"/>
                                </a:xfrm>
                                <a:prstGeom prst="straightConnector1">
                                  <a:avLst/>
                                </a:prstGeom>
                                <a:noFill/>
                                <a:ln w="9525">
                                  <a:solidFill>
                                    <a:srgbClr val="000000"/>
                                  </a:solidFill>
                                  <a:prstDash val="dash"/>
                                  <a:round/>
                                  <a:tailEnd type="triangle" w="med" len="med"/>
                                </a:ln>
                                <a:effectLst/>
                              </wps:spPr>
                              <wps:bodyPr/>
                            </wps:wsp>
                            <wps:wsp>
                              <wps:cNvPr id="542" name="AutoShape 125"/>
                              <wps:cNvCnPr>
                                <a:cxnSpLocks noChangeShapeType="1"/>
                              </wps:cNvCnPr>
                              <wps:spPr bwMode="auto">
                                <a:xfrm flipV="1">
                                  <a:off x="4089105" y="3419373"/>
                                  <a:ext cx="0" cy="241300"/>
                                </a:xfrm>
                                <a:prstGeom prst="straightConnector1">
                                  <a:avLst/>
                                </a:prstGeom>
                                <a:noFill/>
                                <a:ln w="9525">
                                  <a:solidFill>
                                    <a:srgbClr val="000000"/>
                                  </a:solidFill>
                                  <a:prstDash val="dash"/>
                                  <a:round/>
                                  <a:tailEnd type="triangle" w="med" len="med"/>
                                </a:ln>
                                <a:effectLst/>
                              </wps:spPr>
                              <wps:bodyPr/>
                            </wps:wsp>
                            <wps:wsp>
                              <wps:cNvPr id="543" name="AutoShape 126"/>
                              <wps:cNvSpPr>
                                <a:spLocks noChangeArrowheads="1"/>
                              </wps:cNvSpPr>
                              <wps:spPr bwMode="auto">
                                <a:xfrm>
                                  <a:off x="2968624" y="3176302"/>
                                  <a:ext cx="487680" cy="266700"/>
                                </a:xfrm>
                                <a:prstGeom prst="flowChartProcess">
                                  <a:avLst/>
                                </a:prstGeom>
                                <a:no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wps:txbx>
                              <wps:bodyPr rot="0" vert="horz" wrap="square" lIns="0" tIns="45720" rIns="0" bIns="45720" anchor="t" anchorCtr="0" upright="1">
                                <a:noAutofit/>
                              </wps:bodyPr>
                            </wps:wsp>
                            <wps:wsp>
                              <wps:cNvPr id="544" name="AutoShape 126"/>
                              <wps:cNvSpPr>
                                <a:spLocks noChangeArrowheads="1"/>
                              </wps:cNvSpPr>
                              <wps:spPr bwMode="auto">
                                <a:xfrm>
                                  <a:off x="2278898" y="3176302"/>
                                  <a:ext cx="487680" cy="266700"/>
                                </a:xfrm>
                                <a:prstGeom prst="flowChartProcess">
                                  <a:avLst/>
                                </a:prstGeom>
                                <a:no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N</w:t>
                                    </w:r>
                                  </w:p>
                                </w:txbxContent>
                              </wps:txbx>
                              <wps:bodyPr rot="0" vert="horz" wrap="square" lIns="0" tIns="45720" rIns="0" bIns="45720" anchor="t" anchorCtr="0" upright="1">
                                <a:noAutofit/>
                              </wps:bodyPr>
                            </wps:wsp>
                            <wps:wsp>
                              <wps:cNvPr id="545" name="AutoShape 125"/>
                              <wps:cNvCnPr>
                                <a:cxnSpLocks noChangeShapeType="1"/>
                              </wps:cNvCnPr>
                              <wps:spPr bwMode="auto">
                                <a:xfrm flipV="1">
                                  <a:off x="2645705" y="4599940"/>
                                  <a:ext cx="0" cy="241300"/>
                                </a:xfrm>
                                <a:prstGeom prst="straightConnector1">
                                  <a:avLst/>
                                </a:prstGeom>
                                <a:noFill/>
                                <a:ln w="9525">
                                  <a:solidFill>
                                    <a:srgbClr val="000000"/>
                                  </a:solidFill>
                                  <a:prstDash val="dash"/>
                                  <a:round/>
                                  <a:tailEnd type="triangle" w="med" len="med"/>
                                </a:ln>
                                <a:effectLst/>
                              </wps:spPr>
                              <wps:bodyPr/>
                            </wps:wsp>
                            <wps:wsp>
                              <wps:cNvPr id="546" name="AutoShape 125"/>
                              <wps:cNvCnPr>
                                <a:cxnSpLocks noChangeShapeType="1"/>
                              </wps:cNvCnPr>
                              <wps:spPr bwMode="auto">
                                <a:xfrm flipV="1">
                                  <a:off x="3176609" y="4615815"/>
                                  <a:ext cx="0" cy="241300"/>
                                </a:xfrm>
                                <a:prstGeom prst="straightConnector1">
                                  <a:avLst/>
                                </a:prstGeom>
                                <a:noFill/>
                                <a:ln w="9525">
                                  <a:solidFill>
                                    <a:srgbClr val="000000"/>
                                  </a:solidFill>
                                  <a:prstDash val="dash"/>
                                  <a:round/>
                                  <a:tailEnd type="triangle" w="med" len="med"/>
                                </a:ln>
                                <a:effectLst/>
                              </wps:spPr>
                              <wps:bodyPr/>
                            </wps:wsp>
                            <wps:wsp>
                              <wps:cNvPr id="547" name="AutoShape 125"/>
                              <wps:cNvCnPr>
                                <a:cxnSpLocks noChangeShapeType="1"/>
                              </wps:cNvCnPr>
                              <wps:spPr bwMode="auto">
                                <a:xfrm flipV="1">
                                  <a:off x="5441152" y="4599940"/>
                                  <a:ext cx="0" cy="241300"/>
                                </a:xfrm>
                                <a:prstGeom prst="straightConnector1">
                                  <a:avLst/>
                                </a:prstGeom>
                                <a:noFill/>
                                <a:ln w="9525">
                                  <a:solidFill>
                                    <a:srgbClr val="000000"/>
                                  </a:solidFill>
                                  <a:prstDash val="dash"/>
                                  <a:round/>
                                  <a:tailEnd type="triangle" w="med" len="med"/>
                                </a:ln>
                                <a:effectLst/>
                              </wps:spPr>
                              <wps:bodyPr/>
                            </wps:wsp>
                          </wpc:wpc>
                        </a:graphicData>
                      </a:graphic>
                    </wp:inline>
                  </w:drawing>
                </mc:Choice>
                <mc:Fallback>
                  <w:pict>
                    <v:group id="_x0000_s1026" o:spid="_x0000_s1026" o:spt="203" style="height:509pt;width:461.7pt;" coordsize="5863590,6464300" editas="canvas" o:gfxdata="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">
                      <o:lock v:ext="edit" aspectratio="f"/>
                      <v:shape id="_x0000_s1026" o:spid="_x0000_s1026" style="position:absolute;left:0;top:0;height:6464300;width:5863590;" fillcolor="#FFFFFF" filled="t" stroked="f" coordsize="21600,21600" o:gfxdata="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">
                        <v:fill on="t" focussize="0,0"/>
                        <v:stroke on="f"/>
                        <v:imagedata o:title=""/>
                        <o:lock v:ext="edit" aspectratio="t"/>
                      </v:shape>
                      <v:shape id="AutoShape 121" o:spid="_x0000_s1026" o:spt="109" type="#_x0000_t109" style="position:absolute;left:134619;top:732572;height:322712;width:586740;" fillcolor="#FFFFFF" filled="t" stroked="f" coordsize="21600,21600" o:gfxdata="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LJaKtMAAAAGAQAADwAAAAAAAAABACAAAAAiAAAAZHJzL2Rvd25yZXYueG1sUEsBAhQAFAAAAAgA&#10;h07iQIYZInsqAgAAUwQAAA4AAAAAAAAAAQAgAAAAIgEAAGRycy9lMm9Eb2MueG1sUEsFBgAAAAAG&#10;AAYAWQEAAL4FAAAAAA==&#10;">
                        <v:fill on="t" focussize="0,0"/>
                        <v:stroke on="f"/>
                        <v:imagedata o:title=""/>
                        <o:lock v:ext="edit" aspectratio="f"/>
                        <v:textbox inset="0mm,1.27mm,0mm,1.27mm">
                          <w:txbxContent>
                            <w:p>
                              <w:pPr>
                                <w:jc w:val="center"/>
                                <w:rPr>
                                  <w:szCs w:val="21"/>
                                </w:rPr>
                              </w:pPr>
                              <w:r>
                                <w:rPr>
                                  <w:szCs w:val="21"/>
                                </w:rPr>
                                <w:t>ABS底板</w:t>
                              </w:r>
                            </w:p>
                          </w:txbxContent>
                        </v:textbox>
                      </v:shape>
                      <v:shape id="AutoShape 122" o:spid="_x0000_s1026" o:spt="32" type="#_x0000_t32" style="position:absolute;left:1476374;top:876343;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NuGjXAAAABgEAAA8AAAAAAAAAAQAgAAAAIgAA&#10;AGRycy9kb3ducmV2LnhtbFBLAQIUABQAAAAIAIdO4kCCw579CQIAAAgEAAAOAAAAAAAAAAEAIAAA&#10;ACYBAABkcnMvZTJvRG9jLnhtbFBLBQYAAAAABgAGAFkBAAChBQAAAAA=&#10;">
                        <v:fill on="f" focussize="0,0"/>
                        <v:stroke weight="0.25pt" color="#000000" joinstyle="round" endarrow="block"/>
                        <v:imagedata o:title=""/>
                        <o:lock v:ext="edit" aspectratio="f"/>
                      </v:shape>
                      <v:shape id="AutoShape 124" o:spid="_x0000_s1026" o:spt="109" type="#_x0000_t109" style="position:absolute;left:3893819;top:755397;height:290054;width:48260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ruskjXAAAABgEAAA8AAAAAAAAAAQAgAAAA&#10;IgAAAGRycy9kb3ducmV2LnhtbFBLAQIUABQAAAAIAIdO4kAzCiR6RQIAAJ0EAAAOAAAAAAAAAAEA&#10;IAAAACYBAABkcnMvZTJvRG9jLnhtbFBLBQYAAAAABgAGAFkBAADdBQAAAAA=&#10;">
                        <v:fill on="t" focussize="0,0"/>
                        <v:stroke color="#000000" miterlimit="8" joinstyle="miter"/>
                        <v:imagedata o:title=""/>
                        <o:lock v:ext="edit" aspectratio="f"/>
                        <v:textbox inset="0mm,1.27mm,0mm,1.27mm">
                          <w:txbxContent>
                            <w:p>
                              <w:pPr>
                                <w:jc w:val="center"/>
                              </w:pPr>
                              <w:r>
                                <w:rPr>
                                  <w:rFonts w:hint="eastAsia"/>
                                </w:rPr>
                                <w:t>检验</w:t>
                              </w:r>
                            </w:p>
                          </w:txbxContent>
                        </v:textbox>
                      </v:shape>
                      <v:shape id="AutoShape 124" o:spid="_x0000_s1026" o:spt="109" type="#_x0000_t109" style="position:absolute;left:4703238;top:2114038;height:275703;width:76708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u6ySNcAAAAGAQAADwAAAAAAAAABACAAAAAiAAAA&#10;ZHJzL2Rvd25yZXYueG1sUEsBAhQAFAAAAAgAh07iQBgfOwRBAgAAngQAAA4AAAAAAAAAAQAgAAAA&#10;JgEAAGRycy9lMm9Eb2MueG1sUEsFBgAAAAAGAAYAWQEAANkFAAAAAA==&#10;">
                        <v:fill on="t" focussize="0,0"/>
                        <v:stroke color="#000000" miterlimit="8" joinstyle="miter"/>
                        <v:imagedata o:title=""/>
                        <o:lock v:ext="edit" aspectratio="f"/>
                        <v:textbox inset="0mm,1.27mm,0mm,1.27mm">
                          <w:txbxContent>
                            <w:p>
                              <w:pPr>
                                <w:jc w:val="center"/>
                              </w:pPr>
                              <w:r>
                                <w:rPr>
                                  <w:rFonts w:hint="eastAsia"/>
                                </w:rPr>
                                <w:t>包装出货</w:t>
                              </w:r>
                            </w:p>
                          </w:txbxContent>
                        </v:textbox>
                      </v:shape>
                      <v:shape id="AutoShape 122" o:spid="_x0000_s1026" o:spt="32" type="#_x0000_t32" style="position:absolute;left:3069088;top:2274745;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sDbho1wAAAAYBAAAPAAAAAAAAAAEAIAAA&#10;ACIAAABkcnMvZG93bnJldi54bWxQSwECFAAUAAAACACHTuJAVQMhwg0CAAAJBAAADgAAAAAAAAAB&#10;ACAAAAAmAQAAZHJzL2Uyb0RvYy54bWxQSwUGAAAAAAYABgBZAQAApQUAAAAA&#10;">
                        <v:fill on="f" focussize="0,0"/>
                        <v:stroke weight="0.25pt" color="#000000" joinstyle="round" endarrow="block"/>
                        <v:imagedata o:title=""/>
                        <o:lock v:ext="edit" aspectratio="f"/>
                      </v:shape>
                      <v:shape id="文本框 13" o:spid="_x0000_s1026" o:spt="202" type="#_x0000_t202" style="position:absolute;left:2524893;top:2134775;height:273797;width:544195;"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2jR1HUAAAABgEAAA8AAAAA&#10;AAAAAQAgAAAAIgAAAGRycy9kb3ducmV2LnhtbFBLAQIUABQAAAAIAIdO4kAsIIRFUQIAAHoEAAAO&#10;AAAAAAAAAAEAIAAAACMBAABkcnMvZTJvRG9jLnhtbFBLBQYAAAAABgAGAFkBAADmBQAAAAA=&#10;">
                        <v:fill on="f" focussize="0,0"/>
                        <v:stroke color="#000000" miterlimit="8" joinstyle="miter"/>
                        <v:imagedata o:title=""/>
                        <o:lock v:ext="edit" aspectratio="f"/>
                        <v:textbox>
                          <w:txbxContent>
                            <w:p>
                              <w:pPr>
                                <w:jc w:val="center"/>
                              </w:pPr>
                              <w:r>
                                <w:rPr>
                                  <w:rFonts w:hint="eastAsia"/>
                                </w:rPr>
                                <w:t>贴合</w:t>
                              </w:r>
                            </w:p>
                          </w:txbxContent>
                        </v:textbox>
                      </v:shape>
                      <v:shape id="AutoShape 125" o:spid="_x0000_s1026" o:spt="32" type="#_x0000_t32" style="position:absolute;left:1926384;top:513998;flip:y;height:241399;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j5gIdIAAAAGAQAADwAAAAAAAAABACAAAAAi&#10;AAAAZHJzL2Rvd25yZXYueG1sUEsBAhQAFAAAAAgAh07iQKJvS3QQAgAAHgQAAA4AAAAAAAAAAQAg&#10;AAAAIQEAAGRycy9lMm9Eb2MueG1sUEsFBgAAAAAGAAYAWQEAAKMFAAAAAA==&#10;">
                        <v:fill on="f" focussize="0,0"/>
                        <v:stroke color="#000000" joinstyle="round" dashstyle="dash" endarrow="block"/>
                        <v:imagedata o:title=""/>
                        <o:lock v:ext="edit" aspectratio="f"/>
                      </v:shape>
                      <v:shape id="AutoShape 126" o:spid="_x0000_s1026" o:spt="109" type="#_x0000_t109" style="position:absolute;left:1722503;top:1583469;height:261727;width:732628;"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nfKTb1QAAAAYBAAAPAAAAAAAA&#10;AAEAIAAAACIAAABkcnMvZG93bnJldi54bWxQSwECFAAUAAAACACHTuJAYKM9104CAAC5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v:textbox>
                      </v:shape>
                      <v:shape id="AutoShape 122" o:spid="_x0000_s1026" o:spt="32" type="#_x0000_t32" style="position:absolute;left:1178560;top:1013413;flip:x;height:254104;width:5080;" filled="f" stroked="t" coordsize="21600,21600" o:gfxdata="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oNyD2QAAAAYBAAAPAAAAAAAAAAEAIAAA&#10;ACIAAABkcnMvZG93bnJldi54bWxQSwECFAAUAAAACACHTuJAIVuNLAsCAAAKBAAADgAAAAAAAAAB&#10;ACAAAAAoAQAAZHJzL2Uyb0RvYy54bWxQSwUGAAAAAAYABgBZAQAApQUAAAAA&#10;">
                        <v:fill on="f" focussize="0,0"/>
                        <v:stroke weight="0.25pt" color="#000000" joinstyle="round" startarrow="block"/>
                        <v:imagedata o:title=""/>
                        <o:lock v:ext="edit" aspectratio="f"/>
                      </v:shape>
                      <v:shape id="AutoShape 122" o:spid="_x0000_s1026" o:spt="32" type="#_x0000_t32" style="position:absolute;left:526799;top:3833943;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A24aNcAAAAGAQAADwAAAAAAAAABACAAAAAi&#10;AAAAZHJzL2Rvd25yZXYueG1sUEsBAhQAFAAAAAgAh07iQEoexckLAgAABgQAAA4AAAAAAAAAAQAg&#10;AAAAJgEAAGRycy9lMm9Eb2MueG1sUEsFBgAAAAAGAAYAWQEAAKMFAAAAAA==&#10;">
                        <v:fill on="f" focussize="0,0"/>
                        <v:stroke weight="0.25pt" color="#000000" joinstyle="round" endarrow="block"/>
                        <v:imagedata o:title=""/>
                        <o:lock v:ext="edit" aspectratio="f"/>
                      </v:shape>
                      <v:shape id="AutoShape 122" o:spid="_x0000_s1026" o:spt="32" type="#_x0000_t32" style="position:absolute;left:721359;top:876978;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NuGjXAAAABgEAAA8AAAAAAAAAAQAgAAAAIgAA&#10;AGRycy9kb3ducmV2LnhtbFBLAQIUABQAAAAIAIdO4kATwxNcCQIAAAUEAAAOAAAAAAAAAAEAIAAA&#10;ACYBAABkcnMvZTJvRG9jLnhtbFBLBQYAAAAABgAGAFkBAAChBQAAAAA=&#10;">
                        <v:fill on="f" focussize="0,0"/>
                        <v:stroke weight="0.25pt" color="#000000" joinstyle="round" endarrow="block"/>
                        <v:imagedata o:title=""/>
                        <o:lock v:ext="edit" aspectratio="f"/>
                      </v:shape>
                      <v:shape id="文本框 196" o:spid="_x0000_s1026" o:spt="202" type="#_x0000_t202" style="position:absolute;left:923923;top:732572;height:280841;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do0dR1AAAAAYBAAAPAAAAAAAA&#10;AAEAIAAAACIAAABkcnMvZG93bnJldi54bWxQSwECFAAUAAAACACHTuJAY/hOfU8CAAB5BAAADgAA&#10;AAAAAAABACAAAAAjAQAAZHJzL2Uyb0RvYy54bWxQSwUGAAAAAAYABgBZAQAA5AUAAAAA&#10;">
                        <v:fill on="f" focussize="0,0"/>
                        <v:stroke color="#000000" miterlimit="8" joinstyle="miter"/>
                        <v:imagedata o:title=""/>
                        <o:lock v:ext="edit" aspectratio="f"/>
                        <v:textbox>
                          <w:txbxContent>
                            <w:p>
                              <w:pPr>
                                <w:jc w:val="center"/>
                              </w:pPr>
                              <w:r>
                                <w:rPr>
                                  <w:rFonts w:hint="eastAsia"/>
                                </w:rPr>
                                <w:t>植毛</w:t>
                              </w:r>
                            </w:p>
                          </w:txbxContent>
                        </v:textbox>
                      </v:shape>
                      <v:shape id="文本框 197" o:spid="_x0000_s1026" o:spt="202" type="#_x0000_t202" style="position:absolute;left:1682114;top:732537;height:292220;width:533400;" fillcolor="#FFFFFF" filled="t" stroked="t" coordsize="21600,21600" o:gfxdata="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Fv+/o1gAAAAYB&#10;AAAPAAAAAAAAAAEAIAAAACIAAABkcnMvZG93bnJldi54bWxQSwECFAAUAAAACACHTuJAFFvs61YC&#10;AACjBAAADgAAAAAAAAABACAAAAAlAQAAZHJzL2Uyb0RvYy54bWxQSwUGAAAAAAYABgBZAQAA7QUA&#10;AAAA&#10;">
                        <v:fill on="t" focussize="0,0"/>
                        <v:stroke color="#000000" miterlimit="8" joinstyle="miter"/>
                        <v:imagedata o:title=""/>
                        <o:lock v:ext="edit" aspectratio="f"/>
                        <v:textbox>
                          <w:txbxContent>
                            <w:p>
                              <w:pPr>
                                <w:jc w:val="center"/>
                              </w:pPr>
                              <w:r>
                                <w:rPr>
                                  <w:rFonts w:hint="eastAsia"/>
                                </w:rPr>
                                <w:t>修毛</w:t>
                              </w:r>
                            </w:p>
                          </w:txbxContent>
                        </v:textbox>
                      </v:shape>
                      <v:shape id="文本框 198" o:spid="_x0000_s1026" o:spt="202" type="#_x0000_t202" style="position:absolute;left:813434;top:1267517;height:420453;width:723266;" fillcolor="#FFFFFF" filled="t" stroked="f" coordsize="21600,21600" o:gfxdata="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J1WAP1QAAAAYBAAAP&#10;AAAAAAAAAAEAIAAAACIAAABkcnMvZG93bnJldi54bWxQSwECFAAUAAAACACHTuJA2xI6DFQCAAB6&#10;BAAADgAAAAAAAAABACAAAAAkAQAAZHJzL2Uyb0RvYy54bWxQSwUGAAAAAAYABgBZAQAA6gUAAAAA&#10;">
                        <v:fill on="t" focussize="0,0"/>
                        <v:stroke on="f" miterlimit="8" joinstyle="miter"/>
                        <v:imagedata o:title=""/>
                        <o:lock v:ext="edit" aspectratio="f"/>
                        <v:textbox>
                          <w:txbxContent>
                            <w:p>
                              <w:pPr>
                                <w:jc w:val="center"/>
                              </w:pPr>
                              <w:r>
                                <w:rPr>
                                  <w:rFonts w:hint="eastAsia"/>
                                </w:rPr>
                                <w:t>P</w:t>
                              </w:r>
                              <w:r>
                                <w:t>P</w:t>
                              </w:r>
                              <w:r>
                                <w:rPr>
                                  <w:rFonts w:hint="eastAsia"/>
                                </w:rPr>
                                <w:t>胶丝、</w:t>
                              </w:r>
                              <w:r>
                                <w:t>铁丝</w:t>
                              </w:r>
                            </w:p>
                          </w:txbxContent>
                        </v:textbox>
                      </v:shape>
                      <v:shape id="AutoShape 126" o:spid="_x0000_s1026" o:spt="109" type="#_x0000_t109" style="position:absolute;left:985608;top:224329;height:266809;width:487725;" fillcolor="#FFFFFF [3212]"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nfKTb1QAAAAYBAAAPAAAAAAAAAAEA&#10;IAAAACIAAABkcnMvZG93bnJldi54bWxQSwECFAAUAAAACACHTuJAXN8xLksCAAC3BAAADgAAAAAA&#10;AAABACAAAAAkAQAAZHJzL2Uyb0RvYy54bWxQSwUGAAAAAAYABgBZAQAA4QUAAAAA&#10;">
                        <v:fill on="t"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6" o:spid="_x0000_s1026" o:spt="109" type="#_x0000_t109" style="position:absolute;left:2418714;top:250089;height:266809;width:676276;"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nfKTb1QAAAAYBAAAPAAAAAAAA&#10;AAEAIAAAACIAAABkcnMvZG93bnJldi54bWxQSwECFAAUAAAACACHTuJA2ucUdk4CAAC4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rPr>
                                  <w:rFonts w:hint="eastAsia"/>
                                </w:rPr>
                                <w:t>N、</w:t>
                              </w:r>
                              <w:r>
                                <w:t>G</w:t>
                              </w:r>
                              <w:r>
                                <w:rPr>
                                  <w:rFonts w:hint="eastAsia"/>
                                  <w:vertAlign w:val="subscript"/>
                                </w:rPr>
                                <w:t>1</w:t>
                              </w:r>
                              <w:r>
                                <w:rPr>
                                  <w:rFonts w:hint="eastAsia"/>
                                </w:rPr>
                                <w:t>、S</w:t>
                              </w:r>
                              <w:r>
                                <w:rPr>
                                  <w:rFonts w:hint="eastAsia"/>
                                  <w:vertAlign w:val="subscript"/>
                                </w:rPr>
                                <w:t>2</w:t>
                              </w:r>
                            </w:p>
                          </w:txbxContent>
                        </v:textbox>
                      </v:shape>
                      <v:shape id="AutoShape 125" o:spid="_x0000_s1026" o:spt="32" type="#_x0000_t32" style="position:absolute;left:1212850;top:491138;flip:y;height:241399;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PmAh0gAAAAYBAAAPAAAAAAAAAAEAIAAA&#10;ACIAAABkcnMvZG93bnJldi54bWxQSwECFAAUAAAACACHTuJAgVONFRICAAAeBAAADgAAAAAAAAAB&#10;ACAAAAAhAQAAZHJzL2Uyb0RvYy54bWxQSwUGAAAAAAYABgBZAQAApQUAAAAA&#10;">
                        <v:fill on="f" focussize="0,0"/>
                        <v:stroke color="#000000" joinstyle="round" dashstyle="dash" endarrow="block"/>
                        <v:imagedata o:title=""/>
                        <o:lock v:ext="edit" aspectratio="f"/>
                      </v:shape>
                      <v:shape id="AutoShape 125" o:spid="_x0000_s1026" o:spt="32" type="#_x0000_t32" style="position:absolute;left:2701630;top:508656;flip:y;height:241399;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PmAh0gAAAAYBAAAPAAAAAAAAAAEAIAAA&#10;ACIAAABkcnMvZG93bnJldi54bWxQSwECFAAUAAAACACHTuJAofS2wxICAAAeBAAADgAAAAAAAAAB&#10;ACAAAAAhAQAAZHJzL2Uyb0RvYy54bWxQSwUGAAAAAAYABgBZAQAApQUAAAAA&#10;">
                        <v:fill on="f" focussize="0,0"/>
                        <v:stroke color="#000000" joinstyle="round" dashstyle="dash" endarrow="block"/>
                        <v:imagedata o:title=""/>
                        <o:lock v:ext="edit" aspectratio="f"/>
                      </v:shape>
                      <v:shape id="AutoShape 124" o:spid="_x0000_s1026" o:spt="109" type="#_x0000_t109" style="position:absolute;left:3274828;top:2120170;height:295275;width:48260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ruskjXAAAABgEAAA8AAAAAAAAAAQAgAAAAIgAAAGRy&#10;cy9kb3ducmV2LnhtbFBLAQIUABQAAAAIAIdO4kAkbAucPwIAAJ4EAAAOAAAAAAAAAAEAIAAAACYB&#10;AABkcnMvZTJvRG9jLnhtbFBLBQYAAAAABgAGAFkBAADXBQ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裁切</w:t>
                              </w:r>
                            </w:p>
                          </w:txbxContent>
                        </v:textbox>
                      </v:shape>
                      <v:shape id="AutoShape 122" o:spid="_x0000_s1026" o:spt="32" type="#_x0000_t32" style="position:absolute;left:3656964;top:896474;height:635;width:236855;" filled="f" stroked="t" coordsize="21600,21600" o:gfxdata="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gtXR7VAAAABgEAAA8AAAAAAAAAAQAgAAAAIgAAAGRycy9k&#10;b3ducmV2LnhtbFBLAQIUABQAAAAIAIdO4kDZLTW4BQIAAP4DAAAOAAAAAAAAAAEAIAAAACQBAABk&#10;cnMvZTJvRG9jLnhtbFBLBQYAAAAABgAGAFkBAACbBQAAAAA=&#10;">
                        <v:fill on="f" focussize="0,0"/>
                        <v:stroke weight="0.25pt" color="#000000" joinstyle="round" endarrow="block"/>
                        <v:imagedata o:title=""/>
                        <o:lock v:ext="edit" aspectratio="f"/>
                      </v:shape>
                      <v:shape id="_x0000_s1026" o:spid="_x0000_s1026" o:spt="32" type="#_x0000_t32" style="position:absolute;left:2783973;top:2392245;flip:x;height:280721;width:1905;" filled="f" stroked="t" coordsize="21600,21600" o:gfxdata="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QNHu1wAAAAYBAAAPAAAAAAAAAAEAIAAAACIAAABkcnMvZG93bnJldi54&#10;bWxQSwECFAAUAAAACACHTuJAsjxC9DQCAAA5BAAADgAAAAAAAAABACAAAAAmAQAAZHJzL2Uyb0Rv&#10;Yy54bWxQSwUGAAAAAAYABgBZAQAAzAUAAAAA&#10;">
                        <v:fill on="f" focussize="0,0"/>
                        <v:stroke weight="0.5pt" color="#000000 [3213]" miterlimit="8" joinstyle="miter" startarrow="block"/>
                        <v:imagedata o:title=""/>
                        <o:lock v:ext="edit" aspectratio="f"/>
                      </v:shape>
                      <v:shape id="AutoShape 125" o:spid="_x0000_s1026" o:spt="32" type="#_x0000_t32" style="position:absolute;left:3405298;top:510721;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5gIdIAAAAGAQAADwAAAAAAAAABACAA&#10;AAAiAAAAZHJzL2Rvd25yZXYueG1sUEsBAhQAFAAAAAgAh07iQHQBDOQTAgAAHgQAAA4AAAAAAAAA&#10;AQAgAAAAIQEAAGRycy9lMm9Eb2MueG1sUEsFBgAAAAAGAAYAWQEAAKYFAAAAAA==&#10;">
                        <v:fill on="f" focussize="0,0"/>
                        <v:stroke color="#000000" joinstyle="round" dashstyle="dash" endarrow="block"/>
                        <v:imagedata o:title=""/>
                        <o:lock v:ext="edit" aspectratio="f"/>
                      </v:shape>
                      <v:shape id="AutoShape 126" o:spid="_x0000_s1026" o:spt="109" type="#_x0000_t109" style="position:absolute;left:4711404;top:274405;height:236316;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3yk29UAAAAGAQAADwAAAAAA&#10;AAABACAAAAAiAAAAZHJzL2Rvd25yZXYueG1sUEsBAhQAFAAAAAgAh07iQAvMr6VPAgAAuAQAAA4A&#10;AAAAAAAAAQAgAAAAJAEAAGRycy9lMm9Eb2MueG1sUEsFBgAAAAAGAAYAWQEAAOUFA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4</w:t>
                              </w:r>
                            </w:p>
                          </w:txbxContent>
                        </v:textbox>
                      </v:shape>
                      <v:shape id="AutoShape 126" o:spid="_x0000_s1026" o:spt="109" type="#_x0000_t109" style="position:absolute;left:5243580;top:4301440;height:276275;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ZnrO11ECAAC5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adjustRightInd w:val="0"/>
                                <w:snapToGrid w:val="0"/>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v:textbox>
                      </v:shape>
                      <v:shape id="AutoShape 125" o:spid="_x0000_s1026" o:spt="32" type="#_x0000_t32" style="position:absolute;left:4124029;top:491272;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PmAh0gAAAAYBAAAPAAAAAAAAAAEAIAAA&#10;ACIAAABkcnMvZG93bnJldi54bWxQSwECFAAUAAAACACHTuJAaUTw0hICAAAe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3914819;top:254822;height:236316;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pIk34VECAAC4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v:textbox>
                      </v:shape>
                      <v:shape id="_x0000_s1026" o:spid="_x0000_s1026" o:spt="202" type="#_x0000_t202" style="position:absolute;left:3855424;top:5694680;height:769620;width:1998345;" fillcolor="#FFFFFF [3201]" filled="t" stroked="t" coordsize="21600,21600" o:gfxdata="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RT7RE0wAAAAYBAAAPAAAAAAAAAAEAIAAAACIAAABkcnMvZG93bnJldi54&#10;bWxQSwECFAAUAAAACACHTuJAMYl40HECAADVBAAADgAAAAAAAAABACAAAAAiAQAAZHJzL2Uyb0Rv&#10;Yy54bWxQSwUGAAAAAAYABgBZAQAABQYAAAAA&#10;">
                        <v:fill on="t" focussize="0,0"/>
                        <v:stroke weight="0.5pt" color="#000000 [3204]" joinstyle="round"/>
                        <v:imagedata o:title=""/>
                        <o:lock v:ext="edit" aspectratio="f"/>
                        <v:textbo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v:textbox>
                      </v:shape>
                      <v:shape id="AutoShape 121" o:spid="_x0000_s1026" o:spt="109" type="#_x0000_t109" style="position:absolute;left:2133600;top:1308517;height:322580;width:1092199;" filled="f" stroked="f" coordsize="21600,21600" o:gfxdata="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fUJiHUAAAABgEAAA8AAAAA&#10;AAAAAQAgAAAAIgAAAGRycy9kb3ducmV2LnhtbFBLAQIUABQAAAAIAIdO4kDrgrdOGAIAAC0EAAAO&#10;AAAAAAAAAAEAIAAAACMBAABkcnMvZTJvRG9jLnhtbFBLBQYAAAAABgAGAFkBAACtBQAAAAA=&#10;">
                        <v:fill on="f" focussize="0,0"/>
                        <v:stroke on="f"/>
                        <v:imagedata o:title=""/>
                        <o:lock v:ext="edit" aspectratio="f"/>
                        <v:textbox inset="0mm,1.27mm,0mm,1.27mm">
                          <w:txbxContent>
                            <w:p>
                              <w:pPr>
                                <w:pStyle w:val="25"/>
                                <w:spacing w:before="0" w:beforeAutospacing="0" w:after="0" w:afterAutospacing="0"/>
                                <w:jc w:val="center"/>
                                <w:rPr>
                                  <w:szCs w:val="24"/>
                                </w:rPr>
                              </w:pPr>
                              <w:r>
                                <w:rPr>
                                  <w:rFonts w:hint="eastAsia" w:ascii="Times New Roman" w:hAnsi="Times New Roman"/>
                                  <w:kern w:val="2"/>
                                  <w:sz w:val="21"/>
                                  <w:szCs w:val="21"/>
                                </w:rPr>
                                <w:t>尼龙</w:t>
                              </w:r>
                              <w:r>
                                <w:rPr>
                                  <w:rFonts w:ascii="Times New Roman" w:hAnsi="Times New Roman"/>
                                  <w:kern w:val="2"/>
                                  <w:sz w:val="21"/>
                                  <w:szCs w:val="21"/>
                                </w:rPr>
                                <w:t>布料、胶水</w:t>
                              </w:r>
                            </w:p>
                          </w:txbxContent>
                        </v:textbox>
                      </v:shape>
                      <v:shape id="文本框 196" o:spid="_x0000_s1026" o:spt="202" type="#_x0000_t202" style="position:absolute;left:729999;top:3684302;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o0dR1AAAAAYBAAAPAAAA&#10;AAAAAAEAIAAAACIAAABkcnMvZG93bnJldi54bWxQSwECFAAUAAAACACHTuJABXhj41ICAAB6BAAA&#10;DgAAAAAAAAABACAAAAAjAQAAZHJzL2Uyb0RvYy54bWxQSwUGAAAAAAYABgBZAQAA5wU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分条</w:t>
                              </w:r>
                            </w:p>
                          </w:txbxContent>
                        </v:textbox>
                      </v:shape>
                      <v:shape id="AutoShape 121" o:spid="_x0000_s1026" o:spt="109" type="#_x0000_t109" style="position:absolute;left:7620;top:3599706;height:452460;width:510539;" fillcolor="#FFFFFF" filled="t" stroked="f" coordsize="21600,21600" o:gfxdata="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yyWirTAAAABgEAAA8AAAAAAAAAAQAgAAAAIgAAAGRycy9kb3ducmV2LnhtbFBLAQIUABQAAAAI&#10;AIdO4kCeKkdEKwIAAFIEAAAOAAAAAAAAAAEAIAAAACIBAABkcnMvZTJvRG9jLnhtbFBLBQYAAAAA&#10;BgAGAFkBAAC/BQAAAAA=&#10;">
                        <v:fill on="t" focussize="0,0"/>
                        <v:stroke on="f"/>
                        <v:imagedata o:title=""/>
                        <o:lock v:ext="edit" aspectratio="f"/>
                        <v:textbox inset="0mm,1.27mm,0mm,1.27mm">
                          <w:txbxContent>
                            <w:p>
                              <w:pPr>
                                <w:pStyle w:val="25"/>
                                <w:spacing w:before="0" w:beforeAutospacing="0" w:after="0" w:afterAutospacing="0"/>
                                <w:jc w:val="center"/>
                                <w:rPr>
                                  <w:szCs w:val="24"/>
                                </w:rPr>
                              </w:pPr>
                              <w:r>
                                <w:rPr>
                                  <w:rFonts w:hint="eastAsia" w:ascii="Times New Roman" w:hAnsi="Times New Roman"/>
                                  <w:kern w:val="2"/>
                                  <w:sz w:val="21"/>
                                  <w:szCs w:val="21"/>
                                </w:rPr>
                                <w:t>聚氨酯抛光皮</w:t>
                              </w:r>
                            </w:p>
                          </w:txbxContent>
                        </v:textbox>
                      </v:shape>
                      <v:shape id="文本框 196" o:spid="_x0000_s1026" o:spt="202" type="#_x0000_t202" style="position:absolute;left:3683384;top:3673360;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o0dR1AAAAAYBAAAPAAAA&#10;AAAAAAEAIAAAACIAAABkcnMvZG93bnJldi54bWxQSwECFAAUAAAACACHTuJAdl1x3FICAAB7BAAA&#10;DgAAAAAAAAABACAAAAAjAQAAZHJzL2Uyb0RvYy54bWxQSwUGAAAAAAYABgBZAQAA5wU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分段</w:t>
                              </w:r>
                            </w:p>
                          </w:txbxContent>
                        </v:textbox>
                      </v:shape>
                      <v:shape id="文本框 196" o:spid="_x0000_s1026" o:spt="202" type="#_x0000_t202" style="position:absolute;left:2946784;top:3673360;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o0dR1AAAAAYBAAAPAAAA&#10;AAAAAAEAIAAAACIAAABkcnMvZG93bnJldi54bWxQSwECFAAUAAAACACHTuJA1VEO21ICAAB7BAAA&#10;DgAAAAAAAAABACAAAAAjAQAAZHJzL2Uyb0RvYy54bWxQSwUGAAAAAAYABgBZAQAA5wU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模切</w:t>
                              </w:r>
                            </w:p>
                          </w:txbxContent>
                        </v:textbox>
                      </v:shape>
                      <v:shape id="文本框 196" o:spid="_x0000_s1026" o:spt="202" type="#_x0000_t202" style="position:absolute;left:2210184;top:3670493;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aNHUdQAAAAGAQAADwAAAAAA&#10;AAABACAAAAAiAAAAZHJzL2Rvd25yZXYueG1sUEsBAhQAFAAAAAgAh07iQAhawbpQAgAAewQAAA4A&#10;AAAAAAAAAQAgAAAAIwEAAGRycy9lMm9Eb2MueG1sUEsFBgAAAAAGAAYAWQEAAOUFA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接驳</w:t>
                              </w:r>
                            </w:p>
                          </w:txbxContent>
                        </v:textbox>
                      </v:shape>
                      <v:shape id="文本框 196" o:spid="_x0000_s1026" o:spt="202" type="#_x0000_t202" style="position:absolute;left:1473584;top:3673360;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o0dR1AAAAAYBAAAPAAAA&#10;AAAAAAEAIAAAACIAAABkcnMvZG93bnJldi54bWxQSwECFAAUAAAACACHTuJALQf8cFICAAB7BAAA&#10;DgAAAAAAAAABACAAAAAjAQAAZHJzL2Uyb0RvYy54bWxQSwUGAAAAAAYABgBZAQAA5wU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切平</w:t>
                              </w:r>
                            </w:p>
                          </w:txbxContent>
                        </v:textbox>
                      </v:shape>
                      <v:shape id="AutoShape 122" o:spid="_x0000_s1026" o:spt="32" type="#_x0000_t32" style="position:absolute;left:1281814;top:3810788;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NuGjXAAAABgEAAA8AAAAAAAAAAQAgAAAAIgAA&#10;AGRycy9kb3ducmV2LnhtbFBLAQIUABQAAAAIAIdO4kCmgBOOCQIAAAcEAAAOAAAAAAAAAAEAIAAA&#10;ACYBAABkcnMvZTJvRG9jLnhtbFBLBQYAAAAABgAGAFkBAAChBQAAAAA=&#10;">
                        <v:fill on="f" focussize="0,0"/>
                        <v:stroke weight="0.25pt" color="#000000" joinstyle="round" endarrow="block"/>
                        <v:imagedata o:title=""/>
                        <o:lock v:ext="edit" aspectratio="f"/>
                      </v:shape>
                      <v:shape id="AutoShape 122" o:spid="_x0000_s1026" o:spt="32" type="#_x0000_t32" style="position:absolute;left:2006984;top:3810788;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A24aNcAAAAGAQAADwAAAAAAAAABACAAAAAiAAAA&#10;ZHJzL2Rvd25yZXYueG1sUEsBAhQAFAAAAAgAh07iQPsW7HQIAgAABwQAAA4AAAAAAAAAAQAgAAAA&#10;JgEAAGRycy9lMm9Eb2MueG1sUEsFBgAAAAAGAAYAWQEAAKAFAAAAAA==&#10;">
                        <v:fill on="f" focussize="0,0"/>
                        <v:stroke weight="0.25pt" color="#000000" joinstyle="round" endarrow="block"/>
                        <v:imagedata o:title=""/>
                        <o:lock v:ext="edit" aspectratio="f"/>
                      </v:shape>
                      <v:shape id="AutoShape 122" o:spid="_x0000_s1026" o:spt="32" type="#_x0000_t32" style="position:absolute;left:2743584;top:3810909;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Dbho1wAAAAYBAAAPAAAAAAAAAAEAIAAAACIA&#10;AABkcnMvZG93bnJldi54bWxQSwECFAAUAAAACACHTuJAxTgwGgoCAAAHBAAADgAAAAAAAAABACAA&#10;AAAmAQAAZHJzL2Uyb0RvYy54bWxQSwUGAAAAAAYABgBZAQAAogUAAAAA&#10;">
                        <v:fill on="f" focussize="0,0"/>
                        <v:stroke weight="0.25pt" color="#000000" joinstyle="round" endarrow="block"/>
                        <v:imagedata o:title=""/>
                        <o:lock v:ext="edit" aspectratio="f"/>
                      </v:shape>
                      <v:shape id="AutoShape 122" o:spid="_x0000_s1026" o:spt="32" type="#_x0000_t32" style="position:absolute;left:3480184;top:3803289;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NuGjXAAAABgEAAA8AAAAAAAAAAQAgAAAAIgAA&#10;AGRycy9kb3ducmV2LnhtbFBLAQIUABQAAAAIAIdO4kBvvnAgCQIAAAcEAAAOAAAAAAAAAAEAIAAA&#10;ACYBAABkcnMvZTJvRG9jLnhtbFBLBQYAAAAABgAGAFkBAAChBQAAAAA=&#10;">
                        <v:fill on="f" focussize="0,0"/>
                        <v:stroke weight="0.25pt" color="#000000" joinstyle="round" endarrow="block"/>
                        <v:imagedata o:title=""/>
                        <o:lock v:ext="edit" aspectratio="f"/>
                      </v:shape>
                      <v:shape id="AutoShape 122" o:spid="_x0000_s1026" o:spt="32" type="#_x0000_t32" style="position:absolute;left:2215514;top:876978;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Dbho1wAAAAYBAAAPAAAAAAAAAAEAIAAAACIA&#10;AABkcnMvZG93bnJldi54bWxQSwECFAAUAAAACACHTuJAOwXX6woCAAAGBAAADgAAAAAAAAABACAA&#10;AAAmAQAAZHJzL2Uyb0RvYy54bWxQSwUGAAAAAAYABgBZAQAAogUAAAAA&#10;">
                        <v:fill on="f" focussize="0,0"/>
                        <v:stroke weight="0.25pt" color="#000000" joinstyle="round" endarrow="block"/>
                        <v:imagedata o:title=""/>
                        <o:lock v:ext="edit" aspectratio="f"/>
                      </v:shape>
                      <v:shape id="AutoShape 122" o:spid="_x0000_s1026" o:spt="32" type="#_x0000_t32" style="position:absolute;left:2321693;top:2264473;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Dbho1wAAAAYBAAAPAAAAAAAAAAEAIAAAACIA&#10;AABkcnMvZG93bnJldi54bWxQSwECFAAUAAAACACHTuJAtZQxCgoCAAAHBAAADgAAAAAAAAABACAA&#10;AAAmAQAAZHJzL2Uyb0RvYy54bWxQSwUGAAAAAAYABgBZAQAAogUAAAAA&#10;">
                        <v:fill on="f" focussize="0,0"/>
                        <v:stroke weight="0.25pt" color="#000000" joinstyle="round" endarrow="block"/>
                        <v:imagedata o:title=""/>
                        <o:lock v:ext="edit" aspectratio="f"/>
                      </v:shape>
                      <v:shape id="文本框 196" o:spid="_x0000_s1026" o:spt="202" type="#_x0000_t202" style="position:absolute;left:1788293;top:2134775;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do0dR1AAAAAYBAAAPAAAA&#10;AAAAAAEAIAAAACIAAABkcnMvZG93bnJldi54bWxQSwECFAAUAAAACACHTuJATTiM7VICAAB7BAAA&#10;DgAAAAAAAAABACAAAAAjAQAAZHJzL2Uyb0RvYy54bWxQSwUGAAAAAAYABgBZAQAA5wU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植皮</w:t>
                              </w:r>
                            </w:p>
                          </w:txbxContent>
                        </v:textbox>
                      </v:shape>
                      <v:shape id="_x0000_s1026" o:spid="_x0000_s1026" o:spt="32" type="#_x0000_t32" style="position:absolute;left:2054993;top:1852925;flip:y;height:281850;width:0;" filled="f" stroked="t" coordsize="21600,21600" o:gfxdata="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4qbbLWAAAABgEA&#10;AA8AAAAAAAAAAQAgAAAAIgAAAGRycy9kb3ducmV2LnhtbFBLAQIUABQAAAAIAIdO4kDKJ7cYHAIA&#10;APkDAAAOAAAAAAAAAAEAIAAAACUBAABkcnMvZTJvRG9jLnhtbFBLBQYAAAAABgAGAFkBAACzBQAA&#10;AAA=&#10;">
                        <v:fill on="f" focussize="0,0"/>
                        <v:stroke weight="0.5pt" color="#000000 [3213]" miterlimit="8" joinstyle="miter" dashstyle="dash" endarrow="block"/>
                        <v:imagedata o:title=""/>
                        <o:lock v:ext="edit" aspectratio="f"/>
                      </v:shape>
                      <v:shape id="_x0000_s1026" o:spid="_x0000_s1026" o:spt="32" type="#_x0000_t32" style="position:absolute;left:4942840;top:516898;flip:y;height:321900;width:0;" filled="f" stroked="t" coordsize="21600,21600" o:gfxdata="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Km2y1gAAAAYBAAAP&#10;AAAAAAAAAAEAIAAAACIAAABkcnMvZG93bnJldi54bWxQSwECFAAUAAAACACHTuJADFqF3BoCAAD4&#10;AwAADgAAAAAAAAABACAAAAAlAQAAZHJzL2Uyb0RvYy54bWxQSwUGAAAAAAYABgBZAQAAsQUAAAAA&#10;">
                        <v:fill on="f" focussize="0,0"/>
                        <v:stroke weight="0.5pt" color="#000000 [3213]" miterlimit="8" joinstyle="miter" dashstyle="dash" endarrow="block"/>
                        <v:imagedata o:title=""/>
                        <o:lock v:ext="edit" aspectratio="f"/>
                      </v:shape>
                      <v:shape id="_x0000_s1026" o:spid="_x0000_s1026" o:spt="32" type="#_x0000_t32" style="position:absolute;left:2646680;top:1027847;flip:x;height:280670;width:1905;" filled="f" stroked="t" coordsize="21600,21600" o:gfxdata="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FA0e7XAAAABgEAAA8AAAAAAAAAAQAgAAAAIgAAAGRycy9kb3ducmV2&#10;LnhtbFBLAQIUABQAAAAIAIdO4kCTGpHWNgIAADkEAAAOAAAAAAAAAAEAIAAAACYBAABkcnMvZTJv&#10;RG9jLnhtbFBLBQYAAAAABgAGAFkBAADOBQAAAAA=&#10;">
                        <v:fill on="f" focussize="0,0"/>
                        <v:stroke weight="0.5pt" color="#000000 [3213]" miterlimit="8" joinstyle="miter" startarrow="block"/>
                        <v:imagedata o:title=""/>
                        <o:lock v:ext="edit" aspectratio="f"/>
                      </v:shape>
                      <v:shape id="AutoShape 121" o:spid="_x0000_s1026" o:spt="109" type="#_x0000_t109" style="position:absolute;left:892307;top:2134775;height:322712;width:586740;" filled="f" stroked="f" coordsize="21600,21600" o:gfxdata="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1CYh1AAAAAYBAAAPAAAAAAAA&#10;AAEAIAAAACIAAABkcnMvZG93bnJldi54bWxQSwECFAAUAAAACACHTuJAkKCptxYCAAArBAAADgAA&#10;AAAAAAABACAAAAAjAQAAZHJzL2Uyb0RvYy54bWxQSwUGAAAAAAYABgBZAQAAqwUAAAAA&#10;">
                        <v:fill on="f" focussize="0,0"/>
                        <v:stroke on="f"/>
                        <v:imagedata o:title=""/>
                        <o:lock v:ext="edit" aspectratio="f"/>
                        <v:textbox inset="0mm,1.27mm,0mm,1.27mm">
                          <w:txbxContent>
                            <w:p>
                              <w:pPr>
                                <w:jc w:val="center"/>
                                <w:rPr>
                                  <w:szCs w:val="21"/>
                                </w:rPr>
                              </w:pPr>
                              <w:r>
                                <w:rPr>
                                  <w:szCs w:val="21"/>
                                </w:rPr>
                                <w:t>ABS底板</w:t>
                              </w:r>
                            </w:p>
                          </w:txbxContent>
                        </v:textbox>
                      </v:shape>
                      <v:shape id="AutoShape 122" o:spid="_x0000_s1026" o:spt="32" type="#_x0000_t32" style="position:absolute;left:2968624;top:886614;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NuGjXAAAABgEAAA8AAAAAAAAAAQAgAAAA&#10;IgAAAGRycy9kb3ducmV2LnhtbFBLAQIUABQAAAAIAIdO4kDuHdG0DAIAAAgEAAAOAAAAAAAAAAEA&#10;IAAAACYBAABkcnMvZTJvRG9jLnhtbFBLBQYAAAAABgAGAFkBAACkBQAAAAA=&#10;">
                        <v:fill on="f" focussize="0,0"/>
                        <v:stroke weight="0.25pt" color="#000000" joinstyle="round" endarrow="block"/>
                        <v:imagedata o:title=""/>
                        <o:lock v:ext="edit" aspectratio="f"/>
                      </v:shape>
                      <v:shape id="文本框 13" o:spid="_x0000_s1026" o:spt="202" type="#_x0000_t202" style="position:absolute;left:2418714;top:755397;height:273685;width:544195;"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2jR1HUAAAABgEAAA8AAAAA&#10;AAAAAQAgAAAAIgAAAGRycy9kb3ducmV2LnhtbFBLAQIUABQAAAAIAIdO4kBIw45fUQIAAHkEAAAO&#10;AAAAAAAAAAEAIAAAACMBAABkcnMvZTJvRG9jLnhtbFBLBQYAAAAABgAGAFkBAADmBQ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贴合</w:t>
                              </w:r>
                            </w:p>
                          </w:txbxContent>
                        </v:textbox>
                      </v:shape>
                      <v:shape id="AutoShape 124" o:spid="_x0000_s1026" o:spt="109" type="#_x0000_t109" style="position:absolute;left:3174364;top:755397;height:272450;width:482600;" filled="f" stroked="t" coordsize="21600,21600" o:gfxdata="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fU7ndIAAAAGAQAADwAAAAAAAAABACAAAAAiAAAAZHJzL2Rv&#10;d25yZXYueG1sUEsBAhQAFAAAAAgAh07iQM72nu1AAgAAdAQAAA4AAAAAAAAAAQAgAAAAIQEAAGRy&#10;cy9lMm9Eb2MueG1sUEsFBgAAAAAGAAYAWQEAANMFAAAAAA==&#10;">
                        <v:fill on="f"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裁切</w:t>
                              </w:r>
                            </w:p>
                          </w:txbxContent>
                        </v:textbox>
                      </v:shape>
                      <v:shape id="AutoShape 122" o:spid="_x0000_s1026" o:spt="32" type="#_x0000_t32" style="position:absolute;left:1535563;top:2275380;height:635;width:236855;" filled="f" stroked="t" coordsize="21600,21600" o:gfxdata="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gtXR7VAAAABgEAAA8AAAAAAAAAAQAgAAAAIgAAAGRycy9k&#10;b3ducmV2LnhtbFBLAQIUABQAAAAIAIdO4kAsW4zbBQIAAP8DAAAOAAAAAAAAAAEAIAAAACQBAABk&#10;cnMvZTJvRG9jLnhtbFBLBQYAAAAABgAGAFkBAACbBQAAAAA=&#10;">
                        <v:fill on="f" focussize="0,0"/>
                        <v:stroke weight="0.25pt" color="#000000" joinstyle="round" endarrow="block"/>
                        <v:imagedata o:title=""/>
                        <o:lock v:ext="edit" aspectratio="f"/>
                      </v:shape>
                      <v:shape id="AutoShape 122" o:spid="_x0000_s1026" o:spt="32" type="#_x0000_t32" style="position:absolute;left:3757428;top:2249005;height:635;width:236855;" filled="f" stroked="t" coordsize="21600,21600" o:gfxdata="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LV0e1QAAAAYBAAAPAAAAAAAAAAEAIAAAACIAAABk&#10;cnMvZG93bnJldi54bWxQSwECFAAUAAAACACHTuJA4RykigkCAAD/AwAADgAAAAAAAAABACAAAAAk&#10;AQAAZHJzL2Uyb0RvYy54bWxQSwUGAAAAAAYABgBZAQAAnwUAAAAA&#10;">
                        <v:fill on="f" focussize="0,0"/>
                        <v:stroke weight="0.25pt" color="#000000" joinstyle="round" endarrow="block"/>
                        <v:imagedata o:title=""/>
                        <o:lock v:ext="edit" aspectratio="f"/>
                      </v:shape>
                      <v:shape id="AutoShape 122" o:spid="_x0000_s1026" o:spt="32" type="#_x0000_t32" style="position:absolute;left:4466383;top:2263838;height:635;width:236855;" filled="f" stroked="t" coordsize="21600,21600" o:gfxdata="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C1dHtUAAAAGAQAADwAAAAAAAAABACAAAAAiAAAAZHJzL2Rv&#10;d25yZXYueG1sUEsBAhQAFAAAAAgAh07iQKi6eP0EAgAA/wMAAA4AAAAAAAAAAQAgAAAAJAEAAGRy&#10;cy9lMm9Eb2MueG1sUEsFBgAAAAAGAAYAWQEAAJoFAAAAAA==&#10;">
                        <v:fill on="f" focussize="0,0"/>
                        <v:stroke weight="0.25pt" color="#000000" joinstyle="round" endarrow="block"/>
                        <v:imagedata o:title=""/>
                        <o:lock v:ext="edit" aspectratio="f"/>
                      </v:shape>
                      <v:shape id="AutoShape 124" o:spid="_x0000_s1026" o:spt="109" type="#_x0000_t109" style="position:absolute;left:3994283;top:2112214;height:295275;width:48260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7rJI1wAAAAYBAAAPAAAAAAAAAAEAIAAAACIA&#10;AABkcnMvZG93bnJldi54bWxQSwECFAAUAAAACACHTuJAQp25lEMCAACeBAAADgAAAAAAAAABACAA&#10;AAAmAQAAZHJzL2Uyb0RvYy54bWxQSwUGAAAAAAYABgBZAQAA2wU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检验</w:t>
                              </w:r>
                            </w:p>
                          </w:txbxContent>
                        </v:textbox>
                      </v:shape>
                      <v:shape id="_x0000_s1026" o:spid="_x0000_s1026" o:spt="34" type="#_x0000_t34" style="position:absolute;left:2373582;top:2096857;flip:y;height:1895091;width:1257915;rotation:5898240f;" filled="f" stroked="t" coordsize="21600,21600" o:gfxdata="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RwjQ1QAAAAYB&#10;AAAPAAAAAAAAAAEAIAAAACIAAABkcnMvZG93bnJldi54bWxQSwECFAAUAAAACACHTuJAOYS1XVcC&#10;AAB3BAAADgAAAAAAAAABACAAAAAkAQAAZHJzL2Uyb0RvYy54bWxQSwUGAAAAAAYABgBZAQAA7QUA&#10;AAAA&#10;" adj="10800">
                        <v:fill on="f" focussize="0,0"/>
                        <v:stroke weight="0.5pt" color="#000000 [3213]" miterlimit="8" joinstyle="miter" endarrow="block"/>
                        <v:imagedata o:title=""/>
                        <o:lock v:ext="edit" aspectratio="f"/>
                      </v:shape>
                      <v:shape id="AutoShape 122" o:spid="_x0000_s1026" o:spt="32" type="#_x0000_t32" style="position:absolute;left:4376419;top:875708;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NuGjXAAAABgEAAA8AAAAAAAAAAQAgAAAA&#10;IgAAAGRycy9kb3ducmV2LnhtbFBLAQIUABQAAAAIAIdO4kBkwlb0DAIAAAgEAAAOAAAAAAAAAAEA&#10;IAAAACYBAABkcnMvZTJvRG9jLnhtbFBLBQYAAAAABgAGAFkBAACkBQAAAAA=&#10;">
                        <v:fill on="f" focussize="0,0"/>
                        <v:stroke weight="0.25pt" color="#000000" joinstyle="round" endarrow="block"/>
                        <v:imagedata o:title=""/>
                        <o:lock v:ext="edit" aspectratio="f"/>
                      </v:shape>
                      <v:shape id="AutoShape 121" o:spid="_x0000_s1026" o:spt="109" type="#_x0000_t109" style="position:absolute;left:2324322;top:2672966;height:322712;width:1003935;" filled="f" stroked="f" coordsize="21600,21600" o:gfxdata="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1CYh1AAAAAYBAAAPAAAAAAAA&#10;AAEAIAAAACIAAABkcnMvZG93bnJldi54bWxQSwECFAAUAAAACACHTuJAosNSzBYCAAAtBAAADgAA&#10;AAAAAAABACAAAAAjAQAAZHJzL2Uyb0RvYy54bWxQSwUGAAAAAAYABgBZAQAAqwUAAAAA&#10;">
                        <v:fill on="f" focussize="0,0"/>
                        <v:stroke on="f"/>
                        <v:imagedata o:title=""/>
                        <o:lock v:ext="edit" aspectratio="f"/>
                        <v:textbox inset="0mm,1.27mm,0mm,1.27mm">
                          <w:txbxContent>
                            <w:p>
                              <w:pPr>
                                <w:jc w:val="center"/>
                                <w:rPr>
                                  <w:szCs w:val="21"/>
                                </w:rPr>
                              </w:pPr>
                              <w:r>
                                <w:rPr>
                                  <w:rFonts w:hint="eastAsia"/>
                                  <w:szCs w:val="21"/>
                                </w:rPr>
                                <w:t>尼龙布料、</w:t>
                              </w:r>
                              <w:r>
                                <w:rPr>
                                  <w:szCs w:val="21"/>
                                </w:rPr>
                                <w:t>胶水</w:t>
                              </w:r>
                            </w:p>
                          </w:txbxContent>
                        </v:textbox>
                      </v:shape>
                      <v:shape id="AutoShape 124" o:spid="_x0000_s1026" o:spt="109" type="#_x0000_t109" style="position:absolute;left:4582159;top:740542;height:275590;width:76708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ruskjXAAAABgEAAA8AAAAAAAAAAQAgAAAA&#10;IgAAAGRycy9kb3ducmV2LnhtbFBLAQIUABQAAAAIAIdO4kABqdevRQIAAJ0EAAAOAAAAAAAAAAEA&#10;IAAAACYBAABkcnMvZTJvRG9jLnhtbFBLBQYAAAAABgAGAFkBAADdBQ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包装出货</w:t>
                              </w:r>
                            </w:p>
                          </w:txbxContent>
                        </v:textbox>
                      </v:shape>
                      <v:shape id="AutoShape 121" o:spid="_x0000_s1026" o:spt="109" type="#_x0000_t109" style="position:absolute;left:7620;top:4805045;height:322580;width:586740;" fillcolor="#FFFFFF" filled="t" stroked="f" coordsize="21600,21600" o:gfxdata="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LJaKtMAAAAGAQAADwAAAAAAAAABACAAAAAiAAAAZHJzL2Rvd25yZXYueG1sUEsBAhQAFAAAAAgA&#10;h07iQC/DGsIqAgAAUgQAAA4AAAAAAAAAAQAgAAAAIgEAAGRycy9lMm9Eb2MueG1sUEsFBgAAAAAG&#10;AAYAWQEAAL4FAAAAAA==&#10;">
                        <v:fill on="t" focussize="0,0"/>
                        <v:stroke on="f"/>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ABS</w:t>
                              </w:r>
                              <w:r>
                                <w:rPr>
                                  <w:rFonts w:hint="eastAsia" w:ascii="Times New Roman"/>
                                  <w:kern w:val="2"/>
                                  <w:sz w:val="21"/>
                                  <w:szCs w:val="21"/>
                                </w:rPr>
                                <w:t>底板</w:t>
                              </w:r>
                            </w:p>
                          </w:txbxContent>
                        </v:textbox>
                      </v:shape>
                      <v:shape id="AutoShape 122" o:spid="_x0000_s1026" o:spt="32" type="#_x0000_t32" style="position:absolute;left:1375159;top:4954270;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Dbho1wAAAAYBAAAPAAAAAAAAAAEAIAAAACIA&#10;AABkcnMvZG93bnJldi54bWxQSwECFAAUAAAACACHTuJAvGuNMwoCAAAJBAAADgAAAAAAAAABACAA&#10;AAAmAQAAZHJzL2Uyb0RvYy54bWxQSwUGAAAAAAYABgBZAQAAogUAAAAA&#10;">
                        <v:fill on="f" focussize="0,0"/>
                        <v:stroke weight="0.25pt" color="#000000" joinstyle="round" endarrow="block"/>
                        <v:imagedata o:title=""/>
                        <o:lock v:ext="edit" aspectratio="f"/>
                      </v:shape>
                      <v:shape id="AutoShape 124" o:spid="_x0000_s1026" o:spt="109" type="#_x0000_t109" style="position:absolute;left:4335824;top:4838700;height:295275;width:482600;"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7rJI1wAAAAYBAAAPAAAAAAAAAAEAIAAAACIAAABk&#10;cnMvZG93bnJldi54bWxQSwECFAAUAAAACACHTuJAENXClUACAACeBAAADgAAAAAAAAABACAAAAAm&#10;AQAAZHJzL2Uyb0RvYy54bWxQSwUGAAAAAAYABgBZAQAA2AU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检验</w:t>
                              </w:r>
                            </w:p>
                          </w:txbxContent>
                        </v:textbox>
                      </v:shape>
                      <v:shape id="AutoShape 125" o:spid="_x0000_s1026" o:spt="32" type="#_x0000_t32" style="position:absolute;left:1823130;top:4587875;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PmAh0gAAAAYBAAAPAAAAAAAAAAEAIAAA&#10;ACIAAABkcnMvZG93bnJldi54bWxQSwECFAAUAAAACACHTuJAQt2QOxICAAAf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2600457;top:4311015;height:288925;width:743423;"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d8pNvVAAAABgEAAA8AAAAAAAAA&#10;AQAgAAAAIgAAAGRycy9kb3ducmV2LnhtbFBLAQIUABQAAAAIAIdO4kAweeZATQIAALkEAAAOAAAA&#10;AAAAAAEAIAAAACQBAABkcnMvZTJvRG9jLnhtbFBLBQYAAAAABgAGAFkBAADj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hAnsi="Times New Roman"/>
                                  <w:kern w:val="2"/>
                                  <w:sz w:val="21"/>
                                  <w:szCs w:val="21"/>
                                </w:rPr>
                                <w:t>、</w:t>
                              </w:r>
                              <w:r>
                                <w:rPr>
                                  <w:rFonts w:ascii="Times New Roman" w:hAnsi="Times New Roman"/>
                                  <w:kern w:val="2"/>
                                  <w:sz w:val="21"/>
                                  <w:szCs w:val="21"/>
                                </w:rPr>
                                <w:t>G</w:t>
                              </w:r>
                              <w:r>
                                <w:rPr>
                                  <w:rFonts w:ascii="Times New Roman" w:hAnsi="Times New Roman"/>
                                  <w:kern w:val="2"/>
                                  <w:position w:val="-5"/>
                                  <w:sz w:val="21"/>
                                  <w:szCs w:val="21"/>
                                  <w:vertAlign w:val="subscript"/>
                                </w:rPr>
                                <w:t>1</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2</w:t>
                              </w:r>
                            </w:p>
                            <w:p>
                              <w:pPr>
                                <w:pStyle w:val="25"/>
                                <w:spacing w:before="0" w:beforeAutospacing="0" w:after="0" w:afterAutospacing="0"/>
                                <w:jc w:val="both"/>
                              </w:pPr>
                              <w:r>
                                <w:rPr>
                                  <w:rFonts w:ascii="Times New Roman" w:hAnsi="Times New Roman"/>
                                  <w:kern w:val="2"/>
                                  <w:sz w:val="21"/>
                                  <w:szCs w:val="21"/>
                                </w:rPr>
                                <w:t>2</w:t>
                              </w:r>
                            </w:p>
                          </w:txbxContent>
                        </v:textbox>
                      </v:shape>
                      <v:shape id="AutoShape 122" o:spid="_x0000_s1026" o:spt="32" type="#_x0000_t32" style="position:absolute;left:1247820;top:5090795;flip:x;height:254000;width:5080;" filled="f" stroked="t" coordsize="21600,21600" o:gfxdata="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oNyD2QAAAAYBAAAPAAAAAAAAAAEA&#10;IAAAACIAAABkcnMvZG93bnJldi54bWxQSwECFAAUAAAACACHTuJAm0X6fA4CAAAKBAAADgAAAAAA&#10;AAABACAAAAAoAQAAZHJzL2Uyb0RvYy54bWxQSwUGAAAAAAYABgBZAQAAqAUAAAAA&#10;">
                        <v:fill on="f" focussize="0,0"/>
                        <v:stroke weight="0.25pt" color="#000000" joinstyle="round" startarrow="block"/>
                        <v:imagedata o:title=""/>
                        <o:lock v:ext="edit" aspectratio="f"/>
                      </v:shape>
                      <v:shape id="AutoShape 122" o:spid="_x0000_s1026" o:spt="32" type="#_x0000_t32" style="position:absolute;left:632845;top:4954905;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A24aNcAAAAGAQAADwAAAAAAAAABACAAAAAi&#10;AAAAZHJzL2Rvd25yZXYueG1sUEsBAhQAFAAAAAgAh07iQPnE4WkLAgAABgQAAA4AAAAAAAAAAQAg&#10;AAAAJgEAAGRycy9lMm9Eb2MueG1sUEsFBgAAAAAGAAYAWQEAAKMFAAAAAA==&#10;">
                        <v:fill on="f" focussize="0,0"/>
                        <v:stroke weight="0.25pt" color="#000000" joinstyle="round" endarrow="block"/>
                        <v:imagedata o:title=""/>
                        <o:lock v:ext="edit" aspectratio="f"/>
                      </v:shape>
                      <v:shape id="文本框 196" o:spid="_x0000_s1026" o:spt="202" type="#_x0000_t202" style="position:absolute;left:836045;top:4819015;height:280670;width:533400;"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aNHUdQAAAAGAQAADwAAAAAA&#10;AAABACAAAAAiAAAAZHJzL2Rvd25yZXYueG1sUEsBAhQAFAAAAAgAh07iQIuEcAZQAgAAegQAAA4A&#10;AAAAAAAAAQAgAAAAIwEAAGRycy9lMm9Eb2MueG1sUEsFBgAAAAAGAAYAWQEAAOUFA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植毛</w:t>
                              </w:r>
                            </w:p>
                          </w:txbxContent>
                        </v:textbox>
                      </v:shape>
                      <v:shape id="文本框 197" o:spid="_x0000_s1026" o:spt="202" type="#_x0000_t202" style="position:absolute;left:1563119;top:4829175;height:292100;width:470196;"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2jR1HUAAAABgEAAA8AAAAA&#10;AAAAAQAgAAAAIgAAAGRycy9kb3ducmV2LnhtbFBLAQIUABQAAAAIAIdO4kDsnF9UUQIAAHsEAAAO&#10;AAAAAAAAAAEAIAAAACMBAABkcnMvZTJvRG9jLnhtbFBLBQYAAAAABgAGAFkBAADmBQ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修毛</w:t>
                              </w:r>
                            </w:p>
                          </w:txbxContent>
                        </v:textbox>
                      </v:shape>
                      <v:shape id="文本框 198" o:spid="_x0000_s1026" o:spt="202" type="#_x0000_t202" style="position:absolute;left:882060;top:5345430;height:420370;width:723265;" fillcolor="#FFFFFF" filled="t" stroked="f" coordsize="21600,21600" o:gfxdata="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nVYA/VAAAABgEAAA8A&#10;AAAAAAAAAQAgAAAAIgAAAGRycy9kb3ducmV2LnhtbFBLAQIUABQAAAAIAIdO4kBbqgyyUwIAAHoE&#10;AAAOAAAAAAAAAAEAIAAAACQBAABkcnMvZTJvRG9jLnhtbFBLBQYAAAAABgAGAFkBAADpBQAAAAA=&#10;">
                        <v:fill on="t" focussize="0,0"/>
                        <v:stroke on="f" miterlimit="8" joinstyle="miter"/>
                        <v:imagedata o:title=""/>
                        <o:lock v:ext="edit" aspectratio="f"/>
                        <v:textbox>
                          <w:txbxContent>
                            <w:p>
                              <w:pPr>
                                <w:pStyle w:val="25"/>
                                <w:spacing w:before="0" w:beforeAutospacing="0" w:after="0" w:afterAutospacing="0"/>
                                <w:jc w:val="center"/>
                                <w:rPr>
                                  <w:szCs w:val="24"/>
                                </w:rPr>
                              </w:pPr>
                              <w:r>
                                <w:rPr>
                                  <w:rFonts w:ascii="Times New Roman" w:hAnsi="Times New Roman"/>
                                  <w:kern w:val="2"/>
                                  <w:sz w:val="21"/>
                                  <w:szCs w:val="21"/>
                                </w:rPr>
                                <w:t>PP</w:t>
                              </w:r>
                              <w:r>
                                <w:rPr>
                                  <w:rFonts w:hint="eastAsia" w:ascii="Times New Roman"/>
                                  <w:kern w:val="2"/>
                                  <w:sz w:val="21"/>
                                  <w:szCs w:val="21"/>
                                </w:rPr>
                                <w:t>胶丝、铁丝</w:t>
                              </w:r>
                            </w:p>
                          </w:txbxContent>
                        </v:textbox>
                      </v:shape>
                      <v:shape id="AutoShape 126" o:spid="_x0000_s1026" o:spt="109" type="#_x0000_t109" style="position:absolute;left:882060;top:4311015;height:266700;width:41910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d8pNvVAAAABgEAAA8AAAAAAAAA&#10;AQAgAAAAIgAAAGRycy9kb3ducmV2LnhtbFBLAQIUABQAAAAIAIdO4kAJxG7VTQIAALgEAAAOAAAA&#10;AAAAAAEAIAAAACQBAABkcnMvZTJvRG9jLnhtbFBLBQYAAAAABgAGAFkBAADj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6" o:spid="_x0000_s1026" o:spt="109" type="#_x0000_t109" style="position:absolute;left:1626959;top:4301440;height:266700;width:41910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nfKTb1QAAAAYBAAAPAAAAAAAA&#10;AAEAIAAAACIAAABkcnMvZG93bnJldi54bWxQSwECFAAUAAAACACHTuJASAKCG04CAAC5BAAADgAA&#10;AAAAAAABACAAAAAkAQAAZHJzL2Uyb0RvYy54bWxQSwUGAAAAAAYABgBZAQAA5A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5" o:spid="_x0000_s1026" o:spt="32" type="#_x0000_t32" style="position:absolute;left:1087165;top:4577715;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YCHSAAAABgEAAA8AAAAAAAAAAQAg&#10;AAAAIgAAAGRycy9kb3ducmV2LnhtbFBLAQIUABQAAAAIAIdO4kB9HNCKFAIAAB8EAAAOAAAAAAAA&#10;AAEAIAAAACEBAABkcnMvZTJvRG9jLnhtbFBLBQYAAAAABgAGAFkBAACnBQAAAAA=&#10;">
                        <v:fill on="f" focussize="0,0"/>
                        <v:stroke color="#000000" joinstyle="round" dashstyle="dash" endarrow="block"/>
                        <v:imagedata o:title=""/>
                        <o:lock v:ext="edit" aspectratio="f"/>
                      </v:shape>
                      <v:shape id="AutoShape 122" o:spid="_x0000_s1026" o:spt="32" type="#_x0000_t32" style="position:absolute;left:4098969;top:4966970;height:635;width:236855;" filled="f" stroked="t" coordsize="21600,21600" o:gfxdata="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LV0e1QAAAAYBAAAPAAAAAAAAAAEAIAAAACIAAABkcnMv&#10;ZG93bnJldi54bWxQSwECFAAUAAAACACHTuJAOVEtiQYCAAD/AwAADgAAAAAAAAABACAAAAAkAQAA&#10;ZHJzL2Uyb0RvYy54bWxQSwUGAAAAAAYABgBZAQAAnAUAAAAA&#10;">
                        <v:fill on="f" focussize="0,0"/>
                        <v:stroke weight="0.25pt" color="#000000" joinstyle="round" endarrow="block"/>
                        <v:imagedata o:title=""/>
                        <o:lock v:ext="edit" aspectratio="f"/>
                      </v:shape>
                      <v:shape id="AutoShape 125" o:spid="_x0000_s1026" o:spt="32" type="#_x0000_t32" style="position:absolute;left:3864950;top:4615815;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5gIdIAAAAGAQAADwAAAAAAAAABACAA&#10;AAAiAAAAZHJzL2Rvd25yZXYueG1sUEsBAhQAFAAAAAgAh07iQI9mjJATAgAAHwQAAA4AAAAAAAAA&#10;AQAgAAAAIQEAAGRycy9lMm9Eb2MueG1sUEsFBgAAAAAGAAYAWQEAAKYFAAAAAA==&#10;">
                        <v:fill on="f" focussize="0,0"/>
                        <v:stroke color="#000000" joinstyle="round" dashstyle="dash" endarrow="block"/>
                        <v:imagedata o:title=""/>
                        <o:lock v:ext="edit" aspectratio="f"/>
                      </v:shape>
                      <v:shape id="AutoShape 126" o:spid="_x0000_s1026" o:spt="109" type="#_x0000_t109" style="position:absolute;left:3694652;top:4311015;height:288290;width:429377;"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d8pNvVAAAABgEAAA8AAAAA&#10;AAAAAQAgAAAAIgAAAGRycy9kb3ducmV2LnhtbFBLAQIUABQAAAAIAIdO4kCJEZ5iUAIAALk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hAns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5" o:spid="_x0000_s1026" o:spt="32" type="#_x0000_t32" style="position:absolute;left:4588554;top:4599940;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o+YCHSAAAABgEAAA8AAAAAAAAAAQAgAAAA&#10;IgAAAGRycy9kb3ducmV2LnhtbFBLAQIUABQAAAAIAIdO4kDSIxHYEQIAAB8EAAAOAAAAAAAAAAEA&#10;IAAAACEBAABkcnMvZTJvRG9jLnhtbFBLBQYAAAAABgAGAFkBAACkBQAAAAA=&#10;">
                        <v:fill on="f" focussize="0,0"/>
                        <v:stroke color="#000000" joinstyle="round" dashstyle="dash" endarrow="block"/>
                        <v:imagedata o:title=""/>
                        <o:lock v:ext="edit" aspectratio="f"/>
                      </v:shape>
                      <v:shape id="AutoShape 126" o:spid="_x0000_s1026" o:spt="109" type="#_x0000_t109" style="position:absolute;left:4404994;top:4311015;height:288290;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d8pNvVAAAABgEAAA8AAAAA&#10;AAAAAQAgAAAAIgAAAGRycy9kb3ducmV2LnhtbFBLAQIUABQAAAAIAIdO4kC5PvqfUAIAALk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v:textbox>
                      </v:shape>
                      <v:shape id="AutoShape 121" o:spid="_x0000_s1026" o:spt="109" type="#_x0000_t109" style="position:absolute;left:2574039;top:5372100;height:322580;width:1091565;" filled="f" stroked="f" coordsize="21600,21600" o:gfxdata="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fUJiHUAAAABgEAAA8AAAAA&#10;AAAAAQAgAAAAIgAAAGRycy9kb3ducmV2LnhtbFBLAQIUABQAAAAIAIdO4kCg3xU3GAIAAC0EAAAO&#10;AAAAAAAAAAEAIAAAACMBAABkcnMvZTJvRG9jLnhtbFBLBQYAAAAABgAGAFkBAACtBQAAAAA=&#10;">
                        <v:fill on="f" focussize="0,0"/>
                        <v:stroke on="f"/>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尼龙布料、胶水</w:t>
                              </w:r>
                            </w:p>
                          </w:txbxContent>
                        </v:textbox>
                      </v:shape>
                      <v:shape id="AutoShape 122" o:spid="_x0000_s1026" o:spt="32" type="#_x0000_t32" style="position:absolute;left:2037125;top:4979670;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&#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Dbho1wAAAAYBAAAPAAAAAAAAAAEAIAAAACIAAABk&#10;cnMvZG93bnJldi54bWxQSwECFAAUAAAACACHTuJA0195NAcCAAAHBAAADgAAAAAAAAABACAAAAAm&#10;AQAAZHJzL2Uyb0RvYy54bWxQSwUGAAAAAAYABgBZAQAAnwUAAAAA&#10;">
                        <v:fill on="f" focussize="0,0"/>
                        <v:stroke weight="0.25pt" color="#000000" joinstyle="round" endarrow="block"/>
                        <v:imagedata o:title=""/>
                        <o:lock v:ext="edit" aspectratio="f"/>
                      </v:shape>
                      <v:shape id="_x0000_s1026" o:spid="_x0000_s1026" o:spt="32" type="#_x0000_t32" style="position:absolute;left:3174704;top:5136515;flip:x;height:280670;width:1905;" filled="f" stroked="t" coordsize="21600,21600" o:gfxdata="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FA0e7XAAAABgEAAA8AAAAAAAAAAQAgAAAAIgAAAGRycy9kb3ducmV2&#10;LnhtbFBLAQIUABQAAAAIAIdO4kBEWI3xNgIAADkEAAAOAAAAAAAAAAEAIAAAACYBAABkcnMvZTJv&#10;RG9jLnhtbFBLBQYAAAAABgAGAFkBAADOBQAAAAA=&#10;">
                        <v:fill on="f" focussize="0,0"/>
                        <v:stroke weight="0.5pt" color="#000000 [3213]" miterlimit="8" joinstyle="miter" startarrow="block"/>
                        <v:imagedata o:title=""/>
                        <o:lock v:ext="edit" aspectratio="f"/>
                      </v:shape>
                      <v:shape id="AutoShape 122" o:spid="_x0000_s1026" o:spt="32" type="#_x0000_t32" style="position:absolute;left:3422694;top:4980940;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wNuGjXAAAABgEAAA8AAAAAAAAAAQAgAAAAIgAA&#10;AGRycy9kb3ducmV2LnhtbFBLAQIUABQAAAAIAIdO4kBPnGjHCQIAAAkEAAAOAAAAAAAAAAEAIAAA&#10;ACYBAABkcnMvZTJvRG9jLnhtbFBLBQYAAAAABgAGAFkBAAChBQAAAAA=&#10;">
                        <v:fill on="f" focussize="0,0"/>
                        <v:stroke weight="0.25pt" color="#000000" joinstyle="round" endarrow="block"/>
                        <v:imagedata o:title=""/>
                        <o:lock v:ext="edit" aspectratio="f"/>
                      </v:shape>
                      <v:shape id="文本框 13" o:spid="_x0000_s1026" o:spt="202" type="#_x0000_t202" style="position:absolute;left:2941703;top:4857115;height:273685;width:480991;"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aNHUdQAAAAGAQAADwAA&#10;AAAAAAABACAAAAAiAAAAZHJzL2Rvd25yZXYueG1sUEsBAhQAFAAAAAgAh07iQPixTo5TAgAAegQA&#10;AA4AAAAAAAAAAQAgAAAAIwEAAGRycy9lMm9Eb2MueG1sUEsFBgAAAAAGAAYAWQEAAOgFA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贴合</w:t>
                              </w:r>
                            </w:p>
                          </w:txbxContent>
                        </v:textbox>
                      </v:shape>
                      <v:shape id="AutoShape 124" o:spid="_x0000_s1026" o:spt="109" type="#_x0000_t109" style="position:absolute;left:3628434;top:4841240;height:295275;width:470535;" fillcolor="#FFFFFF" filled="t" stroked="t" coordsize="21600,21600" o:gfxdata="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ruskjXAAAABgEAAA8AAAAAAAAAAQAgAAAAIgAA&#10;AGRycy9kb3ducmV2LnhtbFBLAQIUABQAAAAIAIdO4kDjjzm2QgIAAJ4EAAAOAAAAAAAAAAEAIAAA&#10;ACYBAABkcnMvZTJvRG9jLnhtbFBLBQYAAAAABgAGAFkBAADaBQ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裁切</w:t>
                              </w:r>
                            </w:p>
                          </w:txbxContent>
                        </v:textbox>
                      </v:shape>
                      <v:shape id="AutoShape 122" o:spid="_x0000_s1026" o:spt="32" type="#_x0000_t32" style="position:absolute;left:4825999;top:4981575;flip:y;height:635;width:20574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Dbho1wAAAAYBAAAPAAAAAAAAAAEAIAAAACIA&#10;AABkcnMvZG93bnJldi54bWxQSwECFAAUAAAACACHTuJAo1waxAoCAAAJBAAADgAAAAAAAAABACAA&#10;AAAmAQAAZHJzL2Uyb0RvYy54bWxQSwUGAAAAAAYABgBZAQAAogUAAAAA&#10;">
                        <v:fill on="f" focussize="0,0"/>
                        <v:stroke weight="0.25pt" color="#000000" joinstyle="round" endarrow="block"/>
                        <v:imagedata o:title=""/>
                        <o:lock v:ext="edit" aspectratio="f"/>
                      </v:shape>
                      <v:shape id="AutoShape 124" o:spid="_x0000_s1026" o:spt="109" type="#_x0000_t109" style="position:absolute;left:5086689;top:4838700;height:275590;width:767080;" filled="f" stroked="t" coordsize="21600,21600" o:gfxdata="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n1O53SAAAABgEAAA8AAAAAAAAAAQAgAAAAIgAAAGRycy9kb3du&#10;cmV2LnhtbFBLAQIUABQAAAAIAIdO4kAMzQ1kPgIAAHUEAAAOAAAAAAAAAAEAIAAAACEBAABkcnMv&#10;ZTJvRG9jLnhtbFBLBQYAAAAABgAGAFkBAADRBQAAAAA=&#10;">
                        <v:fill on="f"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包装出货</w:t>
                              </w:r>
                            </w:p>
                          </w:txbxContent>
                        </v:textbox>
                      </v:shape>
                      <v:shape id="AutoShape 122" o:spid="_x0000_s1026" o:spt="32" type="#_x0000_t32" style="position:absolute;left:2701630;top:4980305;flip:y;height:0;width:203200;" filled="f" stroked="t" coordsize="21600,21600" o:gfxdata="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A24aNcAAAAGAQAADwAAAAAAAAABACAAAAAi&#10;AAAAZHJzL2Rvd25yZXYueG1sUEsBAhQAFAAAAAgAh07iQE9LL5kLAgAABwQAAA4AAAAAAAAAAQAg&#10;AAAAJgEAAGRycy9lMm9Eb2MueG1sUEsFBgAAAAAGAAYAWQEAAKMFAAAAAA==&#10;">
                        <v:fill on="f" focussize="0,0"/>
                        <v:stroke weight="0.25pt" color="#000000" joinstyle="round" endarrow="block"/>
                        <v:imagedata o:title=""/>
                        <o:lock v:ext="edit" aspectratio="f"/>
                      </v:shape>
                      <v:shape id="文本框 197" o:spid="_x0000_s1026" o:spt="202" type="#_x0000_t202" style="position:absolute;left:2240325;top:4838700;height:292100;width:461305;" filled="f" stroked="t" coordsize="21600,21600" o:gfxdata="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aNHUdQAAAAGAQAADwAAAAAA&#10;AAABACAAAAAiAAAAZHJzL2Rvd25yZXYueG1sUEsBAhQAFAAAAAgAh07iQDcqJbJQAgAAewQAAA4A&#10;AAAAAAAAAQAgAAAAIwEAAGRycy9lMm9Eb2MueG1sUEsFBgAAAAAGAAYAWQEAAOUFAAAAAA==&#10;">
                        <v:fill on="f"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植皮</w:t>
                              </w:r>
                            </w:p>
                          </w:txbxContent>
                        </v:textbox>
                      </v:shape>
                      <v:shape id="_x0000_s1026" o:spid="_x0000_s1026" o:spt="34" type="#_x0000_t34" style="position:absolute;left:2768196;top:3656812;height:1479106;width:884670;rotation:5898240f;" filled="f" stroked="t" coordsize="21600,21600" o:gfxdata="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xlfcrYAAAABgEAAA8A&#10;AAAAAAAAAQAgAAAAIgAAAGRycy9kb3ducmV2LnhtbFBLAQIUABQAAAAIAIdO4kAj5vskUAIAAGwE&#10;AAAOAAAAAAAAAAEAIAAAACcBAABkcnMvZTJvRG9jLnhtbFBLBQYAAAAABgAGAFkBAADpBQAAAAA=&#10;" adj="6893">
                        <v:fill on="f" focussize="0,0"/>
                        <v:stroke weight="1pt" color="#000000 [3213]" miterlimit="8" joinstyle="miter" endarrow="block"/>
                        <v:imagedata o:title=""/>
                        <o:lock v:ext="edit" aspectratio="f"/>
                      </v:shape>
                      <v:shape id="AutoShape 126" o:spid="_x0000_s1026" o:spt="109" type="#_x0000_t109" style="position:absolute;left:1741303;top:240873;height:266700;width:48768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d8pNvVAAAABgEAAA8AAAAA&#10;AAAAAQAgAAAAIgAAAGRycy9kb3ducmV2LnhtbFBLAQIUABQAAAAIAIdO4kBhbEj0UAIAALg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6" o:spid="_x0000_s1026" o:spt="109" type="#_x0000_t109" style="position:absolute;left:3210944;top:240873;height:266700;width:48768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VqgtQVECAAC4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_x0000_s1026" o:spid="_x0000_s1026" o:spt="32" type="#_x0000_t32" style="position:absolute;left:2783973;top:1847973;flip:y;height:281305;width:0;" filled="f" stroked="t" coordsize="21600,21600" o:gfxdata="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iptstYAAAAGAQAADwAA&#10;AAAAAAABACAAAAAiAAAAZHJzL2Rvd25yZXYueG1sUEsBAhQAFAAAAAgAh07iQCa8qb8YAgAA+QMA&#10;AA4AAAAAAAAAAQAgAAAAJQEAAGRycy9lMm9Eb2MueG1sUEsFBgAAAAAGAAYAWQEAAK8FAAAAAA==&#10;">
                        <v:fill on="f" focussize="0,0"/>
                        <v:stroke weight="0.5pt" color="#000000 [3213]" miterlimit="8" joinstyle="miter" dashstyle="dash" endarrow="block"/>
                        <v:imagedata o:title=""/>
                        <o:lock v:ext="edit" aspectratio="f"/>
                      </v:shape>
                      <v:shape id="AutoShape 126" o:spid="_x0000_s1026" o:spt="109" type="#_x0000_t109" style="position:absolute;left:2496127;top:1575725;height:261620;width:73215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d8pNvVAAAABgEAAA8AAAAAAAAA&#10;AQAgAAAAIgAAAGRycy9kb3ducmV2LnhtbFBLAQIUABQAAAAIAIdO4kC6n8ROTQIAALkEAAAOAAAA&#10;AAAAAAEAIAAAACQBAABkcnMvZTJvRG9jLnhtbFBLBQYAAAAABgAGAFkBAADj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G</w:t>
                              </w:r>
                              <w:r>
                                <w:rPr>
                                  <w:rFonts w:ascii="Times New Roman" w:hAnsi="Times New Roman"/>
                                  <w:kern w:val="2"/>
                                  <w:position w:val="-5"/>
                                  <w:sz w:val="21"/>
                                  <w:szCs w:val="21"/>
                                  <w:vertAlign w:val="subscript"/>
                                </w:rPr>
                                <w:t>1</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2</w:t>
                              </w:r>
                            </w:p>
                            <w:p>
                              <w:pPr>
                                <w:pStyle w:val="25"/>
                                <w:spacing w:before="0" w:beforeAutospacing="0" w:after="0" w:afterAutospacing="0"/>
                                <w:jc w:val="both"/>
                              </w:pPr>
                              <w:r>
                                <w:rPr>
                                  <w:rFonts w:ascii="Times New Roman" w:hAnsi="Times New Roman"/>
                                  <w:kern w:val="2"/>
                                  <w:sz w:val="21"/>
                                  <w:szCs w:val="21"/>
                                </w:rPr>
                                <w:t>2</w:t>
                              </w:r>
                            </w:p>
                          </w:txbxContent>
                        </v:textbox>
                      </v:shape>
                      <v:shape id="AutoShape 125" o:spid="_x0000_s1026" o:spt="32" type="#_x0000_t32" style="position:absolute;left:3520573;top:1893475;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YCHSAAAABgEAAA8AAAAAAAAAAQAg&#10;AAAAIgAAAGRycy9kb3ducmV2LnhtbFBLAQIUABQAAAAIAIdO4kC74UG5FAIAAB8EAAAOAAAAAAAA&#10;AAEAIAAAACEBAABkcnMvZTJvRG9jLnhtbFBLBQYAAAAABgAGAFkBAACnBQAAAAA=&#10;">
                        <v:fill on="f" focussize="0,0"/>
                        <v:stroke color="#000000" joinstyle="round" dashstyle="dash" endarrow="block"/>
                        <v:imagedata o:title=""/>
                        <o:lock v:ext="edit" aspectratio="f"/>
                      </v:shape>
                      <v:shape id="AutoShape 126" o:spid="_x0000_s1026" o:spt="109" type="#_x0000_t109" style="position:absolute;left:4857588;top:1489942;height:296934;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d8pNvVAAAABgEAAA8AAAAA&#10;AAAAAQAgAAAAIgAAAGRycy9kb3ducmV2LnhtbFBLAQIUABQAAAAIAIdO4kAzgAYjUAIAALk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4</w:t>
                              </w:r>
                            </w:p>
                          </w:txbxContent>
                        </v:textbox>
                      </v:shape>
                      <v:shape id="AutoShape 125" o:spid="_x0000_s1026" o:spt="32" type="#_x0000_t32" style="position:absolute;left:4224153;top:1878870;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PmAh0gAAAAYBAAAPAAAAAAAAAAEAIAAA&#10;ACIAAABkcnMvZG93bnJldi54bWxQSwECFAAUAAAACACHTuJAXdIRjRICAAAf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3980993;top:1535662;height:301683;width:421005;"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NtxrVECAAC5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v:textbox>
                      </v:shape>
                      <v:shape id="_x0000_s1026" o:spid="_x0000_s1026" o:spt="32" type="#_x0000_t32" style="position:absolute;left:5053759;top:1790904;flip:y;height:321310;width:0;" filled="f" stroked="t" coordsize="21600,21600" o:gfxdata="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Km2y1gAAAAYB&#10;AAAPAAAAAAAAAAEAIAAAACIAAABkcnMvZG93bnJldi54bWxQSwECFAAUAAAACACHTuJA9hTRHR0C&#10;AAD5AwAADgAAAAAAAAABACAAAAAlAQAAZHJzL2Uyb0RvYy54bWxQSwUGAAAAAAYABgBZAQAAtAUA&#10;AAAA&#10;">
                        <v:fill on="f" focussize="0,0"/>
                        <v:stroke weight="0.5pt" color="#000000 [3213]" miterlimit="8" joinstyle="miter" dashstyle="dash" endarrow="block"/>
                        <v:imagedata o:title=""/>
                        <o:lock v:ext="edit" aspectratio="f"/>
                      </v:shape>
                      <v:shape id="AutoShape 126" o:spid="_x0000_s1026" o:spt="109" type="#_x0000_t109" style="position:absolute;left:3326647;top:1626775;height:266700;width:48768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jfIwaFECAAC5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5" o:spid="_x0000_s1026" o:spt="32" type="#_x0000_t32" style="position:absolute;left:2496127;top:3429193;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6PmAh0gAAAAYBAAAPAAAAAAAAAAEA&#10;IAAAACIAAABkcnMvZG93bnJldi54bWxQSwECFAAUAAAACACHTuJARxXcXxUCAAAfBAAADgAAAAAA&#10;AAABACAAAAAhAQAAZHJzL2Uyb0RvYy54bWxQSwUGAAAAAAYABgBZAQAAqAUAAAAA&#10;">
                        <v:fill on="f" focussize="0,0"/>
                        <v:stroke color="#000000" joinstyle="round" dashstyle="dash" endarrow="block"/>
                        <v:imagedata o:title=""/>
                        <o:lock v:ext="edit" aspectratio="f"/>
                      </v:shape>
                      <v:shape id="AutoShape 125" o:spid="_x0000_s1026" o:spt="32" type="#_x0000_t32" style="position:absolute;left:1747904;top:3429193;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YCHSAAAABgEAAA8AAAAAAAAAAQAg&#10;AAAAIgAAAGRycy9kb3ducmV2LnhtbFBLAQIUABQAAAAIAIdO4kDhmDutFAIAAB8EAAAOAAAAAAAA&#10;AAEAIAAAACEBAABkcnMvZTJvRG9jLnhtbFBLBQYAAAAABgAGAFkBAACnBQAAAAA=&#10;">
                        <v:fill on="f" focussize="0,0"/>
                        <v:stroke color="#000000" joinstyle="round" dashstyle="dash" endarrow="block"/>
                        <v:imagedata o:title=""/>
                        <o:lock v:ext="edit" aspectratio="f"/>
                      </v:shape>
                      <v:shape id="AutoShape 125" o:spid="_x0000_s1026" o:spt="32" type="#_x0000_t32" style="position:absolute;left:1030900;top:3443002;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o+YCHSAAAABgEAAA8AAAAAAAAAAQAgAAAA&#10;IgAAAGRycy9kb3ducmV2LnhtbFBLAQIUABQAAAAIAIdO4kDajGnmEQIAAB8EAAAOAAAAAAAAAAEA&#10;IAAAACEBAABkcnMvZTJvRG9jLnhtbFBLBQYAAAAABgAGAFkBAACkBQAAAAA=&#10;">
                        <v:fill on="f" focussize="0,0"/>
                        <v:stroke color="#000000" joinstyle="round" dashstyle="dash" endarrow="block"/>
                        <v:imagedata o:title=""/>
                        <o:lock v:ext="edit" aspectratio="f"/>
                      </v:shape>
                      <v:shape id="AutoShape 126" o:spid="_x0000_s1026" o:spt="109" type="#_x0000_t109" style="position:absolute;left:3914318;top:3165033;height:266700;width:487680;" filled="f" stroked="t" coordsize="21600,21600" o:gfxdata="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Qd5MLTAAAABgEAAA8AAAAAAAAAAQAg&#10;AAAAIgAAAGRycy9kb3ducmV2LnhtbFBLAQIUABQAAAAIAIdO4kDmTtiFTAIAAJAEAAAOAAAAAAAA&#10;AAEAIAAAACIBAABkcnMvZTJvRG9jLnhtbFBLBQYAAAAABgAGAFkBAADgBQAAAAA=&#10;">
                        <v:fill on="f"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6" o:spid="_x0000_s1026" o:spt="109" type="#_x0000_t109" style="position:absolute;left:1457323;top:3165033;height:266700;width:48768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fKTb1QAAAAYBAAAPAAAA&#10;AAAAAAEAIAAAACIAAABkcnMvZG93bnJldi54bWxQSwECFAAUAAAACACHTuJAFMBHhlECAAC5BAAA&#10;DgAAAAAAAAABACAAAAAkAQAAZHJzL2Uyb0RvYy54bWxQSwUGAAAAAAYABgBZAQAA5w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6" o:spid="_x0000_s1026" o:spt="109" type="#_x0000_t109" style="position:absolute;left:788079;top:3152673;height:266700;width:487680;" fillcolor="#FFFFFF" filled="t" stroked="t" coordsize="21600,21600" o:gfxdata="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3yk29UAAAAGAQAADwAA&#10;AAAAAAABACAAAAAiAAAAZHJzL2Rvd25yZXYueG1sUEsBAhQAFAAAAAgAh07iQAj5g+FSAgAAuAQA&#10;AA4AAAAAAAAAAQAgAAAAJAEAAGRycy9lMm9Eb2MueG1sUEsFBgAAAAAGAAYAWQEAAOgFA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5" o:spid="_x0000_s1026" o:spt="32" type="#_x0000_t32" style="position:absolute;left:3204504;top:3419373;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5gIdIAAAAGAQAADwAAAAAAAAABACAA&#10;AAAiAAAAZHJzL2Rvd25yZXYueG1sUEsBAhQAFAAAAAgAh07iQOcN7UkTAgAAHwQAAA4AAAAAAAAA&#10;AQAgAAAAIQEAAGRycy9lMm9Eb2MueG1sUEsFBgAAAAAGAAYAWQEAAKYFAAAAAA==&#10;">
                        <v:fill on="f" focussize="0,0"/>
                        <v:stroke color="#000000" joinstyle="round" dashstyle="dash" endarrow="block"/>
                        <v:imagedata o:title=""/>
                        <o:lock v:ext="edit" aspectratio="f"/>
                      </v:shape>
                      <v:shape id="AutoShape 125" o:spid="_x0000_s1026" o:spt="32" type="#_x0000_t32" style="position:absolute;left:4089105;top:3419373;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6PmAh0gAAAAYBAAAPAAAAAAAAAAEA&#10;IAAAACIAAABkcnMvZG93bnJldi54bWxQSwECFAAUAAAACACHTuJAR58n2BUCAAAfBAAADgAAAAAA&#10;AAABACAAAAAhAQAAZHJzL2Uyb0RvYy54bWxQSwUGAAAAAAYABgBZAQAAqAUAAAAA&#10;">
                        <v:fill on="f" focussize="0,0"/>
                        <v:stroke color="#000000" joinstyle="round" dashstyle="dash" endarrow="block"/>
                        <v:imagedata o:title=""/>
                        <o:lock v:ext="edit" aspectratio="f"/>
                      </v:shape>
                      <v:shape id="AutoShape 126" o:spid="_x0000_s1026" o:spt="109" type="#_x0000_t109" style="position:absolute;left:2968624;top:3176302;height:266700;width:487680;" filled="f" stroked="t" coordsize="21600,21600" o:gfxdata="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EHeTC0wAAAAYBAAAPAAAAAAAAAAEA&#10;IAAAACIAAABkcnMvZG93bnJldi54bWxQSwECFAAUAAAACACHTuJAtFCzjU0CAACQBAAADgAAAAAA&#10;AAABACAAAAAiAQAAZHJzL2Uyb0RvYy54bWxQSwUGAAAAAAYABgBZAQAA4QUAAAAA&#10;">
                        <v:fill on="f"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r>
                                <w:rPr>
                                  <w:rFonts w:hint="eastAsia" w:ascii="Times New Roman"/>
                                  <w:kern w:val="2"/>
                                  <w:sz w:val="21"/>
                                  <w:szCs w:val="21"/>
                                </w:rPr>
                                <w:t>、</w:t>
                              </w:r>
                              <w:r>
                                <w:rPr>
                                  <w:rFonts w:ascii="Times New Roman" w:hAnsi="Times New Roman"/>
                                  <w:kern w:val="2"/>
                                  <w:sz w:val="21"/>
                                  <w:szCs w:val="21"/>
                                </w:rPr>
                                <w:t>S</w:t>
                              </w:r>
                              <w:r>
                                <w:rPr>
                                  <w:rFonts w:ascii="Times New Roman" w:hAnsi="Times New Roman"/>
                                  <w:kern w:val="2"/>
                                  <w:position w:val="-5"/>
                                  <w:sz w:val="21"/>
                                  <w:szCs w:val="21"/>
                                  <w:vertAlign w:val="subscript"/>
                                </w:rPr>
                                <w:t>1</w:t>
                              </w:r>
                            </w:p>
                          </w:txbxContent>
                        </v:textbox>
                      </v:shape>
                      <v:shape id="AutoShape 126" o:spid="_x0000_s1026" o:spt="109" type="#_x0000_t109" style="position:absolute;left:2278898;top:3176302;height:266700;width:487680;" filled="f" stroked="t" coordsize="21600,21600" o:gfxdata="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EHeTC0wAAAAYBAAAPAAAAAAAAAAEA&#10;IAAAACIAAABkcnMvZG93bnJldi54bWxQSwECFAAUAAAACACHTuJAWOsowU0CAACQBAAADgAAAAAA&#10;AAABACAAAAAiAQAAZHJzL2Uyb0RvYy54bWxQSwUGAAAAAAYABgBZAQAA4QUAAAAA&#10;">
                        <v:fill on="f"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N</w:t>
                              </w:r>
                            </w:p>
                          </w:txbxContent>
                        </v:textbox>
                      </v:shape>
                      <v:shape id="AutoShape 125" o:spid="_x0000_s1026" o:spt="32" type="#_x0000_t32" style="position:absolute;left:2645705;top:4599940;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5gIdIAAAAGAQAADwAAAAAAAAABACAA&#10;AAAiAAAAZHJzL2Rvd25yZXYueG1sUEsBAhQAFAAAAAgAh07iQLEqU8ITAgAAHwQAAA4AAAAAAAAA&#10;AQAgAAAAIQEAAGRycy9lMm9Eb2MueG1sUEsFBgAAAAAGAAYAWQEAAKYFAAAAAA==&#10;">
                        <v:fill on="f" focussize="0,0"/>
                        <v:stroke color="#000000" joinstyle="round" dashstyle="dash" endarrow="block"/>
                        <v:imagedata o:title=""/>
                        <o:lock v:ext="edit" aspectratio="f"/>
                      </v:shape>
                      <v:shape id="AutoShape 125" o:spid="_x0000_s1026" o:spt="32" type="#_x0000_t32" style="position:absolute;left:3176609;top:4615815;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6PmAh0gAAAAYBAAAPAAAAAAAAAAEA&#10;IAAAACIAAABkcnMvZG93bnJldi54bWxQSwECFAAUAAAACACHTuJAFJGvZBUCAAAfBAAADgAAAAAA&#10;AAABACAAAAAhAQAAZHJzL2Uyb0RvYy54bWxQSwUGAAAAAAYABgBZAQAAqAUAAAAA&#10;">
                        <v:fill on="f" focussize="0,0"/>
                        <v:stroke color="#000000" joinstyle="round" dashstyle="dash" endarrow="block"/>
                        <v:imagedata o:title=""/>
                        <o:lock v:ext="edit" aspectratio="f"/>
                      </v:shape>
                      <v:shape id="AutoShape 125" o:spid="_x0000_s1026" o:spt="32" type="#_x0000_t32" style="position:absolute;left:5441152;top:4599940;flip:y;height:241300;width:0;" filled="f" stroked="t" coordsize="21600,21600" o:gfxdata="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o+YCHSAAAABgEAAA8AAAAAAAAAAQAgAAAA&#10;IgAAAGRycy9kb3ducmV2LnhtbFBLAQIUABQAAAAIAIdO4kAf1bGxEQIAAB8EAAAOAAAAAAAAAAEA&#10;IAAAACEBAABkcnMvZTJvRG9jLnhtbFBLBQYAAAAABgAGAFkBAACkBQAAAAA=&#10;">
                        <v:fill on="f" focussize="0,0"/>
                        <v:stroke color="#000000" joinstyle="round" dashstyle="dash" endarrow="block"/>
                        <v:imagedata o:title=""/>
                        <o:lock v:ext="edit" aspectratio="f"/>
                      </v:shape>
                      <w10:wrap type="none"/>
                      <w10:anchorlock/>
                    </v:group>
                  </w:pict>
                </mc:Fallback>
              </mc:AlternateContent>
            </w:r>
          </w:p>
          <w:p>
            <w:pPr>
              <w:pStyle w:val="43"/>
              <w:rPr>
                <w:rFonts w:ascii="Times New Roman" w:hAnsi="Times New Roman"/>
                <w:b/>
                <w:color w:val="auto"/>
              </w:rPr>
            </w:pPr>
            <w:r>
              <w:rPr>
                <w:rFonts w:ascii="Times New Roman" w:hAnsi="Times New Roman"/>
                <w:b/>
                <w:color w:val="auto"/>
                <w:sz w:val="21"/>
                <w:szCs w:val="21"/>
              </w:rPr>
              <w:t xml:space="preserve">图3 </w:t>
            </w:r>
            <w:r>
              <w:rPr>
                <w:rFonts w:hint="eastAsia" w:ascii="Times New Roman" w:hAnsi="Times New Roman"/>
                <w:b/>
                <w:color w:val="auto"/>
                <w:sz w:val="21"/>
                <w:szCs w:val="21"/>
              </w:rPr>
              <w:t>手机抛光</w:t>
            </w:r>
            <w:r>
              <w:rPr>
                <w:rFonts w:ascii="Times New Roman" w:hAnsi="Times New Roman"/>
                <w:b/>
                <w:color w:val="auto"/>
                <w:sz w:val="21"/>
                <w:szCs w:val="21"/>
              </w:rPr>
              <w:t>用刷子产品工艺流程及产污环节分析示意图</w:t>
            </w:r>
          </w:p>
          <w:p>
            <w:pPr>
              <w:adjustRightInd w:val="0"/>
              <w:snapToGrid w:val="0"/>
              <w:spacing w:line="360" w:lineRule="auto"/>
              <w:ind w:firstLine="420" w:firstLineChars="200"/>
              <w:rPr>
                <w:szCs w:val="21"/>
              </w:rPr>
            </w:pPr>
            <w:r>
              <w:rPr>
                <w:szCs w:val="21"/>
              </w:rPr>
              <w:t>工艺流程说明：</w:t>
            </w:r>
          </w:p>
          <w:p>
            <w:pPr>
              <w:spacing w:line="360" w:lineRule="auto"/>
              <w:ind w:firstLine="420" w:firstLineChars="200"/>
              <w:jc w:val="left"/>
              <w:rPr>
                <w:bCs/>
                <w:szCs w:val="21"/>
              </w:rPr>
            </w:pPr>
            <w:r>
              <w:rPr>
                <w:rFonts w:hint="eastAsia"/>
              </w:rPr>
              <w:t>项目手机</w:t>
            </w:r>
            <w:r>
              <w:t>抛光用</w:t>
            </w:r>
            <w:r>
              <w:rPr>
                <w:rFonts w:hint="eastAsia"/>
              </w:rPr>
              <w:t>刷子产品</w:t>
            </w:r>
            <w:r>
              <w:t>共有三种主体工艺，一种是</w:t>
            </w:r>
            <w:r>
              <w:rPr>
                <w:rFonts w:hint="eastAsia"/>
              </w:rPr>
              <w:t>在</w:t>
            </w:r>
            <w:r>
              <w:t>外购的</w:t>
            </w:r>
            <w:r>
              <w:rPr>
                <w:rFonts w:hint="eastAsia"/>
              </w:rPr>
              <w:t>ABS地板上植毛</w:t>
            </w:r>
            <w:r>
              <w:t>后</w:t>
            </w:r>
            <w:r>
              <w:rPr>
                <w:rFonts w:hint="eastAsia"/>
              </w:rPr>
              <w:t>再</w:t>
            </w:r>
            <w:r>
              <w:t>贴合尼龙布料</w:t>
            </w:r>
            <w:r>
              <w:rPr>
                <w:rFonts w:hint="eastAsia"/>
              </w:rPr>
              <w:t>；一种是在</w:t>
            </w:r>
            <w:r>
              <w:t>外购的</w:t>
            </w:r>
            <w:r>
              <w:rPr>
                <w:rFonts w:hint="eastAsia"/>
              </w:rPr>
              <w:t>ABS地板上植皮</w:t>
            </w:r>
            <w:r>
              <w:t>后</w:t>
            </w:r>
            <w:r>
              <w:rPr>
                <w:rFonts w:hint="eastAsia"/>
              </w:rPr>
              <w:t>再</w:t>
            </w:r>
            <w:r>
              <w:t>贴合尼龙布料</w:t>
            </w:r>
            <w:r>
              <w:rPr>
                <w:rFonts w:hint="eastAsia"/>
              </w:rPr>
              <w:t>；一种在</w:t>
            </w:r>
            <w:r>
              <w:t>外购的</w:t>
            </w:r>
            <w:r>
              <w:rPr>
                <w:rFonts w:hint="eastAsia"/>
              </w:rPr>
              <w:t>ABS地板上植毛</w:t>
            </w:r>
            <w:r>
              <w:t>后</w:t>
            </w:r>
            <w:r>
              <w:rPr>
                <w:rFonts w:hint="eastAsia"/>
              </w:rPr>
              <w:t>再植皮</w:t>
            </w:r>
            <w:r>
              <w:t>，然后再贴合尼龙布料</w:t>
            </w:r>
            <w:r>
              <w:rPr>
                <w:rFonts w:hint="eastAsia"/>
              </w:rPr>
              <w:t>。具体</w:t>
            </w:r>
            <w:r>
              <w:t>工艺如下：</w:t>
            </w:r>
          </w:p>
          <w:p>
            <w:pPr>
              <w:spacing w:line="360" w:lineRule="auto"/>
              <w:ind w:firstLine="420" w:firstLineChars="200"/>
              <w:jc w:val="left"/>
              <w:rPr>
                <w:bCs/>
                <w:szCs w:val="21"/>
              </w:rPr>
            </w:pPr>
            <w:r>
              <w:rPr>
                <w:rFonts w:hint="eastAsia"/>
                <w:bCs/>
                <w:szCs w:val="21"/>
              </w:rPr>
              <w:t>植毛：利用</w:t>
            </w:r>
            <w:r>
              <w:rPr>
                <w:bCs/>
                <w:szCs w:val="21"/>
              </w:rPr>
              <w:t>植毛机将外购的</w:t>
            </w:r>
            <w:r>
              <w:rPr>
                <w:rFonts w:hint="eastAsia"/>
                <w:bCs/>
                <w:szCs w:val="21"/>
              </w:rPr>
              <w:t>PP胶丝</w:t>
            </w:r>
            <w:r>
              <w:rPr>
                <w:bCs/>
                <w:szCs w:val="21"/>
              </w:rPr>
              <w:t>固定在</w:t>
            </w:r>
            <w:r>
              <w:rPr>
                <w:rFonts w:hint="eastAsia"/>
                <w:bCs/>
                <w:szCs w:val="21"/>
              </w:rPr>
              <w:t>ABS底板</w:t>
            </w:r>
            <w:r>
              <w:rPr>
                <w:bCs/>
                <w:szCs w:val="21"/>
              </w:rPr>
              <w:t>上，采用铁丝固定，不使用胶水，</w:t>
            </w:r>
            <w:r>
              <w:rPr>
                <w:rFonts w:hint="eastAsia"/>
                <w:bCs/>
                <w:szCs w:val="21"/>
              </w:rPr>
              <w:t>此过程会产生一定的噪声和P</w:t>
            </w:r>
            <w:r>
              <w:rPr>
                <w:bCs/>
                <w:szCs w:val="21"/>
              </w:rPr>
              <w:t>P</w:t>
            </w:r>
            <w:r>
              <w:rPr>
                <w:rFonts w:hint="eastAsia"/>
                <w:bCs/>
                <w:szCs w:val="21"/>
              </w:rPr>
              <w:t>胶丝</w:t>
            </w:r>
            <w:r>
              <w:rPr>
                <w:bCs/>
                <w:szCs w:val="21"/>
              </w:rPr>
              <w:t>、铁丝</w:t>
            </w:r>
            <w:r>
              <w:rPr>
                <w:rFonts w:hint="eastAsia"/>
                <w:bCs/>
                <w:szCs w:val="21"/>
              </w:rPr>
              <w:t>边角料。</w:t>
            </w:r>
          </w:p>
          <w:p>
            <w:pPr>
              <w:spacing w:line="360" w:lineRule="auto"/>
              <w:ind w:firstLine="420" w:firstLineChars="200"/>
              <w:jc w:val="left"/>
              <w:rPr>
                <w:bCs/>
                <w:szCs w:val="21"/>
              </w:rPr>
            </w:pPr>
            <w:r>
              <w:rPr>
                <w:rFonts w:hint="eastAsia"/>
                <w:bCs/>
                <w:szCs w:val="21"/>
              </w:rPr>
              <w:t>修毛：植毛后</w:t>
            </w:r>
            <w:r>
              <w:rPr>
                <w:bCs/>
                <w:szCs w:val="21"/>
              </w:rPr>
              <w:t>利用</w:t>
            </w:r>
            <w:r>
              <w:rPr>
                <w:rFonts w:hint="eastAsia"/>
                <w:bCs/>
                <w:szCs w:val="21"/>
              </w:rPr>
              <w:t>飞毛机</w:t>
            </w:r>
            <w:r>
              <w:rPr>
                <w:bCs/>
                <w:szCs w:val="21"/>
              </w:rPr>
              <w:t>将</w:t>
            </w:r>
            <w:r>
              <w:rPr>
                <w:rFonts w:hint="eastAsia"/>
                <w:bCs/>
                <w:szCs w:val="21"/>
              </w:rPr>
              <w:t>植</w:t>
            </w:r>
            <w:r>
              <w:rPr>
                <w:bCs/>
                <w:szCs w:val="21"/>
              </w:rPr>
              <w:t>上</w:t>
            </w:r>
            <w:r>
              <w:rPr>
                <w:rFonts w:hint="eastAsia"/>
                <w:bCs/>
                <w:szCs w:val="21"/>
              </w:rPr>
              <w:t>PP刷毛</w:t>
            </w:r>
            <w:r>
              <w:rPr>
                <w:bCs/>
                <w:szCs w:val="21"/>
              </w:rPr>
              <w:t>修剪平整，</w:t>
            </w:r>
            <w:r>
              <w:rPr>
                <w:rFonts w:hint="eastAsia"/>
                <w:bCs/>
                <w:szCs w:val="21"/>
              </w:rPr>
              <w:t>此过程会产生一定的噪声和P</w:t>
            </w:r>
            <w:r>
              <w:rPr>
                <w:bCs/>
                <w:szCs w:val="21"/>
              </w:rPr>
              <w:t>P</w:t>
            </w:r>
            <w:r>
              <w:rPr>
                <w:rFonts w:hint="eastAsia"/>
                <w:bCs/>
                <w:szCs w:val="21"/>
              </w:rPr>
              <w:t>胶丝边角料。</w:t>
            </w:r>
          </w:p>
          <w:p>
            <w:pPr>
              <w:spacing w:line="360" w:lineRule="auto"/>
              <w:ind w:firstLine="420" w:firstLineChars="200"/>
              <w:jc w:val="left"/>
              <w:rPr>
                <w:bCs/>
                <w:szCs w:val="21"/>
              </w:rPr>
            </w:pPr>
            <w:r>
              <w:rPr>
                <w:rFonts w:hint="eastAsia"/>
                <w:bCs/>
                <w:szCs w:val="21"/>
              </w:rPr>
              <w:t>贴合</w:t>
            </w:r>
            <w:r>
              <w:rPr>
                <w:bCs/>
                <w:szCs w:val="21"/>
              </w:rPr>
              <w:t>：</w:t>
            </w:r>
            <w:r>
              <w:rPr>
                <w:rFonts w:hint="eastAsia"/>
                <w:bCs/>
                <w:szCs w:val="21"/>
              </w:rPr>
              <w:t>先</w:t>
            </w:r>
            <w:r>
              <w:rPr>
                <w:bCs/>
                <w:szCs w:val="21"/>
              </w:rPr>
              <w:t>采用上胶机在</w:t>
            </w:r>
            <w:r>
              <w:rPr>
                <w:rFonts w:hint="eastAsia"/>
                <w:bCs/>
                <w:szCs w:val="21"/>
              </w:rPr>
              <w:t>已</w:t>
            </w:r>
            <w:r>
              <w:rPr>
                <w:bCs/>
                <w:szCs w:val="21"/>
              </w:rPr>
              <w:t>植毛或植皮的</w:t>
            </w:r>
            <w:r>
              <w:rPr>
                <w:rFonts w:hint="eastAsia"/>
                <w:bCs/>
                <w:szCs w:val="21"/>
              </w:rPr>
              <w:t>ABS底板背面涂</w:t>
            </w:r>
            <w:r>
              <w:rPr>
                <w:bCs/>
                <w:szCs w:val="21"/>
              </w:rPr>
              <w:t>一层胶水，然后利用过胶机在</w:t>
            </w:r>
            <w:r>
              <w:rPr>
                <w:rFonts w:hint="eastAsia"/>
                <w:bCs/>
                <w:szCs w:val="21"/>
              </w:rPr>
              <w:t>ABS底板背面</w:t>
            </w:r>
            <w:r>
              <w:rPr>
                <w:bCs/>
                <w:szCs w:val="21"/>
              </w:rPr>
              <w:t>贴合一层尼龙布料</w:t>
            </w:r>
            <w:r>
              <w:rPr>
                <w:rFonts w:hint="eastAsia"/>
                <w:bCs/>
                <w:szCs w:val="21"/>
              </w:rPr>
              <w:t>，此工序</w:t>
            </w:r>
            <w:r>
              <w:rPr>
                <w:bCs/>
                <w:szCs w:val="21"/>
              </w:rPr>
              <w:t>会产生有机废气、噪声</w:t>
            </w:r>
            <w:r>
              <w:rPr>
                <w:rFonts w:hint="eastAsia"/>
                <w:bCs/>
                <w:szCs w:val="21"/>
              </w:rPr>
              <w:t>和废胶水桶。</w:t>
            </w:r>
          </w:p>
          <w:p>
            <w:pPr>
              <w:spacing w:line="360" w:lineRule="auto"/>
              <w:ind w:firstLine="420" w:firstLineChars="200"/>
              <w:jc w:val="left"/>
              <w:rPr>
                <w:bCs/>
                <w:szCs w:val="21"/>
              </w:rPr>
            </w:pPr>
            <w:r>
              <w:rPr>
                <w:rFonts w:hint="eastAsia"/>
                <w:bCs/>
                <w:szCs w:val="21"/>
              </w:rPr>
              <w:t>裁切：将贴合好的刷子按客户要求经激光</w:t>
            </w:r>
            <w:r>
              <w:rPr>
                <w:bCs/>
                <w:szCs w:val="21"/>
              </w:rPr>
              <w:t>切割机、</w:t>
            </w:r>
            <w:r>
              <w:rPr>
                <w:rFonts w:hint="eastAsia"/>
                <w:bCs/>
                <w:szCs w:val="21"/>
              </w:rPr>
              <w:t>开槽机</w:t>
            </w:r>
            <w:r>
              <w:rPr>
                <w:bCs/>
                <w:szCs w:val="21"/>
              </w:rPr>
              <w:t>、雕刻机、波浪机等</w:t>
            </w:r>
            <w:r>
              <w:rPr>
                <w:rFonts w:hint="eastAsia"/>
                <w:bCs/>
                <w:szCs w:val="21"/>
              </w:rPr>
              <w:t>裁切成一定的</w:t>
            </w:r>
            <w:r>
              <w:rPr>
                <w:bCs/>
                <w:szCs w:val="21"/>
              </w:rPr>
              <w:t>形状和</w:t>
            </w:r>
            <w:r>
              <w:rPr>
                <w:rFonts w:hint="eastAsia"/>
                <w:bCs/>
                <w:szCs w:val="21"/>
              </w:rPr>
              <w:t>尺寸。此过程会产生一定的边角料和噪声。</w:t>
            </w:r>
          </w:p>
          <w:p>
            <w:pPr>
              <w:spacing w:line="360" w:lineRule="auto"/>
              <w:ind w:firstLine="420" w:firstLineChars="200"/>
              <w:jc w:val="left"/>
              <w:rPr>
                <w:bCs/>
                <w:szCs w:val="21"/>
              </w:rPr>
            </w:pPr>
            <w:r>
              <w:rPr>
                <w:rFonts w:hint="eastAsia"/>
                <w:bCs/>
                <w:szCs w:val="21"/>
              </w:rPr>
              <w:t>分条、</w:t>
            </w:r>
            <w:r>
              <w:rPr>
                <w:bCs/>
                <w:szCs w:val="21"/>
              </w:rPr>
              <w:t>切平、接驳、模切、分段</w:t>
            </w:r>
            <w:r>
              <w:rPr>
                <w:rFonts w:hint="eastAsia"/>
                <w:bCs/>
                <w:szCs w:val="21"/>
              </w:rPr>
              <w:t>：首先利用</w:t>
            </w:r>
            <w:r>
              <w:rPr>
                <w:bCs/>
                <w:szCs w:val="21"/>
              </w:rPr>
              <w:t>分条</w:t>
            </w:r>
            <w:r>
              <w:rPr>
                <w:rFonts w:hint="eastAsia"/>
                <w:bCs/>
                <w:szCs w:val="21"/>
              </w:rPr>
              <w:t>将外购</w:t>
            </w:r>
            <w:r>
              <w:rPr>
                <w:bCs/>
                <w:szCs w:val="21"/>
              </w:rPr>
              <w:t>的</w:t>
            </w:r>
            <w:r>
              <w:rPr>
                <w:rFonts w:hint="eastAsia"/>
                <w:bCs/>
                <w:szCs w:val="21"/>
              </w:rPr>
              <w:t>成卷</w:t>
            </w:r>
            <w:r>
              <w:rPr>
                <w:bCs/>
                <w:szCs w:val="21"/>
              </w:rPr>
              <w:t>聚氨酯光皮</w:t>
            </w:r>
            <w:r>
              <w:rPr>
                <w:rFonts w:hint="eastAsia"/>
                <w:bCs/>
                <w:szCs w:val="21"/>
              </w:rPr>
              <w:t>分成</w:t>
            </w:r>
            <w:r>
              <w:rPr>
                <w:bCs/>
                <w:szCs w:val="21"/>
              </w:rPr>
              <w:t>细条状，然后利用气动切平机将其两端切平</w:t>
            </w:r>
            <w:r>
              <w:rPr>
                <w:rFonts w:hint="eastAsia"/>
                <w:bCs/>
                <w:szCs w:val="21"/>
              </w:rPr>
              <w:t>，</w:t>
            </w:r>
            <w:r>
              <w:rPr>
                <w:bCs/>
                <w:szCs w:val="21"/>
              </w:rPr>
              <w:t>切平后利用接驳机将</w:t>
            </w:r>
            <w:r>
              <w:rPr>
                <w:rFonts w:hint="eastAsia"/>
                <w:bCs/>
                <w:szCs w:val="21"/>
              </w:rPr>
              <w:t>条</w:t>
            </w:r>
            <w:r>
              <w:rPr>
                <w:bCs/>
                <w:szCs w:val="21"/>
              </w:rPr>
              <w:t>状光皮接驳成长条，接驳后利用</w:t>
            </w:r>
            <w:r>
              <w:rPr>
                <w:rFonts w:hint="eastAsia"/>
                <w:bCs/>
                <w:szCs w:val="21"/>
              </w:rPr>
              <w:t>模切冲床进行模切成型</w:t>
            </w:r>
            <w:r>
              <w:rPr>
                <w:bCs/>
                <w:szCs w:val="21"/>
              </w:rPr>
              <w:t>，</w:t>
            </w:r>
            <w:r>
              <w:rPr>
                <w:rFonts w:hint="eastAsia"/>
                <w:bCs/>
                <w:szCs w:val="21"/>
              </w:rPr>
              <w:t>最后</w:t>
            </w:r>
            <w:r>
              <w:rPr>
                <w:bCs/>
                <w:szCs w:val="21"/>
              </w:rPr>
              <w:t>根据需要</w:t>
            </w:r>
            <w:r>
              <w:rPr>
                <w:rFonts w:hint="eastAsia"/>
                <w:bCs/>
                <w:szCs w:val="21"/>
              </w:rPr>
              <w:t>利用</w:t>
            </w:r>
            <w:r>
              <w:rPr>
                <w:bCs/>
                <w:szCs w:val="21"/>
              </w:rPr>
              <w:t>分段机进行</w:t>
            </w:r>
            <w:r>
              <w:rPr>
                <w:rFonts w:hint="eastAsia"/>
                <w:bCs/>
                <w:szCs w:val="21"/>
              </w:rPr>
              <w:t>分段</w:t>
            </w:r>
            <w:r>
              <w:rPr>
                <w:bCs/>
                <w:szCs w:val="21"/>
              </w:rPr>
              <w:t>，即可得到植皮所需的聚氨酯光皮。</w:t>
            </w:r>
            <w:r>
              <w:rPr>
                <w:rFonts w:hint="eastAsia"/>
                <w:bCs/>
                <w:szCs w:val="21"/>
              </w:rPr>
              <w:t>此过程</w:t>
            </w:r>
            <w:r>
              <w:rPr>
                <w:bCs/>
                <w:szCs w:val="21"/>
              </w:rPr>
              <w:t>会产生噪声</w:t>
            </w:r>
            <w:r>
              <w:rPr>
                <w:rFonts w:hint="eastAsia"/>
                <w:bCs/>
                <w:szCs w:val="21"/>
              </w:rPr>
              <w:t>和聚氨酯光皮边角料。</w:t>
            </w:r>
          </w:p>
          <w:p>
            <w:pPr>
              <w:spacing w:line="360" w:lineRule="auto"/>
              <w:ind w:firstLine="420" w:firstLineChars="200"/>
              <w:jc w:val="left"/>
              <w:rPr>
                <w:bCs/>
                <w:szCs w:val="21"/>
              </w:rPr>
            </w:pPr>
            <w:r>
              <w:rPr>
                <w:rFonts w:hint="eastAsia"/>
                <w:bCs/>
                <w:szCs w:val="21"/>
              </w:rPr>
              <w:t>植皮：利用</w:t>
            </w:r>
            <w:r>
              <w:rPr>
                <w:bCs/>
                <w:szCs w:val="21"/>
              </w:rPr>
              <w:t>植皮机</w:t>
            </w:r>
            <w:r>
              <w:rPr>
                <w:rFonts w:hint="eastAsia"/>
                <w:bCs/>
                <w:szCs w:val="21"/>
              </w:rPr>
              <w:t>或人工将</w:t>
            </w:r>
            <w:r>
              <w:rPr>
                <w:bCs/>
                <w:szCs w:val="21"/>
              </w:rPr>
              <w:t>聚氨酯光皮固定在</w:t>
            </w:r>
            <w:r>
              <w:rPr>
                <w:rFonts w:hint="eastAsia"/>
                <w:bCs/>
                <w:szCs w:val="21"/>
              </w:rPr>
              <w:t>ABS底板</w:t>
            </w:r>
            <w:r>
              <w:rPr>
                <w:bCs/>
                <w:szCs w:val="21"/>
              </w:rPr>
              <w:t>上，此过程需使用胶水，</w:t>
            </w:r>
            <w:r>
              <w:rPr>
                <w:rFonts w:hint="eastAsia"/>
                <w:bCs/>
                <w:szCs w:val="21"/>
              </w:rPr>
              <w:t>此过程</w:t>
            </w:r>
            <w:r>
              <w:rPr>
                <w:bCs/>
                <w:szCs w:val="21"/>
              </w:rPr>
              <w:t>会产生有机废气、噪声</w:t>
            </w:r>
            <w:r>
              <w:rPr>
                <w:rFonts w:hint="eastAsia"/>
                <w:bCs/>
                <w:szCs w:val="21"/>
              </w:rPr>
              <w:t>和废胶水桶。</w:t>
            </w:r>
          </w:p>
          <w:p>
            <w:pPr>
              <w:spacing w:line="360" w:lineRule="auto"/>
              <w:ind w:firstLine="420" w:firstLineChars="200"/>
              <w:jc w:val="left"/>
              <w:rPr>
                <w:bCs/>
                <w:szCs w:val="21"/>
              </w:rPr>
            </w:pPr>
            <w:r>
              <w:rPr>
                <w:rFonts w:hint="eastAsia"/>
                <w:bCs/>
                <w:szCs w:val="21"/>
              </w:rPr>
              <w:t>检验、包装出货：加工好</w:t>
            </w:r>
            <w:r>
              <w:rPr>
                <w:bCs/>
                <w:szCs w:val="21"/>
              </w:rPr>
              <w:t>的产品</w:t>
            </w:r>
            <w:r>
              <w:rPr>
                <w:rFonts w:hint="eastAsia"/>
                <w:bCs/>
                <w:szCs w:val="21"/>
              </w:rPr>
              <w:t>经检验通过后可包装出货。检验</w:t>
            </w:r>
            <w:r>
              <w:rPr>
                <w:bCs/>
                <w:szCs w:val="21"/>
              </w:rPr>
              <w:t>过程会产少量废次品，</w:t>
            </w:r>
            <w:r>
              <w:rPr>
                <w:rFonts w:hint="eastAsia"/>
                <w:bCs/>
                <w:szCs w:val="21"/>
              </w:rPr>
              <w:t>包装</w:t>
            </w:r>
            <w:r>
              <w:rPr>
                <w:bCs/>
                <w:szCs w:val="21"/>
              </w:rPr>
              <w:t>过程会产生少量的</w:t>
            </w:r>
            <w:r>
              <w:rPr>
                <w:rFonts w:hint="eastAsia"/>
                <w:bCs/>
                <w:szCs w:val="21"/>
              </w:rPr>
              <w:t>包装废料。</w:t>
            </w:r>
          </w:p>
          <w:p>
            <w:pPr>
              <w:adjustRightInd w:val="0"/>
              <w:snapToGrid w:val="0"/>
              <w:spacing w:line="360" w:lineRule="auto"/>
              <w:ind w:firstLine="420" w:firstLineChars="200"/>
            </w:pPr>
            <w:r>
              <w:rPr>
                <w:rFonts w:hint="eastAsia"/>
              </w:rPr>
              <w:t>（</w:t>
            </w:r>
            <w:r>
              <w:t>3</w:t>
            </w:r>
            <w:r>
              <w:rPr>
                <w:rFonts w:hint="eastAsia"/>
              </w:rPr>
              <w:t>）手机</w:t>
            </w:r>
            <w:r>
              <w:t>抛光用</w:t>
            </w:r>
            <w:r>
              <w:rPr>
                <w:rFonts w:hint="eastAsia"/>
              </w:rPr>
              <w:t>P</w:t>
            </w:r>
            <w:r>
              <w:t>P</w:t>
            </w:r>
            <w:r>
              <w:rPr>
                <w:rFonts w:hint="eastAsia"/>
              </w:rPr>
              <w:t>片</w:t>
            </w:r>
          </w:p>
          <w:p>
            <w:pPr>
              <w:pStyle w:val="2"/>
              <w:jc w:val="center"/>
            </w:pPr>
            <w:r>
              <w:rPr>
                <w:sz w:val="24"/>
              </w:rPr>
              <mc:AlternateContent>
                <mc:Choice Requires="wpc">
                  <w:drawing>
                    <wp:inline distT="0" distB="0" distL="0" distR="0">
                      <wp:extent cx="5863590" cy="2019300"/>
                      <wp:effectExtent l="0" t="0" r="3810" b="0"/>
                      <wp:docPr id="188" name="画布 18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95" name="AutoShape 121"/>
                              <wps:cNvSpPr>
                                <a:spLocks noChangeArrowheads="1"/>
                              </wps:cNvSpPr>
                              <wps:spPr bwMode="auto">
                                <a:xfrm>
                                  <a:off x="19050" y="558394"/>
                                  <a:ext cx="550545" cy="712762"/>
                                </a:xfrm>
                                <a:prstGeom prst="flowChartProcess">
                                  <a:avLst/>
                                </a:prstGeom>
                                <a:solidFill>
                                  <a:srgbClr val="FFFFFF"/>
                                </a:solidFill>
                                <a:ln>
                                  <a:noFill/>
                                </a:ln>
                                <a:effectLst/>
                              </wps:spPr>
                              <wps:txbx>
                                <w:txbxContent>
                                  <w:p>
                                    <w:pPr>
                                      <w:jc w:val="center"/>
                                      <w:rPr>
                                        <w:rFonts w:ascii="宋体" w:hAnsi="宋体"/>
                                      </w:rPr>
                                    </w:pPr>
                                    <w:r>
                                      <w:rPr>
                                        <w:rFonts w:hint="eastAsia"/>
                                      </w:rPr>
                                      <w:t>外购新PP塑胶粒</w:t>
                                    </w:r>
                                  </w:p>
                                  <w:p/>
                                </w:txbxContent>
                              </wps:txbx>
                              <wps:bodyPr rot="0" vert="horz" wrap="square" lIns="0" tIns="45720" rIns="0" bIns="45720" anchor="t" anchorCtr="0" upright="1">
                                <a:noAutofit/>
                              </wps:bodyPr>
                            </wps:wsp>
                            <wps:wsp>
                              <wps:cNvPr id="102" name="AutoShape 122"/>
                              <wps:cNvCnPr>
                                <a:cxnSpLocks noChangeShapeType="1"/>
                              </wps:cNvCnPr>
                              <wps:spPr bwMode="auto">
                                <a:xfrm flipV="1">
                                  <a:off x="2103755" y="829650"/>
                                  <a:ext cx="205740" cy="635"/>
                                </a:xfrm>
                                <a:prstGeom prst="straightConnector1">
                                  <a:avLst/>
                                </a:prstGeom>
                                <a:noFill/>
                                <a:ln w="3175">
                                  <a:solidFill>
                                    <a:srgbClr val="000000"/>
                                  </a:solidFill>
                                  <a:round/>
                                  <a:tailEnd type="triangle" w="med" len="med"/>
                                </a:ln>
                                <a:effectLst/>
                              </wps:spPr>
                              <wps:bodyPr/>
                            </wps:wsp>
                            <wps:wsp>
                              <wps:cNvPr id="111" name="AutoShape 124"/>
                              <wps:cNvSpPr>
                                <a:spLocks noChangeArrowheads="1"/>
                              </wps:cNvSpPr>
                              <wps:spPr bwMode="auto">
                                <a:xfrm>
                                  <a:off x="3107690" y="685446"/>
                                  <a:ext cx="482600" cy="294761"/>
                                </a:xfrm>
                                <a:prstGeom prst="flowChartProcess">
                                  <a:avLst/>
                                </a:prstGeom>
                                <a:noFill/>
                                <a:ln w="9525">
                                  <a:solidFill>
                                    <a:srgbClr val="000000"/>
                                  </a:solidFill>
                                  <a:miter lim="800000"/>
                                </a:ln>
                                <a:effectLst/>
                              </wps:spPr>
                              <wps:txbx>
                                <w:txbxContent>
                                  <w:p>
                                    <w:r>
                                      <w:rPr>
                                        <w:rFonts w:hint="eastAsia"/>
                                      </w:rPr>
                                      <w:t>裁切</w:t>
                                    </w:r>
                                  </w:p>
                                </w:txbxContent>
                              </wps:txbx>
                              <wps:bodyPr rot="0" vert="horz" wrap="square" lIns="91440" tIns="45720" rIns="91440" bIns="45720" anchor="t" anchorCtr="0" upright="1">
                                <a:noAutofit/>
                              </wps:bodyPr>
                            </wps:wsp>
                            <wps:wsp>
                              <wps:cNvPr id="126" name="AutoShape 124"/>
                              <wps:cNvSpPr>
                                <a:spLocks noChangeArrowheads="1"/>
                              </wps:cNvSpPr>
                              <wps:spPr bwMode="auto">
                                <a:xfrm>
                                  <a:off x="3804920" y="712762"/>
                                  <a:ext cx="523240" cy="295396"/>
                                </a:xfrm>
                                <a:prstGeom prst="flowChartProcess">
                                  <a:avLst/>
                                </a:prstGeom>
                                <a:solidFill>
                                  <a:srgbClr val="FFFFFF"/>
                                </a:solidFill>
                                <a:ln w="9525">
                                  <a:solidFill>
                                    <a:srgbClr val="000000"/>
                                  </a:solidFill>
                                  <a:miter lim="800000"/>
                                </a:ln>
                                <a:effectLst/>
                              </wps:spPr>
                              <wps:txbx>
                                <w:txbxContent>
                                  <w:p>
                                    <w:pPr>
                                      <w:jc w:val="center"/>
                                    </w:pPr>
                                    <w:r>
                                      <w:rPr>
                                        <w:rFonts w:hint="eastAsia"/>
                                      </w:rPr>
                                      <w:t>检验</w:t>
                                    </w:r>
                                  </w:p>
                                </w:txbxContent>
                              </wps:txbx>
                              <wps:bodyPr rot="0" vert="horz" wrap="square" lIns="0" tIns="45720" rIns="0" bIns="45720" anchor="t" anchorCtr="0" upright="1">
                                <a:noAutofit/>
                              </wps:bodyPr>
                            </wps:wsp>
                            <wps:wsp>
                              <wps:cNvPr id="160" name="AutoShape 124"/>
                              <wps:cNvSpPr>
                                <a:spLocks noChangeArrowheads="1"/>
                              </wps:cNvSpPr>
                              <wps:spPr bwMode="auto">
                                <a:xfrm>
                                  <a:off x="4491990" y="712762"/>
                                  <a:ext cx="767080" cy="275703"/>
                                </a:xfrm>
                                <a:prstGeom prst="flowChartProcess">
                                  <a:avLst/>
                                </a:prstGeom>
                                <a:noFill/>
                                <a:ln w="9525">
                                  <a:solidFill>
                                    <a:srgbClr val="000000"/>
                                  </a:solidFill>
                                  <a:miter lim="800000"/>
                                </a:ln>
                                <a:effectLst/>
                              </wps:spPr>
                              <wps:txbx>
                                <w:txbxContent>
                                  <w:p>
                                    <w:pPr>
                                      <w:jc w:val="center"/>
                                    </w:pPr>
                                    <w:r>
                                      <w:rPr>
                                        <w:rFonts w:hint="eastAsia"/>
                                      </w:rPr>
                                      <w:t>包装出货</w:t>
                                    </w:r>
                                  </w:p>
                                </w:txbxContent>
                              </wps:txbx>
                              <wps:bodyPr rot="0" vert="horz" wrap="square" lIns="0" tIns="45720" rIns="0" bIns="45720" anchor="t" anchorCtr="0" upright="1">
                                <a:noAutofit/>
                              </wps:bodyPr>
                            </wps:wsp>
                            <wps:wsp>
                              <wps:cNvPr id="161" name="AutoShape 122"/>
                              <wps:cNvCnPr>
                                <a:cxnSpLocks noChangeShapeType="1"/>
                              </wps:cNvCnPr>
                              <wps:spPr bwMode="auto">
                                <a:xfrm>
                                  <a:off x="4328160" y="851249"/>
                                  <a:ext cx="163830" cy="635"/>
                                </a:xfrm>
                                <a:prstGeom prst="straightConnector1">
                                  <a:avLst/>
                                </a:prstGeom>
                                <a:noFill/>
                                <a:ln w="3175">
                                  <a:solidFill>
                                    <a:srgbClr val="000000"/>
                                  </a:solidFill>
                                  <a:round/>
                                  <a:tailEnd type="triangle" w="med" len="med"/>
                                </a:ln>
                                <a:effectLst/>
                              </wps:spPr>
                              <wps:bodyPr/>
                            </wps:wsp>
                            <wps:wsp>
                              <wps:cNvPr id="162" name="AutoShape 125"/>
                              <wps:cNvCnPr>
                                <a:cxnSpLocks noChangeShapeType="1"/>
                              </wps:cNvCnPr>
                              <wps:spPr bwMode="auto">
                                <a:xfrm flipV="1">
                                  <a:off x="3355340" y="460564"/>
                                  <a:ext cx="635" cy="242670"/>
                                </a:xfrm>
                                <a:prstGeom prst="straightConnector1">
                                  <a:avLst/>
                                </a:prstGeom>
                                <a:noFill/>
                                <a:ln w="9525">
                                  <a:solidFill>
                                    <a:srgbClr val="000000"/>
                                  </a:solidFill>
                                  <a:prstDash val="dash"/>
                                  <a:round/>
                                  <a:tailEnd type="triangle" w="med" len="med"/>
                                </a:ln>
                                <a:effectLst/>
                              </wps:spPr>
                              <wps:bodyPr/>
                            </wps:wsp>
                            <wps:wsp>
                              <wps:cNvPr id="163" name="AutoShape 126"/>
                              <wps:cNvSpPr>
                                <a:spLocks noChangeArrowheads="1"/>
                              </wps:cNvSpPr>
                              <wps:spPr bwMode="auto">
                                <a:xfrm>
                                  <a:off x="3201035" y="191404"/>
                                  <a:ext cx="421005" cy="275703"/>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N、S</w:t>
                                    </w:r>
                                    <w:r>
                                      <w:rPr>
                                        <w:vertAlign w:val="subscript"/>
                                      </w:rPr>
                                      <w:t>1</w:t>
                                    </w:r>
                                  </w:p>
                                </w:txbxContent>
                              </wps:txbx>
                              <wps:bodyPr rot="0" vert="horz" wrap="square" lIns="0" tIns="45720" rIns="0" bIns="45720" anchor="t" anchorCtr="0" upright="1">
                                <a:noAutofit/>
                              </wps:bodyPr>
                            </wps:wsp>
                            <wps:wsp>
                              <wps:cNvPr id="164" name="AutoShape 122"/>
                              <wps:cNvCnPr>
                                <a:cxnSpLocks noChangeShapeType="1"/>
                              </wps:cNvCnPr>
                              <wps:spPr bwMode="auto">
                                <a:xfrm flipV="1">
                                  <a:off x="2901950" y="842077"/>
                                  <a:ext cx="205740" cy="635"/>
                                </a:xfrm>
                                <a:prstGeom prst="straightConnector1">
                                  <a:avLst/>
                                </a:prstGeom>
                                <a:noFill/>
                                <a:ln w="3175">
                                  <a:solidFill>
                                    <a:srgbClr val="000000"/>
                                  </a:solidFill>
                                  <a:round/>
                                  <a:tailEnd type="triangle" w="med" len="med"/>
                                </a:ln>
                                <a:effectLst/>
                              </wps:spPr>
                              <wps:bodyPr/>
                            </wps:wsp>
                            <wps:wsp>
                              <wps:cNvPr id="167" name="文本框 65"/>
                              <wps:cNvSpPr txBox="1">
                                <a:spLocks noChangeArrowheads="1"/>
                              </wps:cNvSpPr>
                              <wps:spPr bwMode="auto">
                                <a:xfrm>
                                  <a:off x="2309495" y="683540"/>
                                  <a:ext cx="592455" cy="296667"/>
                                </a:xfrm>
                                <a:prstGeom prst="rect">
                                  <a:avLst/>
                                </a:prstGeom>
                                <a:noFill/>
                                <a:ln w="9525">
                                  <a:solidFill>
                                    <a:srgbClr val="000000"/>
                                  </a:solidFill>
                                  <a:miter lim="800000"/>
                                </a:ln>
                                <a:effectLst/>
                              </wps:spPr>
                              <wps:txbx>
                                <w:txbxContent>
                                  <w:p>
                                    <w:pPr>
                                      <w:jc w:val="center"/>
                                    </w:pPr>
                                    <w:r>
                                      <w:rPr>
                                        <w:rFonts w:hint="eastAsia"/>
                                      </w:rPr>
                                      <w:t>冷却</w:t>
                                    </w:r>
                                  </w:p>
                                </w:txbxContent>
                              </wps:txbx>
                              <wps:bodyPr rot="0" vert="horz" wrap="square" lIns="91440" tIns="45720" rIns="91440" bIns="45720" anchor="t" anchorCtr="0" upright="1">
                                <a:noAutofit/>
                              </wps:bodyPr>
                            </wps:wsp>
                            <wps:wsp>
                              <wps:cNvPr id="168" name="AutoShape 125"/>
                              <wps:cNvCnPr>
                                <a:cxnSpLocks noChangeShapeType="1"/>
                              </wps:cNvCnPr>
                              <wps:spPr bwMode="auto">
                                <a:xfrm flipV="1">
                                  <a:off x="1845310" y="437059"/>
                                  <a:ext cx="0" cy="241399"/>
                                </a:xfrm>
                                <a:prstGeom prst="straightConnector1">
                                  <a:avLst/>
                                </a:prstGeom>
                                <a:noFill/>
                                <a:ln w="9525">
                                  <a:solidFill>
                                    <a:srgbClr val="000000"/>
                                  </a:solidFill>
                                  <a:prstDash val="dash"/>
                                  <a:round/>
                                  <a:tailEnd type="triangle" w="med" len="med"/>
                                </a:ln>
                                <a:effectLst/>
                              </wps:spPr>
                              <wps:bodyPr/>
                            </wps:wsp>
                            <wps:wsp>
                              <wps:cNvPr id="169" name="AutoShape 126"/>
                              <wps:cNvSpPr>
                                <a:spLocks noChangeArrowheads="1"/>
                              </wps:cNvSpPr>
                              <wps:spPr bwMode="auto">
                                <a:xfrm>
                                  <a:off x="4658360" y="212362"/>
                                  <a:ext cx="381000"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S</w:t>
                                    </w:r>
                                    <w:r>
                                      <w:rPr>
                                        <w:vertAlign w:val="subscript"/>
                                      </w:rPr>
                                      <w:t>4</w:t>
                                    </w:r>
                                  </w:p>
                                </w:txbxContent>
                              </wps:txbx>
                              <wps:bodyPr rot="0" vert="horz" wrap="square" lIns="0" tIns="45720" rIns="0" bIns="45720" anchor="t" anchorCtr="0" upright="1">
                                <a:noAutofit/>
                              </wps:bodyPr>
                            </wps:wsp>
                            <wps:wsp>
                              <wps:cNvPr id="172" name="AutoShape 125"/>
                              <wps:cNvCnPr>
                                <a:cxnSpLocks noChangeShapeType="1"/>
                              </wps:cNvCnPr>
                              <wps:spPr bwMode="auto">
                                <a:xfrm flipV="1">
                                  <a:off x="4824095" y="471363"/>
                                  <a:ext cx="0" cy="241399"/>
                                </a:xfrm>
                                <a:prstGeom prst="straightConnector1">
                                  <a:avLst/>
                                </a:prstGeom>
                                <a:noFill/>
                                <a:ln w="9525">
                                  <a:solidFill>
                                    <a:srgbClr val="000000"/>
                                  </a:solidFill>
                                  <a:prstDash val="dash"/>
                                  <a:round/>
                                  <a:tailEnd type="triangle" w="med" len="med"/>
                                </a:ln>
                                <a:effectLst/>
                              </wps:spPr>
                              <wps:bodyPr/>
                            </wps:wsp>
                            <wps:wsp>
                              <wps:cNvPr id="175" name="AutoShape 122"/>
                              <wps:cNvCnPr>
                                <a:cxnSpLocks noChangeShapeType="1"/>
                              </wps:cNvCnPr>
                              <wps:spPr bwMode="auto">
                                <a:xfrm flipV="1">
                                  <a:off x="3601720" y="842077"/>
                                  <a:ext cx="203200" cy="0"/>
                                </a:xfrm>
                                <a:prstGeom prst="straightConnector1">
                                  <a:avLst/>
                                </a:prstGeom>
                                <a:noFill/>
                                <a:ln w="3175">
                                  <a:solidFill>
                                    <a:srgbClr val="000000"/>
                                  </a:solidFill>
                                  <a:round/>
                                  <a:tailEnd type="triangle" w="med" len="med"/>
                                </a:ln>
                                <a:effectLst/>
                              </wps:spPr>
                              <wps:bodyPr/>
                            </wps:wsp>
                            <wps:wsp>
                              <wps:cNvPr id="180" name="AutoShape 122"/>
                              <wps:cNvCnPr>
                                <a:cxnSpLocks noChangeShapeType="1"/>
                              </wps:cNvCnPr>
                              <wps:spPr bwMode="auto">
                                <a:xfrm flipV="1">
                                  <a:off x="612140" y="817580"/>
                                  <a:ext cx="203200" cy="0"/>
                                </a:xfrm>
                                <a:prstGeom prst="straightConnector1">
                                  <a:avLst/>
                                </a:prstGeom>
                                <a:noFill/>
                                <a:ln w="3175">
                                  <a:solidFill>
                                    <a:srgbClr val="000000"/>
                                  </a:solidFill>
                                  <a:round/>
                                  <a:tailEnd type="triangle" w="med" len="med"/>
                                </a:ln>
                                <a:effectLst/>
                              </wps:spPr>
                              <wps:bodyPr/>
                            </wps:wsp>
                            <wps:wsp>
                              <wps:cNvPr id="181" name="AutoShape 122"/>
                              <wps:cNvCnPr>
                                <a:cxnSpLocks noChangeShapeType="1"/>
                              </wps:cNvCnPr>
                              <wps:spPr bwMode="auto">
                                <a:xfrm flipV="1">
                                  <a:off x="1379855" y="830285"/>
                                  <a:ext cx="203200" cy="0"/>
                                </a:xfrm>
                                <a:prstGeom prst="straightConnector1">
                                  <a:avLst/>
                                </a:prstGeom>
                                <a:noFill/>
                                <a:ln w="3175">
                                  <a:solidFill>
                                    <a:srgbClr val="000000"/>
                                  </a:solidFill>
                                  <a:round/>
                                  <a:tailEnd type="triangle" w="med" len="med"/>
                                </a:ln>
                                <a:effectLst/>
                              </wps:spPr>
                              <wps:bodyPr/>
                            </wps:wsp>
                            <wps:wsp>
                              <wps:cNvPr id="182" name="文本框 74"/>
                              <wps:cNvSpPr txBox="1">
                                <a:spLocks noChangeArrowheads="1"/>
                              </wps:cNvSpPr>
                              <wps:spPr bwMode="auto">
                                <a:xfrm>
                                  <a:off x="835660" y="675282"/>
                                  <a:ext cx="533400" cy="304925"/>
                                </a:xfrm>
                                <a:prstGeom prst="rect">
                                  <a:avLst/>
                                </a:prstGeom>
                                <a:noFill/>
                                <a:ln w="9525">
                                  <a:solidFill>
                                    <a:srgbClr val="000000"/>
                                  </a:solidFill>
                                  <a:miter lim="800000"/>
                                </a:ln>
                                <a:effectLst/>
                              </wps:spPr>
                              <wps:txbx>
                                <w:txbxContent>
                                  <w:p>
                                    <w:pPr>
                                      <w:jc w:val="center"/>
                                    </w:pPr>
                                    <w:r>
                                      <w:rPr>
                                        <w:rFonts w:hint="eastAsia"/>
                                      </w:rPr>
                                      <w:t>投料</w:t>
                                    </w:r>
                                  </w:p>
                                </w:txbxContent>
                              </wps:txbx>
                              <wps:bodyPr rot="0" vert="horz" wrap="square" lIns="91440" tIns="45720" rIns="91440" bIns="45720" anchor="t" anchorCtr="0" upright="1">
                                <a:noAutofit/>
                              </wps:bodyPr>
                            </wps:wsp>
                            <wps:wsp>
                              <wps:cNvPr id="183" name="文本框 75"/>
                              <wps:cNvSpPr txBox="1">
                                <a:spLocks noChangeArrowheads="1"/>
                              </wps:cNvSpPr>
                              <wps:spPr bwMode="auto">
                                <a:xfrm>
                                  <a:off x="1570355" y="684811"/>
                                  <a:ext cx="533400" cy="304925"/>
                                </a:xfrm>
                                <a:prstGeom prst="rect">
                                  <a:avLst/>
                                </a:prstGeom>
                                <a:solidFill>
                                  <a:srgbClr val="FFFFFF"/>
                                </a:solidFill>
                                <a:ln w="9525">
                                  <a:solidFill>
                                    <a:srgbClr val="000000"/>
                                  </a:solidFill>
                                  <a:miter lim="800000"/>
                                </a:ln>
                                <a:effectLst/>
                              </wps:spPr>
                              <wps:txbx>
                                <w:txbxContent>
                                  <w:p>
                                    <w:pPr>
                                      <w:jc w:val="center"/>
                                    </w:pPr>
                                    <w:r>
                                      <w:rPr>
                                        <w:rFonts w:hint="eastAsia"/>
                                      </w:rPr>
                                      <w:t>挤出</w:t>
                                    </w:r>
                                  </w:p>
                                </w:txbxContent>
                              </wps:txbx>
                              <wps:bodyPr rot="0" vert="horz" wrap="square" lIns="91440" tIns="45720" rIns="91440" bIns="45720" anchor="t" anchorCtr="0" upright="1">
                                <a:noAutofit/>
                              </wps:bodyPr>
                            </wps:wsp>
                            <wps:wsp>
                              <wps:cNvPr id="184" name="AutoShape 126"/>
                              <wps:cNvSpPr>
                                <a:spLocks noChangeArrowheads="1"/>
                              </wps:cNvSpPr>
                              <wps:spPr bwMode="auto">
                                <a:xfrm>
                                  <a:off x="875030" y="160721"/>
                                  <a:ext cx="333375"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w:t>
                                    </w:r>
                                  </w:p>
                                </w:txbxContent>
                              </wps:txbx>
                              <wps:bodyPr rot="0" vert="horz" wrap="square" lIns="0" tIns="45720" rIns="0" bIns="45720" anchor="t" anchorCtr="0" upright="1">
                                <a:noAutofit/>
                              </wps:bodyPr>
                            </wps:wsp>
                            <wps:wsp>
                              <wps:cNvPr id="185" name="AutoShape 125"/>
                              <wps:cNvCnPr>
                                <a:cxnSpLocks noChangeShapeType="1"/>
                              </wps:cNvCnPr>
                              <wps:spPr bwMode="auto">
                                <a:xfrm flipV="1">
                                  <a:off x="1017905" y="437059"/>
                                  <a:ext cx="0" cy="241399"/>
                                </a:xfrm>
                                <a:prstGeom prst="straightConnector1">
                                  <a:avLst/>
                                </a:prstGeom>
                                <a:noFill/>
                                <a:ln w="9525">
                                  <a:solidFill>
                                    <a:srgbClr val="000000"/>
                                  </a:solidFill>
                                  <a:prstDash val="dash"/>
                                  <a:round/>
                                  <a:tailEnd type="triangle" w="med" len="med"/>
                                </a:ln>
                                <a:effectLst/>
                              </wps:spPr>
                              <wps:bodyPr/>
                            </wps:wsp>
                            <wps:wsp>
                              <wps:cNvPr id="187" name="AutoShape 126"/>
                              <wps:cNvSpPr>
                                <a:spLocks noChangeArrowheads="1"/>
                              </wps:cNvSpPr>
                              <wps:spPr bwMode="auto">
                                <a:xfrm>
                                  <a:off x="1437005" y="141663"/>
                                  <a:ext cx="762000" cy="301114"/>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G</w:t>
                                    </w:r>
                                    <w:r>
                                      <w:rPr>
                                        <w:rFonts w:hint="eastAsia"/>
                                        <w:vertAlign w:val="subscript"/>
                                      </w:rPr>
                                      <w:t>1</w:t>
                                    </w:r>
                                    <w:r>
                                      <w:rPr>
                                        <w:rFonts w:hint="eastAsia"/>
                                      </w:rPr>
                                      <w:t>、S</w:t>
                                    </w:r>
                                    <w:r>
                                      <w:rPr>
                                        <w:vertAlign w:val="subscript"/>
                                      </w:rPr>
                                      <w:t>1</w:t>
                                    </w:r>
                                    <w:r>
                                      <w:rPr>
                                        <w:rFonts w:hint="eastAsia"/>
                                      </w:rPr>
                                      <w:t>、N</w:t>
                                    </w:r>
                                  </w:p>
                                  <w:p>
                                    <w:pPr>
                                      <w:jc w:val="center"/>
                                    </w:pPr>
                                    <w:r>
                                      <w:rPr>
                                        <w:rFonts w:hint="eastAsia"/>
                                      </w:rPr>
                                      <w:t>、S</w:t>
                                    </w:r>
                                    <w:r>
                                      <w:rPr>
                                        <w:rFonts w:hint="eastAsia"/>
                                        <w:vertAlign w:val="subscript"/>
                                      </w:rPr>
                                      <w:t>1</w:t>
                                    </w:r>
                                  </w:p>
                                  <w:p>
                                    <w:pPr>
                                      <w:jc w:val="center"/>
                                    </w:pPr>
                                  </w:p>
                                </w:txbxContent>
                              </wps:txbx>
                              <wps:bodyPr rot="0" vert="horz" wrap="square" lIns="0" tIns="45720" rIns="0" bIns="45720" anchor="t" anchorCtr="0" upright="1">
                                <a:noAutofit/>
                              </wps:bodyPr>
                            </wps:wsp>
                            <wps:wsp>
                              <wps:cNvPr id="361" name="文本框 357"/>
                              <wps:cNvSpPr txBox="1"/>
                              <wps:spPr>
                                <a:xfrm>
                                  <a:off x="3799840" y="1271156"/>
                                  <a:ext cx="1998345" cy="66144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25"/>
                                      <w:spacing w:before="0" w:beforeAutospacing="0" w:after="0" w:afterAutospacing="0"/>
                                      <w:jc w:val="both"/>
                                      <w:rPr>
                                        <w:szCs w:val="24"/>
                                      </w:rPr>
                                    </w:pPr>
                                    <w:r>
                                      <w:rPr>
                                        <w:rFonts w:ascii="Times New Roman" w:hAnsi="Times New Roman"/>
                                        <w:kern w:val="2"/>
                                        <w:sz w:val="21"/>
                                        <w:szCs w:val="21"/>
                                      </w:rPr>
                                      <w:t>N</w:t>
                                    </w:r>
                                    <w:r>
                                      <w:rPr>
                                        <w:rFonts w:hint="eastAsia" w:ascii="Times New Roman"/>
                                        <w:kern w:val="2"/>
                                        <w:sz w:val="21"/>
                                        <w:szCs w:val="21"/>
                                      </w:rPr>
                                      <w:t>噪声</w:t>
                                    </w:r>
                                    <w:r>
                                      <w:rPr>
                                        <w:rFonts w:ascii="Times New Roman" w:hAnsi="Times New Roman"/>
                                        <w:kern w:val="2"/>
                                        <w:sz w:val="21"/>
                                        <w:szCs w:val="21"/>
                                      </w:rPr>
                                      <w:t xml:space="preserve">         S4</w:t>
                                    </w:r>
                                    <w:r>
                                      <w:rPr>
                                        <w:rFonts w:hint="eastAsia" w:ascii="Times New Roman"/>
                                        <w:kern w:val="2"/>
                                        <w:sz w:val="21"/>
                                        <w:szCs w:val="21"/>
                                      </w:rPr>
                                      <w:t>废包装材料</w:t>
                                    </w:r>
                                  </w:p>
                                  <w:p>
                                    <w:pPr>
                                      <w:pStyle w:val="25"/>
                                      <w:spacing w:before="0" w:beforeAutospacing="0" w:after="0" w:afterAutospacing="0"/>
                                      <w:jc w:val="both"/>
                                    </w:pPr>
                                    <w:r>
                                      <w:rPr>
                                        <w:rFonts w:ascii="Times New Roman" w:hAnsi="Times New Roman"/>
                                        <w:kern w:val="2"/>
                                        <w:sz w:val="21"/>
                                        <w:szCs w:val="21"/>
                                      </w:rPr>
                                      <w:t>G1</w:t>
                                    </w:r>
                                    <w:r>
                                      <w:rPr>
                                        <w:rFonts w:hint="eastAsia" w:ascii="Times New Roman"/>
                                        <w:kern w:val="2"/>
                                        <w:sz w:val="21"/>
                                        <w:szCs w:val="21"/>
                                      </w:rPr>
                                      <w:t>有机废气</w:t>
                                    </w:r>
                                    <w:r>
                                      <w:rPr>
                                        <w:rFonts w:ascii="Times New Roman" w:hAnsi="Times New Roman"/>
                                        <w:kern w:val="2"/>
                                        <w:sz w:val="21"/>
                                        <w:szCs w:val="21"/>
                                      </w:rPr>
                                      <w:t xml:space="preserve">    S3</w:t>
                                    </w:r>
                                    <w:r>
                                      <w:rPr>
                                        <w:rFonts w:hint="eastAsia" w:ascii="Times New Roman"/>
                                        <w:kern w:val="2"/>
                                        <w:sz w:val="21"/>
                                        <w:szCs w:val="21"/>
                                      </w:rPr>
                                      <w:t>废次品</w:t>
                                    </w:r>
                                  </w:p>
                                  <w:p>
                                    <w:pPr>
                                      <w:pStyle w:val="25"/>
                                      <w:spacing w:before="0" w:beforeAutospacing="0" w:after="0" w:afterAutospacing="0"/>
                                      <w:jc w:val="both"/>
                                    </w:pPr>
                                    <w:r>
                                      <w:rPr>
                                        <w:rFonts w:ascii="Times New Roman" w:hAnsi="Times New Roman"/>
                                        <w:kern w:val="2"/>
                                        <w:sz w:val="21"/>
                                        <w:szCs w:val="21"/>
                                      </w:rPr>
                                      <w:t>S1</w:t>
                                    </w:r>
                                    <w:r>
                                      <w:rPr>
                                        <w:rFonts w:hint="eastAsia" w:ascii="Times New Roman"/>
                                        <w:kern w:val="2"/>
                                        <w:sz w:val="21"/>
                                        <w:szCs w:val="21"/>
                                      </w:rPr>
                                      <w:t xml:space="preserve">边角料 </w:t>
                                    </w:r>
                                  </w:p>
                                </w:txbxContent>
                              </wps:txbx>
                              <wps:bodyPr rot="0" spcFirstLastPara="0" vert="horz" wrap="square" lIns="91440" tIns="45720" rIns="91440" bIns="45720" numCol="1" spcCol="0" rtlCol="0" fromWordArt="0" anchor="t" anchorCtr="0" forceAA="0" compatLnSpc="1">
                                <a:noAutofit/>
                              </wps:bodyPr>
                            </wps:wsp>
                            <wps:wsp>
                              <wps:cNvPr id="362" name="AutoShape 125"/>
                              <wps:cNvCnPr>
                                <a:cxnSpLocks noChangeShapeType="1"/>
                              </wps:cNvCnPr>
                              <wps:spPr bwMode="auto">
                                <a:xfrm flipV="1">
                                  <a:off x="4036355" y="479171"/>
                                  <a:ext cx="0" cy="241300"/>
                                </a:xfrm>
                                <a:prstGeom prst="straightConnector1">
                                  <a:avLst/>
                                </a:prstGeom>
                                <a:noFill/>
                                <a:ln w="9525">
                                  <a:solidFill>
                                    <a:srgbClr val="000000"/>
                                  </a:solidFill>
                                  <a:prstDash val="dash"/>
                                  <a:round/>
                                  <a:tailEnd type="triangle" w="med" len="med"/>
                                </a:ln>
                                <a:effectLst/>
                              </wps:spPr>
                              <wps:bodyPr/>
                            </wps:wsp>
                            <wps:wsp>
                              <wps:cNvPr id="363" name="AutoShape 126"/>
                              <wps:cNvSpPr>
                                <a:spLocks noChangeArrowheads="1"/>
                              </wps:cNvSpPr>
                              <wps:spPr bwMode="auto">
                                <a:xfrm>
                                  <a:off x="3799840" y="180000"/>
                                  <a:ext cx="381000" cy="266700"/>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wps:txbx>
                              <wps:bodyPr rot="0" vert="horz" wrap="square" lIns="0" tIns="45720" rIns="0" bIns="45720" anchor="t" anchorCtr="0" upright="1">
                                <a:noAutofit/>
                              </wps:bodyPr>
                            </wps:wsp>
                          </wpc:wpc>
                        </a:graphicData>
                      </a:graphic>
                    </wp:inline>
                  </w:drawing>
                </mc:Choice>
                <mc:Fallback>
                  <w:pict>
                    <v:group id="_x0000_s1026" o:spid="_x0000_s1026" o:spt="203" style="height:159pt;width:461.7pt;" coordsize="5863590,2019300" editas="canvas" o:gfxdata="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">
                      <o:lock v:ext="edit" aspectratio="f"/>
                      <v:shape id="_x0000_s1026" o:spid="_x0000_s1026" style="position:absolute;left:0;top:0;height:2019300;width:5863590;" fillcolor="#FFFFFF" filled="t" stroked="f" coordsize="21600,21600" o:gfxdata="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b0y5C9UAAAAFAQAADwAAAAAAAAABACAAAAAi&#10;AAAAZHJzL2Rvd25yZXYueG1sUEsBAhQAFAAAAAgAh07iQFvcNCFlBwAAID4AAA4AAAAAAAAAAQAg&#10;AAAAJAEAAGRycy9lMm9Eb2MueG1sUEsFBgAAAAAGAAYAWQEAAPsKAAAAAA==&#10;">
                        <v:fill on="t" focussize="0,0"/>
                        <v:stroke on="f"/>
                        <v:imagedata o:title=""/>
                        <o:lock v:ext="edit" aspectratio="t"/>
                      </v:shape>
                      <v:shape id="AutoShape 121" o:spid="_x0000_s1026" o:spt="109" type="#_x0000_t109" style="position:absolute;left:19050;top:558394;height:712762;width:550545;" fillcolor="#FFFFFF" filled="t" stroked="f" coordsize="21600,21600" o:gfxdata="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P3&#10;u53UAAAABQEAAA8AAAAAAAAAAQAgAAAAIgAAAGRycy9kb3ducmV2LnhtbFBLAQIUABQAAAAIAIdO&#10;4kA+juaqJwIAAFEEAAAOAAAAAAAAAAEAIAAAACMBAABkcnMvZTJvRG9jLnhtbFBLBQYAAAAABgAG&#10;AFkBAAC8BQAAAAA=&#10;">
                        <v:fill on="t" focussize="0,0"/>
                        <v:stroke on="f"/>
                        <v:imagedata o:title=""/>
                        <o:lock v:ext="edit" aspectratio="f"/>
                        <v:textbox inset="0mm,1.27mm,0mm,1.27mm">
                          <w:txbxContent>
                            <w:p>
                              <w:pPr>
                                <w:jc w:val="center"/>
                                <w:rPr>
                                  <w:rFonts w:ascii="宋体" w:hAnsi="宋体"/>
                                </w:rPr>
                              </w:pPr>
                              <w:r>
                                <w:rPr>
                                  <w:rFonts w:hint="eastAsia"/>
                                </w:rPr>
                                <w:t>外购新PP塑胶粒</w:t>
                              </w:r>
                            </w:p>
                            <w:p/>
                          </w:txbxContent>
                        </v:textbox>
                      </v:shape>
                      <v:shape id="AutoShape 122" o:spid="_x0000_s1026" o:spt="32" type="#_x0000_t32" style="position:absolute;left:2103755;top:829650;flip:y;height:635;width:205740;" filled="f" stroked="t" coordsize="21600,21600" o:gfxdata="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qW5zN1wAAAAUBAAAPAAAAAAAAAAEAIAAAACIA&#10;AABkcnMvZG93bnJldi54bWxQSwECFAAUAAAACACHTuJAFDIfhwoCAAAIBAAADgAAAAAAAAABACAA&#10;AAAmAQAAZHJzL2Uyb0RvYy54bWxQSwUGAAAAAAYABgBZAQAAogUAAAAA&#10;">
                        <v:fill on="f" focussize="0,0"/>
                        <v:stroke weight="0.25pt" color="#000000" joinstyle="round" endarrow="block"/>
                        <v:imagedata o:title=""/>
                        <o:lock v:ext="edit" aspectratio="f"/>
                      </v:shape>
                      <v:shape id="AutoShape 124" o:spid="_x0000_s1026" o:spt="109" type="#_x0000_t109" style="position:absolute;left:3107690;top:685446;height:294761;width:482600;" filled="f" stroked="t" coordsize="21600,21600" o:gfxdata="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WF++9QAAAAFAQAADwAAAAAAAAABACAAAAAiAAAAZHJz&#10;L2Rvd25yZXYueG1sUEsBAhQAFAAAAAgAh07iQFwDSYVBAgAAfAQAAA4AAAAAAAAAAQAgAAAAIwEA&#10;AGRycy9lMm9Eb2MueG1sUEsFBgAAAAAGAAYAWQEAANYFAAAAAA==&#10;">
                        <v:fill on="f" focussize="0,0"/>
                        <v:stroke color="#000000" miterlimit="8" joinstyle="miter"/>
                        <v:imagedata o:title=""/>
                        <o:lock v:ext="edit" aspectratio="f"/>
                        <v:textbox>
                          <w:txbxContent>
                            <w:p>
                              <w:r>
                                <w:rPr>
                                  <w:rFonts w:hint="eastAsia"/>
                                </w:rPr>
                                <w:t>裁切</w:t>
                              </w:r>
                            </w:p>
                          </w:txbxContent>
                        </v:textbox>
                      </v:shape>
                      <v:shape id="AutoShape 124" o:spid="_x0000_s1026" o:spt="109" type="#_x0000_t109" style="position:absolute;left:3804920;top:712762;height:295396;width:523240;" fillcolor="#FFFFFF" filled="t" stroked="t" coordsize="21600,21600" o:gfxdata="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3vqo1wAAAAUBAAAPAAAAAAAAAAEAIAAAACIA&#10;AABkcnMvZG93bnJldi54bWxQSwECFAAUAAAACACHTuJAamau8kMCAACdBAAADgAAAAAAAAABACAA&#10;AAAmAQAAZHJzL2Uyb0RvYy54bWxQSwUGAAAAAAYABgBZAQAA2wUAAAAA&#10;">
                        <v:fill on="t" focussize="0,0"/>
                        <v:stroke color="#000000" miterlimit="8" joinstyle="miter"/>
                        <v:imagedata o:title=""/>
                        <o:lock v:ext="edit" aspectratio="f"/>
                        <v:textbox inset="0mm,1.27mm,0mm,1.27mm">
                          <w:txbxContent>
                            <w:p>
                              <w:pPr>
                                <w:jc w:val="center"/>
                              </w:pPr>
                              <w:r>
                                <w:rPr>
                                  <w:rFonts w:hint="eastAsia"/>
                                </w:rPr>
                                <w:t>检验</w:t>
                              </w:r>
                            </w:p>
                          </w:txbxContent>
                        </v:textbox>
                      </v:shape>
                      <v:shape id="AutoShape 124" o:spid="_x0000_s1026" o:spt="109" type="#_x0000_t109" style="position:absolute;left:4491990;top:712762;height:275703;width:767080;" filled="f" stroked="t" coordsize="21600,21600" o:gfxdata="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9KaBB0gAAAAUBAAAPAAAAAAAAAAEAIAAAACIAAABkcnMvZG93bnJl&#10;di54bWxQSwECFAAUAAAACACHTuJAYBxuLDwCAAB0BAAADgAAAAAAAAABACAAAAAhAQAAZHJzL2Uy&#10;b0RvYy54bWxQSwUGAAAAAAYABgBZAQAAzwUAAAAA&#10;">
                        <v:fill on="f" focussize="0,0"/>
                        <v:stroke color="#000000" miterlimit="8" joinstyle="miter"/>
                        <v:imagedata o:title=""/>
                        <o:lock v:ext="edit" aspectratio="f"/>
                        <v:textbox inset="0mm,1.27mm,0mm,1.27mm">
                          <w:txbxContent>
                            <w:p>
                              <w:pPr>
                                <w:jc w:val="center"/>
                              </w:pPr>
                              <w:r>
                                <w:rPr>
                                  <w:rFonts w:hint="eastAsia"/>
                                </w:rPr>
                                <w:t>包装出货</w:t>
                              </w:r>
                            </w:p>
                          </w:txbxContent>
                        </v:textbox>
                      </v:shape>
                      <v:shape id="AutoShape 122" o:spid="_x0000_s1026" o:spt="32" type="#_x0000_t32" style="position:absolute;left:4328160;top:851249;height:635;width:163830;" filled="f" stroked="t" coordsize="21600,21600" o:gfxdata="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qz/301QAAAAUBAAAPAAAAAAAAAAEAIAAAACIAAABkcnMv&#10;ZG93bnJldi54bWxQSwECFAAUAAAACACHTuJAu1s5DwYCAAD+AwAADgAAAAAAAAABACAAAAAkAQAA&#10;ZHJzL2Uyb0RvYy54bWxQSwUGAAAAAAYABgBZAQAAnAUAAAAA&#10;">
                        <v:fill on="f" focussize="0,0"/>
                        <v:stroke weight="0.25pt" color="#000000" joinstyle="round" endarrow="block"/>
                        <v:imagedata o:title=""/>
                        <o:lock v:ext="edit" aspectratio="f"/>
                      </v:shape>
                      <v:shape id="AutoShape 125" o:spid="_x0000_s1026" o:spt="32" type="#_x0000_t32" style="position:absolute;left:3355340;top:460564;flip:y;height:242670;width:635;" filled="f" stroked="t" coordsize="21600,21600" o:gfxdata="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IDofNMAAAAFAQAADwAAAAAAAAAB&#10;ACAAAAAiAAAAZHJzL2Rvd25yZXYueG1sUEsBAhQAFAAAAAgAh07iQGdTTCwVAgAAIAQAAA4AAAAA&#10;AAAAAQAgAAAAIgEAAGRycy9lMm9Eb2MueG1sUEsFBgAAAAAGAAYAWQEAAKkFAAAAAA==&#10;">
                        <v:fill on="f" focussize="0,0"/>
                        <v:stroke color="#000000" joinstyle="round" dashstyle="dash" endarrow="block"/>
                        <v:imagedata o:title=""/>
                        <o:lock v:ext="edit" aspectratio="f"/>
                      </v:shape>
                      <v:shape id="AutoShape 126" o:spid="_x0000_s1026" o:spt="109" type="#_x0000_t109" style="position:absolute;left:3201035;top:191404;height:275703;width:421005;" fillcolor="#FFFFFF" filled="t" stroked="t" coordsize="21600,21600" o:gfxdata="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Ppe31QAAAAUBAAAPAAAAAAAA&#10;AAEAIAAAACIAAABkcnMvZG93bnJldi54bWxQSwECFAAUAAAACACHTuJACTVKWk4CAAC4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rPr>
                                  <w:rFonts w:hint="eastAsia"/>
                                </w:rPr>
                                <w:t>N、S</w:t>
                              </w:r>
                              <w:r>
                                <w:rPr>
                                  <w:vertAlign w:val="subscript"/>
                                </w:rPr>
                                <w:t>1</w:t>
                              </w:r>
                            </w:p>
                          </w:txbxContent>
                        </v:textbox>
                      </v:shape>
                      <v:shape id="AutoShape 122" o:spid="_x0000_s1026" o:spt="32" type="#_x0000_t32" style="position:absolute;left:2901950;top:842077;flip:y;height:635;width:205740;" filled="f" stroked="t" coordsize="21600,21600" o:gfxdata="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qW5zN1wAAAAUBAAAPAAAAAAAAAAEAIAAAACIA&#10;AABkcnMvZG93bnJldi54bWxQSwECFAAUAAAACACHTuJANznCYAoCAAAIBAAADgAAAAAAAAABACAA&#10;AAAmAQAAZHJzL2Uyb0RvYy54bWxQSwUGAAAAAAYABgBZAQAAogUAAAAA&#10;">
                        <v:fill on="f" focussize="0,0"/>
                        <v:stroke weight="0.25pt" color="#000000" joinstyle="round" endarrow="block"/>
                        <v:imagedata o:title=""/>
                        <o:lock v:ext="edit" aspectratio="f"/>
                      </v:shape>
                      <v:shape id="文本框 65" o:spid="_x0000_s1026" o:spt="202" type="#_x0000_t202" style="position:absolute;left:2309495;top:683540;height:296667;width:592455;" filled="f" stroked="t" coordsize="21600,21600" o:gfxdata="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aIEx1AAAAAUBAAAPAAAAAAAA&#10;AAEAIAAAACIAAABkcnMvZG93bnJldi54bWxQSwECFAAUAAAACACHTuJAUMhEtk8CAAB5BAAADgAA&#10;AAAAAAABACAAAAAjAQAAZHJzL2Uyb0RvYy54bWxQSwUGAAAAAAYABgBZAQAA5AUAAAAA&#10;">
                        <v:fill on="f" focussize="0,0"/>
                        <v:stroke color="#000000" miterlimit="8" joinstyle="miter"/>
                        <v:imagedata o:title=""/>
                        <o:lock v:ext="edit" aspectratio="f"/>
                        <v:textbox>
                          <w:txbxContent>
                            <w:p>
                              <w:pPr>
                                <w:jc w:val="center"/>
                              </w:pPr>
                              <w:r>
                                <w:rPr>
                                  <w:rFonts w:hint="eastAsia"/>
                                </w:rPr>
                                <w:t>冷却</w:t>
                              </w:r>
                            </w:p>
                          </w:txbxContent>
                        </v:textbox>
                      </v:shape>
                      <v:shape id="AutoShape 125" o:spid="_x0000_s1026" o:spt="32" type="#_x0000_t32" style="position:absolute;left:1845310;top:437059;flip:y;height:241399;width:0;" filled="f" stroked="t" coordsize="21600,21600" o:gfxdata="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gOh80wAAAAUBAAAPAAAAAAAAAAEAIAAA&#10;ACIAAABkcnMvZG93bnJldi54bWxQSwECFAAUAAAACACHTuJAWK6MShECAAAeBAAADgAAAAAAAAAB&#10;ACAAAAAi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4658360;top:212362;height:266809;width:381000;" fillcolor="#FFFFFF" filled="t" stroked="t" coordsize="21600,21600" o:gfxdata="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Ppe31QAAAAUBAAAPAAAA&#10;AAAAAAEAIAAAACIAAABkcnMvZG93bnJldi54bWxQSwECFAAUAAAACACHTuJA4IFxf1ECAAC4BAAA&#10;DgAAAAAAAAABACAAAAAkAQAAZHJzL2Uyb0RvYy54bWxQSwUGAAAAAAYABgBZAQAA5wUAAAAA&#10;">
                        <v:fill on="t" focussize="0,0"/>
                        <v:stroke color="#000000" miterlimit="8" joinstyle="miter" dashstyle="dashDot"/>
                        <v:imagedata o:title=""/>
                        <o:lock v:ext="edit" aspectratio="f"/>
                        <v:textbox inset="0mm,1.27mm,0mm,1.27mm">
                          <w:txbxContent>
                            <w:p>
                              <w:pPr>
                                <w:jc w:val="center"/>
                              </w:pPr>
                              <w:r>
                                <w:rPr>
                                  <w:rFonts w:hint="eastAsia"/>
                                </w:rPr>
                                <w:t>S</w:t>
                              </w:r>
                              <w:r>
                                <w:rPr>
                                  <w:vertAlign w:val="subscript"/>
                                </w:rPr>
                                <w:t>4</w:t>
                              </w:r>
                            </w:p>
                          </w:txbxContent>
                        </v:textbox>
                      </v:shape>
                      <v:shape id="AutoShape 125" o:spid="_x0000_s1026" o:spt="32" type="#_x0000_t32" style="position:absolute;left:4824095;top:471363;flip:y;height:241399;width:0;" filled="f" stroked="t" coordsize="21600,21600" o:gfxdata="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yA6HzTAAAABQEAAA8AAAAAAAAAAQAg&#10;AAAAIgAAAGRycy9kb3ducmV2LnhtbFBLAQIUABQAAAAIAIdO4kBpore8EwIAAB4EAAAOAAAAAAAA&#10;AAEAIAAAACIBAABkcnMvZTJvRG9jLnhtbFBLBQYAAAAABgAGAFkBAACnBQAAAAA=&#10;">
                        <v:fill on="f" focussize="0,0"/>
                        <v:stroke color="#000000" joinstyle="round" dashstyle="dash" endarrow="block"/>
                        <v:imagedata o:title=""/>
                        <o:lock v:ext="edit" aspectratio="f"/>
                      </v:shape>
                      <v:shape id="AutoShape 122" o:spid="_x0000_s1026" o:spt="32" type="#_x0000_t32" style="position:absolute;left:3601720;top:842077;flip:y;height:0;width:203200;" filled="f" stroked="t" coordsize="21600,21600" o:gfxdata="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pbnM3XAAAABQEAAA8AAAAAAAAAAQAgAAAAIgAAAGRy&#10;cy9kb3ducmV2LnhtbFBLAQIUABQAAAAIAIdO4kBqmgBvBgIAAAYEAAAOAAAAAAAAAAEAIAAAACYB&#10;AABkcnMvZTJvRG9jLnhtbFBLBQYAAAAABgAGAFkBAACeBQAAAAA=&#10;">
                        <v:fill on="f" focussize="0,0"/>
                        <v:stroke weight="0.25pt" color="#000000" joinstyle="round" endarrow="block"/>
                        <v:imagedata o:title=""/>
                        <o:lock v:ext="edit" aspectratio="f"/>
                      </v:shape>
                      <v:shape id="AutoShape 122" o:spid="_x0000_s1026" o:spt="32" type="#_x0000_t32" style="position:absolute;left:612140;top:817580;flip:y;height:0;width:203200;" filled="f" stroked="t" coordsize="21600,21600" o:gfxdata="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pbnM3XAAAABQEAAA8AAAAAAAAAAQAgAAAAIgAAAGRy&#10;cy9kb3ducmV2LnhtbFBLAQIUABQAAAAIAIdO4kCLO2mDBgIAAAUEAAAOAAAAAAAAAAEAIAAAACYB&#10;AABkcnMvZTJvRG9jLnhtbFBLBQYAAAAABgAGAFkBAACeBQAAAAA=&#10;">
                        <v:fill on="f" focussize="0,0"/>
                        <v:stroke weight="0.25pt" color="#000000" joinstyle="round" endarrow="block"/>
                        <v:imagedata o:title=""/>
                        <o:lock v:ext="edit" aspectratio="f"/>
                      </v:shape>
                      <v:shape id="AutoShape 122" o:spid="_x0000_s1026" o:spt="32" type="#_x0000_t32" style="position:absolute;left:1379855;top:830285;flip:y;height:0;width:203200;" filled="f" stroked="t" coordsize="21600,21600" o:gfxdata="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pbnM3XAAAABQEAAA8AAAAAAAAAAQAgAAAAIgAA&#10;AGRycy9kb3ducmV2LnhtbFBLAQIUABQAAAAIAIdO4kDg26faCQIAAAYEAAAOAAAAAAAAAAEAIAAA&#10;ACYBAABkcnMvZTJvRG9jLnhtbFBLBQYAAAAABgAGAFkBAAChBQAAAAA=&#10;">
                        <v:fill on="f" focussize="0,0"/>
                        <v:stroke weight="0.25pt" color="#000000" joinstyle="round" endarrow="block"/>
                        <v:imagedata o:title=""/>
                        <o:lock v:ext="edit" aspectratio="f"/>
                      </v:shape>
                      <v:shape id="文本框 74" o:spid="_x0000_s1026" o:spt="202" type="#_x0000_t202" style="position:absolute;left:835660;top:675282;height:304925;width:533400;" filled="f" stroked="t" coordsize="21600,21600" o:gfxdata="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WiBMdQAAAAFAQAADwAAAAAAAAAB&#10;ACAAAAAiAAAAZHJzL2Rvd25yZXYueG1sUEsBAhQAFAAAAAgAh07iQPzRuB1NAgAAeAQAAA4AAAAA&#10;AAAAAQAgAAAAIwEAAGRycy9lMm9Eb2MueG1sUEsFBgAAAAAGAAYAWQEAAOIFAAAAAA==&#10;">
                        <v:fill on="f" focussize="0,0"/>
                        <v:stroke color="#000000" miterlimit="8" joinstyle="miter"/>
                        <v:imagedata o:title=""/>
                        <o:lock v:ext="edit" aspectratio="f"/>
                        <v:textbox>
                          <w:txbxContent>
                            <w:p>
                              <w:pPr>
                                <w:jc w:val="center"/>
                              </w:pPr>
                              <w:r>
                                <w:rPr>
                                  <w:rFonts w:hint="eastAsia"/>
                                </w:rPr>
                                <w:t>投料</w:t>
                              </w:r>
                            </w:p>
                          </w:txbxContent>
                        </v:textbox>
                      </v:shape>
                      <v:shape id="文本框 75" o:spid="_x0000_s1026" o:spt="202" type="#_x0000_t202" style="position:absolute;left:1570355;top:684811;height:304925;width:533400;" fillcolor="#FFFFFF" filled="t" stroked="t" coordsize="21600,21600" o:gfxdata="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85Sf/WAAAABQEAAA8A&#10;AAAAAAAAAQAgAAAAIgAAAGRycy9kb3ducmV2LnhtbFBLAQIUABQAAAAIAIdO4kAUA209UgIAAKIE&#10;AAAOAAAAAAAAAAEAIAAAACUBAABkcnMvZTJvRG9jLnhtbFBLBQYAAAAABgAGAFkBAADpBQAAAAA=&#10;">
                        <v:fill on="t" focussize="0,0"/>
                        <v:stroke color="#000000" miterlimit="8" joinstyle="miter"/>
                        <v:imagedata o:title=""/>
                        <o:lock v:ext="edit" aspectratio="f"/>
                        <v:textbox>
                          <w:txbxContent>
                            <w:p>
                              <w:pPr>
                                <w:jc w:val="center"/>
                              </w:pPr>
                              <w:r>
                                <w:rPr>
                                  <w:rFonts w:hint="eastAsia"/>
                                </w:rPr>
                                <w:t>挤出</w:t>
                              </w:r>
                            </w:p>
                          </w:txbxContent>
                        </v:textbox>
                      </v:shape>
                      <v:shape id="AutoShape 126" o:spid="_x0000_s1026" o:spt="109" type="#_x0000_t109" style="position:absolute;left:875030;top:160721;height:266809;width:333375;" fillcolor="#FFFFFF" filled="t" stroked="t" coordsize="21600,21600" o:gfxdata="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Ppe31QAAAAUBAAAPAAAAAAAA&#10;AAEAIAAAACIAAABkcnMvZG93bnJldi54bWxQSwECFAAUAAAACACHTuJAkHm5+E4CAAC3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rPr>
                                  <w:rFonts w:hint="eastAsia"/>
                                </w:rPr>
                                <w:t>N</w:t>
                              </w:r>
                            </w:p>
                          </w:txbxContent>
                        </v:textbox>
                      </v:shape>
                      <v:shape id="AutoShape 125" o:spid="_x0000_s1026" o:spt="32" type="#_x0000_t32" style="position:absolute;left:1017905;top:437059;flip:y;height:241399;width:0;" filled="f" stroked="t" coordsize="21600,21600" o:gfxdata="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IDofNMAAAAFAQAADwAAAAAAAAABACAA&#10;AAAiAAAAZHJzL2Rvd25yZXYueG1sUEsBAhQAFAAAAAgAh07iQMaauKoSAgAAHgQAAA4AAAAAAAAA&#10;AQAgAAAAIgEAAGRycy9lMm9Eb2MueG1sUEsFBgAAAAAGAAYAWQEAAKYFAAAAAA==&#10;">
                        <v:fill on="f" focussize="0,0"/>
                        <v:stroke color="#000000" joinstyle="round" dashstyle="dash" endarrow="block"/>
                        <v:imagedata o:title=""/>
                        <o:lock v:ext="edit" aspectratio="f"/>
                      </v:shape>
                      <v:shape id="AutoShape 126" o:spid="_x0000_s1026" o:spt="109" type="#_x0000_t109" style="position:absolute;left:1437005;top:141663;height:301114;width:762000;" fillcolor="#FFFFFF" filled="t" stroked="t" coordsize="21600,21600" o:gfxdata="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I+l7fVAAAABQEAAA8AAAAA&#10;AAAAAQAgAAAAIgAAAGRycy9kb3ducmV2LnhtbFBLAQIUABQAAAAIAIdO4kDvPAo6UAIAALgEAAAO&#10;AAAAAAAAAAEAIAAAACQBAABkcnMvZTJvRG9jLnhtbFBLBQYAAAAABgAGAFkBAADmBQAAAAA=&#10;">
                        <v:fill on="t" focussize="0,0"/>
                        <v:stroke color="#000000" miterlimit="8" joinstyle="miter" dashstyle="dashDot"/>
                        <v:imagedata o:title=""/>
                        <o:lock v:ext="edit" aspectratio="f"/>
                        <v:textbox inset="0mm,1.27mm,0mm,1.27mm">
                          <w:txbxContent>
                            <w:p>
                              <w:pPr>
                                <w:jc w:val="center"/>
                              </w:pPr>
                              <w:r>
                                <w:rPr>
                                  <w:rFonts w:hint="eastAsia"/>
                                </w:rPr>
                                <w:t>G</w:t>
                              </w:r>
                              <w:r>
                                <w:rPr>
                                  <w:rFonts w:hint="eastAsia"/>
                                  <w:vertAlign w:val="subscript"/>
                                </w:rPr>
                                <w:t>1</w:t>
                              </w:r>
                              <w:r>
                                <w:rPr>
                                  <w:rFonts w:hint="eastAsia"/>
                                </w:rPr>
                                <w:t>、S</w:t>
                              </w:r>
                              <w:r>
                                <w:rPr>
                                  <w:vertAlign w:val="subscript"/>
                                </w:rPr>
                                <w:t>1</w:t>
                              </w:r>
                              <w:r>
                                <w:rPr>
                                  <w:rFonts w:hint="eastAsia"/>
                                </w:rPr>
                                <w:t>、N</w:t>
                              </w:r>
                            </w:p>
                            <w:p>
                              <w:pPr>
                                <w:jc w:val="center"/>
                              </w:pPr>
                              <w:r>
                                <w:rPr>
                                  <w:rFonts w:hint="eastAsia"/>
                                </w:rPr>
                                <w:t>、S</w:t>
                              </w:r>
                              <w:r>
                                <w:rPr>
                                  <w:rFonts w:hint="eastAsia"/>
                                  <w:vertAlign w:val="subscript"/>
                                </w:rPr>
                                <w:t>1</w:t>
                              </w:r>
                            </w:p>
                            <w:p>
                              <w:pPr>
                                <w:jc w:val="center"/>
                              </w:pPr>
                            </w:p>
                          </w:txbxContent>
                        </v:textbox>
                      </v:shape>
                      <v:shape id="文本框 357" o:spid="_x0000_s1026" o:spt="202" type="#_x0000_t202" style="position:absolute;left:3799840;top:1271156;height:661444;width:1998345;" filled="f" stroked="t" coordsize="21600,21600" o:gfxdata="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XBHC1wAAAAUBAAAP&#10;AAAAAAAAAAEAIAAAACIAAABkcnMvZG93bnJldi54bWxQSwECFAAUAAAACACHTuJAd3VwNFICAAB8&#10;BAAADgAAAAAAAAABACAAAAAmAQAAZHJzL2Uyb0RvYy54bWxQSwUGAAAAAAYABgBZAQAA6gUAAAAA&#10;">
                        <v:fill on="f" focussize="0,0"/>
                        <v:stroke weight="0.5pt" color="#000000 [3204]" joinstyle="round"/>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N</w:t>
                              </w:r>
                              <w:r>
                                <w:rPr>
                                  <w:rFonts w:hint="eastAsia" w:ascii="Times New Roman"/>
                                  <w:kern w:val="2"/>
                                  <w:sz w:val="21"/>
                                  <w:szCs w:val="21"/>
                                </w:rPr>
                                <w:t>噪声</w:t>
                              </w:r>
                              <w:r>
                                <w:rPr>
                                  <w:rFonts w:ascii="Times New Roman" w:hAnsi="Times New Roman"/>
                                  <w:kern w:val="2"/>
                                  <w:sz w:val="21"/>
                                  <w:szCs w:val="21"/>
                                </w:rPr>
                                <w:t xml:space="preserve">         S4</w:t>
                              </w:r>
                              <w:r>
                                <w:rPr>
                                  <w:rFonts w:hint="eastAsia" w:ascii="Times New Roman"/>
                                  <w:kern w:val="2"/>
                                  <w:sz w:val="21"/>
                                  <w:szCs w:val="21"/>
                                </w:rPr>
                                <w:t>废包装材料</w:t>
                              </w:r>
                            </w:p>
                            <w:p>
                              <w:pPr>
                                <w:pStyle w:val="25"/>
                                <w:spacing w:before="0" w:beforeAutospacing="0" w:after="0" w:afterAutospacing="0"/>
                                <w:jc w:val="both"/>
                              </w:pPr>
                              <w:r>
                                <w:rPr>
                                  <w:rFonts w:ascii="Times New Roman" w:hAnsi="Times New Roman"/>
                                  <w:kern w:val="2"/>
                                  <w:sz w:val="21"/>
                                  <w:szCs w:val="21"/>
                                </w:rPr>
                                <w:t>G1</w:t>
                              </w:r>
                              <w:r>
                                <w:rPr>
                                  <w:rFonts w:hint="eastAsia" w:ascii="Times New Roman"/>
                                  <w:kern w:val="2"/>
                                  <w:sz w:val="21"/>
                                  <w:szCs w:val="21"/>
                                </w:rPr>
                                <w:t>有机废气</w:t>
                              </w:r>
                              <w:r>
                                <w:rPr>
                                  <w:rFonts w:ascii="Times New Roman" w:hAnsi="Times New Roman"/>
                                  <w:kern w:val="2"/>
                                  <w:sz w:val="21"/>
                                  <w:szCs w:val="21"/>
                                </w:rPr>
                                <w:t xml:space="preserve">    S3</w:t>
                              </w:r>
                              <w:r>
                                <w:rPr>
                                  <w:rFonts w:hint="eastAsia" w:ascii="Times New Roman"/>
                                  <w:kern w:val="2"/>
                                  <w:sz w:val="21"/>
                                  <w:szCs w:val="21"/>
                                </w:rPr>
                                <w:t>废次品</w:t>
                              </w:r>
                            </w:p>
                            <w:p>
                              <w:pPr>
                                <w:pStyle w:val="25"/>
                                <w:spacing w:before="0" w:beforeAutospacing="0" w:after="0" w:afterAutospacing="0"/>
                                <w:jc w:val="both"/>
                              </w:pPr>
                              <w:r>
                                <w:rPr>
                                  <w:rFonts w:ascii="Times New Roman" w:hAnsi="Times New Roman"/>
                                  <w:kern w:val="2"/>
                                  <w:sz w:val="21"/>
                                  <w:szCs w:val="21"/>
                                </w:rPr>
                                <w:t>S1</w:t>
                              </w:r>
                              <w:r>
                                <w:rPr>
                                  <w:rFonts w:hint="eastAsia" w:ascii="Times New Roman"/>
                                  <w:kern w:val="2"/>
                                  <w:sz w:val="21"/>
                                  <w:szCs w:val="21"/>
                                </w:rPr>
                                <w:t xml:space="preserve">边角料 </w:t>
                              </w:r>
                            </w:p>
                          </w:txbxContent>
                        </v:textbox>
                      </v:shape>
                      <v:shape id="AutoShape 125" o:spid="_x0000_s1026" o:spt="32" type="#_x0000_t32" style="position:absolute;left:4036355;top:479171;flip:y;height:241300;width:0;" filled="f" stroked="t" coordsize="21600,21600" o:gfxdata="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yA6HzTAAAABQEAAA8AAAAAAAAAAQAg&#10;AAAAIgAAAGRycy9kb3ducmV2LnhtbFBLAQIUABQAAAAIAIdO4kCnVFiHEwIAAB4EAAAOAAAAAAAA&#10;AAEAIAAAACIBAABkcnMvZTJvRG9jLnhtbFBLBQYAAAAABgAGAFkBAACnBQAAAAA=&#10;">
                        <v:fill on="f" focussize="0,0"/>
                        <v:stroke color="#000000" joinstyle="round" dashstyle="dash" endarrow="block"/>
                        <v:imagedata o:title=""/>
                        <o:lock v:ext="edit" aspectratio="f"/>
                      </v:shape>
                      <v:shape id="AutoShape 126" o:spid="_x0000_s1026" o:spt="109" type="#_x0000_t109" style="position:absolute;left:3799840;top:180000;height:266700;width:381000;" fillcolor="#FFFFFF" filled="t" stroked="t" coordsize="21600,21600" o:gfxdata="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I+l7fVAAAABQEAAA8AAAAA&#10;AAAAAQAgAAAAIgAAAGRycy9kb3ducmV2LnhtbFBLAQIUABQAAAAIAIdO4kCkNtjmUAIAALgEAAAO&#10;AAAAAAAAAAEAIAAAACQBAABkcnMvZTJvRG9jLnhtbFBLBQYAAAAABgAGAFkBAADmBQ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position w:val="-5"/>
                                  <w:sz w:val="21"/>
                                  <w:szCs w:val="21"/>
                                  <w:vertAlign w:val="subscript"/>
                                </w:rPr>
                                <w:t>3</w:t>
                              </w:r>
                            </w:p>
                          </w:txbxContent>
                        </v:textbox>
                      </v:shape>
                      <w10:wrap type="none"/>
                      <w10:anchorlock/>
                    </v:group>
                  </w:pict>
                </mc:Fallback>
              </mc:AlternateContent>
            </w:r>
          </w:p>
          <w:p>
            <w:pPr>
              <w:pStyle w:val="43"/>
              <w:rPr>
                <w:rFonts w:ascii="Times New Roman" w:hAnsi="Times New Roman"/>
                <w:b/>
                <w:color w:val="auto"/>
              </w:rPr>
            </w:pPr>
            <w:r>
              <w:rPr>
                <w:rFonts w:ascii="Times New Roman" w:hAnsi="Times New Roman"/>
                <w:b/>
                <w:color w:val="auto"/>
                <w:sz w:val="21"/>
                <w:szCs w:val="21"/>
              </w:rPr>
              <w:t xml:space="preserve">图4 </w:t>
            </w:r>
            <w:r>
              <w:rPr>
                <w:rFonts w:hint="eastAsia" w:ascii="Times New Roman" w:hAnsi="Times New Roman"/>
                <w:b/>
                <w:color w:val="auto"/>
                <w:sz w:val="21"/>
                <w:szCs w:val="21"/>
              </w:rPr>
              <w:t>手机抛光</w:t>
            </w:r>
            <w:r>
              <w:rPr>
                <w:rFonts w:ascii="Times New Roman" w:hAnsi="Times New Roman"/>
                <w:b/>
                <w:color w:val="auto"/>
                <w:sz w:val="21"/>
                <w:szCs w:val="21"/>
              </w:rPr>
              <w:t>用</w:t>
            </w:r>
            <w:r>
              <w:rPr>
                <w:rFonts w:hint="eastAsia" w:ascii="Times New Roman" w:hAnsi="Times New Roman"/>
                <w:b/>
                <w:color w:val="auto"/>
                <w:sz w:val="21"/>
                <w:szCs w:val="21"/>
              </w:rPr>
              <w:t>P</w:t>
            </w:r>
            <w:r>
              <w:rPr>
                <w:rFonts w:ascii="Times New Roman" w:hAnsi="Times New Roman"/>
                <w:b/>
                <w:color w:val="auto"/>
                <w:sz w:val="21"/>
                <w:szCs w:val="21"/>
              </w:rPr>
              <w:t>P</w:t>
            </w:r>
            <w:r>
              <w:rPr>
                <w:rFonts w:hint="eastAsia" w:ascii="Times New Roman" w:hAnsi="Times New Roman"/>
                <w:b/>
                <w:color w:val="auto"/>
                <w:sz w:val="21"/>
                <w:szCs w:val="21"/>
              </w:rPr>
              <w:t>片</w:t>
            </w:r>
            <w:r>
              <w:rPr>
                <w:rFonts w:ascii="Times New Roman" w:hAnsi="Times New Roman"/>
                <w:b/>
                <w:color w:val="auto"/>
                <w:sz w:val="21"/>
                <w:szCs w:val="21"/>
              </w:rPr>
              <w:t>产品工艺流程及产污环节分析示意图</w:t>
            </w:r>
          </w:p>
          <w:p>
            <w:pPr>
              <w:adjustRightInd w:val="0"/>
              <w:snapToGrid w:val="0"/>
              <w:spacing w:line="360" w:lineRule="auto"/>
              <w:ind w:firstLine="420" w:firstLineChars="200"/>
              <w:rPr>
                <w:szCs w:val="21"/>
              </w:rPr>
            </w:pPr>
            <w:r>
              <w:rPr>
                <w:szCs w:val="21"/>
              </w:rPr>
              <w:t>工艺流程说明：</w:t>
            </w:r>
          </w:p>
          <w:p>
            <w:pPr>
              <w:spacing w:line="360" w:lineRule="auto"/>
              <w:ind w:firstLine="420" w:firstLineChars="200"/>
              <w:jc w:val="left"/>
            </w:pPr>
            <w:r>
              <w:rPr>
                <w:rFonts w:hint="eastAsia"/>
              </w:rPr>
              <w:t>投料：将外购新PP塑胶粒投进PP片生产线设备，</w:t>
            </w:r>
            <w:r>
              <w:t>项目</w:t>
            </w:r>
            <w:r>
              <w:rPr>
                <w:rFonts w:hint="eastAsia"/>
              </w:rPr>
              <w:t>塑胶粒</w:t>
            </w:r>
            <w:r>
              <w:t>原料均为固体颗粒状，粒径较大，此工序</w:t>
            </w:r>
            <w:r>
              <w:rPr>
                <w:rFonts w:hint="eastAsia"/>
              </w:rPr>
              <w:t>不</w:t>
            </w:r>
            <w:r>
              <w:t>会产生粉尘</w:t>
            </w:r>
            <w:r>
              <w:rPr>
                <w:rFonts w:hint="eastAsia"/>
              </w:rPr>
              <w:t>，</w:t>
            </w:r>
            <w:r>
              <w:rPr>
                <w:rFonts w:hint="eastAsia"/>
                <w:bCs/>
              </w:rPr>
              <w:t>此</w:t>
            </w:r>
            <w:r>
              <w:rPr>
                <w:bCs/>
              </w:rPr>
              <w:t>过程会产生少量的</w:t>
            </w:r>
            <w:r>
              <w:rPr>
                <w:rFonts w:hint="eastAsia"/>
                <w:bCs/>
              </w:rPr>
              <w:t>噪声。</w:t>
            </w:r>
          </w:p>
          <w:p>
            <w:pPr>
              <w:spacing w:line="360" w:lineRule="auto"/>
              <w:ind w:firstLine="420" w:firstLineChars="200"/>
              <w:jc w:val="left"/>
            </w:pPr>
            <w:r>
              <w:t>挤出：</w:t>
            </w:r>
            <w:r>
              <w:rPr>
                <w:rFonts w:hint="eastAsia"/>
              </w:rPr>
              <w:t>将PP塑胶粒挤出成型，挤出时的工艺温度约为180</w:t>
            </w:r>
            <w:r>
              <w:t>-200</w:t>
            </w:r>
            <w:r>
              <w:rPr>
                <w:rFonts w:hint="eastAsia"/>
              </w:rPr>
              <w:t>℃，</w:t>
            </w:r>
            <w:r>
              <w:rPr>
                <w:rFonts w:hint="eastAsia"/>
                <w:bCs/>
              </w:rPr>
              <w:t>此</w:t>
            </w:r>
            <w:r>
              <w:rPr>
                <w:bCs/>
              </w:rPr>
              <w:t>过程会</w:t>
            </w:r>
            <w:r>
              <w:rPr>
                <w:rFonts w:hint="eastAsia"/>
              </w:rPr>
              <w:t>有少量的非甲烷总烃、</w:t>
            </w:r>
            <w:r>
              <w:rPr>
                <w:bCs/>
              </w:rPr>
              <w:t>噪声</w:t>
            </w:r>
            <w:r>
              <w:rPr>
                <w:rFonts w:hint="eastAsia"/>
                <w:bCs/>
              </w:rPr>
              <w:t>、PP塑胶料边角料</w:t>
            </w:r>
            <w:r>
              <w:rPr>
                <w:rFonts w:hint="eastAsia"/>
              </w:rPr>
              <w:t>的产生</w:t>
            </w:r>
            <w:r>
              <w:t>。</w:t>
            </w:r>
          </w:p>
          <w:p>
            <w:pPr>
              <w:spacing w:line="360" w:lineRule="auto"/>
              <w:ind w:firstLine="420" w:firstLineChars="200"/>
              <w:jc w:val="left"/>
            </w:pPr>
            <w:r>
              <w:rPr>
                <w:rFonts w:hint="eastAsia"/>
              </w:rPr>
              <w:t>冷却：将挤出成型的PP塑胶通过冷却辊冷却至室温。本过程会产生一定的冷却水。冷却水通过冷却塔循环使用（间接冷却），不外排。</w:t>
            </w:r>
          </w:p>
          <w:p>
            <w:pPr>
              <w:spacing w:line="360" w:lineRule="auto"/>
              <w:ind w:firstLine="420" w:firstLineChars="200"/>
              <w:jc w:val="left"/>
            </w:pPr>
            <w:r>
              <w:rPr>
                <w:rFonts w:hint="eastAsia"/>
              </w:rPr>
              <w:t>裁切</w:t>
            </w:r>
            <w:r>
              <w:t>：</w:t>
            </w:r>
            <w:r>
              <w:rPr>
                <w:rFonts w:hint="eastAsia"/>
              </w:rPr>
              <w:t>将冷却的PP塑胶按客户要求裁切成需要的规格。</w:t>
            </w:r>
            <w:r>
              <w:rPr>
                <w:rFonts w:hint="eastAsia"/>
                <w:bCs/>
              </w:rPr>
              <w:t>此</w:t>
            </w:r>
            <w:r>
              <w:rPr>
                <w:bCs/>
              </w:rPr>
              <w:t>过程会</w:t>
            </w:r>
            <w:r>
              <w:rPr>
                <w:rFonts w:hint="eastAsia"/>
              </w:rPr>
              <w:t>有少量的</w:t>
            </w:r>
            <w:r>
              <w:rPr>
                <w:bCs/>
              </w:rPr>
              <w:t>噪声</w:t>
            </w:r>
            <w:r>
              <w:rPr>
                <w:rFonts w:hint="eastAsia"/>
                <w:bCs/>
              </w:rPr>
              <w:t>、PP塑胶边角料</w:t>
            </w:r>
            <w:r>
              <w:rPr>
                <w:rFonts w:hint="eastAsia"/>
              </w:rPr>
              <w:t>的产生</w:t>
            </w:r>
            <w:r>
              <w:t>。</w:t>
            </w:r>
          </w:p>
          <w:p>
            <w:pPr>
              <w:spacing w:line="360" w:lineRule="auto"/>
              <w:ind w:firstLine="420" w:firstLineChars="200"/>
              <w:jc w:val="left"/>
              <w:rPr>
                <w:bCs/>
                <w:szCs w:val="21"/>
              </w:rPr>
            </w:pPr>
            <w:r>
              <w:rPr>
                <w:rFonts w:hint="eastAsia"/>
                <w:bCs/>
                <w:szCs w:val="21"/>
              </w:rPr>
              <w:t>检验、包装出货：加工好</w:t>
            </w:r>
            <w:r>
              <w:rPr>
                <w:bCs/>
                <w:szCs w:val="21"/>
              </w:rPr>
              <w:t>的产品</w:t>
            </w:r>
            <w:r>
              <w:rPr>
                <w:rFonts w:hint="eastAsia"/>
                <w:bCs/>
                <w:szCs w:val="21"/>
              </w:rPr>
              <w:t>经检验通过后可包装出货。检验</w:t>
            </w:r>
            <w:r>
              <w:rPr>
                <w:bCs/>
                <w:szCs w:val="21"/>
              </w:rPr>
              <w:t>过程会产少量废次品，</w:t>
            </w:r>
            <w:r>
              <w:rPr>
                <w:rFonts w:hint="eastAsia"/>
                <w:bCs/>
                <w:szCs w:val="21"/>
              </w:rPr>
              <w:t>包装</w:t>
            </w:r>
            <w:r>
              <w:rPr>
                <w:bCs/>
                <w:szCs w:val="21"/>
              </w:rPr>
              <w:t>过程会产生少量的</w:t>
            </w:r>
            <w:r>
              <w:rPr>
                <w:rFonts w:hint="eastAsia"/>
                <w:bCs/>
                <w:szCs w:val="21"/>
              </w:rPr>
              <w:t>包装废料。</w:t>
            </w:r>
          </w:p>
          <w:p>
            <w:pPr>
              <w:adjustRightInd w:val="0"/>
              <w:snapToGrid w:val="0"/>
              <w:spacing w:line="360" w:lineRule="auto"/>
              <w:ind w:firstLine="420" w:firstLineChars="200"/>
            </w:pPr>
            <w:r>
              <w:rPr>
                <w:rFonts w:hint="eastAsia"/>
              </w:rPr>
              <w:t>（</w:t>
            </w:r>
            <w:r>
              <w:t>4</w:t>
            </w:r>
            <w:r>
              <w:rPr>
                <w:rFonts w:hint="eastAsia"/>
              </w:rPr>
              <w:t>）手机</w:t>
            </w:r>
            <w:r>
              <w:t>抛光用海绵扫光盘</w:t>
            </w:r>
          </w:p>
          <w:p>
            <w:pPr>
              <w:pStyle w:val="43"/>
              <w:rPr>
                <w:rFonts w:ascii="Times New Roman" w:hAnsi="Times New Roman"/>
                <w:color w:val="auto"/>
              </w:rPr>
            </w:pPr>
            <w:r>
              <w:rPr>
                <w:rFonts w:ascii="Times New Roman" w:hAnsi="Times New Roman"/>
                <w:color w:val="auto"/>
              </w:rPr>
              <mc:AlternateContent>
                <mc:Choice Requires="wpc">
                  <w:drawing>
                    <wp:inline distT="0" distB="0" distL="0" distR="0">
                      <wp:extent cx="5863590" cy="2415540"/>
                      <wp:effectExtent l="0" t="0" r="3810" b="3810"/>
                      <wp:docPr id="269" name="画布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63" name="AutoShape 121"/>
                              <wps:cNvSpPr>
                                <a:spLocks noChangeArrowheads="1"/>
                              </wps:cNvSpPr>
                              <wps:spPr bwMode="auto">
                                <a:xfrm>
                                  <a:off x="0" y="672741"/>
                                  <a:ext cx="741680" cy="322712"/>
                                </a:xfrm>
                                <a:prstGeom prst="flowChartProcess">
                                  <a:avLst/>
                                </a:prstGeom>
                                <a:solidFill>
                                  <a:srgbClr val="FFFFFF"/>
                                </a:solidFill>
                                <a:ln>
                                  <a:noFill/>
                                </a:ln>
                                <a:effectLst/>
                              </wps:spPr>
                              <wps:txbx>
                                <w:txbxContent>
                                  <w:p>
                                    <w:pPr>
                                      <w:jc w:val="center"/>
                                      <w:rPr>
                                        <w:rFonts w:ascii="宋体" w:hAnsi="宋体"/>
                                        <w:szCs w:val="21"/>
                                      </w:rPr>
                                    </w:pPr>
                                    <w:r>
                                      <w:rPr>
                                        <w:rFonts w:hint="eastAsia" w:ascii="宋体" w:hAnsi="宋体"/>
                                        <w:szCs w:val="21"/>
                                      </w:rPr>
                                      <w:t>海绵</w:t>
                                    </w:r>
                                  </w:p>
                                </w:txbxContent>
                              </wps:txbx>
                              <wps:bodyPr rot="0" vert="horz" wrap="square" lIns="0" tIns="45720" rIns="0" bIns="45720" anchor="t" anchorCtr="0" upright="1">
                                <a:noAutofit/>
                              </wps:bodyPr>
                            </wps:wsp>
                            <wps:wsp>
                              <wps:cNvPr id="66" name="AutoShape 122"/>
                              <wps:cNvCnPr>
                                <a:cxnSpLocks noChangeShapeType="1"/>
                              </wps:cNvCnPr>
                              <wps:spPr bwMode="auto">
                                <a:xfrm flipV="1">
                                  <a:off x="2103755" y="826179"/>
                                  <a:ext cx="205740" cy="635"/>
                                </a:xfrm>
                                <a:prstGeom prst="straightConnector1">
                                  <a:avLst/>
                                </a:prstGeom>
                                <a:noFill/>
                                <a:ln w="3175">
                                  <a:solidFill>
                                    <a:srgbClr val="000000"/>
                                  </a:solidFill>
                                  <a:round/>
                                  <a:tailEnd type="triangle" w="med" len="med"/>
                                </a:ln>
                                <a:effectLst/>
                              </wps:spPr>
                              <wps:bodyPr/>
                            </wps:wsp>
                            <wps:wsp>
                              <wps:cNvPr id="72" name="AutoShape 124"/>
                              <wps:cNvSpPr>
                                <a:spLocks noChangeArrowheads="1"/>
                              </wps:cNvSpPr>
                              <wps:spPr bwMode="auto">
                                <a:xfrm>
                                  <a:off x="4084956" y="675282"/>
                                  <a:ext cx="482600" cy="295396"/>
                                </a:xfrm>
                                <a:prstGeom prst="flowChartProcess">
                                  <a:avLst/>
                                </a:prstGeom>
                                <a:solidFill>
                                  <a:srgbClr val="FFFFFF"/>
                                </a:solidFill>
                                <a:ln w="9525">
                                  <a:solidFill>
                                    <a:srgbClr val="000000"/>
                                  </a:solidFill>
                                  <a:miter lim="800000"/>
                                </a:ln>
                                <a:effectLst/>
                              </wps:spPr>
                              <wps:txbx>
                                <w:txbxContent>
                                  <w:p>
                                    <w:pPr>
                                      <w:jc w:val="center"/>
                                    </w:pPr>
                                    <w:r>
                                      <w:rPr>
                                        <w:rFonts w:hint="eastAsia"/>
                                      </w:rPr>
                                      <w:t>检验</w:t>
                                    </w:r>
                                  </w:p>
                                </w:txbxContent>
                              </wps:txbx>
                              <wps:bodyPr rot="0" vert="horz" wrap="square" lIns="0" tIns="45720" rIns="0" bIns="45720" anchor="t" anchorCtr="0" upright="1">
                                <a:noAutofit/>
                              </wps:bodyPr>
                            </wps:wsp>
                            <wps:wsp>
                              <wps:cNvPr id="73" name="AutoShape 124"/>
                              <wps:cNvSpPr>
                                <a:spLocks noChangeArrowheads="1"/>
                              </wps:cNvSpPr>
                              <wps:spPr bwMode="auto">
                                <a:xfrm>
                                  <a:off x="4812030" y="686781"/>
                                  <a:ext cx="767080" cy="275703"/>
                                </a:xfrm>
                                <a:prstGeom prst="flowChartProcess">
                                  <a:avLst/>
                                </a:prstGeom>
                                <a:solidFill>
                                  <a:srgbClr val="FFFFFF"/>
                                </a:solidFill>
                                <a:ln w="9525">
                                  <a:solidFill>
                                    <a:srgbClr val="000000"/>
                                  </a:solidFill>
                                  <a:miter lim="800000"/>
                                </a:ln>
                                <a:effectLst/>
                              </wps:spPr>
                              <wps:txbx>
                                <w:txbxContent>
                                  <w:p>
                                    <w:pPr>
                                      <w:jc w:val="center"/>
                                    </w:pPr>
                                    <w:r>
                                      <w:rPr>
                                        <w:rFonts w:hint="eastAsia"/>
                                      </w:rPr>
                                      <w:t>包装出货</w:t>
                                    </w:r>
                                  </w:p>
                                </w:txbxContent>
                              </wps:txbx>
                              <wps:bodyPr rot="0" vert="horz" wrap="square" lIns="0" tIns="45720" rIns="0" bIns="45720" anchor="t" anchorCtr="0" upright="1">
                                <a:noAutofit/>
                              </wps:bodyPr>
                            </wps:wsp>
                            <wps:wsp>
                              <wps:cNvPr id="74" name="AutoShape 122"/>
                              <wps:cNvCnPr>
                                <a:cxnSpLocks noChangeShapeType="1"/>
                              </wps:cNvCnPr>
                              <wps:spPr bwMode="auto">
                                <a:xfrm>
                                  <a:off x="3848101" y="813843"/>
                                  <a:ext cx="236855" cy="635"/>
                                </a:xfrm>
                                <a:prstGeom prst="straightConnector1">
                                  <a:avLst/>
                                </a:prstGeom>
                                <a:noFill/>
                                <a:ln w="3175">
                                  <a:solidFill>
                                    <a:srgbClr val="000000"/>
                                  </a:solidFill>
                                  <a:round/>
                                  <a:tailEnd type="triangle" w="med" len="med"/>
                                </a:ln>
                                <a:effectLst/>
                              </wps:spPr>
                              <wps:bodyPr/>
                            </wps:wsp>
                            <wps:wsp>
                              <wps:cNvPr id="75" name="AutoShape 125"/>
                              <wps:cNvCnPr>
                                <a:cxnSpLocks noChangeShapeType="1"/>
                              </wps:cNvCnPr>
                              <wps:spPr bwMode="auto">
                                <a:xfrm flipV="1">
                                  <a:off x="3441065" y="444111"/>
                                  <a:ext cx="635" cy="242670"/>
                                </a:xfrm>
                                <a:prstGeom prst="straightConnector1">
                                  <a:avLst/>
                                </a:prstGeom>
                                <a:noFill/>
                                <a:ln w="9525">
                                  <a:solidFill>
                                    <a:srgbClr val="000000"/>
                                  </a:solidFill>
                                  <a:prstDash val="dash"/>
                                  <a:round/>
                                  <a:tailEnd type="triangle" w="med" len="med"/>
                                </a:ln>
                                <a:effectLst/>
                              </wps:spPr>
                              <wps:bodyPr/>
                            </wps:wsp>
                            <wps:wsp>
                              <wps:cNvPr id="77" name="AutoShape 126"/>
                              <wps:cNvSpPr>
                                <a:spLocks noChangeArrowheads="1"/>
                              </wps:cNvSpPr>
                              <wps:spPr bwMode="auto">
                                <a:xfrm>
                                  <a:off x="3282950" y="163634"/>
                                  <a:ext cx="421005" cy="275703"/>
                                </a:xfrm>
                                <a:prstGeom prst="flowChartProcess">
                                  <a:avLst/>
                                </a:prstGeom>
                                <a:no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78" name="AutoShape 122"/>
                              <wps:cNvCnPr>
                                <a:cxnSpLocks noChangeShapeType="1"/>
                              </wps:cNvCnPr>
                              <wps:spPr bwMode="auto">
                                <a:xfrm flipV="1">
                                  <a:off x="2853690" y="814478"/>
                                  <a:ext cx="205740" cy="635"/>
                                </a:xfrm>
                                <a:prstGeom prst="straightConnector1">
                                  <a:avLst/>
                                </a:prstGeom>
                                <a:noFill/>
                                <a:ln w="3175">
                                  <a:solidFill>
                                    <a:srgbClr val="000000"/>
                                  </a:solidFill>
                                  <a:round/>
                                  <a:tailEnd type="triangle" w="med" len="med"/>
                                </a:ln>
                                <a:effectLst/>
                              </wps:spPr>
                              <wps:bodyPr/>
                            </wps:wsp>
                            <wps:wsp>
                              <wps:cNvPr id="79" name="文本框 13"/>
                              <wps:cNvSpPr txBox="1">
                                <a:spLocks noChangeArrowheads="1"/>
                              </wps:cNvSpPr>
                              <wps:spPr bwMode="auto">
                                <a:xfrm>
                                  <a:off x="2309495" y="682326"/>
                                  <a:ext cx="544195" cy="273797"/>
                                </a:xfrm>
                                <a:prstGeom prst="rect">
                                  <a:avLst/>
                                </a:prstGeom>
                                <a:solidFill>
                                  <a:srgbClr val="FFFFFF"/>
                                </a:solidFill>
                                <a:ln w="9525">
                                  <a:solidFill>
                                    <a:srgbClr val="000000"/>
                                  </a:solidFill>
                                  <a:miter lim="800000"/>
                                </a:ln>
                                <a:effectLst/>
                              </wps:spPr>
                              <wps:txbx>
                                <w:txbxContent>
                                  <w:p>
                                    <w:pPr>
                                      <w:jc w:val="center"/>
                                    </w:pPr>
                                    <w:r>
                                      <w:rPr>
                                        <w:rFonts w:hint="eastAsia"/>
                                      </w:rPr>
                                      <w:t>裁切</w:t>
                                    </w:r>
                                  </w:p>
                                </w:txbxContent>
                              </wps:txbx>
                              <wps:bodyPr rot="0" vert="horz" wrap="square" lIns="91440" tIns="45720" rIns="91440" bIns="45720" anchor="t" anchorCtr="0" upright="1">
                                <a:noAutofit/>
                              </wps:bodyPr>
                            </wps:wsp>
                            <wps:wsp>
                              <wps:cNvPr id="80" name="AutoShape 125"/>
                              <wps:cNvCnPr>
                                <a:cxnSpLocks noChangeShapeType="1"/>
                              </wps:cNvCnPr>
                              <wps:spPr bwMode="auto">
                                <a:xfrm flipV="1">
                                  <a:off x="1845310" y="437059"/>
                                  <a:ext cx="0" cy="241399"/>
                                </a:xfrm>
                                <a:prstGeom prst="straightConnector1">
                                  <a:avLst/>
                                </a:prstGeom>
                                <a:noFill/>
                                <a:ln w="9525">
                                  <a:solidFill>
                                    <a:srgbClr val="000000"/>
                                  </a:solidFill>
                                  <a:prstDash val="dash"/>
                                  <a:round/>
                                  <a:tailEnd type="triangle" w="med" len="med"/>
                                </a:ln>
                                <a:effectLst/>
                              </wps:spPr>
                              <wps:bodyPr/>
                            </wps:wsp>
                            <wps:wsp>
                              <wps:cNvPr id="81" name="AutoShape 126"/>
                              <wps:cNvSpPr>
                                <a:spLocks noChangeArrowheads="1"/>
                              </wps:cNvSpPr>
                              <wps:spPr bwMode="auto">
                                <a:xfrm>
                                  <a:off x="1544954" y="161356"/>
                                  <a:ext cx="687705" cy="261727"/>
                                </a:xfrm>
                                <a:prstGeom prst="flowChartProcess">
                                  <a:avLst/>
                                </a:prstGeom>
                                <a:solidFill>
                                  <a:srgbClr val="FFFFFF"/>
                                </a:solidFill>
                                <a:ln w="9525">
                                  <a:solidFill>
                                    <a:srgbClr val="000000"/>
                                  </a:solidFill>
                                  <a:prstDash val="dashDot"/>
                                  <a:miter lim="800000"/>
                                </a:ln>
                                <a:effectLst/>
                              </wps:spPr>
                              <wps:txbx>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wps:txbx>
                              <wps:bodyPr rot="0" vert="horz" wrap="square" lIns="0" tIns="45720" rIns="0" bIns="45720" anchor="t" anchorCtr="0" upright="1">
                                <a:noAutofit/>
                              </wps:bodyPr>
                            </wps:wsp>
                            <wps:wsp>
                              <wps:cNvPr id="88" name="AutoShape 125"/>
                              <wps:cNvCnPr>
                                <a:cxnSpLocks noChangeShapeType="1"/>
                              </wps:cNvCnPr>
                              <wps:spPr bwMode="auto">
                                <a:xfrm flipV="1">
                                  <a:off x="4356735" y="422000"/>
                                  <a:ext cx="0" cy="241399"/>
                                </a:xfrm>
                                <a:prstGeom prst="straightConnector1">
                                  <a:avLst/>
                                </a:prstGeom>
                                <a:noFill/>
                                <a:ln w="9525">
                                  <a:solidFill>
                                    <a:srgbClr val="000000"/>
                                  </a:solidFill>
                                  <a:prstDash val="dash"/>
                                  <a:round/>
                                  <a:tailEnd type="triangle" w="med" len="med"/>
                                </a:ln>
                                <a:effectLst/>
                              </wps:spPr>
                              <wps:bodyPr/>
                            </wps:wsp>
                            <wps:wsp>
                              <wps:cNvPr id="90" name="AutoShape 122"/>
                              <wps:cNvCnPr>
                                <a:cxnSpLocks noChangeShapeType="1"/>
                              </wps:cNvCnPr>
                              <wps:spPr bwMode="auto">
                                <a:xfrm flipH="1">
                                  <a:off x="1831975" y="989101"/>
                                  <a:ext cx="5080" cy="254104"/>
                                </a:xfrm>
                                <a:prstGeom prst="straightConnector1">
                                  <a:avLst/>
                                </a:prstGeom>
                                <a:noFill/>
                                <a:ln w="3175">
                                  <a:solidFill>
                                    <a:srgbClr val="000000"/>
                                  </a:solidFill>
                                  <a:round/>
                                  <a:headEnd type="triangle" w="med" len="med"/>
                                </a:ln>
                                <a:effectLst/>
                              </wps:spPr>
                              <wps:bodyPr/>
                            </wps:wsp>
                            <wps:wsp>
                              <wps:cNvPr id="91" name="AutoShape 122"/>
                              <wps:cNvCnPr>
                                <a:cxnSpLocks noChangeShapeType="1"/>
                              </wps:cNvCnPr>
                              <wps:spPr bwMode="auto">
                                <a:xfrm flipV="1">
                                  <a:off x="532130" y="817580"/>
                                  <a:ext cx="203200" cy="0"/>
                                </a:xfrm>
                                <a:prstGeom prst="straightConnector1">
                                  <a:avLst/>
                                </a:prstGeom>
                                <a:noFill/>
                                <a:ln w="3175">
                                  <a:solidFill>
                                    <a:srgbClr val="000000"/>
                                  </a:solidFill>
                                  <a:round/>
                                  <a:tailEnd type="triangle" w="med" len="med"/>
                                </a:ln>
                                <a:effectLst/>
                              </wps:spPr>
                              <wps:bodyPr/>
                            </wps:wsp>
                            <wps:wsp>
                              <wps:cNvPr id="92" name="AutoShape 122"/>
                              <wps:cNvCnPr>
                                <a:cxnSpLocks noChangeShapeType="1"/>
                              </wps:cNvCnPr>
                              <wps:spPr bwMode="auto">
                                <a:xfrm flipV="1">
                                  <a:off x="1341755" y="827109"/>
                                  <a:ext cx="203200" cy="0"/>
                                </a:xfrm>
                                <a:prstGeom prst="straightConnector1">
                                  <a:avLst/>
                                </a:prstGeom>
                                <a:noFill/>
                                <a:ln w="3175">
                                  <a:solidFill>
                                    <a:srgbClr val="000000"/>
                                  </a:solidFill>
                                  <a:round/>
                                  <a:tailEnd type="triangle" w="med" len="med"/>
                                </a:ln>
                                <a:effectLst/>
                              </wps:spPr>
                              <wps:bodyPr/>
                            </wps:wsp>
                            <wps:wsp>
                              <wps:cNvPr id="94" name="文本框 196"/>
                              <wps:cNvSpPr txBox="1">
                                <a:spLocks noChangeArrowheads="1"/>
                              </wps:cNvSpPr>
                              <wps:spPr bwMode="auto">
                                <a:xfrm>
                                  <a:off x="789305" y="723367"/>
                                  <a:ext cx="533400" cy="231498"/>
                                </a:xfrm>
                                <a:prstGeom prst="rect">
                                  <a:avLst/>
                                </a:prstGeom>
                                <a:solidFill>
                                  <a:srgbClr val="FFFFFF"/>
                                </a:solidFill>
                                <a:ln w="9525">
                                  <a:solidFill>
                                    <a:srgbClr val="000000"/>
                                  </a:solidFill>
                                  <a:miter lim="800000"/>
                                </a:ln>
                                <a:effectLst/>
                              </wps:spPr>
                              <wps:txbx>
                                <w:txbxContent>
                                  <w:p>
                                    <w:pPr>
                                      <w:jc w:val="center"/>
                                    </w:pPr>
                                    <w:r>
                                      <w:rPr>
                                        <w:rFonts w:hint="eastAsia"/>
                                      </w:rPr>
                                      <w:t>平切</w:t>
                                    </w:r>
                                  </w:p>
                                </w:txbxContent>
                              </wps:txbx>
                              <wps:bodyPr rot="0" vert="horz" wrap="square" lIns="91440" tIns="45720" rIns="91440" bIns="45720" anchor="t" anchorCtr="0" upright="1">
                                <a:noAutofit/>
                              </wps:bodyPr>
                            </wps:wsp>
                            <wps:wsp>
                              <wps:cNvPr id="190" name="文本框 197"/>
                              <wps:cNvSpPr txBox="1">
                                <a:spLocks noChangeArrowheads="1"/>
                              </wps:cNvSpPr>
                              <wps:spPr bwMode="auto">
                                <a:xfrm>
                                  <a:off x="1555115" y="717655"/>
                                  <a:ext cx="533400" cy="270054"/>
                                </a:xfrm>
                                <a:prstGeom prst="rect">
                                  <a:avLst/>
                                </a:prstGeom>
                                <a:solidFill>
                                  <a:srgbClr val="FFFFFF"/>
                                </a:solidFill>
                                <a:ln w="9525">
                                  <a:solidFill>
                                    <a:srgbClr val="000000"/>
                                  </a:solidFill>
                                  <a:miter lim="800000"/>
                                </a:ln>
                                <a:effectLst/>
                              </wps:spPr>
                              <wps:txbx>
                                <w:txbxContent>
                                  <w:p>
                                    <w:pPr>
                                      <w:jc w:val="center"/>
                                    </w:pPr>
                                    <w:r>
                                      <w:rPr>
                                        <w:rFonts w:hint="eastAsia"/>
                                      </w:rPr>
                                      <w:t>贴合</w:t>
                                    </w:r>
                                  </w:p>
                                </w:txbxContent>
                              </wps:txbx>
                              <wps:bodyPr rot="0" vert="horz" wrap="square" lIns="91440" tIns="45720" rIns="91440" bIns="45720" anchor="t" anchorCtr="0" upright="1">
                                <a:noAutofit/>
                              </wps:bodyPr>
                            </wps:wsp>
                            <wps:wsp>
                              <wps:cNvPr id="191" name="文本框 198"/>
                              <wps:cNvSpPr txBox="1">
                                <a:spLocks noChangeArrowheads="1"/>
                              </wps:cNvSpPr>
                              <wps:spPr bwMode="auto">
                                <a:xfrm>
                                  <a:off x="1108710" y="1243205"/>
                                  <a:ext cx="1629410" cy="463675"/>
                                </a:xfrm>
                                <a:prstGeom prst="rect">
                                  <a:avLst/>
                                </a:prstGeom>
                                <a:noFill/>
                                <a:ln w="9525">
                                  <a:noFill/>
                                  <a:miter lim="800000"/>
                                </a:ln>
                                <a:effectLst/>
                              </wps:spPr>
                              <wps:txbx>
                                <w:txbxContent>
                                  <w:p>
                                    <w:pPr>
                                      <w:jc w:val="center"/>
                                    </w:pPr>
                                    <w:r>
                                      <w:t>胶水</w:t>
                                    </w:r>
                                    <w:r>
                                      <w:rPr>
                                        <w:rFonts w:hint="eastAsia"/>
                                      </w:rPr>
                                      <w:t>+EVA</w:t>
                                    </w:r>
                                    <w:r>
                                      <w:t>+</w:t>
                                    </w:r>
                                    <w:r>
                                      <w:rPr>
                                        <w:rFonts w:hint="eastAsia"/>
                                      </w:rPr>
                                      <w:t>尼龙</w:t>
                                    </w:r>
                                    <w:r>
                                      <w:t>布料</w:t>
                                    </w:r>
                                    <w:r>
                                      <w:rPr>
                                        <w:rFonts w:hint="eastAsia"/>
                                      </w:rPr>
                                      <w:t>、热熔胶</w:t>
                                    </w:r>
                                  </w:p>
                                </w:txbxContent>
                              </wps:txbx>
                              <wps:bodyPr rot="0" vert="horz" wrap="square" lIns="91440" tIns="45720" rIns="91440" bIns="45720" anchor="t" anchorCtr="0" upright="1">
                                <a:noAutofit/>
                              </wps:bodyPr>
                            </wps:wsp>
                            <wps:wsp>
                              <wps:cNvPr id="192" name="AutoShape 126"/>
                              <wps:cNvSpPr>
                                <a:spLocks noChangeArrowheads="1"/>
                              </wps:cNvSpPr>
                              <wps:spPr bwMode="auto">
                                <a:xfrm>
                                  <a:off x="827405" y="160721"/>
                                  <a:ext cx="419100"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193" name="AutoShape 126"/>
                              <wps:cNvSpPr>
                                <a:spLocks noChangeArrowheads="1"/>
                              </wps:cNvSpPr>
                              <wps:spPr bwMode="auto">
                                <a:xfrm>
                                  <a:off x="2434590" y="188403"/>
                                  <a:ext cx="419100" cy="266809"/>
                                </a:xfrm>
                                <a:prstGeom prst="flowChartProcess">
                                  <a:avLst/>
                                </a:prstGeom>
                                <a:solidFill>
                                  <a:srgbClr val="FFFFFF"/>
                                </a:solidFill>
                                <a:ln w="9525">
                                  <a:solidFill>
                                    <a:srgbClr val="000000"/>
                                  </a:solidFill>
                                  <a:prstDash val="dashDot"/>
                                  <a:miter lim="800000"/>
                                </a:ln>
                                <a:effectLst/>
                              </wps:spPr>
                              <wps:txbx>
                                <w:txbxContent>
                                  <w:p>
                                    <w:pPr>
                                      <w:jc w:val="center"/>
                                    </w:pPr>
                                    <w:r>
                                      <w:rPr>
                                        <w:rFonts w:hint="eastAsia"/>
                                      </w:rPr>
                                      <w:t>N、S</w:t>
                                    </w:r>
                                    <w:r>
                                      <w:rPr>
                                        <w:rFonts w:hint="eastAsia"/>
                                        <w:vertAlign w:val="subscript"/>
                                      </w:rPr>
                                      <w:t>1</w:t>
                                    </w:r>
                                  </w:p>
                                </w:txbxContent>
                              </wps:txbx>
                              <wps:bodyPr rot="0" vert="horz" wrap="square" lIns="0" tIns="45720" rIns="0" bIns="45720" anchor="t" anchorCtr="0" upright="1">
                                <a:noAutofit/>
                              </wps:bodyPr>
                            </wps:wsp>
                            <wps:wsp>
                              <wps:cNvPr id="194" name="AutoShape 125"/>
                              <wps:cNvCnPr>
                                <a:cxnSpLocks noChangeShapeType="1"/>
                              </wps:cNvCnPr>
                              <wps:spPr bwMode="auto">
                                <a:xfrm flipV="1">
                                  <a:off x="1017905" y="437059"/>
                                  <a:ext cx="0" cy="241399"/>
                                </a:xfrm>
                                <a:prstGeom prst="straightConnector1">
                                  <a:avLst/>
                                </a:prstGeom>
                                <a:noFill/>
                                <a:ln w="9525">
                                  <a:solidFill>
                                    <a:srgbClr val="000000"/>
                                  </a:solidFill>
                                  <a:prstDash val="dash"/>
                                  <a:round/>
                                  <a:tailEnd type="triangle" w="med" len="med"/>
                                </a:ln>
                                <a:effectLst/>
                              </wps:spPr>
                              <wps:bodyPr/>
                            </wps:wsp>
                            <wps:wsp>
                              <wps:cNvPr id="198" name="AutoShape 125"/>
                              <wps:cNvCnPr>
                                <a:cxnSpLocks noChangeShapeType="1"/>
                              </wps:cNvCnPr>
                              <wps:spPr bwMode="auto">
                                <a:xfrm flipV="1">
                                  <a:off x="2600960" y="445382"/>
                                  <a:ext cx="0" cy="241399"/>
                                </a:xfrm>
                                <a:prstGeom prst="straightConnector1">
                                  <a:avLst/>
                                </a:prstGeom>
                                <a:noFill/>
                                <a:ln w="9525">
                                  <a:solidFill>
                                    <a:srgbClr val="000000"/>
                                  </a:solidFill>
                                  <a:prstDash val="dash"/>
                                  <a:round/>
                                  <a:tailEnd type="triangle" w="med" len="med"/>
                                </a:ln>
                                <a:effectLst/>
                              </wps:spPr>
                              <wps:bodyPr/>
                            </wps:wsp>
                            <wps:wsp>
                              <wps:cNvPr id="199" name="AutoShape 124"/>
                              <wps:cNvSpPr>
                                <a:spLocks noChangeArrowheads="1"/>
                              </wps:cNvSpPr>
                              <wps:spPr bwMode="auto">
                                <a:xfrm>
                                  <a:off x="3056255" y="680129"/>
                                  <a:ext cx="791846" cy="295275"/>
                                </a:xfrm>
                                <a:prstGeom prst="flowChartProcess">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激光开槽</w:t>
                                    </w:r>
                                  </w:p>
                                </w:txbxContent>
                              </wps:txbx>
                              <wps:bodyPr rot="0" vert="horz" wrap="square" lIns="0" tIns="45720" rIns="0" bIns="45720" anchor="t" anchorCtr="0" upright="1">
                                <a:noAutofit/>
                              </wps:bodyPr>
                            </wps:wsp>
                            <wps:wsp>
                              <wps:cNvPr id="202" name="AutoShape 122"/>
                              <wps:cNvCnPr>
                                <a:cxnSpLocks noChangeShapeType="1"/>
                              </wps:cNvCnPr>
                              <wps:spPr bwMode="auto">
                                <a:xfrm>
                                  <a:off x="4567556" y="827109"/>
                                  <a:ext cx="236855" cy="635"/>
                                </a:xfrm>
                                <a:prstGeom prst="straightConnector1">
                                  <a:avLst/>
                                </a:prstGeom>
                                <a:noFill/>
                                <a:ln w="3175">
                                  <a:solidFill>
                                    <a:srgbClr val="000000"/>
                                  </a:solidFill>
                                  <a:round/>
                                  <a:tailEnd type="triangle" w="med" len="med"/>
                                </a:ln>
                                <a:effectLst/>
                              </wps:spPr>
                              <wps:bodyPr/>
                            </wps:wsp>
                            <wps:wsp>
                              <wps:cNvPr id="205" name="AutoShape 126"/>
                              <wps:cNvSpPr>
                                <a:spLocks noChangeArrowheads="1"/>
                              </wps:cNvSpPr>
                              <wps:spPr bwMode="auto">
                                <a:xfrm>
                                  <a:off x="4146551" y="180770"/>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wps:txbx>
                              <wps:bodyPr rot="0" vert="horz" wrap="square" lIns="0" tIns="45720" rIns="0" bIns="45720" anchor="t" anchorCtr="0" upright="1">
                                <a:noAutofit/>
                              </wps:bodyPr>
                            </wps:wsp>
                            <wps:wsp>
                              <wps:cNvPr id="220" name="AutoShape 125"/>
                              <wps:cNvCnPr>
                                <a:cxnSpLocks noChangeShapeType="1"/>
                              </wps:cNvCnPr>
                              <wps:spPr bwMode="auto">
                                <a:xfrm flipV="1">
                                  <a:off x="5393350" y="423083"/>
                                  <a:ext cx="0" cy="241300"/>
                                </a:xfrm>
                                <a:prstGeom prst="straightConnector1">
                                  <a:avLst/>
                                </a:prstGeom>
                                <a:noFill/>
                                <a:ln w="9525">
                                  <a:solidFill>
                                    <a:srgbClr val="000000"/>
                                  </a:solidFill>
                                  <a:prstDash val="dash"/>
                                  <a:round/>
                                  <a:tailEnd type="triangle" w="med" len="med"/>
                                </a:ln>
                                <a:effectLst/>
                              </wps:spPr>
                              <wps:bodyPr/>
                            </wps:wsp>
                            <wps:wsp>
                              <wps:cNvPr id="225" name="AutoShape 126"/>
                              <wps:cNvSpPr>
                                <a:spLocks noChangeArrowheads="1"/>
                              </wps:cNvSpPr>
                              <wps:spPr bwMode="auto">
                                <a:xfrm>
                                  <a:off x="5158105" y="185684"/>
                                  <a:ext cx="421005" cy="236316"/>
                                </a:xfrm>
                                <a:prstGeom prst="flowChartProcess">
                                  <a:avLst/>
                                </a:prstGeom>
                                <a:solidFill>
                                  <a:srgbClr val="FFFFFF"/>
                                </a:solidFill>
                                <a:ln w="9525">
                                  <a:solidFill>
                                    <a:srgbClr val="000000"/>
                                  </a:solidFill>
                                  <a:prstDash val="dashDot"/>
                                  <a:miter lim="800000"/>
                                </a:ln>
                                <a:effectLst/>
                              </wps:spPr>
                              <wps:txbx>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4</w:t>
                                    </w:r>
                                  </w:p>
                                </w:txbxContent>
                              </wps:txbx>
                              <wps:bodyPr rot="0" vert="horz" wrap="square" lIns="0" tIns="45720" rIns="0" bIns="45720" anchor="t" anchorCtr="0" upright="1">
                                <a:noAutofit/>
                              </wps:bodyPr>
                            </wps:wsp>
                            <wps:wsp>
                              <wps:cNvPr id="232" name="文本框 232"/>
                              <wps:cNvSpPr txBox="1"/>
                              <wps:spPr>
                                <a:xfrm>
                                  <a:off x="3754755" y="1630680"/>
                                  <a:ext cx="1998345" cy="769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90.2pt;width:461.7pt;" coordsize="5863590,2415540" editas="canvas" o:gfxdata="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">
                      <o:lock v:ext="edit" aspectratio="f"/>
                      <v:shape id="_x0000_s1026" o:spid="_x0000_s1026" style="position:absolute;left:0;top:0;height:2415540;width:5863590;" fillcolor="#FFFFFF" filled="t" stroked="f" coordsize="21600,21600" o:gfxdata="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">
                        <v:fill on="t" focussize="0,0"/>
                        <v:stroke on="f"/>
                        <v:imagedata o:title=""/>
                        <o:lock v:ext="edit" aspectratio="t"/>
                      </v:shape>
                      <v:shape id="AutoShape 121" o:spid="_x0000_s1026" o:spt="109" type="#_x0000_t109" style="position:absolute;left:0;top:672741;height:322712;width:741680;" fillcolor="#FFFFFF" filled="t" stroked="f" coordsize="21600,21600" o:gfxdata="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umIFPUAAAA&#10;BQEAAA8AAAAAAAAAAQAgAAAAIgAAAGRycy9kb3ducmV2LnhtbFBLAQIUABQAAAAIAIdO4kA5qXns&#10;IQIAAE0EAAAOAAAAAAAAAAEAIAAAACMBAABkcnMvZTJvRG9jLnhtbFBLBQYAAAAABgAGAFkBAAC2&#10;BQAAAAA=&#10;">
                        <v:fill on="t" focussize="0,0"/>
                        <v:stroke on="f"/>
                        <v:imagedata o:title=""/>
                        <o:lock v:ext="edit" aspectratio="f"/>
                        <v:textbox inset="0mm,1.27mm,0mm,1.27mm">
                          <w:txbxContent>
                            <w:p>
                              <w:pPr>
                                <w:jc w:val="center"/>
                                <w:rPr>
                                  <w:rFonts w:ascii="宋体" w:hAnsi="宋体"/>
                                  <w:szCs w:val="21"/>
                                </w:rPr>
                              </w:pPr>
                              <w:r>
                                <w:rPr>
                                  <w:rFonts w:hint="eastAsia" w:ascii="宋体" w:hAnsi="宋体"/>
                                  <w:szCs w:val="21"/>
                                </w:rPr>
                                <w:t>海绵</w:t>
                              </w:r>
                            </w:p>
                          </w:txbxContent>
                        </v:textbox>
                      </v:shape>
                      <v:shape id="AutoShape 122" o:spid="_x0000_s1026" o:spt="32" type="#_x0000_t32" style="position:absolute;left:2103755;top:826179;flip:y;height:635;width:20574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CgcD1wAAAAUBAAAPAAAAAAAAAAEAIAAAACIA&#10;AABkcnMvZG93bnJldi54bWxQSwECFAAUAAAACACHTuJAl+syiwoCAAAHBAAADgAAAAAAAAABACAA&#10;AAAmAQAAZHJzL2Uyb0RvYy54bWxQSwUGAAAAAAYABgBZAQAAogUAAAAA&#10;">
                        <v:fill on="f" focussize="0,0"/>
                        <v:stroke weight="0.25pt" color="#000000" joinstyle="round" endarrow="block"/>
                        <v:imagedata o:title=""/>
                        <o:lock v:ext="edit" aspectratio="f"/>
                      </v:shape>
                      <v:shape id="AutoShape 124" o:spid="_x0000_s1026" o:spt="109" type="#_x0000_t109" style="position:absolute;left:4084956;top:675282;height:295396;width:48260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ePYWbXAAAABQEAAA8AAAAAAAAAAQAgAAAAIgAA&#10;AGRycy9kb3ducmV2LnhtbFBLAQIUABQAAAAIAIdO4kB+eLgRQgIAAJwEAAAOAAAAAAAAAAEAIAAA&#10;ACYBAABkcnMvZTJvRG9jLnhtbFBLBQYAAAAABgAGAFkBAADaBQAAAAA=&#10;">
                        <v:fill on="t" focussize="0,0"/>
                        <v:stroke color="#000000" miterlimit="8" joinstyle="miter"/>
                        <v:imagedata o:title=""/>
                        <o:lock v:ext="edit" aspectratio="f"/>
                        <v:textbox inset="0mm,1.27mm,0mm,1.27mm">
                          <w:txbxContent>
                            <w:p>
                              <w:pPr>
                                <w:jc w:val="center"/>
                              </w:pPr>
                              <w:r>
                                <w:rPr>
                                  <w:rFonts w:hint="eastAsia"/>
                                </w:rPr>
                                <w:t>检验</w:t>
                              </w:r>
                            </w:p>
                          </w:txbxContent>
                        </v:textbox>
                      </v:shape>
                      <v:shape id="AutoShape 124" o:spid="_x0000_s1026" o:spt="109" type="#_x0000_t109" style="position:absolute;left:4812030;top:686781;height:275703;width:767080;"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ePYWbXAAAABQEAAA8AAAAAAAAAAQAgAAAAIgAA&#10;AGRycy9kb3ducmV2LnhtbFBLAQIUABQAAAAIAIdO4kDd12iiQgIAAJwEAAAOAAAAAAAAAAEAIAAA&#10;ACYBAABkcnMvZTJvRG9jLnhtbFBLBQYAAAAABgAGAFkBAADaBQAAAAA=&#10;">
                        <v:fill on="t" focussize="0,0"/>
                        <v:stroke color="#000000" miterlimit="8" joinstyle="miter"/>
                        <v:imagedata o:title=""/>
                        <o:lock v:ext="edit" aspectratio="f"/>
                        <v:textbox inset="0mm,1.27mm,0mm,1.27mm">
                          <w:txbxContent>
                            <w:p>
                              <w:pPr>
                                <w:jc w:val="center"/>
                              </w:pPr>
                              <w:r>
                                <w:rPr>
                                  <w:rFonts w:hint="eastAsia"/>
                                </w:rPr>
                                <w:t>包装出货</w:t>
                              </w:r>
                            </w:p>
                          </w:txbxContent>
                        </v:textbox>
                      </v:shape>
                      <v:shape id="AutoShape 122" o:spid="_x0000_s1026" o:spt="32" type="#_x0000_t32" style="position:absolute;left:3848101;top:813843;height:635;width:236855;" filled="f" stroked="t" coordsize="21600,21600" o:gfxdata="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p5mOtUAAAAFAQAADwAAAAAAAAABACAAAAAiAAAAZHJzL2Rv&#10;d25yZXYueG1sUEsBAhQAFAAAAAgAh07iQMC/LscEAgAA/QMAAA4AAAAAAAAAAQAgAAAAJAEAAGRy&#10;cy9lMm9Eb2MueG1sUEsFBgAAAAAGAAYAWQEAAJoFAAAAAA==&#10;">
                        <v:fill on="f" focussize="0,0"/>
                        <v:stroke weight="0.25pt" color="#000000" joinstyle="round" endarrow="block"/>
                        <v:imagedata o:title=""/>
                        <o:lock v:ext="edit" aspectratio="f"/>
                      </v:shape>
                      <v:shape id="AutoShape 125" o:spid="_x0000_s1026" o:spt="32" type="#_x0000_t32" style="position:absolute;left:3441065;top:444111;flip:y;height:242670;width:635;"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0XOy0gAAAAUBAAAPAAAAAAAAAAEAIAAA&#10;ACIAAABkcnMvZG93bnJldi54bWxQSwECFAAUAAAACACHTuJAeuu+6RICAAAf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3282950;top:163634;height:275703;width:421005;" filled="f" stroked="t" coordsize="21600,21600" o:gfxdata="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z9W1XTAAAABQEAAA8AAAAAAAAAAQAgAAAA&#10;IgAAAGRycy9kb3ducmV2LnhtbFBLAQIUABQAAAAIAIdO4kASH7T0SQIAAI4EAAAOAAAAAAAAAAEA&#10;IAAAACIBAABkcnMvZTJvRG9jLnhtbFBLBQYAAAAABgAGAFkBAADdBQAAAAA=&#10;">
                        <v:fill on="f"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2" o:spid="_x0000_s1026" o:spt="32" type="#_x0000_t32" style="position:absolute;left:2853690;top:814478;flip:y;height:635;width:20574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KBwPXAAAABQEAAA8AAAAAAAAAAQAgAAAAIgAA&#10;AGRycy9kb3ducmV2LnhtbFBLAQIUABQAAAAIAIdO4kBlXKMOCQIAAAcEAAAOAAAAAAAAAAEAIAAA&#10;ACYBAABkcnMvZTJvRG9jLnhtbFBLBQYAAAAABgAGAFkBAAChBQAAAAA=&#10;">
                        <v:fill on="f" focussize="0,0"/>
                        <v:stroke weight="0.25pt" color="#000000" joinstyle="round" endarrow="block"/>
                        <v:imagedata o:title=""/>
                        <o:lock v:ext="edit" aspectratio="f"/>
                      </v:shape>
                      <v:shape id="文本框 13" o:spid="_x0000_s1026" o:spt="202" type="#_x0000_t202" style="position:absolute;left:2309495;top:682326;height:273797;width:544195;"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J5eCmlUAgAA&#10;oQ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裁切</w:t>
                              </w:r>
                            </w:p>
                          </w:txbxContent>
                        </v:textbox>
                      </v:shape>
                      <v:shape id="AutoShape 125" o:spid="_x0000_s1026" o:spt="32" type="#_x0000_t32" style="position:absolute;left:1845310;top:437059;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NFzstIAAAAFAQAADwAAAAAAAAABACAAAAAi&#10;AAAAZHJzL2Rvd25yZXYueG1sUEsBAhQAFAAAAAgAh07iQDK5/wQQAgAAHQQAAA4AAAAAAAAAAQAg&#10;AAAAIQEAAGRycy9lMm9Eb2MueG1sUEsFBgAAAAAGAAYAWQEAAKMFAAAAAA==&#10;">
                        <v:fill on="f" focussize="0,0"/>
                        <v:stroke color="#000000" joinstyle="round" dashstyle="dash" endarrow="block"/>
                        <v:imagedata o:title=""/>
                        <o:lock v:ext="edit" aspectratio="f"/>
                      </v:shape>
                      <v:shape id="AutoShape 126" o:spid="_x0000_s1026" o:spt="109" type="#_x0000_t109" style="position:absolute;left:1544954;top:161356;height:261727;width:6877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m8MedUAAAAFAQAADwAAAAAA&#10;AAABACAAAAAiAAAAZHJzL2Rvd25yZXYueG1sUEsBAhQAFAAAAAgAh07iQP0uC1VPAgAAtwQAAA4A&#10;AAAAAAAAAQAgAAAAJAEAAGRycy9lMm9Eb2MueG1sUEsFBgAAAAAGAAYAWQEAAOUFAAAAAA==&#10;">
                        <v:fill on="t" focussize="0,0"/>
                        <v:stroke color="#000000" miterlimit="8" joinstyle="miter" dashstyle="dashDot"/>
                        <v:imagedata o:title=""/>
                        <o:lock v:ext="edit" aspectratio="f"/>
                        <v:textbox inset="0mm,1.27mm,0mm,1.27mm">
                          <w:txbxContent>
                            <w:p>
                              <w:pPr>
                                <w:jc w:val="center"/>
                              </w:pPr>
                              <w:r>
                                <w:t>N</w:t>
                              </w:r>
                              <w:r>
                                <w:rPr>
                                  <w:rFonts w:hint="eastAsia"/>
                                </w:rPr>
                                <w:t>、G</w:t>
                              </w:r>
                              <w:r>
                                <w:rPr>
                                  <w:rFonts w:hint="eastAsia"/>
                                  <w:vertAlign w:val="subscript"/>
                                </w:rPr>
                                <w:t>1</w:t>
                              </w:r>
                              <w:r>
                                <w:rPr>
                                  <w:rFonts w:hint="eastAsia"/>
                                </w:rPr>
                                <w:t>、S</w:t>
                              </w:r>
                              <w:r>
                                <w:rPr>
                                  <w:rFonts w:hint="eastAsia"/>
                                  <w:vertAlign w:val="subscript"/>
                                </w:rPr>
                                <w:t>2</w:t>
                              </w:r>
                            </w:p>
                            <w:p>
                              <w:r>
                                <w:rPr>
                                  <w:rFonts w:hint="eastAsia"/>
                                </w:rPr>
                                <w:t>2</w:t>
                              </w:r>
                            </w:p>
                          </w:txbxContent>
                        </v:textbox>
                      </v:shape>
                      <v:shape id="AutoShape 125" o:spid="_x0000_s1026" o:spt="32" type="#_x0000_t32" style="position:absolute;left:4356735;top:422000;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TRc7LSAAAABQEAAA8AAAAAAAAAAQAgAAAA&#10;IgAAAGRycy9kb3ducmV2LnhtbFBLAQIUABQAAAAIAIdO4kCaabDuEQIAAB0EAAAOAAAAAAAAAAEA&#10;IAAAACEBAABkcnMvZTJvRG9jLnhtbFBLBQYAAAAABgAGAFkBAACkBQAAAAA=&#10;">
                        <v:fill on="f" focussize="0,0"/>
                        <v:stroke color="#000000" joinstyle="round" dashstyle="dash" endarrow="block"/>
                        <v:imagedata o:title=""/>
                        <o:lock v:ext="edit" aspectratio="f"/>
                      </v:shape>
                      <v:shape id="AutoShape 122" o:spid="_x0000_s1026" o:spt="32" type="#_x0000_t32" style="position:absolute;left:1831975;top:989101;flip:x;height:254104;width:5080;" filled="f" stroked="t" coordsize="21600,21600" o:gfxdata="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zCcadkAAAAFAQAADwAAAAAAAAABACAAAAAi&#10;AAAAZHJzL2Rvd25yZXYueG1sUEsBAhQAFAAAAAgAh07iQJaMCzIJAgAACAQAAA4AAAAAAAAAAQAg&#10;AAAAKAEAAGRycy9lMm9Eb2MueG1sUEsFBgAAAAAGAAYAWQEAAKMFAAAAAA==&#10;">
                        <v:fill on="f" focussize="0,0"/>
                        <v:stroke weight="0.25pt" color="#000000" joinstyle="round" startarrow="block"/>
                        <v:imagedata o:title=""/>
                        <o:lock v:ext="edit" aspectratio="f"/>
                      </v:shape>
                      <v:shape id="AutoShape 122" o:spid="_x0000_s1026" o:spt="32" type="#_x0000_t32" style="position:absolute;left:532130;top:817580;flip:y;height:0;width:20320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IKBwPXAAAABQEAAA8AAAAAAAAAAQAgAAAAIgAAAGRy&#10;cy9kb3ducmV2LnhtbFBLAQIUABQAAAAIAIdO4kDnHidtBgIAAAQEAAAOAAAAAAAAAAEAIAAAACYB&#10;AABkcnMvZTJvRG9jLnhtbFBLBQYAAAAABgAGAFkBAACeBQAAAAA=&#10;">
                        <v:fill on="f" focussize="0,0"/>
                        <v:stroke weight="0.25pt" color="#000000" joinstyle="round" endarrow="block"/>
                        <v:imagedata o:title=""/>
                        <o:lock v:ext="edit" aspectratio="f"/>
                      </v:shape>
                      <v:shape id="AutoShape 122" o:spid="_x0000_s1026" o:spt="32" type="#_x0000_t32" style="position:absolute;left:1341755;top:827109;flip:y;height:0;width:203200;" filled="f" stroked="t" coordsize="21600,21600" o:gfxdata="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goHA9cAAAAFAQAADwAAAAAAAAABACAAAAAiAAAA&#10;ZHJzL2Rvd25yZXYueG1sUEsBAhQAFAAAAAgAh07iQBHTtXwIAgAABQQAAA4AAAAAAAAAAQAgAAAA&#10;JgEAAGRycy9lMm9Eb2MueG1sUEsFBgAAAAAGAAYAWQEAAKAFAAAAAA==&#10;">
                        <v:fill on="f" focussize="0,0"/>
                        <v:stroke weight="0.25pt" color="#000000" joinstyle="round" endarrow="block"/>
                        <v:imagedata o:title=""/>
                        <o:lock v:ext="edit" aspectratio="f"/>
                      </v:shape>
                      <v:shape id="文本框 196" o:spid="_x0000_s1026" o:spt="202" type="#_x0000_t202" style="position:absolute;left:789305;top:723367;height:231498;width:533400;"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PVb0aJUAgAA&#10;oQ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平切</w:t>
                              </w:r>
                            </w:p>
                          </w:txbxContent>
                        </v:textbox>
                      </v:shape>
                      <v:shape id="文本框 197" o:spid="_x0000_s1026" o:spt="202" type="#_x0000_t202" style="position:absolute;left:1555115;top:717655;height:270054;width:533400;" fillcolor="#FFFFFF" filled="t" stroked="t" coordsize="21600,21600" o:gfxdata="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2jSMdYAAAAFAQAA&#10;DwAAAAAAAAABACAAAAAiAAAAZHJzL2Rvd25yZXYueG1sUEsBAhQAFAAAAAgAh07iQLK9GI5UAgAA&#10;owQAAA4AAAAAAAAAAQAgAAAAJQEAAGRycy9lMm9Eb2MueG1sUEsFBgAAAAAGAAYAWQEAAOsFAAAA&#10;AA==&#10;">
                        <v:fill on="t" focussize="0,0"/>
                        <v:stroke color="#000000" miterlimit="8" joinstyle="miter"/>
                        <v:imagedata o:title=""/>
                        <o:lock v:ext="edit" aspectratio="f"/>
                        <v:textbox>
                          <w:txbxContent>
                            <w:p>
                              <w:pPr>
                                <w:jc w:val="center"/>
                              </w:pPr>
                              <w:r>
                                <w:rPr>
                                  <w:rFonts w:hint="eastAsia"/>
                                </w:rPr>
                                <w:t>贴合</w:t>
                              </w:r>
                            </w:p>
                          </w:txbxContent>
                        </v:textbox>
                      </v:shape>
                      <v:shape id="文本框 198" o:spid="_x0000_s1026" o:spt="202" type="#_x0000_t202" style="position:absolute;left:1108710;top:1243205;height:463675;width:1629410;" filled="f" stroked="f" coordsize="21600,21600" o:gfxdata="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FuOjNQAAAAFAQAADwAAAAAAAAABACAAAAAiAAAAZHJzL2Rv&#10;d25yZXYueG1sUEsBAhQAFAAAAAgAh07iQFkWGaQ+AgAAUwQAAA4AAAAAAAAAAQAgAAAAIwEAAGRy&#10;cy9lMm9Eb2MueG1sUEsFBgAAAAAGAAYAWQEAANMFAAAAAA==&#10;">
                        <v:fill on="f" focussize="0,0"/>
                        <v:stroke on="f" miterlimit="8" joinstyle="miter"/>
                        <v:imagedata o:title=""/>
                        <o:lock v:ext="edit" aspectratio="f"/>
                        <v:textbox>
                          <w:txbxContent>
                            <w:p>
                              <w:pPr>
                                <w:jc w:val="center"/>
                              </w:pPr>
                              <w:r>
                                <w:t>胶水</w:t>
                              </w:r>
                              <w:r>
                                <w:rPr>
                                  <w:rFonts w:hint="eastAsia"/>
                                </w:rPr>
                                <w:t>+EVA</w:t>
                              </w:r>
                              <w:r>
                                <w:t>+</w:t>
                              </w:r>
                              <w:r>
                                <w:rPr>
                                  <w:rFonts w:hint="eastAsia"/>
                                </w:rPr>
                                <w:t>尼龙</w:t>
                              </w:r>
                              <w:r>
                                <w:t>布料</w:t>
                              </w:r>
                              <w:r>
                                <w:rPr>
                                  <w:rFonts w:hint="eastAsia"/>
                                </w:rPr>
                                <w:t>、热熔胶</w:t>
                              </w:r>
                            </w:p>
                          </w:txbxContent>
                        </v:textbox>
                      </v:shape>
                      <v:shape id="AutoShape 126" o:spid="_x0000_s1026" o:spt="109" type="#_x0000_t109" style="position:absolute;left:827405;top:160721;height:266809;width:419100;"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qbwx51QAAAAUBAAAPAAAAAAAA&#10;AAEAIAAAACIAAABkcnMvZG93bnJldi54bWxQSwECFAAUAAAACACHTuJABVqgJ04CAAC3BAAADgAA&#10;AAAAAAABACAAAAAkAQAAZHJzL2Uyb0RvYy54bWxQSwUGAAAAAAYABgBZAQAA5AUAAAAA&#10;">
                        <v:fill on="t"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6" o:spid="_x0000_s1026" o:spt="109" type="#_x0000_t109" style="position:absolute;left:2434590;top:188403;height:266809;width:419100;"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m8MedUAAAAFAQAADwAAAAAA&#10;AAABACAAAAAiAAAAZHJzL2Rvd25yZXYueG1sUEsBAhQAFAAAAAgAh07iQGlztjRPAgAAuAQAAA4A&#10;AAAAAAAAAQAgAAAAJAEAAGRycy9lMm9Eb2MueG1sUEsFBgAAAAAGAAYAWQEAAOUFAAAAAA==&#10;">
                        <v:fill on="t" focussize="0,0"/>
                        <v:stroke color="#000000" miterlimit="8" joinstyle="miter" dashstyle="dashDot"/>
                        <v:imagedata o:title=""/>
                        <o:lock v:ext="edit" aspectratio="f"/>
                        <v:textbox inset="0mm,1.27mm,0mm,1.27mm">
                          <w:txbxContent>
                            <w:p>
                              <w:pPr>
                                <w:jc w:val="center"/>
                              </w:pPr>
                              <w:r>
                                <w:rPr>
                                  <w:rFonts w:hint="eastAsia"/>
                                </w:rPr>
                                <w:t>N、S</w:t>
                              </w:r>
                              <w:r>
                                <w:rPr>
                                  <w:rFonts w:hint="eastAsia"/>
                                  <w:vertAlign w:val="subscript"/>
                                </w:rPr>
                                <w:t>1</w:t>
                              </w:r>
                            </w:p>
                          </w:txbxContent>
                        </v:textbox>
                      </v:shape>
                      <v:shape id="AutoShape 125" o:spid="_x0000_s1026" o:spt="32" type="#_x0000_t32" style="position:absolute;left:1017905;top:437059;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0XOy0gAAAAUBAAAPAAAAAAAAAAEAIAAA&#10;ACIAAABkcnMvZG93bnJldi54bWxQSwECFAAUAAAACACHTuJAWtfFpBICAAAeBAAADgAAAAAAAAAB&#10;ACAAAAAhAQAAZHJzL2Uyb0RvYy54bWxQSwUGAAAAAAYABgBZAQAApQUAAAAA&#10;">
                        <v:fill on="f" focussize="0,0"/>
                        <v:stroke color="#000000" joinstyle="round" dashstyle="dash" endarrow="block"/>
                        <v:imagedata o:title=""/>
                        <o:lock v:ext="edit" aspectratio="f"/>
                      </v:shape>
                      <v:shape id="AutoShape 125" o:spid="_x0000_s1026" o:spt="32" type="#_x0000_t32" style="position:absolute;left:2600960;top:445382;flip:y;height:241399;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NFzstIAAAAFAQAADwAAAAAAAAABACAA&#10;AAAiAAAAZHJzL2Rvd25yZXYueG1sUEsBAhQAFAAAAAgAh07iQCXPgJgTAgAAHgQAAA4AAAAAAAAA&#10;AQAgAAAAIQEAAGRycy9lMm9Eb2MueG1sUEsFBgAAAAAGAAYAWQEAAKYFAAAAAA==&#10;">
                        <v:fill on="f" focussize="0,0"/>
                        <v:stroke color="#000000" joinstyle="round" dashstyle="dash" endarrow="block"/>
                        <v:imagedata o:title=""/>
                        <o:lock v:ext="edit" aspectratio="f"/>
                      </v:shape>
                      <v:shape id="AutoShape 124" o:spid="_x0000_s1026" o:spt="109" type="#_x0000_t109" style="position:absolute;left:3056255;top:680129;height:295275;width:791846;" fillcolor="#FFFFFF" filled="t" stroked="t" coordsize="21600,21600" o:gfxdata="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nj2Fm1wAAAAUBAAAPAAAAAAAAAAEAIAAAACIA&#10;AABkcnMvZG93bnJldi54bWxQSwECFAAUAAAACACHTuJA8y/sREMCAACdBAAADgAAAAAAAAABACAA&#10;AAAmAQAAZHJzL2Uyb0RvYy54bWxQSwUGAAAAAAYABgBZAQAA2wUAAAAA&#10;">
                        <v:fill on="t" focussize="0,0"/>
                        <v:stroke color="#000000" miterlimit="8" joinstyle="miter"/>
                        <v:imagedata o:title=""/>
                        <o:lock v:ext="edit" aspectratio="f"/>
                        <v:textbox inset="0mm,1.27mm,0mm,1.27mm">
                          <w:txbxContent>
                            <w:p>
                              <w:pPr>
                                <w:pStyle w:val="25"/>
                                <w:spacing w:before="0" w:beforeAutospacing="0" w:after="0" w:afterAutospacing="0"/>
                                <w:jc w:val="center"/>
                                <w:rPr>
                                  <w:szCs w:val="24"/>
                                </w:rPr>
                              </w:pPr>
                              <w:r>
                                <w:rPr>
                                  <w:rFonts w:hint="eastAsia" w:ascii="Times New Roman"/>
                                  <w:kern w:val="2"/>
                                  <w:sz w:val="21"/>
                                  <w:szCs w:val="21"/>
                                </w:rPr>
                                <w:t>激光开槽</w:t>
                              </w:r>
                            </w:p>
                          </w:txbxContent>
                        </v:textbox>
                      </v:shape>
                      <v:shape id="AutoShape 122" o:spid="_x0000_s1026" o:spt="32" type="#_x0000_t32" style="position:absolute;left:4567556;top:827109;height:635;width:236855;" filled="f" stroked="t" coordsize="21600,21600" o:gfxdata="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p5mOtUAAAAFAQAADwAAAAAAAAABACAAAAAiAAAAZHJz&#10;L2Rvd25yZXYueG1sUEsBAhQAFAAAAAgAh07iQJ1DmaIHAgAA/gMAAA4AAAAAAAAAAQAgAAAAJAEA&#10;AGRycy9lMm9Eb2MueG1sUEsFBgAAAAAGAAYAWQEAAJ0FAAAAAA==&#10;">
                        <v:fill on="f" focussize="0,0"/>
                        <v:stroke weight="0.25pt" color="#000000" joinstyle="round" endarrow="block"/>
                        <v:imagedata o:title=""/>
                        <o:lock v:ext="edit" aspectratio="f"/>
                      </v:shape>
                      <v:shape id="AutoShape 126" o:spid="_x0000_s1026" o:spt="109" type="#_x0000_t109" style="position:absolute;left:4146551;top:180770;height:236316;width:4210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m8MedUAAAAFAQAADwAAAAAA&#10;AAABACAAAAAiAAAAZHJzL2Rvd25yZXYueG1sUEsBAhQAFAAAAAgAh07iQIULoClPAgAAuAQAAA4A&#10;AAAAAAAAAQAgAAAAJAEAAGRycy9lMm9Eb2MueG1sUEsFBgAAAAAGAAYAWQEAAOUFA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3</w:t>
                              </w:r>
                            </w:p>
                          </w:txbxContent>
                        </v:textbox>
                      </v:shape>
                      <v:shape id="AutoShape 125" o:spid="_x0000_s1026" o:spt="32" type="#_x0000_t32" style="position:absolute;left:5393350;top:423083;flip:y;height:241300;width:0;" filled="f" stroked="t" coordsize="21600,21600" o:gfxdata="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0XOy0gAAAAUBAAAPAAAAAAAAAAEAIAAA&#10;ACIAAABkcnMvZG93bnJldi54bWxQSwECFAAUAAAACACHTuJAR9O7bhICAAAeBAAADgAAAAAAAAAB&#10;ACAAAAAhAQAAZHJzL2Uyb0RvYy54bWxQSwUGAAAAAAYABgBZAQAApQUAAAAA&#10;">
                        <v:fill on="f" focussize="0,0"/>
                        <v:stroke color="#000000" joinstyle="round" dashstyle="dash" endarrow="block"/>
                        <v:imagedata o:title=""/>
                        <o:lock v:ext="edit" aspectratio="f"/>
                      </v:shape>
                      <v:shape id="AutoShape 126" o:spid="_x0000_s1026" o:spt="109" type="#_x0000_t109" style="position:absolute;left:5158105;top:185684;height:236316;width:421005;" fillcolor="#FFFFFF" filled="t" stroked="t" coordsize="21600,21600" o:gfxdata="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bwx51QAAAAUBAAAPAAAAAAAAAAEA&#10;IAAAACIAAABkcnMvZG93bnJldi54bWxQSwECFAAUAAAACACHTuJA+ib7z0sCAAC4BAAADgAAAAAA&#10;AAABACAAAAAkAQAAZHJzL2Uyb0RvYy54bWxQSwUGAAAAAAYABgBZAQAA4QUAAAAA&#10;">
                        <v:fill on="t" focussize="0,0"/>
                        <v:stroke color="#000000" miterlimit="8" joinstyle="miter" dashstyle="dashDot"/>
                        <v:imagedata o:title=""/>
                        <o:lock v:ext="edit" aspectratio="f"/>
                        <v:textbox inset="0mm,1.27mm,0mm,1.27mm">
                          <w:txbxContent>
                            <w:p>
                              <w:pPr>
                                <w:pStyle w:val="25"/>
                                <w:spacing w:before="0" w:beforeAutospacing="0" w:after="0" w:afterAutospacing="0"/>
                                <w:jc w:val="center"/>
                                <w:rPr>
                                  <w:szCs w:val="24"/>
                                </w:rPr>
                              </w:pPr>
                              <w:r>
                                <w:rPr>
                                  <w:rFonts w:ascii="Times New Roman" w:hAnsi="Times New Roman"/>
                                  <w:kern w:val="2"/>
                                  <w:sz w:val="21"/>
                                  <w:szCs w:val="21"/>
                                </w:rPr>
                                <w:t>S</w:t>
                              </w:r>
                              <w:r>
                                <w:rPr>
                                  <w:rFonts w:ascii="Times New Roman" w:hAnsi="Times New Roman"/>
                                  <w:kern w:val="2"/>
                                  <w:sz w:val="21"/>
                                  <w:szCs w:val="21"/>
                                  <w:vertAlign w:val="subscript"/>
                                </w:rPr>
                                <w:t>4</w:t>
                              </w:r>
                            </w:p>
                          </w:txbxContent>
                        </v:textbox>
                      </v:shape>
                      <v:shape id="_x0000_s1026" o:spid="_x0000_s1026" o:spt="202" type="#_x0000_t202" style="position:absolute;left:3754755;top:1630680;height:769620;width:1998345;" fillcolor="#FFFFFF [3201]" filled="t" stroked="t" coordsize="21600,21600" o:gfxdata="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Dzb1tQAAAAFAQAADwAAAAAAAAABACAAAAAiAAAAZHJzL2Rvd25yZXYueG1s&#10;UEsBAhQAFAAAAAgAh07iQCMWBOluAgAA1QQAAA4AAAAAAAAAAQAgAAAAIwEAAGRycy9lMm9Eb2Mu&#10;eG1sUEsFBgAAAAAGAAYAWQEAAAMGAAAAAA==&#10;">
                        <v:fill on="t" focussize="0,0"/>
                        <v:stroke weight="0.5pt" color="#000000 [3204]" joinstyle="round"/>
                        <v:imagedata o:title=""/>
                        <o:lock v:ext="edit" aspectratio="f"/>
                        <v:textbox>
                          <w:txbxContent>
                            <w:p>
                              <w:r>
                                <w:rPr>
                                  <w:rFonts w:hint="eastAsia"/>
                                </w:rPr>
                                <w:t xml:space="preserve">N噪声   </w:t>
                              </w:r>
                              <w:r>
                                <w:t xml:space="preserve">      </w:t>
                              </w:r>
                              <w:r>
                                <w:rPr>
                                  <w:rFonts w:hint="eastAsia"/>
                                </w:rPr>
                                <w:t>S</w:t>
                              </w:r>
                              <w:r>
                                <w:t>4</w:t>
                              </w:r>
                              <w:r>
                                <w:rPr>
                                  <w:rFonts w:hint="eastAsia"/>
                                </w:rPr>
                                <w:t>废</w:t>
                              </w:r>
                              <w:r>
                                <w:t>包装材料</w:t>
                              </w:r>
                            </w:p>
                            <w:p>
                              <w:r>
                                <w:rPr>
                                  <w:rFonts w:hint="eastAsia"/>
                                </w:rPr>
                                <w:t>G1有机</w:t>
                              </w:r>
                              <w:r>
                                <w:t>废气</w:t>
                              </w:r>
                              <w:r>
                                <w:rPr>
                                  <w:rFonts w:hint="eastAsia"/>
                                </w:rPr>
                                <w:t xml:space="preserve">    S</w:t>
                              </w:r>
                              <w:r>
                                <w:t>3</w:t>
                              </w:r>
                              <w:r>
                                <w:rPr>
                                  <w:rFonts w:hint="eastAsia"/>
                                </w:rPr>
                                <w:t>废次品</w:t>
                              </w:r>
                            </w:p>
                            <w:p>
                              <w:r>
                                <w:t>S1</w:t>
                              </w:r>
                              <w:r>
                                <w:rPr>
                                  <w:rFonts w:hint="eastAsia"/>
                                </w:rPr>
                                <w:t xml:space="preserve">边角料 </w:t>
                              </w:r>
                            </w:p>
                            <w:p>
                              <w:r>
                                <w:t>S2</w:t>
                              </w:r>
                              <w:r>
                                <w:rPr>
                                  <w:rFonts w:hint="eastAsia"/>
                                </w:rPr>
                                <w:t>废</w:t>
                              </w:r>
                              <w:r>
                                <w:t>化学品包装桶</w:t>
                              </w:r>
                            </w:p>
                          </w:txbxContent>
                        </v:textbox>
                      </v:shape>
                      <w10:wrap type="none"/>
                      <w10:anchorlock/>
                    </v:group>
                  </w:pict>
                </mc:Fallback>
              </mc:AlternateContent>
            </w:r>
          </w:p>
          <w:p>
            <w:pPr>
              <w:pStyle w:val="43"/>
              <w:rPr>
                <w:rFonts w:ascii="Times New Roman" w:hAnsi="Times New Roman"/>
                <w:b/>
                <w:color w:val="auto"/>
              </w:rPr>
            </w:pPr>
            <w:r>
              <w:rPr>
                <w:rFonts w:ascii="Times New Roman" w:hAnsi="Times New Roman"/>
                <w:b/>
                <w:color w:val="auto"/>
                <w:sz w:val="21"/>
                <w:szCs w:val="21"/>
              </w:rPr>
              <w:t xml:space="preserve">图6 </w:t>
            </w:r>
            <w:r>
              <w:rPr>
                <w:rFonts w:hint="eastAsia" w:ascii="Times New Roman" w:hAnsi="Times New Roman"/>
                <w:b/>
                <w:color w:val="auto"/>
                <w:sz w:val="21"/>
                <w:szCs w:val="21"/>
              </w:rPr>
              <w:t>手机</w:t>
            </w:r>
            <w:r>
              <w:rPr>
                <w:rFonts w:ascii="Times New Roman" w:hAnsi="Times New Roman"/>
                <w:b/>
                <w:color w:val="auto"/>
                <w:sz w:val="21"/>
                <w:szCs w:val="21"/>
              </w:rPr>
              <w:t>抛光用海绵</w:t>
            </w:r>
            <w:r>
              <w:rPr>
                <w:rFonts w:hint="eastAsia" w:ascii="Times New Roman" w:hAnsi="Times New Roman"/>
                <w:b/>
                <w:color w:val="auto"/>
                <w:sz w:val="21"/>
                <w:szCs w:val="21"/>
              </w:rPr>
              <w:t>扫光盘</w:t>
            </w:r>
            <w:r>
              <w:rPr>
                <w:rFonts w:ascii="Times New Roman" w:hAnsi="Times New Roman"/>
                <w:b/>
                <w:color w:val="auto"/>
                <w:sz w:val="21"/>
                <w:szCs w:val="21"/>
              </w:rPr>
              <w:t>产品工艺流程及产污环节分析示意图</w:t>
            </w:r>
          </w:p>
          <w:p>
            <w:pPr>
              <w:adjustRightInd w:val="0"/>
              <w:snapToGrid w:val="0"/>
              <w:spacing w:line="360" w:lineRule="auto"/>
              <w:ind w:firstLine="420" w:firstLineChars="200"/>
              <w:rPr>
                <w:szCs w:val="21"/>
              </w:rPr>
            </w:pPr>
            <w:r>
              <w:rPr>
                <w:szCs w:val="21"/>
              </w:rPr>
              <w:t>工艺流程说明：</w:t>
            </w:r>
          </w:p>
          <w:p>
            <w:pPr>
              <w:spacing w:line="360" w:lineRule="auto"/>
              <w:ind w:firstLine="420" w:firstLineChars="200"/>
              <w:jc w:val="left"/>
              <w:rPr>
                <w:bCs/>
                <w:szCs w:val="21"/>
              </w:rPr>
            </w:pPr>
            <w:r>
              <w:rPr>
                <w:rFonts w:hint="eastAsia"/>
                <w:bCs/>
                <w:szCs w:val="21"/>
              </w:rPr>
              <w:t>平切：将外购的海绵按客户需求经平式平切机</w:t>
            </w:r>
            <w:r>
              <w:rPr>
                <w:bCs/>
                <w:szCs w:val="21"/>
              </w:rPr>
              <w:t>或立式平切机</w:t>
            </w:r>
            <w:r>
              <w:rPr>
                <w:rFonts w:hint="eastAsia"/>
                <w:bCs/>
                <w:szCs w:val="21"/>
              </w:rPr>
              <w:t>切割成一定厚度，此过程会产生一定的噪声和海绵边角料。</w:t>
            </w:r>
          </w:p>
          <w:p>
            <w:pPr>
              <w:spacing w:line="360" w:lineRule="auto"/>
              <w:ind w:firstLine="420" w:firstLineChars="200"/>
              <w:jc w:val="left"/>
              <w:rPr>
                <w:bCs/>
                <w:szCs w:val="21"/>
              </w:rPr>
            </w:pPr>
            <w:r>
              <w:rPr>
                <w:rFonts w:hint="eastAsia"/>
                <w:bCs/>
                <w:szCs w:val="21"/>
              </w:rPr>
              <w:t>贴合：</w:t>
            </w:r>
            <w:r>
              <w:rPr>
                <w:bCs/>
                <w:szCs w:val="21"/>
              </w:rPr>
              <w:t>先</w:t>
            </w:r>
            <w:r>
              <w:rPr>
                <w:rFonts w:hint="eastAsia"/>
                <w:bCs/>
                <w:szCs w:val="21"/>
              </w:rPr>
              <w:t>采用</w:t>
            </w:r>
            <w:r>
              <w:rPr>
                <w:bCs/>
                <w:szCs w:val="21"/>
              </w:rPr>
              <w:t>覆膜贴合机将外购的</w:t>
            </w:r>
            <w:r>
              <w:rPr>
                <w:rFonts w:hint="eastAsia"/>
                <w:bCs/>
                <w:szCs w:val="21"/>
              </w:rPr>
              <w:t>EVA与</w:t>
            </w:r>
            <w:r>
              <w:rPr>
                <w:bCs/>
                <w:szCs w:val="21"/>
              </w:rPr>
              <w:t>尼龙布料贴合在一起，</w:t>
            </w:r>
            <w:r>
              <w:rPr>
                <w:rFonts w:hint="eastAsia"/>
                <w:bCs/>
                <w:szCs w:val="21"/>
              </w:rPr>
              <w:t>此过程</w:t>
            </w:r>
            <w:r>
              <w:rPr>
                <w:bCs/>
                <w:szCs w:val="21"/>
              </w:rPr>
              <w:t>采用</w:t>
            </w:r>
            <w:r>
              <w:rPr>
                <w:rFonts w:hint="eastAsia"/>
                <w:bCs/>
                <w:szCs w:val="21"/>
              </w:rPr>
              <w:t>热熔胶作为</w:t>
            </w:r>
            <w:r>
              <w:rPr>
                <w:bCs/>
                <w:szCs w:val="21"/>
              </w:rPr>
              <w:t>粘合剂</w:t>
            </w:r>
            <w:r>
              <w:rPr>
                <w:rFonts w:hint="eastAsia"/>
                <w:bCs/>
                <w:szCs w:val="21"/>
              </w:rPr>
              <w:t>，</w:t>
            </w:r>
            <w:r>
              <w:rPr>
                <w:bCs/>
                <w:szCs w:val="21"/>
              </w:rPr>
              <w:t>然后</w:t>
            </w:r>
            <w:r>
              <w:rPr>
                <w:rFonts w:hint="eastAsia"/>
                <w:bCs/>
                <w:szCs w:val="21"/>
              </w:rPr>
              <w:t>采用</w:t>
            </w:r>
            <w:r>
              <w:rPr>
                <w:bCs/>
                <w:szCs w:val="21"/>
              </w:rPr>
              <w:t>联合贴合机</w:t>
            </w:r>
            <w:r>
              <w:rPr>
                <w:rFonts w:hint="eastAsia"/>
                <w:bCs/>
                <w:szCs w:val="21"/>
              </w:rPr>
              <w:t>将</w:t>
            </w:r>
            <w:r>
              <w:rPr>
                <w:bCs/>
                <w:szCs w:val="21"/>
              </w:rPr>
              <w:t>贴合好的</w:t>
            </w:r>
            <w:r>
              <w:rPr>
                <w:rFonts w:hint="eastAsia"/>
                <w:bCs/>
                <w:szCs w:val="21"/>
              </w:rPr>
              <w:t>EVA和</w:t>
            </w:r>
            <w:r>
              <w:rPr>
                <w:bCs/>
                <w:szCs w:val="21"/>
              </w:rPr>
              <w:t>尼龙布料贴合在</w:t>
            </w:r>
            <w:r>
              <w:rPr>
                <w:rFonts w:hint="eastAsia"/>
                <w:bCs/>
                <w:szCs w:val="21"/>
              </w:rPr>
              <w:t>海绵</w:t>
            </w:r>
            <w:r>
              <w:rPr>
                <w:bCs/>
                <w:szCs w:val="21"/>
              </w:rPr>
              <w:t>上，此过程采用</w:t>
            </w:r>
            <w:r>
              <w:rPr>
                <w:rFonts w:hint="eastAsia"/>
                <w:bCs/>
                <w:szCs w:val="21"/>
              </w:rPr>
              <w:t>水性胶水作为</w:t>
            </w:r>
            <w:r>
              <w:rPr>
                <w:bCs/>
                <w:szCs w:val="21"/>
              </w:rPr>
              <w:t>粘合剂</w:t>
            </w:r>
            <w:r>
              <w:rPr>
                <w:rFonts w:hint="eastAsia"/>
                <w:bCs/>
                <w:szCs w:val="21"/>
              </w:rPr>
              <w:t>。此工序</w:t>
            </w:r>
            <w:r>
              <w:rPr>
                <w:bCs/>
                <w:szCs w:val="21"/>
              </w:rPr>
              <w:t>会产生有机废气、噪声</w:t>
            </w:r>
            <w:r>
              <w:rPr>
                <w:rFonts w:hint="eastAsia"/>
                <w:bCs/>
                <w:szCs w:val="21"/>
              </w:rPr>
              <w:t>和废胶水桶。</w:t>
            </w:r>
          </w:p>
          <w:p>
            <w:pPr>
              <w:spacing w:line="360" w:lineRule="auto"/>
              <w:ind w:firstLine="420" w:firstLineChars="200"/>
              <w:jc w:val="left"/>
              <w:rPr>
                <w:bCs/>
                <w:szCs w:val="21"/>
              </w:rPr>
            </w:pPr>
            <w:r>
              <w:rPr>
                <w:rFonts w:hint="eastAsia"/>
                <w:bCs/>
                <w:szCs w:val="21"/>
              </w:rPr>
              <w:t>裁切：将贴合好的海绵按客户要求经大油压</w:t>
            </w:r>
            <w:r>
              <w:rPr>
                <w:bCs/>
                <w:szCs w:val="21"/>
              </w:rPr>
              <w:t>冲床、小油压冲床</w:t>
            </w:r>
            <w:r>
              <w:rPr>
                <w:rFonts w:hint="eastAsia"/>
                <w:bCs/>
                <w:szCs w:val="21"/>
              </w:rPr>
              <w:t>、</w:t>
            </w:r>
            <w:r>
              <w:rPr>
                <w:bCs/>
                <w:szCs w:val="21"/>
              </w:rPr>
              <w:t>切角机、切底机</w:t>
            </w:r>
            <w:r>
              <w:rPr>
                <w:rFonts w:hint="eastAsia"/>
                <w:bCs/>
                <w:szCs w:val="21"/>
              </w:rPr>
              <w:t>裁切成一定尺寸。此过程会产生一定的海绵边角料和噪声。</w:t>
            </w:r>
          </w:p>
          <w:p>
            <w:pPr>
              <w:spacing w:line="360" w:lineRule="auto"/>
              <w:ind w:firstLine="420" w:firstLineChars="200"/>
              <w:jc w:val="left"/>
              <w:rPr>
                <w:bCs/>
                <w:szCs w:val="21"/>
              </w:rPr>
            </w:pPr>
            <w:r>
              <w:rPr>
                <w:rFonts w:hint="eastAsia"/>
                <w:bCs/>
                <w:szCs w:val="21"/>
              </w:rPr>
              <w:t>激光开槽：将裁切好的海绵按客户要求经激光切割机将底部切成不同形状和深度，过程中会产生一定的边角料和噪声</w:t>
            </w:r>
          </w:p>
          <w:p>
            <w:pPr>
              <w:spacing w:line="360" w:lineRule="auto"/>
              <w:ind w:firstLine="420" w:firstLineChars="200"/>
              <w:jc w:val="left"/>
              <w:rPr>
                <w:bCs/>
                <w:szCs w:val="21"/>
              </w:rPr>
            </w:pPr>
            <w:r>
              <w:rPr>
                <w:rFonts w:hint="eastAsia"/>
                <w:bCs/>
                <w:szCs w:val="21"/>
              </w:rPr>
              <w:t>检验、包装出货：加工好</w:t>
            </w:r>
            <w:r>
              <w:rPr>
                <w:bCs/>
                <w:szCs w:val="21"/>
              </w:rPr>
              <w:t>的产品</w:t>
            </w:r>
            <w:r>
              <w:rPr>
                <w:rFonts w:hint="eastAsia"/>
                <w:bCs/>
                <w:szCs w:val="21"/>
              </w:rPr>
              <w:t>经检验通过后可包装出货。检验</w:t>
            </w:r>
            <w:r>
              <w:rPr>
                <w:bCs/>
                <w:szCs w:val="21"/>
              </w:rPr>
              <w:t>过程会产少量废次品，</w:t>
            </w:r>
            <w:r>
              <w:rPr>
                <w:rFonts w:hint="eastAsia"/>
                <w:bCs/>
                <w:szCs w:val="21"/>
              </w:rPr>
              <w:t>包装</w:t>
            </w:r>
            <w:r>
              <w:rPr>
                <w:bCs/>
                <w:szCs w:val="21"/>
              </w:rPr>
              <w:t>过程会产生少量的</w:t>
            </w:r>
            <w:r>
              <w:rPr>
                <w:rFonts w:hint="eastAsia"/>
                <w:bCs/>
                <w:szCs w:val="21"/>
              </w:rPr>
              <w:t>包装废料。</w:t>
            </w:r>
          </w:p>
          <w:p>
            <w:pPr>
              <w:numPr>
                <w:ilvl w:val="0"/>
                <w:numId w:val="2"/>
              </w:numPr>
              <w:adjustRightInd w:val="0"/>
              <w:snapToGrid w:val="0"/>
              <w:spacing w:line="360" w:lineRule="auto"/>
              <w:ind w:left="322"/>
              <w:jc w:val="center"/>
              <w:rPr>
                <w:b/>
                <w:szCs w:val="21"/>
              </w:rPr>
            </w:pPr>
            <w:r>
              <w:rPr>
                <w:b/>
                <w:szCs w:val="21"/>
              </w:rPr>
              <w:t>运营期污染源污染因子分析汇总表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179"/>
              <w:gridCol w:w="2500"/>
              <w:gridCol w:w="2343"/>
              <w:gridCol w:w="2760"/>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931" w:type="pct"/>
                  <w:gridSpan w:val="2"/>
                  <w:vAlign w:val="center"/>
                </w:tcPr>
                <w:p>
                  <w:pPr>
                    <w:adjustRightInd w:val="0"/>
                    <w:snapToGrid w:val="0"/>
                    <w:jc w:val="center"/>
                    <w:rPr>
                      <w:b/>
                      <w:szCs w:val="21"/>
                    </w:rPr>
                  </w:pPr>
                  <w:r>
                    <w:rPr>
                      <w:b/>
                      <w:szCs w:val="21"/>
                    </w:rPr>
                    <w:t>类别</w:t>
                  </w:r>
                </w:p>
              </w:tc>
              <w:tc>
                <w:tcPr>
                  <w:tcW w:w="1338" w:type="pct"/>
                  <w:vAlign w:val="center"/>
                </w:tcPr>
                <w:p>
                  <w:pPr>
                    <w:adjustRightInd w:val="0"/>
                    <w:snapToGrid w:val="0"/>
                    <w:jc w:val="center"/>
                    <w:rPr>
                      <w:b/>
                      <w:szCs w:val="21"/>
                    </w:rPr>
                  </w:pPr>
                  <w:r>
                    <w:rPr>
                      <w:b/>
                      <w:szCs w:val="21"/>
                    </w:rPr>
                    <w:t>污染源</w:t>
                  </w:r>
                </w:p>
              </w:tc>
              <w:tc>
                <w:tcPr>
                  <w:tcW w:w="1254" w:type="pct"/>
                  <w:vAlign w:val="center"/>
                </w:tcPr>
                <w:p>
                  <w:pPr>
                    <w:adjustRightInd w:val="0"/>
                    <w:snapToGrid w:val="0"/>
                    <w:jc w:val="center"/>
                    <w:rPr>
                      <w:b/>
                      <w:szCs w:val="21"/>
                    </w:rPr>
                  </w:pPr>
                  <w:r>
                    <w:rPr>
                      <w:b/>
                      <w:szCs w:val="21"/>
                    </w:rPr>
                    <w:t>污染物</w:t>
                  </w:r>
                </w:p>
              </w:tc>
              <w:tc>
                <w:tcPr>
                  <w:tcW w:w="1477" w:type="pct"/>
                  <w:vAlign w:val="center"/>
                </w:tcPr>
                <w:p>
                  <w:pPr>
                    <w:adjustRightInd w:val="0"/>
                    <w:snapToGrid w:val="0"/>
                    <w:jc w:val="center"/>
                    <w:rPr>
                      <w:b/>
                      <w:szCs w:val="21"/>
                    </w:rPr>
                  </w:pPr>
                  <w:r>
                    <w:rPr>
                      <w:b/>
                      <w:szCs w:val="21"/>
                    </w:rPr>
                    <w:t>治理措施</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931" w:type="pct"/>
                  <w:gridSpan w:val="2"/>
                  <w:vMerge w:val="restart"/>
                  <w:vAlign w:val="center"/>
                </w:tcPr>
                <w:p>
                  <w:pPr>
                    <w:adjustRightInd w:val="0"/>
                    <w:snapToGrid w:val="0"/>
                    <w:jc w:val="center"/>
                    <w:rPr>
                      <w:szCs w:val="21"/>
                    </w:rPr>
                  </w:pPr>
                  <w:r>
                    <w:rPr>
                      <w:szCs w:val="21"/>
                    </w:rPr>
                    <w:t>废气</w:t>
                  </w:r>
                </w:p>
              </w:tc>
              <w:tc>
                <w:tcPr>
                  <w:tcW w:w="1338" w:type="pct"/>
                  <w:vAlign w:val="center"/>
                </w:tcPr>
                <w:p>
                  <w:pPr>
                    <w:adjustRightInd w:val="0"/>
                    <w:snapToGrid w:val="0"/>
                    <w:jc w:val="center"/>
                    <w:rPr>
                      <w:szCs w:val="21"/>
                    </w:rPr>
                  </w:pPr>
                  <w:r>
                    <w:rPr>
                      <w:rFonts w:hint="eastAsia"/>
                      <w:szCs w:val="21"/>
                    </w:rPr>
                    <w:t>贴合</w:t>
                  </w:r>
                </w:p>
              </w:tc>
              <w:tc>
                <w:tcPr>
                  <w:tcW w:w="1254" w:type="pct"/>
                  <w:vAlign w:val="center"/>
                </w:tcPr>
                <w:p>
                  <w:pPr>
                    <w:adjustRightInd w:val="0"/>
                    <w:snapToGrid w:val="0"/>
                    <w:jc w:val="center"/>
                    <w:rPr>
                      <w:szCs w:val="21"/>
                    </w:rPr>
                  </w:pPr>
                  <w:r>
                    <w:rPr>
                      <w:rFonts w:hint="eastAsia"/>
                      <w:szCs w:val="21"/>
                    </w:rPr>
                    <w:t>V</w:t>
                  </w:r>
                  <w:r>
                    <w:rPr>
                      <w:szCs w:val="21"/>
                    </w:rPr>
                    <w:t>OCs</w:t>
                  </w:r>
                </w:p>
              </w:tc>
              <w:tc>
                <w:tcPr>
                  <w:tcW w:w="1477" w:type="pct"/>
                  <w:vMerge w:val="restart"/>
                  <w:vAlign w:val="center"/>
                </w:tcPr>
                <w:p>
                  <w:pPr>
                    <w:adjustRightInd w:val="0"/>
                    <w:snapToGrid w:val="0"/>
                    <w:jc w:val="center"/>
                    <w:rPr>
                      <w:szCs w:val="21"/>
                    </w:rPr>
                  </w:pPr>
                  <w:r>
                    <w:rPr>
                      <w:szCs w:val="21"/>
                    </w:rPr>
                    <w:t>经集气罩收集后引至两级活性炭吸附装置处理</w:t>
                  </w:r>
                  <w:r>
                    <w:rPr>
                      <w:rFonts w:hint="eastAsia"/>
                      <w:szCs w:val="21"/>
                    </w:rPr>
                    <w:t>后</w:t>
                  </w:r>
                  <w:r>
                    <w:rPr>
                      <w:szCs w:val="21"/>
                    </w:rPr>
                    <w:t>经DA002排气筒（15米） 排放</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印刷、</w:t>
                  </w:r>
                  <w:r>
                    <w:rPr>
                      <w:szCs w:val="21"/>
                    </w:rPr>
                    <w:t>烘干</w:t>
                  </w:r>
                </w:p>
              </w:tc>
              <w:tc>
                <w:tcPr>
                  <w:tcW w:w="1254" w:type="pct"/>
                  <w:vAlign w:val="center"/>
                </w:tcPr>
                <w:p>
                  <w:pPr>
                    <w:adjustRightInd w:val="0"/>
                    <w:snapToGrid w:val="0"/>
                    <w:jc w:val="center"/>
                    <w:rPr>
                      <w:szCs w:val="21"/>
                    </w:rPr>
                  </w:pPr>
                  <w:r>
                    <w:rPr>
                      <w:rFonts w:hint="eastAsia"/>
                      <w:szCs w:val="21"/>
                    </w:rPr>
                    <w:t>V</w:t>
                  </w:r>
                  <w:r>
                    <w:rPr>
                      <w:szCs w:val="21"/>
                    </w:rPr>
                    <w:t>OCs</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931" w:type="pct"/>
                  <w:gridSpan w:val="2"/>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植皮</w:t>
                  </w:r>
                </w:p>
              </w:tc>
              <w:tc>
                <w:tcPr>
                  <w:tcW w:w="1254" w:type="pct"/>
                  <w:vAlign w:val="center"/>
                </w:tcPr>
                <w:p>
                  <w:pPr>
                    <w:adjustRightInd w:val="0"/>
                    <w:snapToGrid w:val="0"/>
                    <w:jc w:val="center"/>
                    <w:rPr>
                      <w:szCs w:val="21"/>
                    </w:rPr>
                  </w:pPr>
                  <w:r>
                    <w:rPr>
                      <w:rFonts w:hint="eastAsia"/>
                      <w:szCs w:val="21"/>
                    </w:rPr>
                    <w:t>V</w:t>
                  </w:r>
                  <w:r>
                    <w:rPr>
                      <w:szCs w:val="21"/>
                    </w:rPr>
                    <w:t>OCs</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挤出</w:t>
                  </w:r>
                </w:p>
              </w:tc>
              <w:tc>
                <w:tcPr>
                  <w:tcW w:w="1254" w:type="pct"/>
                  <w:vAlign w:val="center"/>
                </w:tcPr>
                <w:p>
                  <w:pPr>
                    <w:adjustRightInd w:val="0"/>
                    <w:snapToGrid w:val="0"/>
                    <w:jc w:val="center"/>
                    <w:rPr>
                      <w:szCs w:val="21"/>
                    </w:rPr>
                  </w:pPr>
                  <w:r>
                    <w:rPr>
                      <w:rFonts w:hint="eastAsia"/>
                      <w:szCs w:val="21"/>
                    </w:rPr>
                    <w:t>非甲烷总烃</w:t>
                  </w:r>
                </w:p>
              </w:tc>
              <w:tc>
                <w:tcPr>
                  <w:tcW w:w="1477" w:type="pct"/>
                  <w:vAlign w:val="center"/>
                </w:tcPr>
                <w:p>
                  <w:pPr>
                    <w:adjustRightInd w:val="0"/>
                    <w:snapToGrid w:val="0"/>
                    <w:jc w:val="center"/>
                    <w:rPr>
                      <w:szCs w:val="21"/>
                    </w:rPr>
                  </w:pPr>
                  <w:r>
                    <w:rPr>
                      <w:szCs w:val="21"/>
                    </w:rPr>
                    <w:t>经集气罩收集后引至两级活性炭吸附装置处理</w:t>
                  </w:r>
                  <w:r>
                    <w:rPr>
                      <w:rFonts w:hint="eastAsia"/>
                      <w:szCs w:val="21"/>
                    </w:rPr>
                    <w:t>后</w:t>
                  </w:r>
                  <w:r>
                    <w:rPr>
                      <w:szCs w:val="21"/>
                    </w:rPr>
                    <w:t>经DA001排气筒（15米） 排放</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Align w:val="center"/>
                </w:tcPr>
                <w:p>
                  <w:pPr>
                    <w:adjustRightInd w:val="0"/>
                    <w:snapToGrid w:val="0"/>
                    <w:jc w:val="center"/>
                    <w:rPr>
                      <w:szCs w:val="21"/>
                    </w:rPr>
                  </w:pPr>
                  <w:r>
                    <w:rPr>
                      <w:szCs w:val="21"/>
                    </w:rPr>
                    <w:t>噪声</w:t>
                  </w:r>
                </w:p>
              </w:tc>
              <w:tc>
                <w:tcPr>
                  <w:tcW w:w="1338" w:type="pct"/>
                  <w:vAlign w:val="center"/>
                </w:tcPr>
                <w:p>
                  <w:pPr>
                    <w:adjustRightInd w:val="0"/>
                    <w:snapToGrid w:val="0"/>
                    <w:jc w:val="center"/>
                    <w:rPr>
                      <w:szCs w:val="21"/>
                    </w:rPr>
                  </w:pPr>
                  <w:r>
                    <w:rPr>
                      <w:rFonts w:hint="eastAsia"/>
                      <w:szCs w:val="21"/>
                    </w:rPr>
                    <w:t>生产</w:t>
                  </w:r>
                  <w:r>
                    <w:rPr>
                      <w:szCs w:val="21"/>
                    </w:rPr>
                    <w:t>设备、辅助设备</w:t>
                  </w:r>
                </w:p>
              </w:tc>
              <w:tc>
                <w:tcPr>
                  <w:tcW w:w="1254" w:type="pct"/>
                  <w:vAlign w:val="center"/>
                </w:tcPr>
                <w:p>
                  <w:pPr>
                    <w:adjustRightInd w:val="0"/>
                    <w:snapToGrid w:val="0"/>
                    <w:jc w:val="center"/>
                    <w:rPr>
                      <w:szCs w:val="21"/>
                    </w:rPr>
                  </w:pPr>
                  <w:r>
                    <w:rPr>
                      <w:szCs w:val="21"/>
                    </w:rPr>
                    <w:t>噪声</w:t>
                  </w:r>
                </w:p>
              </w:tc>
              <w:tc>
                <w:tcPr>
                  <w:tcW w:w="1477" w:type="pct"/>
                  <w:vAlign w:val="center"/>
                </w:tcPr>
                <w:p>
                  <w:pPr>
                    <w:adjustRightInd w:val="0"/>
                    <w:snapToGrid w:val="0"/>
                    <w:jc w:val="center"/>
                    <w:rPr>
                      <w:szCs w:val="21"/>
                    </w:rPr>
                  </w:pPr>
                  <w:r>
                    <w:rPr>
                      <w:szCs w:val="21"/>
                    </w:rPr>
                    <w:t>隔声、减震、消声</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Align w:val="center"/>
                </w:tcPr>
                <w:p>
                  <w:pPr>
                    <w:adjustRightInd w:val="0"/>
                    <w:snapToGrid w:val="0"/>
                    <w:jc w:val="center"/>
                    <w:rPr>
                      <w:szCs w:val="21"/>
                    </w:rPr>
                  </w:pPr>
                  <w:r>
                    <w:rPr>
                      <w:rFonts w:hint="eastAsia"/>
                      <w:szCs w:val="21"/>
                    </w:rPr>
                    <w:t>废水</w:t>
                  </w:r>
                </w:p>
              </w:tc>
              <w:tc>
                <w:tcPr>
                  <w:tcW w:w="1338" w:type="pct"/>
                  <w:vAlign w:val="center"/>
                </w:tcPr>
                <w:p>
                  <w:pPr>
                    <w:adjustRightInd w:val="0"/>
                    <w:snapToGrid w:val="0"/>
                    <w:jc w:val="center"/>
                    <w:rPr>
                      <w:szCs w:val="21"/>
                    </w:rPr>
                  </w:pPr>
                  <w:r>
                    <w:rPr>
                      <w:rFonts w:hint="eastAsia"/>
                      <w:szCs w:val="21"/>
                    </w:rPr>
                    <w:t>生活</w:t>
                  </w:r>
                  <w:r>
                    <w:rPr>
                      <w:szCs w:val="21"/>
                    </w:rPr>
                    <w:t>污水</w:t>
                  </w:r>
                </w:p>
              </w:tc>
              <w:tc>
                <w:tcPr>
                  <w:tcW w:w="1254" w:type="pct"/>
                  <w:vAlign w:val="center"/>
                </w:tcPr>
                <w:p>
                  <w:pPr>
                    <w:adjustRightInd w:val="0"/>
                    <w:snapToGrid w:val="0"/>
                    <w:jc w:val="center"/>
                    <w:rPr>
                      <w:szCs w:val="21"/>
                    </w:rPr>
                  </w:pPr>
                  <w:r>
                    <w:rPr>
                      <w:szCs w:val="21"/>
                    </w:rPr>
                    <w:t>COD</w:t>
                  </w:r>
                  <w:r>
                    <w:rPr>
                      <w:szCs w:val="21"/>
                      <w:vertAlign w:val="subscript"/>
                    </w:rPr>
                    <w:t>Cr</w:t>
                  </w:r>
                  <w:r>
                    <w:rPr>
                      <w:szCs w:val="21"/>
                    </w:rPr>
                    <w:t>、BOD</w:t>
                  </w:r>
                  <w:r>
                    <w:rPr>
                      <w:szCs w:val="21"/>
                      <w:vertAlign w:val="subscript"/>
                    </w:rPr>
                    <w:t>5</w:t>
                  </w:r>
                  <w:r>
                    <w:rPr>
                      <w:szCs w:val="21"/>
                    </w:rPr>
                    <w:t>、SS、总磷、总氮和氨氮</w:t>
                  </w:r>
                </w:p>
              </w:tc>
              <w:tc>
                <w:tcPr>
                  <w:tcW w:w="1477" w:type="pct"/>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restart"/>
                  <w:vAlign w:val="center"/>
                </w:tcPr>
                <w:p>
                  <w:pPr>
                    <w:adjustRightInd w:val="0"/>
                    <w:snapToGrid w:val="0"/>
                    <w:jc w:val="center"/>
                    <w:rPr>
                      <w:szCs w:val="21"/>
                    </w:rPr>
                  </w:pPr>
                  <w:r>
                    <w:rPr>
                      <w:szCs w:val="21"/>
                    </w:rPr>
                    <w:t>固体废物</w:t>
                  </w:r>
                </w:p>
              </w:tc>
              <w:tc>
                <w:tcPr>
                  <w:tcW w:w="631" w:type="pct"/>
                  <w:vMerge w:val="restart"/>
                  <w:vAlign w:val="center"/>
                </w:tcPr>
                <w:p>
                  <w:pPr>
                    <w:adjustRightInd w:val="0"/>
                    <w:snapToGrid w:val="0"/>
                    <w:jc w:val="center"/>
                    <w:rPr>
                      <w:szCs w:val="21"/>
                    </w:rPr>
                  </w:pPr>
                  <w:r>
                    <w:rPr>
                      <w:szCs w:val="21"/>
                    </w:rPr>
                    <w:t>一般固废</w:t>
                  </w:r>
                </w:p>
              </w:tc>
              <w:tc>
                <w:tcPr>
                  <w:tcW w:w="1338" w:type="pct"/>
                  <w:vAlign w:val="center"/>
                </w:tcPr>
                <w:p>
                  <w:pPr>
                    <w:adjustRightInd w:val="0"/>
                    <w:snapToGrid w:val="0"/>
                    <w:jc w:val="center"/>
                    <w:rPr>
                      <w:szCs w:val="21"/>
                    </w:rPr>
                  </w:pPr>
                  <w:r>
                    <w:rPr>
                      <w:szCs w:val="21"/>
                    </w:rPr>
                    <w:t>原料使用、产品包装</w:t>
                  </w:r>
                </w:p>
              </w:tc>
              <w:tc>
                <w:tcPr>
                  <w:tcW w:w="1254" w:type="pct"/>
                  <w:vAlign w:val="center"/>
                </w:tcPr>
                <w:p>
                  <w:pPr>
                    <w:adjustRightInd w:val="0"/>
                    <w:snapToGrid w:val="0"/>
                    <w:jc w:val="center"/>
                    <w:rPr>
                      <w:szCs w:val="21"/>
                    </w:rPr>
                  </w:pPr>
                  <w:r>
                    <w:rPr>
                      <w:szCs w:val="21"/>
                    </w:rPr>
                    <w:t>废包装材料</w:t>
                  </w:r>
                </w:p>
              </w:tc>
              <w:tc>
                <w:tcPr>
                  <w:tcW w:w="1477" w:type="pct"/>
                  <w:vMerge w:val="restart"/>
                  <w:vAlign w:val="center"/>
                </w:tcPr>
                <w:p>
                  <w:pPr>
                    <w:adjustRightInd w:val="0"/>
                    <w:snapToGrid w:val="0"/>
                    <w:jc w:val="center"/>
                    <w:rPr>
                      <w:szCs w:val="21"/>
                    </w:rPr>
                  </w:pPr>
                  <w:r>
                    <w:rPr>
                      <w:szCs w:val="21"/>
                    </w:rPr>
                    <w:t>交由相关回收单位回收利用</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平切、</w:t>
                  </w:r>
                  <w:r>
                    <w:rPr>
                      <w:szCs w:val="21"/>
                    </w:rPr>
                    <w:t>裁切、仿形</w:t>
                  </w:r>
                  <w:r>
                    <w:rPr>
                      <w:rFonts w:hint="eastAsia"/>
                      <w:szCs w:val="21"/>
                    </w:rPr>
                    <w:t>、</w:t>
                  </w:r>
                  <w:r>
                    <w:rPr>
                      <w:szCs w:val="21"/>
                    </w:rPr>
                    <w:t>植毛、修毛、</w:t>
                  </w:r>
                  <w:r>
                    <w:rPr>
                      <w:rFonts w:hint="eastAsia"/>
                      <w:szCs w:val="21"/>
                    </w:rPr>
                    <w:t>分条</w:t>
                  </w:r>
                  <w:r>
                    <w:rPr>
                      <w:szCs w:val="21"/>
                    </w:rPr>
                    <w:t>、切平、</w:t>
                  </w:r>
                  <w:r>
                    <w:rPr>
                      <w:rFonts w:hint="eastAsia"/>
                      <w:szCs w:val="21"/>
                    </w:rPr>
                    <w:t>模切、</w:t>
                  </w:r>
                  <w:r>
                    <w:rPr>
                      <w:szCs w:val="21"/>
                    </w:rPr>
                    <w:t>分段</w:t>
                  </w:r>
                  <w:r>
                    <w:rPr>
                      <w:rFonts w:hint="eastAsia"/>
                      <w:szCs w:val="21"/>
                    </w:rPr>
                    <w:t>、</w:t>
                  </w:r>
                  <w:r>
                    <w:rPr>
                      <w:szCs w:val="21"/>
                    </w:rPr>
                    <w:t>激光开槽</w:t>
                  </w:r>
                </w:p>
              </w:tc>
              <w:tc>
                <w:tcPr>
                  <w:tcW w:w="1254" w:type="pct"/>
                  <w:vAlign w:val="center"/>
                </w:tcPr>
                <w:p>
                  <w:pPr>
                    <w:adjustRightInd w:val="0"/>
                    <w:snapToGrid w:val="0"/>
                    <w:jc w:val="center"/>
                    <w:rPr>
                      <w:szCs w:val="21"/>
                    </w:rPr>
                  </w:pPr>
                  <w:r>
                    <w:rPr>
                      <w:rFonts w:hint="eastAsia"/>
                      <w:szCs w:val="21"/>
                    </w:rPr>
                    <w:t>边角料</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检验</w:t>
                  </w:r>
                </w:p>
              </w:tc>
              <w:tc>
                <w:tcPr>
                  <w:tcW w:w="1254" w:type="pct"/>
                  <w:vAlign w:val="center"/>
                </w:tcPr>
                <w:p>
                  <w:pPr>
                    <w:adjustRightInd w:val="0"/>
                    <w:snapToGrid w:val="0"/>
                    <w:jc w:val="center"/>
                    <w:rPr>
                      <w:szCs w:val="21"/>
                    </w:rPr>
                  </w:pPr>
                  <w:r>
                    <w:rPr>
                      <w:rFonts w:hint="eastAsia"/>
                      <w:szCs w:val="21"/>
                    </w:rPr>
                    <w:t>废次品</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restart"/>
                  <w:vAlign w:val="center"/>
                </w:tcPr>
                <w:p>
                  <w:pPr>
                    <w:adjustRightInd w:val="0"/>
                    <w:snapToGrid w:val="0"/>
                    <w:jc w:val="center"/>
                    <w:rPr>
                      <w:szCs w:val="21"/>
                    </w:rPr>
                  </w:pPr>
                  <w:r>
                    <w:rPr>
                      <w:szCs w:val="21"/>
                    </w:rPr>
                    <w:t>危险废物</w:t>
                  </w:r>
                </w:p>
              </w:tc>
              <w:tc>
                <w:tcPr>
                  <w:tcW w:w="1338" w:type="pct"/>
                  <w:vAlign w:val="center"/>
                </w:tcPr>
                <w:p>
                  <w:pPr>
                    <w:adjustRightInd w:val="0"/>
                    <w:snapToGrid w:val="0"/>
                    <w:jc w:val="center"/>
                    <w:rPr>
                      <w:szCs w:val="21"/>
                    </w:rPr>
                  </w:pPr>
                  <w:r>
                    <w:rPr>
                      <w:szCs w:val="21"/>
                    </w:rPr>
                    <w:t>废气处理</w:t>
                  </w:r>
                </w:p>
              </w:tc>
              <w:tc>
                <w:tcPr>
                  <w:tcW w:w="1254" w:type="pct"/>
                  <w:vAlign w:val="center"/>
                </w:tcPr>
                <w:p>
                  <w:pPr>
                    <w:adjustRightInd w:val="0"/>
                    <w:snapToGrid w:val="0"/>
                    <w:jc w:val="center"/>
                    <w:rPr>
                      <w:szCs w:val="21"/>
                    </w:rPr>
                  </w:pPr>
                  <w:r>
                    <w:rPr>
                      <w:szCs w:val="21"/>
                    </w:rPr>
                    <w:t>废活性炭</w:t>
                  </w:r>
                </w:p>
              </w:tc>
              <w:tc>
                <w:tcPr>
                  <w:tcW w:w="1477" w:type="pct"/>
                  <w:vMerge w:val="restart"/>
                  <w:vAlign w:val="center"/>
                </w:tcPr>
                <w:p>
                  <w:pPr>
                    <w:adjustRightInd w:val="0"/>
                    <w:snapToGrid w:val="0"/>
                    <w:jc w:val="center"/>
                    <w:rPr>
                      <w:szCs w:val="21"/>
                    </w:rPr>
                  </w:pPr>
                  <w:r>
                    <w:rPr>
                      <w:szCs w:val="21"/>
                    </w:rPr>
                    <w:t>交由有资质单位处理</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胶水、</w:t>
                  </w:r>
                  <w:r>
                    <w:rPr>
                      <w:szCs w:val="21"/>
                    </w:rPr>
                    <w:t>油墨使用</w:t>
                  </w:r>
                </w:p>
              </w:tc>
              <w:tc>
                <w:tcPr>
                  <w:tcW w:w="1254" w:type="pct"/>
                  <w:vAlign w:val="center"/>
                </w:tcPr>
                <w:p>
                  <w:pPr>
                    <w:adjustRightInd w:val="0"/>
                    <w:snapToGrid w:val="0"/>
                    <w:jc w:val="center"/>
                    <w:rPr>
                      <w:szCs w:val="21"/>
                    </w:rPr>
                  </w:pPr>
                  <w:r>
                    <w:rPr>
                      <w:rFonts w:hint="eastAsia"/>
                      <w:szCs w:val="21"/>
                    </w:rPr>
                    <w:t>废化学品</w:t>
                  </w:r>
                  <w:r>
                    <w:rPr>
                      <w:szCs w:val="21"/>
                    </w:rPr>
                    <w:t>包装桶</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Merge w:val="restart"/>
                  <w:vAlign w:val="center"/>
                </w:tcPr>
                <w:p>
                  <w:pPr>
                    <w:adjustRightInd w:val="0"/>
                    <w:snapToGrid w:val="0"/>
                    <w:jc w:val="center"/>
                    <w:rPr>
                      <w:szCs w:val="21"/>
                    </w:rPr>
                  </w:pPr>
                  <w:r>
                    <w:rPr>
                      <w:szCs w:val="21"/>
                    </w:rPr>
                    <w:t>设备维修保养</w:t>
                  </w:r>
                </w:p>
              </w:tc>
              <w:tc>
                <w:tcPr>
                  <w:tcW w:w="1254" w:type="pct"/>
                  <w:vAlign w:val="center"/>
                </w:tcPr>
                <w:p>
                  <w:pPr>
                    <w:adjustRightInd w:val="0"/>
                    <w:snapToGrid w:val="0"/>
                    <w:jc w:val="center"/>
                    <w:rPr>
                      <w:szCs w:val="21"/>
                    </w:rPr>
                  </w:pPr>
                  <w:r>
                    <w:rPr>
                      <w:szCs w:val="21"/>
                    </w:rPr>
                    <w:t>废机油</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Merge w:val="continue"/>
                  <w:vAlign w:val="center"/>
                </w:tcPr>
                <w:p>
                  <w:pPr>
                    <w:adjustRightInd w:val="0"/>
                    <w:snapToGrid w:val="0"/>
                    <w:jc w:val="center"/>
                    <w:rPr>
                      <w:szCs w:val="21"/>
                    </w:rPr>
                  </w:pPr>
                </w:p>
              </w:tc>
              <w:tc>
                <w:tcPr>
                  <w:tcW w:w="1254" w:type="pct"/>
                  <w:vAlign w:val="center"/>
                </w:tcPr>
                <w:p>
                  <w:pPr>
                    <w:adjustRightInd w:val="0"/>
                    <w:snapToGrid w:val="0"/>
                    <w:jc w:val="center"/>
                    <w:rPr>
                      <w:szCs w:val="21"/>
                    </w:rPr>
                  </w:pPr>
                  <w:r>
                    <w:rPr>
                      <w:szCs w:val="21"/>
                    </w:rPr>
                    <w:t>废含油抹布及手套</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员工</w:t>
                  </w:r>
                  <w:r>
                    <w:rPr>
                      <w:szCs w:val="21"/>
                    </w:rPr>
                    <w:t>生活</w:t>
                  </w:r>
                </w:p>
              </w:tc>
              <w:tc>
                <w:tcPr>
                  <w:tcW w:w="1254" w:type="pct"/>
                  <w:vAlign w:val="center"/>
                </w:tcPr>
                <w:p>
                  <w:pPr>
                    <w:adjustRightInd w:val="0"/>
                    <w:snapToGrid w:val="0"/>
                    <w:jc w:val="center"/>
                    <w:rPr>
                      <w:szCs w:val="21"/>
                    </w:rPr>
                  </w:pPr>
                  <w:r>
                    <w:rPr>
                      <w:rFonts w:hint="eastAsia"/>
                      <w:szCs w:val="21"/>
                    </w:rPr>
                    <w:t>生活</w:t>
                  </w:r>
                  <w:r>
                    <w:rPr>
                      <w:szCs w:val="21"/>
                    </w:rPr>
                    <w:t>垃圾</w:t>
                  </w:r>
                </w:p>
              </w:tc>
              <w:tc>
                <w:tcPr>
                  <w:tcW w:w="1477" w:type="pct"/>
                  <w:vAlign w:val="center"/>
                </w:tcPr>
                <w:p>
                  <w:pPr>
                    <w:adjustRightInd w:val="0"/>
                    <w:snapToGrid w:val="0"/>
                    <w:jc w:val="center"/>
                    <w:rPr>
                      <w:szCs w:val="21"/>
                    </w:rPr>
                  </w:pPr>
                  <w:r>
                    <w:rPr>
                      <w:rFonts w:hint="eastAsia"/>
                      <w:szCs w:val="21"/>
                    </w:rPr>
                    <w:t>交由</w:t>
                  </w:r>
                  <w:r>
                    <w:rPr>
                      <w:szCs w:val="21"/>
                    </w:rPr>
                    <w:t>环卫部门统一清运</w:t>
                  </w:r>
                </w:p>
              </w:tc>
            </w:tr>
          </w:tbl>
          <w:p>
            <w:pPr>
              <w:spacing w:line="520" w:lineRule="exac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4463" w:type="pct"/>
            <w:vAlign w:val="center"/>
          </w:tcPr>
          <w:p>
            <w:pPr>
              <w:adjustRightInd w:val="0"/>
              <w:snapToGrid w:val="0"/>
              <w:spacing w:line="520" w:lineRule="exact"/>
              <w:jc w:val="center"/>
              <w:rPr>
                <w:bCs/>
                <w:szCs w:val="21"/>
              </w:rPr>
            </w:pPr>
            <w:r>
              <w:rPr>
                <w:bCs/>
                <w:szCs w:val="21"/>
              </w:rPr>
              <w:t>无</w:t>
            </w:r>
          </w:p>
        </w:tc>
      </w:tr>
    </w:tbl>
    <w:p>
      <w:pPr>
        <w:pStyle w:val="25"/>
        <w:jc w:val="center"/>
        <w:rPr>
          <w:rFonts w:ascii="Times New Roman" w:hAnsi="Times New Roman" w:eastAsia="黑体"/>
          <w:snapToGrid w:val="0"/>
          <w:sz w:val="36"/>
          <w:szCs w:val="36"/>
        </w:rPr>
        <w:sectPr>
          <w:pgSz w:w="11906" w:h="16838"/>
          <w:pgMar w:top="1276" w:right="1416" w:bottom="720" w:left="1418" w:header="851" w:footer="851" w:gutter="0"/>
          <w:cols w:space="720" w:num="1"/>
          <w:docGrid w:linePitch="312" w:charSpace="0"/>
        </w:sectPr>
      </w:pPr>
    </w:p>
    <w:p>
      <w:pPr>
        <w:pStyle w:val="25"/>
        <w:adjustRightInd w:val="0"/>
        <w:snapToGrid w:val="0"/>
        <w:spacing w:before="0" w:beforeAutospacing="0" w:after="0" w:afterAutospacing="0" w:line="14" w:lineRule="auto"/>
        <w:jc w:val="center"/>
        <w:rPr>
          <w:rFonts w:ascii="Times New Roman" w:hAnsi="Times New Roman" w:eastAsia="黑体"/>
          <w:snapToGrid w:val="0"/>
          <w:sz w:val="30"/>
          <w:szCs w:val="30"/>
        </w:r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8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78" w:type="pct"/>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4522" w:type="pct"/>
            <w:vAlign w:val="center"/>
          </w:tcPr>
          <w:p>
            <w:pPr>
              <w:widowControl/>
              <w:adjustRightInd w:val="0"/>
              <w:snapToGrid w:val="0"/>
              <w:spacing w:line="360" w:lineRule="auto"/>
              <w:ind w:firstLine="422" w:firstLineChars="200"/>
              <w:rPr>
                <w:b/>
              </w:rPr>
            </w:pPr>
            <w:r>
              <w:rPr>
                <w:rFonts w:hint="eastAsia"/>
                <w:b/>
              </w:rPr>
              <w:t>1、</w:t>
            </w:r>
            <w:r>
              <w:rPr>
                <w:b/>
              </w:rPr>
              <w:t>大气环境</w:t>
            </w:r>
          </w:p>
          <w:p>
            <w:pPr>
              <w:widowControl/>
              <w:adjustRightInd w:val="0"/>
              <w:snapToGrid w:val="0"/>
              <w:spacing w:line="360" w:lineRule="auto"/>
              <w:ind w:firstLine="422" w:firstLineChars="200"/>
              <w:rPr>
                <w:b/>
                <w:bCs/>
              </w:rPr>
            </w:pPr>
            <w:r>
              <w:rPr>
                <w:rFonts w:hint="eastAsia"/>
                <w:b/>
                <w:bCs/>
              </w:rPr>
              <w:t>（1）</w:t>
            </w:r>
            <w:r>
              <w:rPr>
                <w:b/>
                <w:bCs/>
              </w:rPr>
              <w:t>常规</w:t>
            </w:r>
            <w:r>
              <w:rPr>
                <w:rFonts w:hint="eastAsia"/>
                <w:b/>
                <w:bCs/>
              </w:rPr>
              <w:t>污染物</w:t>
            </w:r>
          </w:p>
          <w:p>
            <w:pPr>
              <w:widowControl/>
              <w:adjustRightInd w:val="0"/>
              <w:snapToGrid w:val="0"/>
              <w:spacing w:line="360" w:lineRule="auto"/>
              <w:ind w:firstLine="420" w:firstLineChars="200"/>
            </w:pPr>
            <w:r>
              <w:t>根据2021年惠州市生态环境状况公报，惠州市城市空气质量总体保持良好。</w:t>
            </w:r>
          </w:p>
          <w:p>
            <w:pPr>
              <w:widowControl/>
              <w:adjustRightInd w:val="0"/>
              <w:snapToGrid w:val="0"/>
              <w:spacing w:line="360" w:lineRule="auto"/>
              <w:ind w:firstLine="420" w:firstLineChars="200"/>
            </w:pPr>
            <w:r>
              <w:rPr>
                <w:rFonts w:hint="eastAsia"/>
              </w:rPr>
              <w:t>2021年，市区（惠城区、惠阳区和大亚湾区）空气质量良好，六项污染物年评价浓度均达到国家二级标准。其中，二氧化硫（SO</w:t>
            </w:r>
            <w:r>
              <w:rPr>
                <w:rFonts w:hint="eastAsia"/>
                <w:vertAlign w:val="subscript"/>
              </w:rPr>
              <w:t>2</w:t>
            </w:r>
            <w:r>
              <w:rPr>
                <w:rFonts w:hint="eastAsia"/>
              </w:rPr>
              <w:t>）、二氧化氮（NO</w:t>
            </w:r>
            <w:r>
              <w:rPr>
                <w:rFonts w:hint="eastAsia"/>
                <w:vertAlign w:val="subscript"/>
              </w:rPr>
              <w:t>2</w:t>
            </w:r>
            <w:r>
              <w:rPr>
                <w:rFonts w:hint="eastAsia"/>
              </w:rPr>
              <w:t>）和一氧化碳（CO）达国家一级标准，可吸入颗粒物（PM</w:t>
            </w:r>
            <w:r>
              <w:rPr>
                <w:rFonts w:hint="eastAsia"/>
                <w:vertAlign w:val="subscript"/>
              </w:rPr>
              <w:t>10</w:t>
            </w:r>
            <w:r>
              <w:rPr>
                <w:rFonts w:hint="eastAsia"/>
              </w:rPr>
              <w:t>）、细颗粒物（PM</w:t>
            </w:r>
            <w:r>
              <w:rPr>
                <w:rFonts w:hint="eastAsia"/>
                <w:vertAlign w:val="subscript"/>
              </w:rPr>
              <w:t>2.5</w:t>
            </w:r>
            <w:r>
              <w:rPr>
                <w:rFonts w:hint="eastAsia"/>
              </w:rPr>
              <w:t>）和臭氧（O</w:t>
            </w:r>
            <w:r>
              <w:rPr>
                <w:rFonts w:hint="eastAsia"/>
                <w:vertAlign w:val="subscript"/>
              </w:rPr>
              <w:t>3</w:t>
            </w:r>
            <w:r>
              <w:rPr>
                <w:rFonts w:hint="eastAsia"/>
              </w:rPr>
              <w:t>）达到国家二级标准；综合指数为2.83，空气质量指数（AQI）范围为20～161，达标天数比例（AQI达标率）为94.5%，其中，优180天，良165天，轻度污染19天，中度污染1天，超标污染物为臭氧。</w:t>
            </w:r>
          </w:p>
          <w:p>
            <w:pPr>
              <w:widowControl/>
              <w:adjustRightInd w:val="0"/>
              <w:snapToGrid w:val="0"/>
              <w:spacing w:line="360" w:lineRule="auto"/>
              <w:ind w:firstLine="420" w:firstLineChars="200"/>
            </w:pPr>
            <w:r>
              <w:rPr>
                <w:rFonts w:hint="eastAsia"/>
              </w:rPr>
              <w:t>与2020年相比，环境空气质量综合指数上升2.2%，AQI达标率下降3.3个百分点；六项污染物年评价浓度中，二氧化硫（SO</w:t>
            </w:r>
            <w:r>
              <w:rPr>
                <w:rFonts w:hint="eastAsia"/>
                <w:vertAlign w:val="subscript"/>
              </w:rPr>
              <w:t>2</w:t>
            </w:r>
            <w:r>
              <w:rPr>
                <w:rFonts w:hint="eastAsia"/>
              </w:rPr>
              <w:t>）持平，一氧化碳（CO）和细颗粒物（PM</w:t>
            </w:r>
            <w:r>
              <w:rPr>
                <w:rFonts w:hint="eastAsia"/>
                <w:vertAlign w:val="subscript"/>
              </w:rPr>
              <w:t>2.5</w:t>
            </w:r>
            <w:r>
              <w:rPr>
                <w:rFonts w:hint="eastAsia"/>
              </w:rPr>
              <w:t>）浓度分别下降22.2%和5.0%，二氧化氮（NO</w:t>
            </w:r>
            <w:r>
              <w:rPr>
                <w:rFonts w:hint="eastAsia"/>
                <w:vertAlign w:val="subscript"/>
              </w:rPr>
              <w:t>2</w:t>
            </w:r>
            <w:r>
              <w:rPr>
                <w:rFonts w:hint="eastAsia"/>
              </w:rPr>
              <w:t>）、可吸入颗粒物（PM</w:t>
            </w:r>
            <w:r>
              <w:rPr>
                <w:rFonts w:hint="eastAsia"/>
                <w:vertAlign w:val="subscript"/>
              </w:rPr>
              <w:t>10</w:t>
            </w:r>
            <w:r>
              <w:rPr>
                <w:rFonts w:hint="eastAsia"/>
              </w:rPr>
              <w:t>）、臭氧（O</w:t>
            </w:r>
            <w:r>
              <w:rPr>
                <w:rFonts w:hint="eastAsia"/>
                <w:vertAlign w:val="subscript"/>
              </w:rPr>
              <w:t>3</w:t>
            </w:r>
            <w:r>
              <w:rPr>
                <w:rFonts w:hint="eastAsia"/>
              </w:rPr>
              <w:t>）浓度分别上升11.1%、5.3%和5.1%。</w:t>
            </w:r>
          </w:p>
          <w:p>
            <w:pPr>
              <w:widowControl/>
              <w:adjustRightInd w:val="0"/>
              <w:snapToGrid w:val="0"/>
              <w:spacing w:line="360" w:lineRule="auto"/>
              <w:ind w:firstLine="420" w:firstLineChars="200"/>
            </w:pPr>
            <w:r>
              <w:rPr>
                <w:rFonts w:hint="eastAsia"/>
              </w:rPr>
              <w:t>2021年，各县（区）二氧化硫（SO</w:t>
            </w:r>
            <w:r>
              <w:rPr>
                <w:rFonts w:hint="eastAsia"/>
                <w:vertAlign w:val="subscript"/>
              </w:rPr>
              <w:t>2</w:t>
            </w:r>
            <w:r>
              <w:rPr>
                <w:rFonts w:hint="eastAsia"/>
              </w:rPr>
              <w:t>）、二氧化氮（NO</w:t>
            </w:r>
            <w:r>
              <w:rPr>
                <w:rFonts w:hint="eastAsia"/>
                <w:vertAlign w:val="subscript"/>
              </w:rPr>
              <w:t>2</w:t>
            </w:r>
            <w:r>
              <w:rPr>
                <w:rFonts w:hint="eastAsia"/>
              </w:rPr>
              <w:t>）、一氧化碳（CO）达国家一级标准，臭氧（O</w:t>
            </w:r>
            <w:r>
              <w:rPr>
                <w:rFonts w:hint="eastAsia"/>
                <w:vertAlign w:val="subscript"/>
              </w:rPr>
              <w:t>3</w:t>
            </w:r>
            <w:r>
              <w:rPr>
                <w:rFonts w:hint="eastAsia"/>
              </w:rPr>
              <w:t>）达国家二级标准；龙门县、大亚湾区和惠东县可吸入颗粒物（PM</w:t>
            </w:r>
            <w:r>
              <w:rPr>
                <w:rFonts w:hint="eastAsia"/>
                <w:vertAlign w:val="subscript"/>
              </w:rPr>
              <w:t>10</w:t>
            </w:r>
            <w:r>
              <w:rPr>
                <w:rFonts w:hint="eastAsia"/>
              </w:rPr>
              <w:t>）达国家一级标准，其余县（区）达国家二级标准；龙门县细颗粒物（PM</w:t>
            </w:r>
            <w:r>
              <w:rPr>
                <w:rFonts w:hint="eastAsia"/>
                <w:vertAlign w:val="subscript"/>
              </w:rPr>
              <w:t>2.5</w:t>
            </w:r>
            <w:r>
              <w:rPr>
                <w:rFonts w:hint="eastAsia"/>
              </w:rPr>
              <w:t>）达国家一级标准，其余县（区）达国家二级标准。各县（区）环境空气优良率（达标率）范围在92.6%～99.1%之间；综合指数范围在2.33～3.31之间，主要污染物均为臭氧，次要污染物以可吸入颗粒物PM</w:t>
            </w:r>
            <w:r>
              <w:rPr>
                <w:rFonts w:hint="eastAsia"/>
                <w:vertAlign w:val="subscript"/>
              </w:rPr>
              <w:t>10</w:t>
            </w:r>
            <w:r>
              <w:rPr>
                <w:rFonts w:hint="eastAsia"/>
              </w:rPr>
              <w:t>为主。</w:t>
            </w:r>
          </w:p>
          <w:p>
            <w:pPr>
              <w:widowControl/>
              <w:adjustRightInd w:val="0"/>
              <w:snapToGrid w:val="0"/>
              <w:spacing w:line="360" w:lineRule="auto"/>
              <w:ind w:firstLine="420" w:firstLineChars="200"/>
            </w:pPr>
            <w:r>
              <w:rPr>
                <w:rFonts w:hint="eastAsia"/>
              </w:rPr>
              <w:t>与2020年相比，环境空气质量综合指数除龙门县下降5.7%外，其余各县（区）上升幅度为2.0%～12.2%；优良率龙门县上升0.3%，博罗县持平，其余县（区）略有下降，下降幅度为0.5%～4.3%。</w:t>
            </w:r>
          </w:p>
          <w:p>
            <w:pPr>
              <w:adjustRightInd w:val="0"/>
              <w:snapToGrid w:val="0"/>
              <w:jc w:val="center"/>
              <w:rPr>
                <w:spacing w:val="-2"/>
                <w:kern w:val="0"/>
                <w:szCs w:val="21"/>
              </w:rPr>
            </w:pPr>
            <w:r>
              <w:drawing>
                <wp:inline distT="0" distB="0" distL="0" distR="0">
                  <wp:extent cx="5006340" cy="3282950"/>
                  <wp:effectExtent l="0" t="0" r="381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
                          <a:stretch>
                            <a:fillRect/>
                          </a:stretch>
                        </pic:blipFill>
                        <pic:spPr>
                          <a:xfrm>
                            <a:off x="0" y="0"/>
                            <a:ext cx="5009614" cy="3285484"/>
                          </a:xfrm>
                          <a:prstGeom prst="rect">
                            <a:avLst/>
                          </a:prstGeom>
                        </pic:spPr>
                      </pic:pic>
                    </a:graphicData>
                  </a:graphic>
                </wp:inline>
              </w:drawing>
            </w:r>
          </w:p>
          <w:p>
            <w:pPr>
              <w:adjustRightInd w:val="0"/>
              <w:snapToGrid w:val="0"/>
              <w:jc w:val="center"/>
              <w:rPr>
                <w:b/>
                <w:szCs w:val="21"/>
              </w:rPr>
            </w:pPr>
            <w:r>
              <w:rPr>
                <w:b/>
                <w:szCs w:val="21"/>
              </w:rPr>
              <w:t>图3  2021年惠州市生态环境状况公报截图</w:t>
            </w:r>
          </w:p>
          <w:p>
            <w:pPr>
              <w:widowControl/>
              <w:adjustRightInd w:val="0"/>
              <w:snapToGrid w:val="0"/>
              <w:spacing w:line="360" w:lineRule="auto"/>
              <w:ind w:firstLine="422" w:firstLineChars="200"/>
              <w:jc w:val="left"/>
              <w:rPr>
                <w:b/>
              </w:rPr>
            </w:pPr>
            <w:r>
              <w:rPr>
                <w:rFonts w:hint="eastAsia"/>
                <w:b/>
              </w:rPr>
              <w:t>（2）</w:t>
            </w:r>
            <w:r>
              <w:rPr>
                <w:b/>
              </w:rPr>
              <w:t>特征</w:t>
            </w:r>
            <w:r>
              <w:rPr>
                <w:rFonts w:hint="eastAsia"/>
                <w:b/>
              </w:rPr>
              <w:t>污染物</w:t>
            </w:r>
          </w:p>
          <w:p>
            <w:pPr>
              <w:widowControl/>
              <w:adjustRightInd w:val="0"/>
              <w:snapToGrid w:val="0"/>
              <w:spacing w:line="360" w:lineRule="auto"/>
              <w:ind w:firstLine="420" w:firstLineChars="200"/>
              <w:rPr>
                <w:bCs/>
              </w:rPr>
            </w:pPr>
            <w:r>
              <w:rPr>
                <w:bCs/>
              </w:rPr>
              <w:t>本项目特征</w:t>
            </w:r>
            <w:r>
              <w:rPr>
                <w:rFonts w:hint="eastAsia"/>
                <w:bCs/>
              </w:rPr>
              <w:t>污染物为</w:t>
            </w:r>
            <w:r>
              <w:rPr>
                <w:bCs/>
              </w:rPr>
              <w:t>非甲烷总烃、VOCs，由于非甲烷总烃</w:t>
            </w:r>
            <w:r>
              <w:rPr>
                <w:rFonts w:hint="eastAsia"/>
                <w:bCs/>
              </w:rPr>
              <w:t>暂</w:t>
            </w:r>
            <w:r>
              <w:rPr>
                <w:bCs/>
              </w:rPr>
              <w:t>无国家、地方环境质量标准，</w:t>
            </w:r>
            <w:r>
              <w:rPr>
                <w:rFonts w:hint="eastAsia"/>
                <w:bCs/>
              </w:rPr>
              <w:t>因此无需</w:t>
            </w:r>
            <w:r>
              <w:rPr>
                <w:bCs/>
              </w:rPr>
              <w:t>进行现状监测。</w:t>
            </w:r>
          </w:p>
          <w:p>
            <w:pPr>
              <w:widowControl/>
              <w:adjustRightInd w:val="0"/>
              <w:snapToGrid w:val="0"/>
              <w:spacing w:line="360" w:lineRule="auto"/>
              <w:ind w:firstLine="420" w:firstLineChars="200"/>
              <w:rPr>
                <w:bCs/>
              </w:rPr>
            </w:pPr>
            <w:r>
              <w:rPr>
                <w:bCs/>
              </w:rPr>
              <w:t>本</w:t>
            </w:r>
            <w:r>
              <w:rPr>
                <w:rFonts w:hint="eastAsia"/>
                <w:bCs/>
              </w:rPr>
              <w:t>项目</w:t>
            </w:r>
            <w:r>
              <w:rPr>
                <w:bCs/>
              </w:rPr>
              <w:t>特征污染物</w:t>
            </w:r>
            <w:r>
              <w:rPr>
                <w:rFonts w:hint="eastAsia"/>
                <w:bCs/>
              </w:rPr>
              <w:t>TVOC的现状</w:t>
            </w:r>
            <w:r>
              <w:rPr>
                <w:bCs/>
              </w:rPr>
              <w:t>数据引用</w:t>
            </w:r>
            <w:r>
              <w:t>《</w:t>
            </w:r>
            <w:r>
              <w:rPr>
                <w:rFonts w:hint="eastAsia"/>
              </w:rPr>
              <w:t>博罗县杨村镇佳圣塑胶厂</w:t>
            </w:r>
            <w:r>
              <w:t>建设项目</w:t>
            </w:r>
            <w:r>
              <w:rPr>
                <w:rFonts w:hint="eastAsia"/>
              </w:rPr>
              <w:t>环境</w:t>
            </w:r>
            <w:r>
              <w:t>影响报告表》</w:t>
            </w:r>
            <w:r>
              <w:rPr>
                <w:rFonts w:hint="eastAsia"/>
              </w:rPr>
              <w:t>（惠市环（博罗）建[2021]127号）中的</w:t>
            </w:r>
            <w:r>
              <w:t>特征污染物补充监测数据，</w:t>
            </w:r>
            <w:r>
              <w:rPr>
                <w:rFonts w:hint="eastAsia"/>
              </w:rPr>
              <w:t>检测</w:t>
            </w:r>
            <w:r>
              <w:t>单位为</w:t>
            </w:r>
            <w:r>
              <w:rPr>
                <w:rFonts w:hint="eastAsia"/>
              </w:rPr>
              <w:t>广东宏科检测技术</w:t>
            </w:r>
            <w:r>
              <w:t>有限公司（报告编号</w:t>
            </w:r>
            <w:r>
              <w:rPr>
                <w:rFonts w:hint="eastAsia"/>
              </w:rPr>
              <w:t>GDHK20210615001</w:t>
            </w:r>
            <w:r>
              <w:t>）</w:t>
            </w:r>
            <w:r>
              <w:rPr>
                <w:rFonts w:hint="eastAsia"/>
              </w:rPr>
              <w:t>，监测时间</w:t>
            </w:r>
            <w:r>
              <w:t>为202</w:t>
            </w:r>
            <w:r>
              <w:rPr>
                <w:rFonts w:hint="eastAsia"/>
              </w:rPr>
              <w:t>1</w:t>
            </w:r>
            <w:r>
              <w:t>年</w:t>
            </w:r>
            <w:r>
              <w:rPr>
                <w:rFonts w:hint="eastAsia"/>
              </w:rPr>
              <w:t>6</w:t>
            </w:r>
            <w:r>
              <w:t>月</w:t>
            </w:r>
            <w:r>
              <w:rPr>
                <w:rFonts w:hint="eastAsia"/>
              </w:rPr>
              <w:t>15</w:t>
            </w:r>
            <w:r>
              <w:t>日～202</w:t>
            </w:r>
            <w:r>
              <w:rPr>
                <w:rFonts w:hint="eastAsia"/>
              </w:rPr>
              <w:t>1</w:t>
            </w:r>
            <w:r>
              <w:t>年</w:t>
            </w:r>
            <w:r>
              <w:rPr>
                <w:rFonts w:hint="eastAsia"/>
              </w:rPr>
              <w:t>6</w:t>
            </w:r>
            <w:r>
              <w:t>月</w:t>
            </w:r>
            <w:r>
              <w:rPr>
                <w:rFonts w:hint="eastAsia"/>
              </w:rPr>
              <w:t>17</w:t>
            </w:r>
            <w:r>
              <w:t>日</w:t>
            </w:r>
            <w:r>
              <w:rPr>
                <w:rFonts w:hint="eastAsia"/>
              </w:rPr>
              <w:t>，引用</w:t>
            </w:r>
            <w:r>
              <w:rPr>
                <w:bCs/>
              </w:rPr>
              <w:t>监测点</w:t>
            </w:r>
            <w:r>
              <w:t>G1</w:t>
            </w:r>
            <w:r>
              <w:rPr>
                <w:rFonts w:hint="eastAsia"/>
              </w:rPr>
              <w:t>马岭村</w:t>
            </w:r>
            <w:r>
              <w:rPr>
                <w:bCs/>
              </w:rPr>
              <w:t>位于本项目</w:t>
            </w:r>
            <w:r>
              <w:rPr>
                <w:rFonts w:hint="eastAsia"/>
                <w:bCs/>
              </w:rPr>
              <w:t>东北</w:t>
            </w:r>
            <w:r>
              <w:rPr>
                <w:bCs/>
              </w:rPr>
              <w:t>面2.74km处，</w:t>
            </w:r>
            <w:r>
              <w:rPr>
                <w:szCs w:val="21"/>
              </w:rPr>
              <w:t>为建设项目周边5km范围内近3年的现有监测数据，因此本项目引用其监测数据符合《建设项目环境影响报告表编制技术指南（污染影响类）（试行）》（环办环评〔2020〕33号）的相关规定，监测点位示意图见附图9</w:t>
            </w:r>
            <w:r>
              <w:rPr>
                <w:bCs/>
              </w:rPr>
              <w:t>。</w:t>
            </w:r>
          </w:p>
          <w:p>
            <w:pPr>
              <w:widowControl/>
              <w:adjustRightInd w:val="0"/>
              <w:snapToGrid w:val="0"/>
              <w:spacing w:line="360" w:lineRule="auto"/>
              <w:ind w:firstLine="420" w:firstLineChars="200"/>
              <w:rPr>
                <w:bCs/>
              </w:rPr>
            </w:pPr>
            <w:r>
              <w:rPr>
                <w:bCs/>
              </w:rPr>
              <w:t>监测结果见下表。</w:t>
            </w:r>
          </w:p>
          <w:p>
            <w:pPr>
              <w:numPr>
                <w:ilvl w:val="0"/>
                <w:numId w:val="2"/>
              </w:numPr>
              <w:adjustRightInd w:val="0"/>
              <w:snapToGrid w:val="0"/>
              <w:spacing w:line="360" w:lineRule="auto"/>
              <w:ind w:left="322"/>
              <w:jc w:val="center"/>
              <w:rPr>
                <w:b/>
                <w:bCs/>
              </w:rPr>
            </w:pPr>
            <w:r>
              <w:rPr>
                <w:b/>
                <w:bCs/>
              </w:rPr>
              <w:t>特征污染物环境质量现状评价表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3285"/>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Align w:val="center"/>
                </w:tcPr>
                <w:p>
                  <w:pPr>
                    <w:pStyle w:val="67"/>
                    <w:spacing w:beforeLines="0" w:afterLines="0" w:line="240" w:lineRule="auto"/>
                    <w:rPr>
                      <w:rFonts w:ascii="Times New Roman"/>
                      <w:b/>
                    </w:rPr>
                  </w:pPr>
                  <w:r>
                    <w:rPr>
                      <w:rFonts w:ascii="Times New Roman"/>
                      <w:b/>
                    </w:rPr>
                    <w:t>序号</w:t>
                  </w:r>
                </w:p>
              </w:tc>
              <w:tc>
                <w:tcPr>
                  <w:tcW w:w="1948" w:type="pct"/>
                  <w:vAlign w:val="center"/>
                </w:tcPr>
                <w:p>
                  <w:pPr>
                    <w:pStyle w:val="67"/>
                    <w:spacing w:beforeLines="0" w:afterLines="0" w:line="240" w:lineRule="auto"/>
                    <w:rPr>
                      <w:rFonts w:ascii="Times New Roman"/>
                      <w:b/>
                    </w:rPr>
                  </w:pPr>
                  <w:r>
                    <w:rPr>
                      <w:rFonts w:ascii="Times New Roman"/>
                      <w:b/>
                    </w:rPr>
                    <w:t>项目</w:t>
                  </w:r>
                </w:p>
              </w:tc>
              <w:tc>
                <w:tcPr>
                  <w:tcW w:w="1919" w:type="pct"/>
                  <w:vAlign w:val="center"/>
                </w:tcPr>
                <w:p>
                  <w:pPr>
                    <w:pStyle w:val="67"/>
                    <w:spacing w:beforeLines="0" w:afterLines="0" w:line="240" w:lineRule="auto"/>
                    <w:rPr>
                      <w:rFonts w:ascii="Times New Roman"/>
                      <w:b/>
                    </w:rPr>
                  </w:pPr>
                  <w:r>
                    <w:rPr>
                      <w:rFonts w:ascii="Times New Roman"/>
                      <w:b/>
                    </w:rPr>
                    <w:t>TVOC（8小时平均浓度）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Merge w:val="restart"/>
                  <w:vAlign w:val="center"/>
                </w:tcPr>
                <w:p>
                  <w:pPr>
                    <w:pStyle w:val="67"/>
                    <w:spacing w:beforeLines="0" w:afterLines="0" w:line="240" w:lineRule="auto"/>
                    <w:rPr>
                      <w:rFonts w:ascii="Times New Roman"/>
                    </w:rPr>
                  </w:pPr>
                  <w:r>
                    <w:rPr>
                      <w:rFonts w:ascii="Times New Roman"/>
                      <w:bCs/>
                    </w:rPr>
                    <w:t>G1（</w:t>
                  </w:r>
                  <w:r>
                    <w:rPr>
                      <w:rFonts w:hint="eastAsia" w:ascii="Times New Roman"/>
                      <w:bCs/>
                    </w:rPr>
                    <w:t>马岭村</w:t>
                  </w:r>
                  <w:r>
                    <w:rPr>
                      <w:rFonts w:ascii="Times New Roman"/>
                      <w:bCs/>
                    </w:rPr>
                    <w:t>）</w:t>
                  </w:r>
                </w:p>
              </w:tc>
              <w:tc>
                <w:tcPr>
                  <w:tcW w:w="1948" w:type="pct"/>
                  <w:vAlign w:val="center"/>
                </w:tcPr>
                <w:p>
                  <w:pPr>
                    <w:pStyle w:val="67"/>
                    <w:spacing w:beforeLines="0" w:afterLines="0" w:line="240" w:lineRule="auto"/>
                    <w:rPr>
                      <w:rFonts w:ascii="Times New Roman"/>
                    </w:rPr>
                  </w:pPr>
                  <w:r>
                    <w:rPr>
                      <w:rFonts w:ascii="Times New Roman"/>
                    </w:rPr>
                    <w:t>浓度范围</w:t>
                  </w:r>
                </w:p>
              </w:tc>
              <w:tc>
                <w:tcPr>
                  <w:tcW w:w="1919" w:type="pct"/>
                  <w:vAlign w:val="center"/>
                </w:tcPr>
                <w:p>
                  <w:pPr>
                    <w:pStyle w:val="67"/>
                    <w:spacing w:beforeLines="0" w:afterLines="0" w:line="240" w:lineRule="auto"/>
                    <w:rPr>
                      <w:rFonts w:ascii="Times New Roman"/>
                    </w:rPr>
                  </w:pPr>
                  <w:r>
                    <w:rPr>
                      <w:szCs w:val="21"/>
                    </w:rPr>
                    <w:t>0.</w:t>
                  </w:r>
                  <w:r>
                    <w:rPr>
                      <w:rFonts w:hint="eastAsia"/>
                      <w:szCs w:val="21"/>
                    </w:rPr>
                    <w:t>185</w:t>
                  </w:r>
                  <w:r>
                    <w:rPr>
                      <w:szCs w:val="21"/>
                    </w:rPr>
                    <w:t>～0.</w:t>
                  </w:r>
                  <w:r>
                    <w:rPr>
                      <w:rFonts w:hint="eastAsia"/>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Merge w:val="continue"/>
                  <w:vAlign w:val="center"/>
                </w:tcPr>
                <w:p>
                  <w:pPr>
                    <w:pStyle w:val="67"/>
                    <w:spacing w:beforeLines="0" w:afterLines="0" w:line="240" w:lineRule="auto"/>
                    <w:rPr>
                      <w:rFonts w:ascii="Times New Roman"/>
                    </w:rPr>
                  </w:pPr>
                </w:p>
              </w:tc>
              <w:tc>
                <w:tcPr>
                  <w:tcW w:w="1948" w:type="pct"/>
                  <w:vAlign w:val="center"/>
                </w:tcPr>
                <w:p>
                  <w:pPr>
                    <w:pStyle w:val="67"/>
                    <w:spacing w:beforeLines="0" w:afterLines="0" w:line="240" w:lineRule="auto"/>
                    <w:rPr>
                      <w:rFonts w:ascii="Times New Roman"/>
                    </w:rPr>
                  </w:pPr>
                  <w:r>
                    <w:rPr>
                      <w:rFonts w:ascii="Times New Roman"/>
                    </w:rPr>
                    <w:t>评价标准</w:t>
                  </w:r>
                </w:p>
              </w:tc>
              <w:tc>
                <w:tcPr>
                  <w:tcW w:w="1919" w:type="pct"/>
                  <w:vAlign w:val="center"/>
                </w:tcPr>
                <w:p>
                  <w:pPr>
                    <w:pStyle w:val="67"/>
                    <w:spacing w:beforeLines="0" w:afterLines="0" w:line="240" w:lineRule="auto"/>
                    <w:rPr>
                      <w:rFonts w:ascii="Times New Roman"/>
                    </w:rPr>
                  </w:pPr>
                  <w:r>
                    <w:rPr>
                      <w:rFonts w:ascii="Times New Roma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Merge w:val="continue"/>
                  <w:vAlign w:val="center"/>
                </w:tcPr>
                <w:p>
                  <w:pPr>
                    <w:pStyle w:val="67"/>
                    <w:spacing w:beforeLines="0" w:afterLines="0" w:line="240" w:lineRule="auto"/>
                    <w:rPr>
                      <w:rFonts w:ascii="Times New Roman"/>
                    </w:rPr>
                  </w:pPr>
                </w:p>
              </w:tc>
              <w:tc>
                <w:tcPr>
                  <w:tcW w:w="1948" w:type="pct"/>
                  <w:vAlign w:val="center"/>
                </w:tcPr>
                <w:p>
                  <w:pPr>
                    <w:pStyle w:val="67"/>
                    <w:spacing w:beforeLines="0" w:afterLines="0" w:line="240" w:lineRule="auto"/>
                    <w:rPr>
                      <w:rFonts w:ascii="Times New Roman"/>
                    </w:rPr>
                  </w:pPr>
                  <w:r>
                    <w:rPr>
                      <w:rFonts w:hint="eastAsia" w:ascii="Times New Roman"/>
                    </w:rPr>
                    <w:t>最大占标率</w:t>
                  </w:r>
                </w:p>
              </w:tc>
              <w:tc>
                <w:tcPr>
                  <w:tcW w:w="1919" w:type="pct"/>
                  <w:vAlign w:val="center"/>
                </w:tcPr>
                <w:p>
                  <w:pPr>
                    <w:pStyle w:val="67"/>
                    <w:spacing w:beforeLines="0" w:afterLines="0" w:line="240" w:lineRule="auto"/>
                    <w:rPr>
                      <w:rFonts w:ascii="Times New Roman"/>
                    </w:rPr>
                  </w:pPr>
                  <w:r>
                    <w:rPr>
                      <w:rFonts w:ascii="Times New Roma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3" w:type="pct"/>
                  <w:vMerge w:val="continue"/>
                  <w:vAlign w:val="center"/>
                </w:tcPr>
                <w:p>
                  <w:pPr>
                    <w:pStyle w:val="67"/>
                    <w:spacing w:beforeLines="0" w:afterLines="0" w:line="240" w:lineRule="auto"/>
                    <w:rPr>
                      <w:rFonts w:ascii="Times New Roman"/>
                    </w:rPr>
                  </w:pPr>
                </w:p>
              </w:tc>
              <w:tc>
                <w:tcPr>
                  <w:tcW w:w="1948" w:type="pct"/>
                  <w:vAlign w:val="center"/>
                </w:tcPr>
                <w:p>
                  <w:pPr>
                    <w:pStyle w:val="67"/>
                    <w:spacing w:beforeLines="0" w:afterLines="0" w:line="240" w:lineRule="auto"/>
                    <w:rPr>
                      <w:rFonts w:ascii="Times New Roman"/>
                    </w:rPr>
                  </w:pPr>
                  <w:r>
                    <w:rPr>
                      <w:rFonts w:ascii="Times New Roman"/>
                    </w:rPr>
                    <w:t>超标率%</w:t>
                  </w:r>
                </w:p>
              </w:tc>
              <w:tc>
                <w:tcPr>
                  <w:tcW w:w="1919" w:type="pct"/>
                  <w:vAlign w:val="center"/>
                </w:tcPr>
                <w:p>
                  <w:pPr>
                    <w:pStyle w:val="67"/>
                    <w:spacing w:beforeLines="0" w:afterLines="0" w:line="240" w:lineRule="auto"/>
                    <w:rPr>
                      <w:rFonts w:ascii="Times New Roman"/>
                    </w:rPr>
                  </w:pPr>
                  <w:r>
                    <w:rPr>
                      <w:rFonts w:ascii="Times New Roman"/>
                    </w:rPr>
                    <w:t>0</w:t>
                  </w:r>
                </w:p>
              </w:tc>
            </w:tr>
          </w:tbl>
          <w:p>
            <w:pPr>
              <w:widowControl/>
              <w:adjustRightInd w:val="0"/>
              <w:snapToGrid w:val="0"/>
              <w:spacing w:line="360" w:lineRule="auto"/>
              <w:ind w:firstLine="420" w:firstLineChars="200"/>
              <w:rPr>
                <w:bCs/>
              </w:rPr>
            </w:pPr>
            <w:r>
              <w:rPr>
                <w:bCs/>
              </w:rPr>
              <w:t>监测结果表明，项目所在区域</w:t>
            </w:r>
            <w:r>
              <w:rPr>
                <w:szCs w:val="21"/>
              </w:rPr>
              <w:t>总挥发性有机物（TVOC）</w:t>
            </w:r>
            <w:r>
              <w:rPr>
                <w:rFonts w:hint="eastAsia"/>
                <w:szCs w:val="21"/>
              </w:rPr>
              <w:t>8小时</w:t>
            </w:r>
            <w:r>
              <w:rPr>
                <w:szCs w:val="21"/>
              </w:rPr>
              <w:t>平均浓度满足《环境影响评价技术导则-大气环境》（HJ2.2-2018）附录D中其他污染物空气质量浓度参考限值</w:t>
            </w:r>
            <w:r>
              <w:rPr>
                <w:rFonts w:hint="eastAsia"/>
                <w:szCs w:val="21"/>
              </w:rPr>
              <w:t>的</w:t>
            </w:r>
            <w:r>
              <w:rPr>
                <w:szCs w:val="21"/>
              </w:rPr>
              <w:t>要求</w:t>
            </w:r>
            <w:r>
              <w:rPr>
                <w:bCs/>
              </w:rPr>
              <w:t>，项目所在区域环境空气质量良好。</w:t>
            </w:r>
          </w:p>
          <w:p>
            <w:pPr>
              <w:widowControl/>
              <w:adjustRightInd w:val="0"/>
              <w:snapToGrid w:val="0"/>
              <w:spacing w:line="360" w:lineRule="auto"/>
              <w:ind w:firstLine="422" w:firstLineChars="200"/>
              <w:jc w:val="left"/>
              <w:rPr>
                <w:b/>
              </w:rPr>
            </w:pPr>
            <w:r>
              <w:rPr>
                <w:rFonts w:hint="eastAsia"/>
                <w:b/>
              </w:rPr>
              <w:t>（</w:t>
            </w:r>
            <w:r>
              <w:rPr>
                <w:b/>
              </w:rPr>
              <w:t>3</w:t>
            </w:r>
            <w:r>
              <w:rPr>
                <w:rFonts w:hint="eastAsia"/>
                <w:b/>
              </w:rPr>
              <w:t>）评价大气环境质量现状达标情况</w:t>
            </w:r>
          </w:p>
          <w:p>
            <w:pPr>
              <w:widowControl/>
              <w:adjustRightInd w:val="0"/>
              <w:snapToGrid w:val="0"/>
              <w:spacing w:line="360" w:lineRule="auto"/>
              <w:ind w:firstLine="420" w:firstLineChars="200"/>
              <w:rPr>
                <w:szCs w:val="21"/>
              </w:rPr>
            </w:pPr>
            <w:r>
              <w:rPr>
                <w:szCs w:val="21"/>
              </w:rPr>
              <w:t>根据《关于印发&lt;惠州市环境空气质量功能区划（2021年修订）&gt;的通知》（惠市环[2021]1号），本项目所在区域属于环境空气质量二类功能区，执行《环境空气质量标准》（GB3095-2012）及其2108年修改单中的二级标准。根据《2021年惠州市环境质量状况公报》资料显示，项目所在</w:t>
            </w:r>
            <w:r>
              <w:rPr>
                <w:rFonts w:hint="eastAsia"/>
                <w:szCs w:val="21"/>
              </w:rPr>
              <w:t>区域环境</w:t>
            </w:r>
            <w:r>
              <w:rPr>
                <w:szCs w:val="21"/>
              </w:rPr>
              <w:t>空气中六项基本污染物环境质量</w:t>
            </w:r>
            <w:r>
              <w:rPr>
                <w:rFonts w:hint="eastAsia"/>
                <w:szCs w:val="21"/>
              </w:rPr>
              <w:t>均</w:t>
            </w:r>
            <w:r>
              <w:rPr>
                <w:szCs w:val="21"/>
              </w:rPr>
              <w:t>满足《环境空气质量标准》（GB3095-2012）及其2018年修改单中的二级标准</w:t>
            </w:r>
            <w:r>
              <w:rPr>
                <w:rFonts w:hint="eastAsia"/>
                <w:szCs w:val="21"/>
              </w:rPr>
              <w:t>的</w:t>
            </w:r>
            <w:r>
              <w:rPr>
                <w:szCs w:val="21"/>
              </w:rPr>
              <w:t>要求，</w:t>
            </w:r>
            <w:r>
              <w:rPr>
                <w:rFonts w:hint="eastAsia"/>
                <w:szCs w:val="21"/>
              </w:rPr>
              <w:t>项目</w:t>
            </w:r>
            <w:r>
              <w:rPr>
                <w:szCs w:val="21"/>
              </w:rPr>
              <w:t>所在</w:t>
            </w:r>
            <w:r>
              <w:rPr>
                <w:rFonts w:hint="eastAsia"/>
                <w:szCs w:val="21"/>
              </w:rPr>
              <w:t>区域</w:t>
            </w:r>
            <w:r>
              <w:rPr>
                <w:szCs w:val="21"/>
              </w:rPr>
              <w:t>为</w:t>
            </w:r>
            <w:r>
              <w:rPr>
                <w:rFonts w:hint="eastAsia"/>
                <w:szCs w:val="21"/>
              </w:rPr>
              <w:t>环境</w:t>
            </w:r>
            <w:r>
              <w:rPr>
                <w:szCs w:val="21"/>
              </w:rPr>
              <w:t>空气质量达标区域</w:t>
            </w:r>
            <w:r>
              <w:rPr>
                <w:rFonts w:hint="eastAsia"/>
                <w:szCs w:val="21"/>
              </w:rPr>
              <w:t>。由引用</w:t>
            </w:r>
            <w:r>
              <w:rPr>
                <w:szCs w:val="21"/>
              </w:rPr>
              <w:t>的特征污染物现状监测</w:t>
            </w:r>
            <w:r>
              <w:rPr>
                <w:rFonts w:hint="eastAsia"/>
                <w:szCs w:val="21"/>
              </w:rPr>
              <w:t>结果</w:t>
            </w:r>
            <w:r>
              <w:rPr>
                <w:szCs w:val="21"/>
              </w:rPr>
              <w:t>表明</w:t>
            </w:r>
            <w:r>
              <w:rPr>
                <w:rFonts w:hint="eastAsia"/>
                <w:szCs w:val="21"/>
              </w:rPr>
              <w:t>，项目评价区域内</w:t>
            </w:r>
            <w:r>
              <w:rPr>
                <w:szCs w:val="21"/>
              </w:rPr>
              <w:t>TVOC</w:t>
            </w:r>
            <w:r>
              <w:rPr>
                <w:rFonts w:hint="eastAsia"/>
                <w:szCs w:val="21"/>
              </w:rPr>
              <w:t>8小时</w:t>
            </w:r>
            <w:r>
              <w:rPr>
                <w:szCs w:val="21"/>
              </w:rPr>
              <w:t>平均浓度满足《环境影响评价技术导则-大气环境》（HJ2.2-2018）附录D中其他污染物空气质量浓度参考限值</w:t>
            </w:r>
            <w:r>
              <w:rPr>
                <w:rFonts w:hint="eastAsia"/>
                <w:szCs w:val="21"/>
              </w:rPr>
              <w:t>的</w:t>
            </w:r>
            <w:r>
              <w:rPr>
                <w:szCs w:val="21"/>
              </w:rPr>
              <w:t>要求，</w:t>
            </w:r>
            <w:r>
              <w:rPr>
                <w:rFonts w:hint="eastAsia"/>
                <w:szCs w:val="21"/>
              </w:rPr>
              <w:t>综</w:t>
            </w:r>
            <w:r>
              <w:rPr>
                <w:szCs w:val="21"/>
              </w:rPr>
              <w:t>上，项目所在区域环境</w:t>
            </w:r>
            <w:r>
              <w:rPr>
                <w:rFonts w:hint="eastAsia"/>
                <w:szCs w:val="21"/>
              </w:rPr>
              <w:t>空气</w:t>
            </w:r>
            <w:r>
              <w:rPr>
                <w:szCs w:val="21"/>
              </w:rPr>
              <w:t>质量现状良好。</w:t>
            </w:r>
          </w:p>
          <w:p>
            <w:pPr>
              <w:widowControl/>
              <w:adjustRightInd w:val="0"/>
              <w:snapToGrid w:val="0"/>
              <w:spacing w:line="360" w:lineRule="auto"/>
              <w:ind w:firstLine="422" w:firstLineChars="200"/>
              <w:rPr>
                <w:b/>
              </w:rPr>
            </w:pPr>
            <w:r>
              <w:rPr>
                <w:rFonts w:hint="eastAsia"/>
                <w:b/>
              </w:rPr>
              <w:t>2</w:t>
            </w:r>
            <w:r>
              <w:rPr>
                <w:b/>
              </w:rPr>
              <w:t>、地表水环境</w:t>
            </w:r>
          </w:p>
          <w:p>
            <w:pPr>
              <w:widowControl/>
              <w:adjustRightInd w:val="0"/>
              <w:snapToGrid w:val="0"/>
              <w:spacing w:line="360" w:lineRule="auto"/>
              <w:ind w:firstLine="420" w:firstLineChars="200"/>
            </w:pPr>
            <w:r>
              <w:t>本项目主要外排污水为生活污水，生活污水经三级化粪池预处理后纳入杨侨镇生活污水处理厂处理，处理达标后排入</w:t>
            </w:r>
            <w:r>
              <w:rPr>
                <w:rFonts w:hint="eastAsia"/>
              </w:rPr>
              <w:t>南蛇沥</w:t>
            </w:r>
            <w:r>
              <w:t>排渠，然后汇入</w:t>
            </w:r>
            <w:r>
              <w:rPr>
                <w:rFonts w:hint="eastAsia"/>
              </w:rPr>
              <w:t>公庄河</w:t>
            </w:r>
            <w:r>
              <w:t>。</w:t>
            </w:r>
            <w:r>
              <w:rPr>
                <w:szCs w:val="21"/>
              </w:rPr>
              <w:t>根据《</w:t>
            </w:r>
            <w:r>
              <w:rPr>
                <w:rFonts w:hint="eastAsia"/>
                <w:szCs w:val="21"/>
              </w:rPr>
              <w:t>关于印发&lt;广东省地表水环境功能区划&gt;》的通知</w:t>
            </w:r>
            <w:r>
              <w:rPr>
                <w:szCs w:val="21"/>
              </w:rPr>
              <w:t>》（粤</w:t>
            </w:r>
            <w:r>
              <w:rPr>
                <w:rFonts w:hint="eastAsia"/>
                <w:szCs w:val="21"/>
              </w:rPr>
              <w:t>环</w:t>
            </w:r>
            <w:r>
              <w:rPr>
                <w:szCs w:val="21"/>
              </w:rPr>
              <w:t>[2011]</w:t>
            </w:r>
            <w:r>
              <w:rPr>
                <w:rFonts w:hint="eastAsia"/>
                <w:szCs w:val="21"/>
              </w:rPr>
              <w:t>14</w:t>
            </w:r>
            <w:r>
              <w:rPr>
                <w:szCs w:val="21"/>
              </w:rPr>
              <w:t>号），</w:t>
            </w:r>
            <w:r>
              <w:rPr>
                <w:rFonts w:hint="eastAsia"/>
                <w:szCs w:val="21"/>
              </w:rPr>
              <w:t>公庄河（自博罗桂山糯米柏至博罗泰美段）水域功能为农用，水质保护目标为《地表水环境质量标准》（GB3838-2002）Ⅲ类标准，</w:t>
            </w:r>
            <w:r>
              <w:rPr>
                <w:rFonts w:hAnsi="宋体"/>
                <w:szCs w:val="21"/>
              </w:rPr>
              <w:t>《广东省地表水环境功能区划》（粤府函[2011]29号）未对南蛇沥水体功能进行划分，根据其现状功能，南蛇沥按</w:t>
            </w:r>
            <w:r>
              <w:rPr>
                <w:rFonts w:hint="eastAsia" w:hAnsi="宋体"/>
                <w:szCs w:val="21"/>
              </w:rPr>
              <w:t>Ⅳ类水</w:t>
            </w:r>
            <w:r>
              <w:rPr>
                <w:rFonts w:hAnsi="宋体"/>
                <w:szCs w:val="21"/>
              </w:rPr>
              <w:t>控制，故本次评价南蛇沥的水质目标执行《地表水环境质量标准》（GB3838-2002）中</w:t>
            </w:r>
            <w:r>
              <w:rPr>
                <w:rFonts w:hint="eastAsia" w:hAnsi="宋体"/>
                <w:szCs w:val="21"/>
              </w:rPr>
              <w:t>Ⅳ类</w:t>
            </w:r>
            <w:r>
              <w:rPr>
                <w:rFonts w:hAnsi="宋体"/>
                <w:szCs w:val="21"/>
              </w:rPr>
              <w:t>标准</w:t>
            </w:r>
            <w:r>
              <w:rPr>
                <w:rFonts w:hint="eastAsia"/>
                <w:szCs w:val="21"/>
              </w:rPr>
              <w:t>。</w:t>
            </w:r>
            <w:r>
              <w:rPr>
                <w:szCs w:val="21"/>
              </w:rPr>
              <w:t>本报告引用《</w:t>
            </w:r>
            <w:r>
              <w:rPr>
                <w:rFonts w:hint="eastAsia"/>
                <w:szCs w:val="21"/>
              </w:rPr>
              <w:t>广东</w:t>
            </w:r>
            <w:r>
              <w:rPr>
                <w:szCs w:val="21"/>
              </w:rPr>
              <w:t>博罗县产业转移工业园区总体规划</w:t>
            </w:r>
            <w:r>
              <w:rPr>
                <w:rFonts w:hint="eastAsia"/>
                <w:szCs w:val="21"/>
              </w:rPr>
              <w:t>环境</w:t>
            </w:r>
            <w:r>
              <w:rPr>
                <w:szCs w:val="21"/>
              </w:rPr>
              <w:t>影响报告书》</w:t>
            </w:r>
            <w:r>
              <w:rPr>
                <w:rFonts w:hint="eastAsia"/>
                <w:szCs w:val="21"/>
              </w:rPr>
              <w:t>（粤</w:t>
            </w:r>
            <w:r>
              <w:rPr>
                <w:szCs w:val="21"/>
              </w:rPr>
              <w:t>环审</w:t>
            </w:r>
            <w:r>
              <w:rPr>
                <w:rFonts w:hint="eastAsia"/>
                <w:szCs w:val="21"/>
              </w:rPr>
              <w:t>[2021]</w:t>
            </w:r>
            <w:r>
              <w:rPr>
                <w:szCs w:val="21"/>
              </w:rPr>
              <w:t>84</w:t>
            </w:r>
            <w:r>
              <w:rPr>
                <w:rFonts w:hint="eastAsia"/>
                <w:szCs w:val="21"/>
              </w:rPr>
              <w:t>号）</w:t>
            </w:r>
            <w:r>
              <w:rPr>
                <w:szCs w:val="21"/>
              </w:rPr>
              <w:t>中</w:t>
            </w:r>
            <w:r>
              <w:rPr>
                <w:rFonts w:hint="eastAsia"/>
                <w:szCs w:val="21"/>
              </w:rPr>
              <w:t>委托广东宏科环境检测有限公司对</w:t>
            </w:r>
            <w:r>
              <w:rPr>
                <w:szCs w:val="21"/>
              </w:rPr>
              <w:t>南蛇沥排渠</w:t>
            </w:r>
            <w:r>
              <w:rPr>
                <w:rFonts w:hint="eastAsia"/>
                <w:szCs w:val="21"/>
              </w:rPr>
              <w:t>断面</w:t>
            </w:r>
            <w:r>
              <w:rPr>
                <w:szCs w:val="21"/>
              </w:rPr>
              <w:t>地表水环境质量现状</w:t>
            </w:r>
            <w:r>
              <w:rPr>
                <w:rFonts w:hint="eastAsia"/>
                <w:szCs w:val="21"/>
              </w:rPr>
              <w:t>进行检测的</w:t>
            </w:r>
            <w:r>
              <w:rPr>
                <w:szCs w:val="21"/>
              </w:rPr>
              <w:t>数据，监测时间为</w:t>
            </w:r>
            <w:r>
              <w:rPr>
                <w:rFonts w:hint="eastAsia"/>
                <w:szCs w:val="21"/>
              </w:rPr>
              <w:t>2019</w:t>
            </w:r>
            <w:r>
              <w:rPr>
                <w:szCs w:val="21"/>
              </w:rPr>
              <w:t>年</w:t>
            </w:r>
            <w:r>
              <w:rPr>
                <w:rFonts w:hint="eastAsia"/>
                <w:szCs w:val="21"/>
              </w:rPr>
              <w:t>12</w:t>
            </w:r>
            <w:r>
              <w:rPr>
                <w:szCs w:val="21"/>
              </w:rPr>
              <w:t>月</w:t>
            </w:r>
            <w:r>
              <w:rPr>
                <w:rFonts w:hint="eastAsia"/>
                <w:szCs w:val="21"/>
              </w:rPr>
              <w:t>22</w:t>
            </w:r>
            <w:r>
              <w:rPr>
                <w:szCs w:val="21"/>
              </w:rPr>
              <w:t>～</w:t>
            </w:r>
            <w:r>
              <w:rPr>
                <w:rFonts w:hint="eastAsia"/>
                <w:szCs w:val="21"/>
              </w:rPr>
              <w:t>24</w:t>
            </w:r>
            <w:r>
              <w:rPr>
                <w:szCs w:val="21"/>
              </w:rPr>
              <w:t>日，</w:t>
            </w:r>
            <w:r>
              <w:rPr>
                <w:rFonts w:hint="eastAsia"/>
              </w:rPr>
              <w:t>具体监测断面见</w:t>
            </w:r>
            <w:r>
              <w:t>表</w:t>
            </w:r>
            <w:r>
              <w:rPr>
                <w:rFonts w:hint="eastAsia"/>
              </w:rPr>
              <w:t>1</w:t>
            </w:r>
            <w:r>
              <w:t>0</w:t>
            </w:r>
            <w:r>
              <w:rPr>
                <w:rFonts w:hint="eastAsia"/>
              </w:rPr>
              <w:t>，监测数据见表11</w:t>
            </w:r>
            <w:r>
              <w:t>，</w:t>
            </w:r>
            <w:r>
              <w:rPr>
                <w:szCs w:val="21"/>
              </w:rPr>
              <w:t>监测断面示意图见附图9</w:t>
            </w:r>
            <w:r>
              <w:t>。</w:t>
            </w:r>
          </w:p>
          <w:p>
            <w:pPr>
              <w:widowControl/>
              <w:numPr>
                <w:ilvl w:val="0"/>
                <w:numId w:val="2"/>
              </w:numPr>
              <w:spacing w:line="360" w:lineRule="auto"/>
              <w:ind w:left="0"/>
              <w:jc w:val="center"/>
              <w:rPr>
                <w:b/>
                <w:kern w:val="0"/>
                <w:szCs w:val="21"/>
              </w:rPr>
            </w:pPr>
            <w:r>
              <w:rPr>
                <w:b/>
                <w:kern w:val="0"/>
                <w:szCs w:val="21"/>
              </w:rPr>
              <w:t>地表水监测断面设置情况一览表</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692"/>
              <w:gridCol w:w="3469"/>
              <w:gridCol w:w="1767"/>
              <w:gridCol w:w="1212"/>
              <w:gridCol w:w="12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28" w:type="pct"/>
                  <w:noWrap/>
                  <w:vAlign w:val="center"/>
                </w:tcPr>
                <w:p>
                  <w:pPr>
                    <w:widowControl/>
                    <w:adjustRightInd w:val="0"/>
                    <w:snapToGrid w:val="0"/>
                    <w:jc w:val="center"/>
                    <w:rPr>
                      <w:kern w:val="0"/>
                      <w:szCs w:val="21"/>
                      <w:lang w:eastAsia="en-US"/>
                    </w:rPr>
                  </w:pPr>
                  <w:r>
                    <w:rPr>
                      <w:kern w:val="0"/>
                      <w:szCs w:val="21"/>
                      <w:lang w:eastAsia="en-US"/>
                    </w:rPr>
                    <w:t>序号</w:t>
                  </w:r>
                </w:p>
              </w:tc>
              <w:tc>
                <w:tcPr>
                  <w:tcW w:w="1987" w:type="pct"/>
                  <w:tcBorders>
                    <w:right w:val="single" w:color="auto" w:sz="4" w:space="0"/>
                  </w:tcBorders>
                  <w:noWrap/>
                  <w:vAlign w:val="center"/>
                </w:tcPr>
                <w:p>
                  <w:pPr>
                    <w:adjustRightInd w:val="0"/>
                    <w:snapToGrid w:val="0"/>
                    <w:spacing w:line="240" w:lineRule="atLeast"/>
                    <w:jc w:val="center"/>
                    <w:rPr>
                      <w:szCs w:val="21"/>
                    </w:rPr>
                  </w:pPr>
                  <w:r>
                    <w:rPr>
                      <w:szCs w:val="21"/>
                    </w:rPr>
                    <w:t>监测断面</w:t>
                  </w:r>
                </w:p>
              </w:tc>
              <w:tc>
                <w:tcPr>
                  <w:tcW w:w="1066" w:type="pct"/>
                  <w:tcBorders>
                    <w:left w:val="single" w:color="auto" w:sz="4" w:space="0"/>
                  </w:tcBorders>
                  <w:noWrap/>
                  <w:vAlign w:val="center"/>
                </w:tcPr>
                <w:p>
                  <w:pPr>
                    <w:widowControl/>
                    <w:jc w:val="center"/>
                    <w:rPr>
                      <w:szCs w:val="21"/>
                    </w:rPr>
                  </w:pPr>
                  <w:r>
                    <w:rPr>
                      <w:szCs w:val="21"/>
                    </w:rPr>
                    <w:t>经纬度</w:t>
                  </w:r>
                </w:p>
              </w:tc>
              <w:tc>
                <w:tcPr>
                  <w:tcW w:w="737" w:type="pct"/>
                  <w:noWrap/>
                  <w:vAlign w:val="center"/>
                </w:tcPr>
                <w:p>
                  <w:pPr>
                    <w:adjustRightInd w:val="0"/>
                    <w:snapToGrid w:val="0"/>
                    <w:spacing w:line="240" w:lineRule="atLeast"/>
                    <w:jc w:val="center"/>
                    <w:rPr>
                      <w:szCs w:val="21"/>
                    </w:rPr>
                  </w:pPr>
                  <w:r>
                    <w:rPr>
                      <w:szCs w:val="21"/>
                    </w:rPr>
                    <w:t>河流名称</w:t>
                  </w:r>
                </w:p>
              </w:tc>
              <w:tc>
                <w:tcPr>
                  <w:tcW w:w="779" w:type="pct"/>
                  <w:noWrap/>
                  <w:vAlign w:val="center"/>
                </w:tcPr>
                <w:p>
                  <w:pPr>
                    <w:adjustRightInd w:val="0"/>
                    <w:snapToGrid w:val="0"/>
                    <w:spacing w:line="240" w:lineRule="atLeast"/>
                    <w:jc w:val="center"/>
                    <w:rPr>
                      <w:szCs w:val="21"/>
                    </w:rPr>
                  </w:pPr>
                  <w:r>
                    <w:rPr>
                      <w:szCs w:val="21"/>
                    </w:rPr>
                    <w:t>断面特征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28" w:type="pct"/>
                  <w:noWrap/>
                  <w:vAlign w:val="center"/>
                </w:tcPr>
                <w:p>
                  <w:pPr>
                    <w:widowControl/>
                    <w:adjustRightInd w:val="0"/>
                    <w:snapToGrid w:val="0"/>
                    <w:jc w:val="center"/>
                    <w:rPr>
                      <w:kern w:val="0"/>
                      <w:szCs w:val="21"/>
                    </w:rPr>
                  </w:pPr>
                  <w:r>
                    <w:rPr>
                      <w:kern w:val="0"/>
                      <w:szCs w:val="21"/>
                      <w:lang w:eastAsia="en-US"/>
                    </w:rPr>
                    <w:t>W</w:t>
                  </w:r>
                  <w:r>
                    <w:rPr>
                      <w:kern w:val="0"/>
                      <w:szCs w:val="21"/>
                    </w:rPr>
                    <w:t>1</w:t>
                  </w:r>
                </w:p>
              </w:tc>
              <w:tc>
                <w:tcPr>
                  <w:tcW w:w="1987" w:type="pct"/>
                  <w:tcBorders>
                    <w:right w:val="single" w:color="auto" w:sz="4" w:space="0"/>
                  </w:tcBorders>
                  <w:noWrap/>
                  <w:vAlign w:val="center"/>
                </w:tcPr>
                <w:p>
                  <w:pPr>
                    <w:widowControl/>
                    <w:wordWrap w:val="0"/>
                    <w:overflowPunct w:val="0"/>
                    <w:topLinePunct/>
                    <w:jc w:val="center"/>
                    <w:rPr>
                      <w:kern w:val="0"/>
                      <w:szCs w:val="21"/>
                    </w:rPr>
                  </w:pPr>
                  <w:r>
                    <w:rPr>
                      <w:kern w:val="0"/>
                      <w:szCs w:val="21"/>
                    </w:rPr>
                    <w:t>W1东区1#污水厂排污口上游500m</w:t>
                  </w:r>
                </w:p>
              </w:tc>
              <w:tc>
                <w:tcPr>
                  <w:tcW w:w="1066" w:type="pct"/>
                  <w:tcBorders>
                    <w:left w:val="single" w:color="auto" w:sz="4" w:space="0"/>
                  </w:tcBorders>
                  <w:noWrap/>
                  <w:vAlign w:val="center"/>
                </w:tcPr>
                <w:p>
                  <w:pPr>
                    <w:widowControl/>
                    <w:wordWrap w:val="0"/>
                    <w:overflowPunct w:val="0"/>
                    <w:topLinePunct/>
                    <w:jc w:val="center"/>
                    <w:rPr>
                      <w:kern w:val="0"/>
                      <w:szCs w:val="21"/>
                    </w:rPr>
                  </w:pPr>
                  <w:r>
                    <w:rPr>
                      <w:kern w:val="0"/>
                      <w:szCs w:val="21"/>
                    </w:rPr>
                    <w:t>E114°29′00.06″</w:t>
                  </w:r>
                </w:p>
                <w:p>
                  <w:pPr>
                    <w:widowControl/>
                    <w:wordWrap w:val="0"/>
                    <w:overflowPunct w:val="0"/>
                    <w:topLinePunct/>
                    <w:jc w:val="center"/>
                    <w:rPr>
                      <w:kern w:val="0"/>
                      <w:szCs w:val="21"/>
                    </w:rPr>
                  </w:pPr>
                  <w:r>
                    <w:rPr>
                      <w:kern w:val="0"/>
                      <w:szCs w:val="21"/>
                    </w:rPr>
                    <w:t>N23°26′43.73″</w:t>
                  </w:r>
                </w:p>
              </w:tc>
              <w:tc>
                <w:tcPr>
                  <w:tcW w:w="737" w:type="pct"/>
                  <w:noWrap/>
                  <w:vAlign w:val="center"/>
                </w:tcPr>
                <w:p>
                  <w:pPr>
                    <w:adjustRightInd w:val="0"/>
                    <w:snapToGrid w:val="0"/>
                    <w:spacing w:line="240" w:lineRule="atLeast"/>
                    <w:jc w:val="center"/>
                    <w:rPr>
                      <w:szCs w:val="21"/>
                    </w:rPr>
                  </w:pPr>
                  <w:r>
                    <w:rPr>
                      <w:szCs w:val="21"/>
                    </w:rPr>
                    <w:t>南蛇沥</w:t>
                  </w:r>
                </w:p>
              </w:tc>
              <w:tc>
                <w:tcPr>
                  <w:tcW w:w="779" w:type="pct"/>
                  <w:noWrap/>
                  <w:vAlign w:val="center"/>
                </w:tcPr>
                <w:p>
                  <w:pPr>
                    <w:adjustRightInd w:val="0"/>
                    <w:snapToGrid w:val="0"/>
                    <w:spacing w:line="240" w:lineRule="atLeast"/>
                    <w:jc w:val="center"/>
                    <w:rPr>
                      <w:szCs w:val="21"/>
                    </w:rPr>
                  </w:pPr>
                  <w:r>
                    <w:rPr>
                      <w:szCs w:val="21"/>
                    </w:rPr>
                    <w:t>对照断面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28" w:type="pct"/>
                  <w:noWrap/>
                  <w:vAlign w:val="center"/>
                </w:tcPr>
                <w:p>
                  <w:pPr>
                    <w:widowControl/>
                    <w:adjustRightInd w:val="0"/>
                    <w:snapToGrid w:val="0"/>
                    <w:jc w:val="center"/>
                    <w:rPr>
                      <w:kern w:val="0"/>
                      <w:szCs w:val="21"/>
                    </w:rPr>
                  </w:pPr>
                  <w:r>
                    <w:rPr>
                      <w:kern w:val="0"/>
                      <w:szCs w:val="21"/>
                      <w:lang w:eastAsia="en-US"/>
                    </w:rPr>
                    <w:t>W</w:t>
                  </w:r>
                  <w:r>
                    <w:rPr>
                      <w:kern w:val="0"/>
                      <w:szCs w:val="21"/>
                    </w:rPr>
                    <w:t>2</w:t>
                  </w:r>
                </w:p>
              </w:tc>
              <w:tc>
                <w:tcPr>
                  <w:tcW w:w="1987" w:type="pct"/>
                  <w:tcBorders>
                    <w:right w:val="single" w:color="auto" w:sz="4" w:space="0"/>
                  </w:tcBorders>
                  <w:noWrap/>
                  <w:vAlign w:val="center"/>
                </w:tcPr>
                <w:p>
                  <w:pPr>
                    <w:widowControl/>
                    <w:wordWrap w:val="0"/>
                    <w:overflowPunct w:val="0"/>
                    <w:topLinePunct/>
                    <w:jc w:val="center"/>
                    <w:rPr>
                      <w:kern w:val="0"/>
                      <w:szCs w:val="21"/>
                    </w:rPr>
                  </w:pPr>
                  <w:r>
                    <w:rPr>
                      <w:kern w:val="0"/>
                      <w:szCs w:val="21"/>
                    </w:rPr>
                    <w:t>W2东区1#污水厂排污口下游1000m</w:t>
                  </w:r>
                </w:p>
              </w:tc>
              <w:tc>
                <w:tcPr>
                  <w:tcW w:w="1066" w:type="pct"/>
                  <w:tcBorders>
                    <w:left w:val="single" w:color="auto" w:sz="4" w:space="0"/>
                  </w:tcBorders>
                  <w:noWrap/>
                  <w:vAlign w:val="center"/>
                </w:tcPr>
                <w:p>
                  <w:pPr>
                    <w:widowControl/>
                    <w:wordWrap w:val="0"/>
                    <w:overflowPunct w:val="0"/>
                    <w:topLinePunct/>
                    <w:jc w:val="center"/>
                    <w:rPr>
                      <w:kern w:val="0"/>
                      <w:szCs w:val="21"/>
                    </w:rPr>
                  </w:pPr>
                  <w:r>
                    <w:rPr>
                      <w:kern w:val="0"/>
                      <w:szCs w:val="21"/>
                    </w:rPr>
                    <w:t>E114°28′37.95″</w:t>
                  </w:r>
                </w:p>
                <w:p>
                  <w:pPr>
                    <w:widowControl/>
                    <w:wordWrap w:val="0"/>
                    <w:overflowPunct w:val="0"/>
                    <w:topLinePunct/>
                    <w:jc w:val="center"/>
                    <w:rPr>
                      <w:kern w:val="0"/>
                      <w:szCs w:val="21"/>
                    </w:rPr>
                  </w:pPr>
                  <w:r>
                    <w:rPr>
                      <w:kern w:val="0"/>
                      <w:szCs w:val="21"/>
                    </w:rPr>
                    <w:t>N23°25′45.61″</w:t>
                  </w:r>
                </w:p>
              </w:tc>
              <w:tc>
                <w:tcPr>
                  <w:tcW w:w="737" w:type="pct"/>
                  <w:noWrap/>
                  <w:vAlign w:val="center"/>
                </w:tcPr>
                <w:p>
                  <w:pPr>
                    <w:adjustRightInd w:val="0"/>
                    <w:snapToGrid w:val="0"/>
                    <w:spacing w:line="240" w:lineRule="atLeast"/>
                    <w:jc w:val="center"/>
                    <w:rPr>
                      <w:szCs w:val="21"/>
                    </w:rPr>
                  </w:pPr>
                  <w:r>
                    <w:rPr>
                      <w:szCs w:val="21"/>
                    </w:rPr>
                    <w:t>南蛇沥</w:t>
                  </w:r>
                </w:p>
              </w:tc>
              <w:tc>
                <w:tcPr>
                  <w:tcW w:w="779" w:type="pct"/>
                  <w:noWrap/>
                  <w:vAlign w:val="center"/>
                </w:tcPr>
                <w:p>
                  <w:pPr>
                    <w:adjustRightInd w:val="0"/>
                    <w:snapToGrid w:val="0"/>
                    <w:spacing w:line="240" w:lineRule="atLeast"/>
                    <w:jc w:val="center"/>
                    <w:rPr>
                      <w:szCs w:val="21"/>
                    </w:rPr>
                  </w:pPr>
                  <w:r>
                    <w:rPr>
                      <w:szCs w:val="21"/>
                    </w:rPr>
                    <w:t>控制断面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28" w:type="pct"/>
                  <w:noWrap/>
                  <w:vAlign w:val="center"/>
                </w:tcPr>
                <w:p>
                  <w:pPr>
                    <w:widowControl/>
                    <w:adjustRightInd w:val="0"/>
                    <w:snapToGrid w:val="0"/>
                    <w:jc w:val="center"/>
                    <w:rPr>
                      <w:kern w:val="0"/>
                      <w:szCs w:val="21"/>
                      <w:lang w:eastAsia="en-US"/>
                    </w:rPr>
                  </w:pPr>
                  <w:r>
                    <w:rPr>
                      <w:kern w:val="0"/>
                      <w:szCs w:val="21"/>
                      <w:lang w:eastAsia="en-US"/>
                    </w:rPr>
                    <w:t>W</w:t>
                  </w:r>
                  <w:r>
                    <w:rPr>
                      <w:kern w:val="0"/>
                      <w:szCs w:val="21"/>
                    </w:rPr>
                    <w:t>3</w:t>
                  </w:r>
                </w:p>
              </w:tc>
              <w:tc>
                <w:tcPr>
                  <w:tcW w:w="1987" w:type="pct"/>
                  <w:tcBorders>
                    <w:right w:val="single" w:color="auto" w:sz="4" w:space="0"/>
                  </w:tcBorders>
                  <w:noWrap/>
                  <w:vAlign w:val="center"/>
                </w:tcPr>
                <w:p>
                  <w:pPr>
                    <w:widowControl/>
                    <w:wordWrap w:val="0"/>
                    <w:overflowPunct w:val="0"/>
                    <w:topLinePunct/>
                    <w:jc w:val="center"/>
                    <w:rPr>
                      <w:kern w:val="0"/>
                      <w:szCs w:val="21"/>
                    </w:rPr>
                  </w:pPr>
                  <w:r>
                    <w:rPr>
                      <w:kern w:val="0"/>
                      <w:szCs w:val="21"/>
                    </w:rPr>
                    <w:t>W3东区1#污水厂排污口下游2500m</w:t>
                  </w:r>
                </w:p>
              </w:tc>
              <w:tc>
                <w:tcPr>
                  <w:tcW w:w="1066" w:type="pct"/>
                  <w:tcBorders>
                    <w:left w:val="single" w:color="auto" w:sz="4" w:space="0"/>
                  </w:tcBorders>
                  <w:noWrap/>
                  <w:vAlign w:val="center"/>
                </w:tcPr>
                <w:p>
                  <w:pPr>
                    <w:widowControl/>
                    <w:wordWrap w:val="0"/>
                    <w:overflowPunct w:val="0"/>
                    <w:topLinePunct/>
                    <w:jc w:val="center"/>
                    <w:rPr>
                      <w:kern w:val="0"/>
                      <w:szCs w:val="21"/>
                    </w:rPr>
                  </w:pPr>
                  <w:r>
                    <w:rPr>
                      <w:kern w:val="0"/>
                      <w:szCs w:val="21"/>
                    </w:rPr>
                    <w:t>E114°28′52.91″</w:t>
                  </w:r>
                </w:p>
                <w:p>
                  <w:pPr>
                    <w:widowControl/>
                    <w:wordWrap w:val="0"/>
                    <w:overflowPunct w:val="0"/>
                    <w:topLinePunct/>
                    <w:rPr>
                      <w:kern w:val="0"/>
                      <w:szCs w:val="21"/>
                    </w:rPr>
                  </w:pPr>
                  <w:r>
                    <w:rPr>
                      <w:kern w:val="0"/>
                      <w:szCs w:val="21"/>
                    </w:rPr>
                    <w:t>N23°25′07.12″</w:t>
                  </w:r>
                </w:p>
              </w:tc>
              <w:tc>
                <w:tcPr>
                  <w:tcW w:w="737" w:type="pct"/>
                  <w:noWrap/>
                  <w:vAlign w:val="center"/>
                </w:tcPr>
                <w:p>
                  <w:pPr>
                    <w:adjustRightInd w:val="0"/>
                    <w:snapToGrid w:val="0"/>
                    <w:spacing w:line="240" w:lineRule="atLeast"/>
                    <w:jc w:val="center"/>
                    <w:rPr>
                      <w:szCs w:val="21"/>
                    </w:rPr>
                  </w:pPr>
                  <w:r>
                    <w:rPr>
                      <w:szCs w:val="21"/>
                    </w:rPr>
                    <w:t>南蛇沥</w:t>
                  </w:r>
                </w:p>
              </w:tc>
              <w:tc>
                <w:tcPr>
                  <w:tcW w:w="779" w:type="pct"/>
                  <w:noWrap/>
                  <w:vAlign w:val="center"/>
                </w:tcPr>
                <w:p>
                  <w:pPr>
                    <w:adjustRightInd w:val="0"/>
                    <w:snapToGrid w:val="0"/>
                    <w:spacing w:line="240" w:lineRule="atLeast"/>
                    <w:jc w:val="center"/>
                    <w:rPr>
                      <w:szCs w:val="21"/>
                    </w:rPr>
                  </w:pPr>
                  <w:r>
                    <w:rPr>
                      <w:szCs w:val="21"/>
                    </w:rPr>
                    <w:t>削减断面</w:t>
                  </w:r>
                </w:p>
              </w:tc>
            </w:tr>
          </w:tbl>
          <w:p>
            <w:pPr>
              <w:widowControl/>
              <w:numPr>
                <w:ilvl w:val="0"/>
                <w:numId w:val="2"/>
              </w:numPr>
              <w:spacing w:line="360" w:lineRule="auto"/>
              <w:ind w:left="0"/>
              <w:jc w:val="center"/>
              <w:rPr>
                <w:b/>
                <w:kern w:val="0"/>
                <w:szCs w:val="21"/>
              </w:rPr>
            </w:pPr>
            <w:r>
              <w:rPr>
                <w:b/>
                <w:bCs/>
                <w:szCs w:val="21"/>
                <w:lang w:val="zh-CN"/>
              </w:rPr>
              <w:t>地表水环境质量评价分析一览表</w:t>
            </w:r>
            <w:r>
              <w:rPr>
                <w:b/>
                <w:kern w:val="0"/>
                <w:szCs w:val="21"/>
              </w:rPr>
              <w:t xml:space="preserve">    单位：mg/L</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2"/>
              <w:gridCol w:w="1212"/>
              <w:gridCol w:w="1523"/>
              <w:gridCol w:w="907"/>
              <w:gridCol w:w="850"/>
              <w:gridCol w:w="846"/>
              <w:gridCol w:w="991"/>
              <w:gridCol w:w="10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30" w:type="pct"/>
                  <w:vMerge w:val="restart"/>
                  <w:noWrap/>
                  <w:vAlign w:val="center"/>
                </w:tcPr>
                <w:p>
                  <w:pPr>
                    <w:widowControl/>
                    <w:jc w:val="center"/>
                    <w:rPr>
                      <w:kern w:val="0"/>
                      <w:szCs w:val="21"/>
                    </w:rPr>
                  </w:pPr>
                  <w:r>
                    <w:rPr>
                      <w:kern w:val="0"/>
                      <w:szCs w:val="21"/>
                    </w:rPr>
                    <w:t>监测断面</w:t>
                  </w:r>
                </w:p>
              </w:tc>
              <w:tc>
                <w:tcPr>
                  <w:tcW w:w="719" w:type="pct"/>
                  <w:vMerge w:val="restart"/>
                  <w:noWrap/>
                  <w:vAlign w:val="center"/>
                </w:tcPr>
                <w:p>
                  <w:pPr>
                    <w:widowControl/>
                    <w:jc w:val="center"/>
                    <w:rPr>
                      <w:kern w:val="0"/>
                      <w:szCs w:val="21"/>
                    </w:rPr>
                  </w:pPr>
                  <w:r>
                    <w:rPr>
                      <w:kern w:val="0"/>
                      <w:szCs w:val="21"/>
                    </w:rPr>
                    <w:t>采样日期</w:t>
                  </w:r>
                </w:p>
              </w:tc>
              <w:tc>
                <w:tcPr>
                  <w:tcW w:w="3651" w:type="pct"/>
                  <w:gridSpan w:val="6"/>
                  <w:vAlign w:val="center"/>
                </w:tcPr>
                <w:p>
                  <w:pPr>
                    <w:widowControl/>
                    <w:jc w:val="center"/>
                    <w:rPr>
                      <w:kern w:val="0"/>
                      <w:szCs w:val="21"/>
                    </w:rPr>
                  </w:pPr>
                  <w:r>
                    <w:rPr>
                      <w:kern w:val="0"/>
                      <w:szCs w:val="21"/>
                    </w:rPr>
                    <w:t>监测指标及结果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30" w:type="pct"/>
                  <w:vMerge w:val="continue"/>
                  <w:noWrap/>
                  <w:vAlign w:val="center"/>
                </w:tcPr>
                <w:p>
                  <w:pPr>
                    <w:widowControl/>
                    <w:jc w:val="center"/>
                    <w:rPr>
                      <w:kern w:val="0"/>
                      <w:szCs w:val="21"/>
                    </w:rPr>
                  </w:pPr>
                </w:p>
              </w:tc>
              <w:tc>
                <w:tcPr>
                  <w:tcW w:w="719" w:type="pct"/>
                  <w:vMerge w:val="continue"/>
                  <w:noWrap/>
                  <w:vAlign w:val="center"/>
                </w:tcPr>
                <w:p>
                  <w:pPr>
                    <w:widowControl/>
                    <w:jc w:val="center"/>
                    <w:rPr>
                      <w:kern w:val="0"/>
                      <w:szCs w:val="21"/>
                    </w:rPr>
                  </w:pPr>
                </w:p>
              </w:tc>
              <w:tc>
                <w:tcPr>
                  <w:tcW w:w="903" w:type="pct"/>
                  <w:noWrap/>
                  <w:vAlign w:val="center"/>
                </w:tcPr>
                <w:p>
                  <w:pPr>
                    <w:widowControl/>
                    <w:jc w:val="center"/>
                    <w:rPr>
                      <w:kern w:val="0"/>
                      <w:szCs w:val="21"/>
                    </w:rPr>
                  </w:pPr>
                  <w:r>
                    <w:rPr>
                      <w:kern w:val="0"/>
                      <w:szCs w:val="21"/>
                    </w:rPr>
                    <w:t>pH（无量纲）</w:t>
                  </w:r>
                </w:p>
              </w:tc>
              <w:tc>
                <w:tcPr>
                  <w:tcW w:w="538" w:type="pct"/>
                  <w:noWrap/>
                  <w:vAlign w:val="center"/>
                </w:tcPr>
                <w:p>
                  <w:pPr>
                    <w:widowControl/>
                    <w:jc w:val="center"/>
                    <w:rPr>
                      <w:kern w:val="0"/>
                      <w:szCs w:val="21"/>
                    </w:rPr>
                  </w:pPr>
                  <w:r>
                    <w:rPr>
                      <w:rFonts w:hint="eastAsia"/>
                      <w:kern w:val="0"/>
                      <w:szCs w:val="21"/>
                    </w:rPr>
                    <w:t>C</w:t>
                  </w:r>
                  <w:r>
                    <w:rPr>
                      <w:kern w:val="0"/>
                      <w:szCs w:val="21"/>
                    </w:rPr>
                    <w:t>OD</w:t>
                  </w:r>
                  <w:r>
                    <w:rPr>
                      <w:kern w:val="0"/>
                      <w:szCs w:val="21"/>
                      <w:vertAlign w:val="subscript"/>
                    </w:rPr>
                    <w:t>Cr</w:t>
                  </w:r>
                </w:p>
              </w:tc>
              <w:tc>
                <w:tcPr>
                  <w:tcW w:w="504" w:type="pct"/>
                  <w:tcBorders>
                    <w:right w:val="single" w:color="auto" w:sz="4" w:space="0"/>
                  </w:tcBorders>
                  <w:noWrap/>
                  <w:vAlign w:val="center"/>
                </w:tcPr>
                <w:p>
                  <w:pPr>
                    <w:widowControl/>
                    <w:jc w:val="center"/>
                    <w:rPr>
                      <w:kern w:val="0"/>
                      <w:szCs w:val="21"/>
                    </w:rPr>
                  </w:pPr>
                  <w:r>
                    <w:rPr>
                      <w:kern w:val="0"/>
                      <w:szCs w:val="21"/>
                    </w:rPr>
                    <w:t>溶解氧</w:t>
                  </w:r>
                </w:p>
              </w:tc>
              <w:tc>
                <w:tcPr>
                  <w:tcW w:w="502" w:type="pct"/>
                  <w:noWrap/>
                  <w:vAlign w:val="center"/>
                </w:tcPr>
                <w:p>
                  <w:pPr>
                    <w:widowControl/>
                    <w:jc w:val="center"/>
                    <w:rPr>
                      <w:kern w:val="0"/>
                      <w:szCs w:val="21"/>
                    </w:rPr>
                  </w:pPr>
                  <w:r>
                    <w:rPr>
                      <w:kern w:val="0"/>
                      <w:szCs w:val="21"/>
                    </w:rPr>
                    <w:t>氨氮</w:t>
                  </w:r>
                </w:p>
              </w:tc>
              <w:tc>
                <w:tcPr>
                  <w:tcW w:w="588" w:type="pct"/>
                  <w:tcBorders>
                    <w:right w:val="single" w:color="auto" w:sz="4" w:space="0"/>
                  </w:tcBorders>
                  <w:noWrap/>
                  <w:vAlign w:val="center"/>
                </w:tcPr>
                <w:p>
                  <w:pPr>
                    <w:widowControl/>
                    <w:jc w:val="center"/>
                    <w:rPr>
                      <w:kern w:val="0"/>
                      <w:szCs w:val="21"/>
                    </w:rPr>
                  </w:pPr>
                  <w:r>
                    <w:rPr>
                      <w:kern w:val="0"/>
                      <w:szCs w:val="21"/>
                    </w:rPr>
                    <w:t>总磷</w:t>
                  </w:r>
                </w:p>
              </w:tc>
              <w:tc>
                <w:tcPr>
                  <w:tcW w:w="616" w:type="pct"/>
                  <w:tcBorders>
                    <w:left w:val="single" w:color="auto" w:sz="4" w:space="0"/>
                    <w:right w:val="single" w:color="auto" w:sz="4" w:space="0"/>
                  </w:tcBorders>
                  <w:noWrap/>
                  <w:vAlign w:val="center"/>
                </w:tcPr>
                <w:p>
                  <w:pPr>
                    <w:widowControl/>
                    <w:jc w:val="center"/>
                    <w:rPr>
                      <w:kern w:val="0"/>
                      <w:szCs w:val="21"/>
                    </w:rPr>
                  </w:pPr>
                  <w:r>
                    <w:rPr>
                      <w:rFonts w:hint="eastAsia"/>
                      <w:kern w:val="0"/>
                      <w:szCs w:val="21"/>
                    </w:rPr>
                    <w:t>石油类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restart"/>
                  <w:noWrap/>
                  <w:vAlign w:val="center"/>
                </w:tcPr>
                <w:p>
                  <w:pPr>
                    <w:widowControl/>
                    <w:jc w:val="center"/>
                    <w:rPr>
                      <w:kern w:val="0"/>
                      <w:szCs w:val="21"/>
                    </w:rPr>
                  </w:pPr>
                  <w:r>
                    <w:rPr>
                      <w:kern w:val="0"/>
                      <w:szCs w:val="21"/>
                    </w:rPr>
                    <w:t>W1</w:t>
                  </w:r>
                </w:p>
              </w:tc>
              <w:tc>
                <w:tcPr>
                  <w:tcW w:w="719" w:type="pct"/>
                  <w:noWrap/>
                  <w:vAlign w:val="center"/>
                </w:tcPr>
                <w:p>
                  <w:pPr>
                    <w:widowControl/>
                    <w:jc w:val="center"/>
                    <w:rPr>
                      <w:kern w:val="0"/>
                      <w:szCs w:val="21"/>
                    </w:rPr>
                  </w:pPr>
                  <w:r>
                    <w:rPr>
                      <w:kern w:val="0"/>
                      <w:szCs w:val="21"/>
                    </w:rPr>
                    <w:t>2019.12.22</w:t>
                  </w:r>
                </w:p>
              </w:tc>
              <w:tc>
                <w:tcPr>
                  <w:tcW w:w="903" w:type="pct"/>
                  <w:noWrap/>
                  <w:vAlign w:val="center"/>
                </w:tcPr>
                <w:p>
                  <w:pPr>
                    <w:widowControl/>
                    <w:jc w:val="center"/>
                    <w:rPr>
                      <w:kern w:val="0"/>
                      <w:szCs w:val="21"/>
                    </w:rPr>
                  </w:pPr>
                  <w:r>
                    <w:rPr>
                      <w:kern w:val="0"/>
                      <w:szCs w:val="21"/>
                    </w:rPr>
                    <w:t>6.87</w:t>
                  </w:r>
                </w:p>
              </w:tc>
              <w:tc>
                <w:tcPr>
                  <w:tcW w:w="538" w:type="pct"/>
                  <w:noWrap/>
                  <w:vAlign w:val="center"/>
                </w:tcPr>
                <w:p>
                  <w:pPr>
                    <w:widowControl/>
                    <w:jc w:val="center"/>
                    <w:rPr>
                      <w:kern w:val="0"/>
                      <w:szCs w:val="21"/>
                    </w:rPr>
                  </w:pPr>
                  <w:r>
                    <w:rPr>
                      <w:kern w:val="0"/>
                      <w:szCs w:val="21"/>
                    </w:rPr>
                    <w:t>38</w:t>
                  </w:r>
                </w:p>
              </w:tc>
              <w:tc>
                <w:tcPr>
                  <w:tcW w:w="504" w:type="pct"/>
                  <w:tcBorders>
                    <w:right w:val="single" w:color="auto" w:sz="4" w:space="0"/>
                  </w:tcBorders>
                  <w:noWrap/>
                  <w:vAlign w:val="center"/>
                </w:tcPr>
                <w:p>
                  <w:pPr>
                    <w:widowControl/>
                    <w:jc w:val="center"/>
                    <w:rPr>
                      <w:kern w:val="0"/>
                      <w:szCs w:val="21"/>
                    </w:rPr>
                  </w:pPr>
                  <w:r>
                    <w:rPr>
                      <w:kern w:val="0"/>
                      <w:szCs w:val="21"/>
                    </w:rPr>
                    <w:t>6.4</w:t>
                  </w:r>
                </w:p>
              </w:tc>
              <w:tc>
                <w:tcPr>
                  <w:tcW w:w="502" w:type="pct"/>
                  <w:noWrap/>
                  <w:vAlign w:val="center"/>
                </w:tcPr>
                <w:p>
                  <w:pPr>
                    <w:widowControl/>
                    <w:jc w:val="center"/>
                    <w:rPr>
                      <w:kern w:val="0"/>
                      <w:szCs w:val="21"/>
                    </w:rPr>
                  </w:pPr>
                  <w:r>
                    <w:rPr>
                      <w:kern w:val="0"/>
                      <w:szCs w:val="21"/>
                    </w:rPr>
                    <w:t>1.34</w:t>
                  </w:r>
                </w:p>
              </w:tc>
              <w:tc>
                <w:tcPr>
                  <w:tcW w:w="588" w:type="pct"/>
                  <w:tcBorders>
                    <w:right w:val="single" w:color="auto" w:sz="4" w:space="0"/>
                  </w:tcBorders>
                  <w:noWrap/>
                  <w:vAlign w:val="center"/>
                </w:tcPr>
                <w:p>
                  <w:pPr>
                    <w:widowControl/>
                    <w:jc w:val="center"/>
                    <w:rPr>
                      <w:kern w:val="0"/>
                      <w:szCs w:val="21"/>
                    </w:rPr>
                  </w:pPr>
                  <w:r>
                    <w:rPr>
                      <w:kern w:val="0"/>
                      <w:szCs w:val="21"/>
                    </w:rPr>
                    <w:t>0.36</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2019.12.23</w:t>
                  </w:r>
                </w:p>
              </w:tc>
              <w:tc>
                <w:tcPr>
                  <w:tcW w:w="903" w:type="pct"/>
                  <w:noWrap/>
                  <w:vAlign w:val="center"/>
                </w:tcPr>
                <w:p>
                  <w:pPr>
                    <w:widowControl/>
                    <w:jc w:val="center"/>
                    <w:rPr>
                      <w:kern w:val="0"/>
                      <w:szCs w:val="21"/>
                    </w:rPr>
                  </w:pPr>
                  <w:r>
                    <w:rPr>
                      <w:kern w:val="0"/>
                      <w:szCs w:val="21"/>
                    </w:rPr>
                    <w:t>6.92</w:t>
                  </w:r>
                </w:p>
              </w:tc>
              <w:tc>
                <w:tcPr>
                  <w:tcW w:w="538" w:type="pct"/>
                  <w:noWrap/>
                  <w:vAlign w:val="center"/>
                </w:tcPr>
                <w:p>
                  <w:pPr>
                    <w:widowControl/>
                    <w:jc w:val="center"/>
                    <w:rPr>
                      <w:kern w:val="0"/>
                      <w:szCs w:val="21"/>
                    </w:rPr>
                  </w:pPr>
                  <w:r>
                    <w:rPr>
                      <w:kern w:val="0"/>
                      <w:szCs w:val="21"/>
                    </w:rPr>
                    <w:t>30</w:t>
                  </w:r>
                </w:p>
              </w:tc>
              <w:tc>
                <w:tcPr>
                  <w:tcW w:w="504" w:type="pct"/>
                  <w:tcBorders>
                    <w:right w:val="single" w:color="auto" w:sz="4" w:space="0"/>
                  </w:tcBorders>
                  <w:noWrap/>
                  <w:vAlign w:val="center"/>
                </w:tcPr>
                <w:p>
                  <w:pPr>
                    <w:widowControl/>
                    <w:jc w:val="center"/>
                    <w:rPr>
                      <w:kern w:val="0"/>
                      <w:szCs w:val="21"/>
                    </w:rPr>
                  </w:pPr>
                  <w:r>
                    <w:rPr>
                      <w:kern w:val="0"/>
                      <w:szCs w:val="21"/>
                    </w:rPr>
                    <w:t>6.6</w:t>
                  </w:r>
                </w:p>
              </w:tc>
              <w:tc>
                <w:tcPr>
                  <w:tcW w:w="502" w:type="pct"/>
                  <w:noWrap/>
                  <w:vAlign w:val="center"/>
                </w:tcPr>
                <w:p>
                  <w:pPr>
                    <w:widowControl/>
                    <w:jc w:val="center"/>
                    <w:rPr>
                      <w:kern w:val="0"/>
                      <w:szCs w:val="21"/>
                    </w:rPr>
                  </w:pPr>
                  <w:r>
                    <w:rPr>
                      <w:kern w:val="0"/>
                      <w:szCs w:val="21"/>
                    </w:rPr>
                    <w:t>1.35</w:t>
                  </w:r>
                </w:p>
              </w:tc>
              <w:tc>
                <w:tcPr>
                  <w:tcW w:w="588" w:type="pct"/>
                  <w:tcBorders>
                    <w:right w:val="single" w:color="auto" w:sz="4" w:space="0"/>
                  </w:tcBorders>
                  <w:noWrap/>
                  <w:vAlign w:val="center"/>
                </w:tcPr>
                <w:p>
                  <w:pPr>
                    <w:widowControl/>
                    <w:jc w:val="center"/>
                    <w:rPr>
                      <w:kern w:val="0"/>
                      <w:szCs w:val="21"/>
                    </w:rPr>
                  </w:pPr>
                  <w:r>
                    <w:rPr>
                      <w:kern w:val="0"/>
                      <w:szCs w:val="21"/>
                    </w:rPr>
                    <w:t>0.29</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2019.12.24</w:t>
                  </w:r>
                </w:p>
              </w:tc>
              <w:tc>
                <w:tcPr>
                  <w:tcW w:w="903" w:type="pct"/>
                  <w:noWrap/>
                  <w:vAlign w:val="center"/>
                </w:tcPr>
                <w:p>
                  <w:pPr>
                    <w:widowControl/>
                    <w:jc w:val="center"/>
                    <w:rPr>
                      <w:kern w:val="0"/>
                      <w:szCs w:val="21"/>
                    </w:rPr>
                  </w:pPr>
                  <w:r>
                    <w:rPr>
                      <w:kern w:val="0"/>
                      <w:szCs w:val="21"/>
                    </w:rPr>
                    <w:t>6.9</w:t>
                  </w:r>
                </w:p>
              </w:tc>
              <w:tc>
                <w:tcPr>
                  <w:tcW w:w="538" w:type="pct"/>
                  <w:noWrap/>
                  <w:vAlign w:val="center"/>
                </w:tcPr>
                <w:p>
                  <w:pPr>
                    <w:widowControl/>
                    <w:jc w:val="center"/>
                    <w:rPr>
                      <w:kern w:val="0"/>
                      <w:szCs w:val="21"/>
                    </w:rPr>
                  </w:pPr>
                  <w:r>
                    <w:rPr>
                      <w:kern w:val="0"/>
                      <w:szCs w:val="21"/>
                    </w:rPr>
                    <w:t>34</w:t>
                  </w:r>
                </w:p>
              </w:tc>
              <w:tc>
                <w:tcPr>
                  <w:tcW w:w="504" w:type="pct"/>
                  <w:tcBorders>
                    <w:right w:val="single" w:color="auto" w:sz="4" w:space="0"/>
                  </w:tcBorders>
                  <w:noWrap/>
                  <w:vAlign w:val="center"/>
                </w:tcPr>
                <w:p>
                  <w:pPr>
                    <w:widowControl/>
                    <w:jc w:val="center"/>
                    <w:rPr>
                      <w:kern w:val="0"/>
                      <w:szCs w:val="21"/>
                    </w:rPr>
                  </w:pPr>
                  <w:r>
                    <w:rPr>
                      <w:kern w:val="0"/>
                      <w:szCs w:val="21"/>
                    </w:rPr>
                    <w:t>6.7</w:t>
                  </w:r>
                </w:p>
              </w:tc>
              <w:tc>
                <w:tcPr>
                  <w:tcW w:w="502" w:type="pct"/>
                  <w:noWrap/>
                  <w:vAlign w:val="center"/>
                </w:tcPr>
                <w:p>
                  <w:pPr>
                    <w:widowControl/>
                    <w:jc w:val="center"/>
                    <w:rPr>
                      <w:kern w:val="0"/>
                      <w:szCs w:val="21"/>
                    </w:rPr>
                  </w:pPr>
                  <w:r>
                    <w:rPr>
                      <w:kern w:val="0"/>
                      <w:szCs w:val="21"/>
                    </w:rPr>
                    <w:t>1.33</w:t>
                  </w:r>
                </w:p>
              </w:tc>
              <w:tc>
                <w:tcPr>
                  <w:tcW w:w="588" w:type="pct"/>
                  <w:tcBorders>
                    <w:right w:val="single" w:color="auto" w:sz="4" w:space="0"/>
                  </w:tcBorders>
                  <w:noWrap/>
                  <w:vAlign w:val="center"/>
                </w:tcPr>
                <w:p>
                  <w:pPr>
                    <w:widowControl/>
                    <w:jc w:val="center"/>
                    <w:rPr>
                      <w:kern w:val="0"/>
                      <w:szCs w:val="21"/>
                    </w:rPr>
                  </w:pPr>
                  <w:r>
                    <w:rPr>
                      <w:kern w:val="0"/>
                      <w:szCs w:val="21"/>
                    </w:rPr>
                    <w:t>0.33</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rFonts w:hint="eastAsia" w:hAnsi="宋体"/>
                      <w:szCs w:val="21"/>
                    </w:rPr>
                    <w:t>Ⅳ类</w:t>
                  </w:r>
                  <w:r>
                    <w:rPr>
                      <w:kern w:val="0"/>
                      <w:szCs w:val="21"/>
                    </w:rPr>
                    <w:t>标准</w:t>
                  </w:r>
                </w:p>
              </w:tc>
              <w:tc>
                <w:tcPr>
                  <w:tcW w:w="903" w:type="pct"/>
                  <w:noWrap/>
                  <w:vAlign w:val="center"/>
                </w:tcPr>
                <w:p>
                  <w:pPr>
                    <w:widowControl/>
                    <w:jc w:val="center"/>
                    <w:rPr>
                      <w:kern w:val="0"/>
                      <w:szCs w:val="21"/>
                    </w:rPr>
                  </w:pPr>
                  <w:r>
                    <w:rPr>
                      <w:kern w:val="0"/>
                      <w:szCs w:val="21"/>
                    </w:rPr>
                    <w:t>6~9</w:t>
                  </w:r>
                </w:p>
              </w:tc>
              <w:tc>
                <w:tcPr>
                  <w:tcW w:w="538" w:type="pct"/>
                  <w:noWrap/>
                  <w:vAlign w:val="center"/>
                </w:tcPr>
                <w:p>
                  <w:pPr>
                    <w:widowControl/>
                    <w:jc w:val="center"/>
                    <w:rPr>
                      <w:kern w:val="0"/>
                      <w:szCs w:val="21"/>
                    </w:rPr>
                  </w:pPr>
                  <w:r>
                    <w:rPr>
                      <w:kern w:val="0"/>
                      <w:szCs w:val="21"/>
                    </w:rPr>
                    <w:t>≤30</w:t>
                  </w:r>
                </w:p>
              </w:tc>
              <w:tc>
                <w:tcPr>
                  <w:tcW w:w="504" w:type="pct"/>
                  <w:tcBorders>
                    <w:right w:val="single" w:color="auto" w:sz="4" w:space="0"/>
                  </w:tcBorders>
                  <w:noWrap/>
                  <w:vAlign w:val="center"/>
                </w:tcPr>
                <w:p>
                  <w:pPr>
                    <w:widowControl/>
                    <w:jc w:val="center"/>
                    <w:rPr>
                      <w:kern w:val="0"/>
                      <w:szCs w:val="21"/>
                    </w:rPr>
                  </w:pPr>
                  <w:r>
                    <w:rPr>
                      <w:kern w:val="0"/>
                      <w:szCs w:val="21"/>
                    </w:rPr>
                    <w:t>≥3</w:t>
                  </w:r>
                </w:p>
              </w:tc>
              <w:tc>
                <w:tcPr>
                  <w:tcW w:w="502" w:type="pct"/>
                  <w:noWrap/>
                  <w:vAlign w:val="center"/>
                </w:tcPr>
                <w:p>
                  <w:pPr>
                    <w:widowControl/>
                    <w:jc w:val="center"/>
                    <w:rPr>
                      <w:kern w:val="0"/>
                      <w:szCs w:val="21"/>
                    </w:rPr>
                  </w:pPr>
                  <w:r>
                    <w:rPr>
                      <w:kern w:val="0"/>
                      <w:szCs w:val="21"/>
                    </w:rPr>
                    <w:t>≤1.5</w:t>
                  </w:r>
                </w:p>
              </w:tc>
              <w:tc>
                <w:tcPr>
                  <w:tcW w:w="588" w:type="pct"/>
                  <w:tcBorders>
                    <w:right w:val="single" w:color="auto" w:sz="4" w:space="0"/>
                  </w:tcBorders>
                  <w:noWrap/>
                  <w:vAlign w:val="center"/>
                </w:tcPr>
                <w:p>
                  <w:pPr>
                    <w:widowControl/>
                    <w:jc w:val="center"/>
                    <w:rPr>
                      <w:kern w:val="0"/>
                      <w:szCs w:val="21"/>
                    </w:rPr>
                  </w:pPr>
                  <w:r>
                    <w:rPr>
                      <w:kern w:val="0"/>
                      <w:szCs w:val="21"/>
                    </w:rPr>
                    <w:t>≤0.3</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rFonts w:hAnsi="宋体"/>
                      <w:szCs w:val="21"/>
                    </w:rPr>
                  </w:pPr>
                  <w:r>
                    <w:rPr>
                      <w:rFonts w:hint="eastAsia" w:hAnsi="宋体"/>
                      <w:szCs w:val="21"/>
                    </w:rPr>
                    <w:t>是否</w:t>
                  </w:r>
                  <w:r>
                    <w:rPr>
                      <w:rFonts w:hAnsi="宋体"/>
                      <w:szCs w:val="21"/>
                    </w:rPr>
                    <w:t>达标</w:t>
                  </w:r>
                </w:p>
              </w:tc>
              <w:tc>
                <w:tcPr>
                  <w:tcW w:w="903" w:type="pct"/>
                  <w:noWrap/>
                  <w:vAlign w:val="center"/>
                </w:tcPr>
                <w:p>
                  <w:pPr>
                    <w:widowControl/>
                    <w:jc w:val="center"/>
                    <w:rPr>
                      <w:kern w:val="0"/>
                      <w:szCs w:val="21"/>
                    </w:rPr>
                  </w:pPr>
                  <w:r>
                    <w:rPr>
                      <w:rFonts w:hint="eastAsia"/>
                      <w:kern w:val="0"/>
                      <w:szCs w:val="21"/>
                    </w:rPr>
                    <w:t>达标</w:t>
                  </w:r>
                </w:p>
              </w:tc>
              <w:tc>
                <w:tcPr>
                  <w:tcW w:w="538" w:type="pct"/>
                  <w:noWrap/>
                  <w:vAlign w:val="center"/>
                </w:tcPr>
                <w:p>
                  <w:pPr>
                    <w:widowControl/>
                    <w:jc w:val="center"/>
                    <w:rPr>
                      <w:kern w:val="0"/>
                      <w:szCs w:val="21"/>
                    </w:rPr>
                  </w:pPr>
                  <w:r>
                    <w:rPr>
                      <w:rFonts w:hint="eastAsia"/>
                      <w:kern w:val="0"/>
                      <w:szCs w:val="21"/>
                    </w:rPr>
                    <w:t>不达标</w:t>
                  </w:r>
                </w:p>
              </w:tc>
              <w:tc>
                <w:tcPr>
                  <w:tcW w:w="504" w:type="pct"/>
                  <w:tcBorders>
                    <w:right w:val="single" w:color="auto" w:sz="4" w:space="0"/>
                  </w:tcBorders>
                  <w:noWrap/>
                  <w:vAlign w:val="center"/>
                </w:tcPr>
                <w:p>
                  <w:pPr>
                    <w:widowControl/>
                    <w:jc w:val="center"/>
                    <w:rPr>
                      <w:kern w:val="0"/>
                      <w:szCs w:val="21"/>
                    </w:rPr>
                  </w:pPr>
                  <w:r>
                    <w:rPr>
                      <w:rFonts w:hint="eastAsia"/>
                      <w:kern w:val="0"/>
                      <w:szCs w:val="21"/>
                    </w:rPr>
                    <w:t>达标</w:t>
                  </w:r>
                </w:p>
              </w:tc>
              <w:tc>
                <w:tcPr>
                  <w:tcW w:w="502" w:type="pct"/>
                  <w:noWrap/>
                  <w:vAlign w:val="center"/>
                </w:tcPr>
                <w:p>
                  <w:pPr>
                    <w:widowControl/>
                    <w:jc w:val="center"/>
                    <w:rPr>
                      <w:kern w:val="0"/>
                      <w:szCs w:val="21"/>
                    </w:rPr>
                  </w:pPr>
                  <w:r>
                    <w:rPr>
                      <w:rFonts w:hint="eastAsia"/>
                      <w:kern w:val="0"/>
                      <w:szCs w:val="21"/>
                    </w:rPr>
                    <w:t>达标</w:t>
                  </w:r>
                </w:p>
              </w:tc>
              <w:tc>
                <w:tcPr>
                  <w:tcW w:w="588" w:type="pct"/>
                  <w:tcBorders>
                    <w:right w:val="single" w:color="auto" w:sz="4" w:space="0"/>
                  </w:tcBorders>
                  <w:noWrap/>
                  <w:vAlign w:val="center"/>
                </w:tcPr>
                <w:p>
                  <w:pPr>
                    <w:widowControl/>
                    <w:jc w:val="center"/>
                    <w:rPr>
                      <w:kern w:val="0"/>
                      <w:szCs w:val="21"/>
                    </w:rPr>
                  </w:pPr>
                  <w:r>
                    <w:rPr>
                      <w:rFonts w:hint="eastAsia"/>
                      <w:kern w:val="0"/>
                      <w:szCs w:val="21"/>
                    </w:rPr>
                    <w:t>不达标</w:t>
                  </w:r>
                </w:p>
              </w:tc>
              <w:tc>
                <w:tcPr>
                  <w:tcW w:w="616" w:type="pct"/>
                  <w:tcBorders>
                    <w:left w:val="single" w:color="auto" w:sz="4" w:space="0"/>
                    <w:right w:val="single" w:color="auto" w:sz="4" w:space="0"/>
                  </w:tcBorders>
                  <w:noWrap/>
                  <w:vAlign w:val="center"/>
                </w:tcPr>
                <w:p>
                  <w:pPr>
                    <w:widowControl/>
                    <w:jc w:val="center"/>
                    <w:rPr>
                      <w:kern w:val="0"/>
                      <w:szCs w:val="21"/>
                    </w:rPr>
                  </w:pPr>
                  <w:r>
                    <w:rPr>
                      <w:rFonts w:hint="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restart"/>
                  <w:noWrap/>
                  <w:vAlign w:val="center"/>
                </w:tcPr>
                <w:p>
                  <w:pPr>
                    <w:widowControl/>
                    <w:jc w:val="center"/>
                    <w:rPr>
                      <w:kern w:val="0"/>
                      <w:szCs w:val="21"/>
                    </w:rPr>
                  </w:pPr>
                  <w:r>
                    <w:rPr>
                      <w:kern w:val="0"/>
                      <w:szCs w:val="21"/>
                    </w:rPr>
                    <w:t>W2</w:t>
                  </w:r>
                </w:p>
              </w:tc>
              <w:tc>
                <w:tcPr>
                  <w:tcW w:w="719" w:type="pct"/>
                  <w:noWrap/>
                  <w:vAlign w:val="center"/>
                </w:tcPr>
                <w:p>
                  <w:pPr>
                    <w:widowControl/>
                    <w:jc w:val="center"/>
                    <w:rPr>
                      <w:kern w:val="0"/>
                      <w:szCs w:val="21"/>
                    </w:rPr>
                  </w:pPr>
                  <w:r>
                    <w:rPr>
                      <w:kern w:val="0"/>
                      <w:szCs w:val="21"/>
                    </w:rPr>
                    <w:t>2019.12.22</w:t>
                  </w:r>
                </w:p>
              </w:tc>
              <w:tc>
                <w:tcPr>
                  <w:tcW w:w="903" w:type="pct"/>
                  <w:noWrap/>
                  <w:vAlign w:val="center"/>
                </w:tcPr>
                <w:p>
                  <w:pPr>
                    <w:widowControl/>
                    <w:jc w:val="center"/>
                    <w:rPr>
                      <w:kern w:val="0"/>
                      <w:szCs w:val="21"/>
                    </w:rPr>
                  </w:pPr>
                  <w:r>
                    <w:rPr>
                      <w:kern w:val="0"/>
                      <w:szCs w:val="21"/>
                    </w:rPr>
                    <w:t>7.09</w:t>
                  </w:r>
                </w:p>
              </w:tc>
              <w:tc>
                <w:tcPr>
                  <w:tcW w:w="538" w:type="pct"/>
                  <w:noWrap/>
                  <w:vAlign w:val="center"/>
                </w:tcPr>
                <w:p>
                  <w:pPr>
                    <w:widowControl/>
                    <w:jc w:val="center"/>
                    <w:rPr>
                      <w:kern w:val="0"/>
                      <w:szCs w:val="21"/>
                    </w:rPr>
                  </w:pPr>
                  <w:r>
                    <w:rPr>
                      <w:kern w:val="0"/>
                      <w:szCs w:val="21"/>
                    </w:rPr>
                    <w:t>34</w:t>
                  </w:r>
                </w:p>
              </w:tc>
              <w:tc>
                <w:tcPr>
                  <w:tcW w:w="504" w:type="pct"/>
                  <w:tcBorders>
                    <w:right w:val="single" w:color="auto" w:sz="4" w:space="0"/>
                  </w:tcBorders>
                  <w:noWrap/>
                  <w:vAlign w:val="center"/>
                </w:tcPr>
                <w:p>
                  <w:pPr>
                    <w:widowControl/>
                    <w:jc w:val="center"/>
                    <w:rPr>
                      <w:kern w:val="0"/>
                      <w:szCs w:val="21"/>
                    </w:rPr>
                  </w:pPr>
                  <w:r>
                    <w:rPr>
                      <w:kern w:val="0"/>
                      <w:szCs w:val="21"/>
                    </w:rPr>
                    <w:t>5.9</w:t>
                  </w:r>
                </w:p>
              </w:tc>
              <w:tc>
                <w:tcPr>
                  <w:tcW w:w="502" w:type="pct"/>
                  <w:noWrap/>
                  <w:vAlign w:val="center"/>
                </w:tcPr>
                <w:p>
                  <w:pPr>
                    <w:widowControl/>
                    <w:jc w:val="center"/>
                    <w:rPr>
                      <w:kern w:val="0"/>
                      <w:szCs w:val="21"/>
                    </w:rPr>
                  </w:pPr>
                  <w:r>
                    <w:rPr>
                      <w:kern w:val="0"/>
                      <w:szCs w:val="21"/>
                    </w:rPr>
                    <w:t>8.46</w:t>
                  </w:r>
                </w:p>
              </w:tc>
              <w:tc>
                <w:tcPr>
                  <w:tcW w:w="588" w:type="pct"/>
                  <w:tcBorders>
                    <w:right w:val="single" w:color="auto" w:sz="4" w:space="0"/>
                  </w:tcBorders>
                  <w:noWrap/>
                  <w:vAlign w:val="center"/>
                </w:tcPr>
                <w:p>
                  <w:pPr>
                    <w:widowControl/>
                    <w:jc w:val="center"/>
                    <w:rPr>
                      <w:kern w:val="0"/>
                      <w:szCs w:val="21"/>
                    </w:rPr>
                  </w:pPr>
                  <w:r>
                    <w:rPr>
                      <w:kern w:val="0"/>
                      <w:szCs w:val="21"/>
                    </w:rPr>
                    <w:t>0.31</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2019.12.23</w:t>
                  </w:r>
                </w:p>
              </w:tc>
              <w:tc>
                <w:tcPr>
                  <w:tcW w:w="903" w:type="pct"/>
                  <w:noWrap/>
                  <w:vAlign w:val="center"/>
                </w:tcPr>
                <w:p>
                  <w:pPr>
                    <w:widowControl/>
                    <w:jc w:val="center"/>
                    <w:rPr>
                      <w:kern w:val="0"/>
                      <w:szCs w:val="21"/>
                    </w:rPr>
                  </w:pPr>
                  <w:r>
                    <w:rPr>
                      <w:kern w:val="0"/>
                      <w:szCs w:val="21"/>
                    </w:rPr>
                    <w:t>7.08</w:t>
                  </w:r>
                </w:p>
              </w:tc>
              <w:tc>
                <w:tcPr>
                  <w:tcW w:w="538" w:type="pct"/>
                  <w:noWrap/>
                  <w:vAlign w:val="center"/>
                </w:tcPr>
                <w:p>
                  <w:pPr>
                    <w:widowControl/>
                    <w:jc w:val="center"/>
                    <w:rPr>
                      <w:kern w:val="0"/>
                      <w:szCs w:val="21"/>
                    </w:rPr>
                  </w:pPr>
                  <w:r>
                    <w:rPr>
                      <w:kern w:val="0"/>
                      <w:szCs w:val="21"/>
                    </w:rPr>
                    <w:t>28</w:t>
                  </w:r>
                </w:p>
              </w:tc>
              <w:tc>
                <w:tcPr>
                  <w:tcW w:w="504" w:type="pct"/>
                  <w:tcBorders>
                    <w:right w:val="single" w:color="auto" w:sz="4" w:space="0"/>
                  </w:tcBorders>
                  <w:noWrap/>
                  <w:vAlign w:val="center"/>
                </w:tcPr>
                <w:p>
                  <w:pPr>
                    <w:widowControl/>
                    <w:jc w:val="center"/>
                    <w:rPr>
                      <w:kern w:val="0"/>
                      <w:szCs w:val="21"/>
                    </w:rPr>
                  </w:pPr>
                  <w:r>
                    <w:rPr>
                      <w:kern w:val="0"/>
                      <w:szCs w:val="21"/>
                    </w:rPr>
                    <w:t>6.2</w:t>
                  </w:r>
                </w:p>
              </w:tc>
              <w:tc>
                <w:tcPr>
                  <w:tcW w:w="502" w:type="pct"/>
                  <w:noWrap/>
                  <w:vAlign w:val="center"/>
                </w:tcPr>
                <w:p>
                  <w:pPr>
                    <w:widowControl/>
                    <w:jc w:val="center"/>
                    <w:rPr>
                      <w:kern w:val="0"/>
                      <w:szCs w:val="21"/>
                    </w:rPr>
                  </w:pPr>
                  <w:r>
                    <w:rPr>
                      <w:kern w:val="0"/>
                      <w:szCs w:val="21"/>
                    </w:rPr>
                    <w:t>8.54</w:t>
                  </w:r>
                </w:p>
              </w:tc>
              <w:tc>
                <w:tcPr>
                  <w:tcW w:w="588" w:type="pct"/>
                  <w:tcBorders>
                    <w:right w:val="single" w:color="auto" w:sz="4" w:space="0"/>
                  </w:tcBorders>
                  <w:noWrap/>
                  <w:vAlign w:val="center"/>
                </w:tcPr>
                <w:p>
                  <w:pPr>
                    <w:widowControl/>
                    <w:jc w:val="center"/>
                    <w:rPr>
                      <w:kern w:val="0"/>
                      <w:szCs w:val="21"/>
                    </w:rPr>
                  </w:pPr>
                  <w:r>
                    <w:rPr>
                      <w:kern w:val="0"/>
                      <w:szCs w:val="21"/>
                    </w:rPr>
                    <w:t>0.38</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2019.12.24</w:t>
                  </w:r>
                </w:p>
              </w:tc>
              <w:tc>
                <w:tcPr>
                  <w:tcW w:w="903" w:type="pct"/>
                  <w:noWrap/>
                  <w:vAlign w:val="center"/>
                </w:tcPr>
                <w:p>
                  <w:pPr>
                    <w:widowControl/>
                    <w:jc w:val="center"/>
                    <w:rPr>
                      <w:kern w:val="0"/>
                      <w:szCs w:val="21"/>
                    </w:rPr>
                  </w:pPr>
                  <w:r>
                    <w:rPr>
                      <w:kern w:val="0"/>
                      <w:szCs w:val="21"/>
                    </w:rPr>
                    <w:t>7.06</w:t>
                  </w:r>
                </w:p>
              </w:tc>
              <w:tc>
                <w:tcPr>
                  <w:tcW w:w="538" w:type="pct"/>
                  <w:noWrap/>
                  <w:vAlign w:val="center"/>
                </w:tcPr>
                <w:p>
                  <w:pPr>
                    <w:widowControl/>
                    <w:jc w:val="center"/>
                    <w:rPr>
                      <w:kern w:val="0"/>
                      <w:szCs w:val="21"/>
                    </w:rPr>
                  </w:pPr>
                  <w:r>
                    <w:rPr>
                      <w:kern w:val="0"/>
                      <w:szCs w:val="21"/>
                    </w:rPr>
                    <w:t>32</w:t>
                  </w:r>
                </w:p>
              </w:tc>
              <w:tc>
                <w:tcPr>
                  <w:tcW w:w="504" w:type="pct"/>
                  <w:tcBorders>
                    <w:right w:val="single" w:color="auto" w:sz="4" w:space="0"/>
                  </w:tcBorders>
                  <w:noWrap/>
                  <w:vAlign w:val="center"/>
                </w:tcPr>
                <w:p>
                  <w:pPr>
                    <w:widowControl/>
                    <w:jc w:val="center"/>
                    <w:rPr>
                      <w:kern w:val="0"/>
                      <w:szCs w:val="21"/>
                    </w:rPr>
                  </w:pPr>
                  <w:r>
                    <w:rPr>
                      <w:kern w:val="0"/>
                      <w:szCs w:val="21"/>
                    </w:rPr>
                    <w:t>5.8</w:t>
                  </w:r>
                </w:p>
              </w:tc>
              <w:tc>
                <w:tcPr>
                  <w:tcW w:w="502" w:type="pct"/>
                  <w:noWrap/>
                  <w:vAlign w:val="center"/>
                </w:tcPr>
                <w:p>
                  <w:pPr>
                    <w:widowControl/>
                    <w:jc w:val="center"/>
                    <w:rPr>
                      <w:kern w:val="0"/>
                      <w:szCs w:val="21"/>
                    </w:rPr>
                  </w:pPr>
                  <w:r>
                    <w:rPr>
                      <w:kern w:val="0"/>
                      <w:szCs w:val="21"/>
                    </w:rPr>
                    <w:t>8.68</w:t>
                  </w:r>
                </w:p>
              </w:tc>
              <w:tc>
                <w:tcPr>
                  <w:tcW w:w="588" w:type="pct"/>
                  <w:tcBorders>
                    <w:right w:val="single" w:color="auto" w:sz="4" w:space="0"/>
                  </w:tcBorders>
                  <w:noWrap/>
                  <w:vAlign w:val="center"/>
                </w:tcPr>
                <w:p>
                  <w:pPr>
                    <w:widowControl/>
                    <w:jc w:val="center"/>
                    <w:rPr>
                      <w:kern w:val="0"/>
                      <w:szCs w:val="21"/>
                    </w:rPr>
                  </w:pPr>
                  <w:r>
                    <w:rPr>
                      <w:kern w:val="0"/>
                      <w:szCs w:val="21"/>
                    </w:rPr>
                    <w:t>0.36</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rFonts w:hint="eastAsia" w:hAnsi="宋体"/>
                      <w:szCs w:val="21"/>
                    </w:rPr>
                    <w:t>Ⅳ类</w:t>
                  </w:r>
                  <w:r>
                    <w:rPr>
                      <w:kern w:val="0"/>
                      <w:szCs w:val="21"/>
                    </w:rPr>
                    <w:t>标准</w:t>
                  </w:r>
                </w:p>
              </w:tc>
              <w:tc>
                <w:tcPr>
                  <w:tcW w:w="903" w:type="pct"/>
                  <w:noWrap/>
                  <w:vAlign w:val="center"/>
                </w:tcPr>
                <w:p>
                  <w:pPr>
                    <w:widowControl/>
                    <w:jc w:val="center"/>
                    <w:rPr>
                      <w:kern w:val="0"/>
                      <w:szCs w:val="21"/>
                    </w:rPr>
                  </w:pPr>
                  <w:r>
                    <w:rPr>
                      <w:kern w:val="0"/>
                      <w:szCs w:val="21"/>
                    </w:rPr>
                    <w:t>6~9</w:t>
                  </w:r>
                </w:p>
              </w:tc>
              <w:tc>
                <w:tcPr>
                  <w:tcW w:w="538" w:type="pct"/>
                  <w:noWrap/>
                  <w:vAlign w:val="center"/>
                </w:tcPr>
                <w:p>
                  <w:pPr>
                    <w:widowControl/>
                    <w:jc w:val="center"/>
                    <w:rPr>
                      <w:kern w:val="0"/>
                      <w:szCs w:val="21"/>
                    </w:rPr>
                  </w:pPr>
                  <w:r>
                    <w:rPr>
                      <w:kern w:val="0"/>
                      <w:szCs w:val="21"/>
                    </w:rPr>
                    <w:t>≤30</w:t>
                  </w:r>
                </w:p>
              </w:tc>
              <w:tc>
                <w:tcPr>
                  <w:tcW w:w="504" w:type="pct"/>
                  <w:tcBorders>
                    <w:right w:val="single" w:color="auto" w:sz="4" w:space="0"/>
                  </w:tcBorders>
                  <w:noWrap/>
                  <w:vAlign w:val="center"/>
                </w:tcPr>
                <w:p>
                  <w:pPr>
                    <w:widowControl/>
                    <w:jc w:val="center"/>
                    <w:rPr>
                      <w:kern w:val="0"/>
                      <w:szCs w:val="21"/>
                    </w:rPr>
                  </w:pPr>
                  <w:r>
                    <w:rPr>
                      <w:kern w:val="0"/>
                      <w:szCs w:val="21"/>
                    </w:rPr>
                    <w:t>≥3</w:t>
                  </w:r>
                </w:p>
              </w:tc>
              <w:tc>
                <w:tcPr>
                  <w:tcW w:w="502" w:type="pct"/>
                  <w:noWrap/>
                  <w:vAlign w:val="center"/>
                </w:tcPr>
                <w:p>
                  <w:pPr>
                    <w:widowControl/>
                    <w:jc w:val="center"/>
                    <w:rPr>
                      <w:kern w:val="0"/>
                      <w:szCs w:val="21"/>
                    </w:rPr>
                  </w:pPr>
                  <w:r>
                    <w:rPr>
                      <w:kern w:val="0"/>
                      <w:szCs w:val="21"/>
                    </w:rPr>
                    <w:t>≤1.5</w:t>
                  </w:r>
                </w:p>
              </w:tc>
              <w:tc>
                <w:tcPr>
                  <w:tcW w:w="588" w:type="pct"/>
                  <w:tcBorders>
                    <w:right w:val="single" w:color="auto" w:sz="4" w:space="0"/>
                  </w:tcBorders>
                  <w:noWrap/>
                  <w:vAlign w:val="center"/>
                </w:tcPr>
                <w:p>
                  <w:pPr>
                    <w:widowControl/>
                    <w:jc w:val="center"/>
                    <w:rPr>
                      <w:kern w:val="0"/>
                      <w:szCs w:val="21"/>
                    </w:rPr>
                  </w:pPr>
                  <w:r>
                    <w:rPr>
                      <w:kern w:val="0"/>
                      <w:szCs w:val="21"/>
                    </w:rPr>
                    <w:t>≤0.3</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rFonts w:hAnsi="宋体"/>
                      <w:szCs w:val="21"/>
                    </w:rPr>
                  </w:pPr>
                  <w:r>
                    <w:rPr>
                      <w:rFonts w:hint="eastAsia" w:hAnsi="宋体"/>
                      <w:szCs w:val="21"/>
                    </w:rPr>
                    <w:t>是否</w:t>
                  </w:r>
                  <w:r>
                    <w:rPr>
                      <w:rFonts w:hAnsi="宋体"/>
                      <w:szCs w:val="21"/>
                    </w:rPr>
                    <w:t>达标</w:t>
                  </w:r>
                </w:p>
              </w:tc>
              <w:tc>
                <w:tcPr>
                  <w:tcW w:w="903" w:type="pct"/>
                  <w:noWrap/>
                  <w:vAlign w:val="center"/>
                </w:tcPr>
                <w:p>
                  <w:pPr>
                    <w:widowControl/>
                    <w:jc w:val="center"/>
                    <w:rPr>
                      <w:kern w:val="0"/>
                      <w:szCs w:val="21"/>
                    </w:rPr>
                  </w:pPr>
                  <w:r>
                    <w:rPr>
                      <w:rFonts w:hint="eastAsia"/>
                      <w:kern w:val="0"/>
                      <w:szCs w:val="21"/>
                    </w:rPr>
                    <w:t>达标</w:t>
                  </w:r>
                </w:p>
              </w:tc>
              <w:tc>
                <w:tcPr>
                  <w:tcW w:w="538" w:type="pct"/>
                  <w:noWrap/>
                  <w:vAlign w:val="center"/>
                </w:tcPr>
                <w:p>
                  <w:pPr>
                    <w:widowControl/>
                    <w:jc w:val="center"/>
                    <w:rPr>
                      <w:kern w:val="0"/>
                      <w:szCs w:val="21"/>
                    </w:rPr>
                  </w:pPr>
                  <w:r>
                    <w:rPr>
                      <w:rFonts w:hint="eastAsia"/>
                      <w:kern w:val="0"/>
                      <w:szCs w:val="21"/>
                    </w:rPr>
                    <w:t>不达标</w:t>
                  </w:r>
                </w:p>
              </w:tc>
              <w:tc>
                <w:tcPr>
                  <w:tcW w:w="504" w:type="pct"/>
                  <w:tcBorders>
                    <w:right w:val="single" w:color="auto" w:sz="4" w:space="0"/>
                  </w:tcBorders>
                  <w:noWrap/>
                  <w:vAlign w:val="center"/>
                </w:tcPr>
                <w:p>
                  <w:pPr>
                    <w:widowControl/>
                    <w:jc w:val="center"/>
                    <w:rPr>
                      <w:kern w:val="0"/>
                      <w:szCs w:val="21"/>
                    </w:rPr>
                  </w:pPr>
                  <w:r>
                    <w:rPr>
                      <w:rFonts w:hint="eastAsia"/>
                      <w:kern w:val="0"/>
                      <w:szCs w:val="21"/>
                    </w:rPr>
                    <w:t>达标</w:t>
                  </w:r>
                </w:p>
              </w:tc>
              <w:tc>
                <w:tcPr>
                  <w:tcW w:w="502" w:type="pct"/>
                  <w:noWrap/>
                  <w:vAlign w:val="center"/>
                </w:tcPr>
                <w:p>
                  <w:pPr>
                    <w:widowControl/>
                    <w:jc w:val="center"/>
                    <w:rPr>
                      <w:kern w:val="0"/>
                      <w:szCs w:val="21"/>
                    </w:rPr>
                  </w:pPr>
                  <w:r>
                    <w:rPr>
                      <w:rFonts w:hint="eastAsia"/>
                      <w:kern w:val="0"/>
                      <w:szCs w:val="21"/>
                    </w:rPr>
                    <w:t>不达标</w:t>
                  </w:r>
                </w:p>
              </w:tc>
              <w:tc>
                <w:tcPr>
                  <w:tcW w:w="588" w:type="pct"/>
                  <w:tcBorders>
                    <w:right w:val="single" w:color="auto" w:sz="4" w:space="0"/>
                  </w:tcBorders>
                  <w:noWrap/>
                  <w:vAlign w:val="center"/>
                </w:tcPr>
                <w:p>
                  <w:pPr>
                    <w:widowControl/>
                    <w:jc w:val="center"/>
                    <w:rPr>
                      <w:kern w:val="0"/>
                      <w:szCs w:val="21"/>
                    </w:rPr>
                  </w:pPr>
                  <w:r>
                    <w:rPr>
                      <w:rFonts w:hint="eastAsia"/>
                      <w:kern w:val="0"/>
                      <w:szCs w:val="21"/>
                    </w:rPr>
                    <w:t>不达标</w:t>
                  </w:r>
                </w:p>
              </w:tc>
              <w:tc>
                <w:tcPr>
                  <w:tcW w:w="616" w:type="pct"/>
                  <w:tcBorders>
                    <w:left w:val="single" w:color="auto" w:sz="4" w:space="0"/>
                    <w:right w:val="single" w:color="auto" w:sz="4" w:space="0"/>
                  </w:tcBorders>
                  <w:noWrap/>
                  <w:vAlign w:val="center"/>
                </w:tcPr>
                <w:p>
                  <w:pPr>
                    <w:widowControl/>
                    <w:jc w:val="center"/>
                    <w:rPr>
                      <w:kern w:val="0"/>
                      <w:szCs w:val="21"/>
                    </w:rPr>
                  </w:pPr>
                  <w:r>
                    <w:rPr>
                      <w:rFonts w:hint="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restart"/>
                  <w:noWrap/>
                  <w:vAlign w:val="center"/>
                </w:tcPr>
                <w:p>
                  <w:pPr>
                    <w:widowControl/>
                    <w:jc w:val="center"/>
                    <w:rPr>
                      <w:kern w:val="0"/>
                      <w:szCs w:val="21"/>
                    </w:rPr>
                  </w:pPr>
                  <w:r>
                    <w:rPr>
                      <w:kern w:val="0"/>
                      <w:szCs w:val="21"/>
                    </w:rPr>
                    <w:t>W3</w:t>
                  </w:r>
                </w:p>
              </w:tc>
              <w:tc>
                <w:tcPr>
                  <w:tcW w:w="719" w:type="pct"/>
                  <w:noWrap/>
                  <w:vAlign w:val="center"/>
                </w:tcPr>
                <w:p>
                  <w:pPr>
                    <w:widowControl/>
                    <w:jc w:val="center"/>
                    <w:rPr>
                      <w:kern w:val="0"/>
                      <w:szCs w:val="21"/>
                    </w:rPr>
                  </w:pPr>
                  <w:r>
                    <w:rPr>
                      <w:kern w:val="0"/>
                      <w:szCs w:val="21"/>
                    </w:rPr>
                    <w:t>2019.12.22</w:t>
                  </w:r>
                </w:p>
              </w:tc>
              <w:tc>
                <w:tcPr>
                  <w:tcW w:w="903" w:type="pct"/>
                  <w:noWrap/>
                  <w:vAlign w:val="center"/>
                </w:tcPr>
                <w:p>
                  <w:pPr>
                    <w:widowControl/>
                    <w:jc w:val="center"/>
                    <w:rPr>
                      <w:kern w:val="0"/>
                      <w:szCs w:val="21"/>
                    </w:rPr>
                  </w:pPr>
                  <w:r>
                    <w:rPr>
                      <w:kern w:val="0"/>
                      <w:szCs w:val="21"/>
                    </w:rPr>
                    <w:t>7.32</w:t>
                  </w:r>
                </w:p>
              </w:tc>
              <w:tc>
                <w:tcPr>
                  <w:tcW w:w="538" w:type="pct"/>
                  <w:noWrap/>
                  <w:vAlign w:val="center"/>
                </w:tcPr>
                <w:p>
                  <w:pPr>
                    <w:widowControl/>
                    <w:jc w:val="center"/>
                    <w:rPr>
                      <w:kern w:val="0"/>
                      <w:szCs w:val="21"/>
                    </w:rPr>
                  </w:pPr>
                  <w:r>
                    <w:rPr>
                      <w:kern w:val="0"/>
                      <w:szCs w:val="21"/>
                    </w:rPr>
                    <w:t>41</w:t>
                  </w:r>
                </w:p>
              </w:tc>
              <w:tc>
                <w:tcPr>
                  <w:tcW w:w="504" w:type="pct"/>
                  <w:tcBorders>
                    <w:right w:val="single" w:color="auto" w:sz="4" w:space="0"/>
                  </w:tcBorders>
                  <w:noWrap/>
                  <w:vAlign w:val="center"/>
                </w:tcPr>
                <w:p>
                  <w:pPr>
                    <w:widowControl/>
                    <w:jc w:val="center"/>
                    <w:rPr>
                      <w:kern w:val="0"/>
                      <w:szCs w:val="21"/>
                    </w:rPr>
                  </w:pPr>
                  <w:r>
                    <w:rPr>
                      <w:kern w:val="0"/>
                      <w:szCs w:val="21"/>
                    </w:rPr>
                    <w:t>6.6</w:t>
                  </w:r>
                </w:p>
              </w:tc>
              <w:tc>
                <w:tcPr>
                  <w:tcW w:w="502" w:type="pct"/>
                  <w:noWrap/>
                  <w:vAlign w:val="center"/>
                </w:tcPr>
                <w:p>
                  <w:pPr>
                    <w:widowControl/>
                    <w:jc w:val="center"/>
                    <w:rPr>
                      <w:kern w:val="0"/>
                      <w:szCs w:val="21"/>
                    </w:rPr>
                  </w:pPr>
                  <w:r>
                    <w:rPr>
                      <w:kern w:val="0"/>
                      <w:szCs w:val="21"/>
                    </w:rPr>
                    <w:t>2.29</w:t>
                  </w:r>
                </w:p>
              </w:tc>
              <w:tc>
                <w:tcPr>
                  <w:tcW w:w="588" w:type="pct"/>
                  <w:tcBorders>
                    <w:right w:val="single" w:color="auto" w:sz="4" w:space="0"/>
                  </w:tcBorders>
                  <w:noWrap/>
                  <w:vAlign w:val="center"/>
                </w:tcPr>
                <w:p>
                  <w:pPr>
                    <w:widowControl/>
                    <w:jc w:val="center"/>
                    <w:rPr>
                      <w:kern w:val="0"/>
                      <w:szCs w:val="21"/>
                    </w:rPr>
                  </w:pPr>
                  <w:r>
                    <w:rPr>
                      <w:kern w:val="0"/>
                      <w:szCs w:val="21"/>
                    </w:rPr>
                    <w:t>0.17</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ND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2019.12.23</w:t>
                  </w:r>
                </w:p>
              </w:tc>
              <w:tc>
                <w:tcPr>
                  <w:tcW w:w="903" w:type="pct"/>
                  <w:noWrap/>
                  <w:vAlign w:val="center"/>
                </w:tcPr>
                <w:p>
                  <w:pPr>
                    <w:widowControl/>
                    <w:jc w:val="center"/>
                    <w:rPr>
                      <w:kern w:val="0"/>
                      <w:szCs w:val="21"/>
                    </w:rPr>
                  </w:pPr>
                  <w:r>
                    <w:rPr>
                      <w:kern w:val="0"/>
                      <w:szCs w:val="21"/>
                    </w:rPr>
                    <w:t>7.31</w:t>
                  </w:r>
                </w:p>
              </w:tc>
              <w:tc>
                <w:tcPr>
                  <w:tcW w:w="538" w:type="pct"/>
                  <w:noWrap/>
                  <w:vAlign w:val="center"/>
                </w:tcPr>
                <w:p>
                  <w:pPr>
                    <w:widowControl/>
                    <w:jc w:val="center"/>
                    <w:rPr>
                      <w:kern w:val="0"/>
                      <w:szCs w:val="21"/>
                    </w:rPr>
                  </w:pPr>
                  <w:r>
                    <w:rPr>
                      <w:kern w:val="0"/>
                      <w:szCs w:val="21"/>
                    </w:rPr>
                    <w:t>35</w:t>
                  </w:r>
                </w:p>
              </w:tc>
              <w:tc>
                <w:tcPr>
                  <w:tcW w:w="504" w:type="pct"/>
                  <w:tcBorders>
                    <w:right w:val="single" w:color="auto" w:sz="4" w:space="0"/>
                  </w:tcBorders>
                  <w:noWrap/>
                  <w:vAlign w:val="center"/>
                </w:tcPr>
                <w:p>
                  <w:pPr>
                    <w:widowControl/>
                    <w:jc w:val="center"/>
                    <w:rPr>
                      <w:kern w:val="0"/>
                      <w:szCs w:val="21"/>
                    </w:rPr>
                  </w:pPr>
                  <w:r>
                    <w:rPr>
                      <w:kern w:val="0"/>
                      <w:szCs w:val="21"/>
                    </w:rPr>
                    <w:t>6.4</w:t>
                  </w:r>
                </w:p>
              </w:tc>
              <w:tc>
                <w:tcPr>
                  <w:tcW w:w="502" w:type="pct"/>
                  <w:noWrap/>
                  <w:vAlign w:val="center"/>
                </w:tcPr>
                <w:p>
                  <w:pPr>
                    <w:widowControl/>
                    <w:jc w:val="center"/>
                    <w:rPr>
                      <w:kern w:val="0"/>
                      <w:szCs w:val="21"/>
                    </w:rPr>
                  </w:pPr>
                  <w:r>
                    <w:rPr>
                      <w:kern w:val="0"/>
                      <w:szCs w:val="21"/>
                    </w:rPr>
                    <w:t>2.26</w:t>
                  </w:r>
                </w:p>
              </w:tc>
              <w:tc>
                <w:tcPr>
                  <w:tcW w:w="588" w:type="pct"/>
                  <w:tcBorders>
                    <w:right w:val="single" w:color="auto" w:sz="4" w:space="0"/>
                  </w:tcBorders>
                  <w:noWrap/>
                  <w:vAlign w:val="center"/>
                </w:tcPr>
                <w:p>
                  <w:pPr>
                    <w:widowControl/>
                    <w:jc w:val="center"/>
                    <w:rPr>
                      <w:kern w:val="0"/>
                      <w:szCs w:val="21"/>
                    </w:rPr>
                  </w:pPr>
                  <w:r>
                    <w:rPr>
                      <w:kern w:val="0"/>
                      <w:szCs w:val="21"/>
                    </w:rPr>
                    <w:t>0.19</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ND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kern w:val="0"/>
                      <w:szCs w:val="21"/>
                    </w:rPr>
                    <w:t>2019.12.24</w:t>
                  </w:r>
                </w:p>
              </w:tc>
              <w:tc>
                <w:tcPr>
                  <w:tcW w:w="903" w:type="pct"/>
                  <w:noWrap/>
                  <w:vAlign w:val="center"/>
                </w:tcPr>
                <w:p>
                  <w:pPr>
                    <w:widowControl/>
                    <w:jc w:val="center"/>
                    <w:rPr>
                      <w:kern w:val="0"/>
                      <w:szCs w:val="21"/>
                    </w:rPr>
                  </w:pPr>
                  <w:r>
                    <w:rPr>
                      <w:kern w:val="0"/>
                      <w:szCs w:val="21"/>
                    </w:rPr>
                    <w:t>7.28</w:t>
                  </w:r>
                </w:p>
              </w:tc>
              <w:tc>
                <w:tcPr>
                  <w:tcW w:w="538" w:type="pct"/>
                  <w:noWrap/>
                  <w:vAlign w:val="center"/>
                </w:tcPr>
                <w:p>
                  <w:pPr>
                    <w:widowControl/>
                    <w:jc w:val="center"/>
                    <w:rPr>
                      <w:kern w:val="0"/>
                      <w:szCs w:val="21"/>
                    </w:rPr>
                  </w:pPr>
                  <w:r>
                    <w:rPr>
                      <w:kern w:val="0"/>
                      <w:szCs w:val="21"/>
                    </w:rPr>
                    <w:t>39</w:t>
                  </w:r>
                </w:p>
              </w:tc>
              <w:tc>
                <w:tcPr>
                  <w:tcW w:w="504" w:type="pct"/>
                  <w:tcBorders>
                    <w:right w:val="single" w:color="auto" w:sz="4" w:space="0"/>
                  </w:tcBorders>
                  <w:noWrap/>
                  <w:vAlign w:val="center"/>
                </w:tcPr>
                <w:p>
                  <w:pPr>
                    <w:widowControl/>
                    <w:jc w:val="center"/>
                    <w:rPr>
                      <w:kern w:val="0"/>
                      <w:szCs w:val="21"/>
                    </w:rPr>
                  </w:pPr>
                  <w:r>
                    <w:rPr>
                      <w:kern w:val="0"/>
                      <w:szCs w:val="21"/>
                    </w:rPr>
                    <w:t>6.2</w:t>
                  </w:r>
                </w:p>
              </w:tc>
              <w:tc>
                <w:tcPr>
                  <w:tcW w:w="502" w:type="pct"/>
                  <w:noWrap/>
                  <w:vAlign w:val="center"/>
                </w:tcPr>
                <w:p>
                  <w:pPr>
                    <w:widowControl/>
                    <w:jc w:val="center"/>
                    <w:rPr>
                      <w:kern w:val="0"/>
                      <w:szCs w:val="21"/>
                    </w:rPr>
                  </w:pPr>
                  <w:r>
                    <w:rPr>
                      <w:kern w:val="0"/>
                      <w:szCs w:val="21"/>
                    </w:rPr>
                    <w:t>2.2</w:t>
                  </w:r>
                </w:p>
              </w:tc>
              <w:tc>
                <w:tcPr>
                  <w:tcW w:w="588" w:type="pct"/>
                  <w:tcBorders>
                    <w:right w:val="single" w:color="auto" w:sz="4" w:space="0"/>
                  </w:tcBorders>
                  <w:noWrap/>
                  <w:vAlign w:val="center"/>
                </w:tcPr>
                <w:p>
                  <w:pPr>
                    <w:widowControl/>
                    <w:jc w:val="center"/>
                    <w:rPr>
                      <w:kern w:val="0"/>
                      <w:szCs w:val="21"/>
                    </w:rPr>
                  </w:pPr>
                  <w:r>
                    <w:rPr>
                      <w:kern w:val="0"/>
                      <w:szCs w:val="21"/>
                    </w:rPr>
                    <w:t>0.21</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ND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kern w:val="0"/>
                      <w:szCs w:val="21"/>
                    </w:rPr>
                  </w:pPr>
                  <w:r>
                    <w:rPr>
                      <w:rFonts w:hint="eastAsia" w:hAnsi="宋体"/>
                      <w:szCs w:val="21"/>
                    </w:rPr>
                    <w:t>Ⅳ类</w:t>
                  </w:r>
                  <w:r>
                    <w:rPr>
                      <w:kern w:val="0"/>
                      <w:szCs w:val="21"/>
                    </w:rPr>
                    <w:t>标准</w:t>
                  </w:r>
                </w:p>
              </w:tc>
              <w:tc>
                <w:tcPr>
                  <w:tcW w:w="903" w:type="pct"/>
                  <w:noWrap/>
                  <w:vAlign w:val="center"/>
                </w:tcPr>
                <w:p>
                  <w:pPr>
                    <w:widowControl/>
                    <w:jc w:val="center"/>
                    <w:rPr>
                      <w:kern w:val="0"/>
                      <w:szCs w:val="21"/>
                    </w:rPr>
                  </w:pPr>
                  <w:r>
                    <w:rPr>
                      <w:kern w:val="0"/>
                      <w:szCs w:val="21"/>
                    </w:rPr>
                    <w:t>6~9</w:t>
                  </w:r>
                </w:p>
              </w:tc>
              <w:tc>
                <w:tcPr>
                  <w:tcW w:w="538" w:type="pct"/>
                  <w:noWrap/>
                  <w:vAlign w:val="center"/>
                </w:tcPr>
                <w:p>
                  <w:pPr>
                    <w:widowControl/>
                    <w:jc w:val="center"/>
                    <w:rPr>
                      <w:kern w:val="0"/>
                      <w:szCs w:val="21"/>
                    </w:rPr>
                  </w:pPr>
                  <w:r>
                    <w:rPr>
                      <w:kern w:val="0"/>
                      <w:szCs w:val="21"/>
                    </w:rPr>
                    <w:t>≤30</w:t>
                  </w:r>
                </w:p>
              </w:tc>
              <w:tc>
                <w:tcPr>
                  <w:tcW w:w="504" w:type="pct"/>
                  <w:tcBorders>
                    <w:right w:val="single" w:color="auto" w:sz="4" w:space="0"/>
                  </w:tcBorders>
                  <w:noWrap/>
                  <w:vAlign w:val="center"/>
                </w:tcPr>
                <w:p>
                  <w:pPr>
                    <w:widowControl/>
                    <w:jc w:val="center"/>
                    <w:rPr>
                      <w:kern w:val="0"/>
                      <w:szCs w:val="21"/>
                    </w:rPr>
                  </w:pPr>
                  <w:r>
                    <w:rPr>
                      <w:kern w:val="0"/>
                      <w:szCs w:val="21"/>
                    </w:rPr>
                    <w:t>≥3</w:t>
                  </w:r>
                </w:p>
              </w:tc>
              <w:tc>
                <w:tcPr>
                  <w:tcW w:w="502" w:type="pct"/>
                  <w:noWrap/>
                  <w:vAlign w:val="center"/>
                </w:tcPr>
                <w:p>
                  <w:pPr>
                    <w:widowControl/>
                    <w:jc w:val="center"/>
                    <w:rPr>
                      <w:kern w:val="0"/>
                      <w:szCs w:val="21"/>
                    </w:rPr>
                  </w:pPr>
                  <w:r>
                    <w:rPr>
                      <w:kern w:val="0"/>
                      <w:szCs w:val="21"/>
                    </w:rPr>
                    <w:t>≤1.5</w:t>
                  </w:r>
                </w:p>
              </w:tc>
              <w:tc>
                <w:tcPr>
                  <w:tcW w:w="588" w:type="pct"/>
                  <w:tcBorders>
                    <w:right w:val="single" w:color="auto" w:sz="4" w:space="0"/>
                  </w:tcBorders>
                  <w:noWrap/>
                  <w:vAlign w:val="center"/>
                </w:tcPr>
                <w:p>
                  <w:pPr>
                    <w:widowControl/>
                    <w:jc w:val="center"/>
                    <w:rPr>
                      <w:kern w:val="0"/>
                      <w:szCs w:val="21"/>
                    </w:rPr>
                  </w:pPr>
                  <w:r>
                    <w:rPr>
                      <w:kern w:val="0"/>
                      <w:szCs w:val="21"/>
                    </w:rPr>
                    <w:t>≤0.3</w:t>
                  </w:r>
                </w:p>
              </w:tc>
              <w:tc>
                <w:tcPr>
                  <w:tcW w:w="616" w:type="pct"/>
                  <w:tcBorders>
                    <w:left w:val="single" w:color="auto" w:sz="4" w:space="0"/>
                    <w:right w:val="single" w:color="auto" w:sz="4" w:space="0"/>
                  </w:tcBorders>
                  <w:noWrap/>
                  <w:vAlign w:val="center"/>
                </w:tcPr>
                <w:p>
                  <w:pPr>
                    <w:widowControl/>
                    <w:jc w:val="center"/>
                    <w:rPr>
                      <w:kern w:val="0"/>
                      <w:szCs w:val="21"/>
                    </w:rPr>
                  </w:pPr>
                  <w:r>
                    <w:rPr>
                      <w:kern w:val="0"/>
                      <w:szCs w:val="21"/>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vMerge w:val="continue"/>
                  <w:noWrap/>
                  <w:vAlign w:val="center"/>
                </w:tcPr>
                <w:p>
                  <w:pPr>
                    <w:widowControl/>
                    <w:jc w:val="center"/>
                    <w:rPr>
                      <w:kern w:val="0"/>
                      <w:szCs w:val="21"/>
                    </w:rPr>
                  </w:pPr>
                </w:p>
              </w:tc>
              <w:tc>
                <w:tcPr>
                  <w:tcW w:w="719" w:type="pct"/>
                  <w:noWrap/>
                  <w:vAlign w:val="center"/>
                </w:tcPr>
                <w:p>
                  <w:pPr>
                    <w:widowControl/>
                    <w:jc w:val="center"/>
                    <w:rPr>
                      <w:rFonts w:hAnsi="宋体"/>
                      <w:szCs w:val="21"/>
                    </w:rPr>
                  </w:pPr>
                  <w:r>
                    <w:rPr>
                      <w:rFonts w:hint="eastAsia" w:hAnsi="宋体"/>
                      <w:szCs w:val="21"/>
                    </w:rPr>
                    <w:t>是否</w:t>
                  </w:r>
                  <w:r>
                    <w:rPr>
                      <w:rFonts w:hAnsi="宋体"/>
                      <w:szCs w:val="21"/>
                    </w:rPr>
                    <w:t>达标</w:t>
                  </w:r>
                </w:p>
              </w:tc>
              <w:tc>
                <w:tcPr>
                  <w:tcW w:w="903" w:type="pct"/>
                  <w:noWrap/>
                  <w:vAlign w:val="center"/>
                </w:tcPr>
                <w:p>
                  <w:pPr>
                    <w:widowControl/>
                    <w:jc w:val="center"/>
                    <w:rPr>
                      <w:kern w:val="0"/>
                      <w:szCs w:val="21"/>
                    </w:rPr>
                  </w:pPr>
                  <w:r>
                    <w:rPr>
                      <w:rFonts w:hint="eastAsia"/>
                      <w:kern w:val="0"/>
                      <w:szCs w:val="21"/>
                    </w:rPr>
                    <w:t>达标</w:t>
                  </w:r>
                </w:p>
              </w:tc>
              <w:tc>
                <w:tcPr>
                  <w:tcW w:w="538" w:type="pct"/>
                  <w:noWrap/>
                  <w:vAlign w:val="center"/>
                </w:tcPr>
                <w:p>
                  <w:pPr>
                    <w:widowControl/>
                    <w:jc w:val="center"/>
                    <w:rPr>
                      <w:kern w:val="0"/>
                      <w:szCs w:val="21"/>
                    </w:rPr>
                  </w:pPr>
                  <w:r>
                    <w:rPr>
                      <w:rFonts w:hint="eastAsia"/>
                      <w:kern w:val="0"/>
                      <w:szCs w:val="21"/>
                    </w:rPr>
                    <w:t>不达标</w:t>
                  </w:r>
                </w:p>
              </w:tc>
              <w:tc>
                <w:tcPr>
                  <w:tcW w:w="504" w:type="pct"/>
                  <w:tcBorders>
                    <w:right w:val="single" w:color="auto" w:sz="4" w:space="0"/>
                  </w:tcBorders>
                  <w:noWrap/>
                  <w:vAlign w:val="center"/>
                </w:tcPr>
                <w:p>
                  <w:pPr>
                    <w:widowControl/>
                    <w:jc w:val="center"/>
                    <w:rPr>
                      <w:kern w:val="0"/>
                      <w:szCs w:val="21"/>
                    </w:rPr>
                  </w:pPr>
                  <w:r>
                    <w:rPr>
                      <w:rFonts w:hint="eastAsia"/>
                      <w:kern w:val="0"/>
                      <w:szCs w:val="21"/>
                    </w:rPr>
                    <w:t>达标</w:t>
                  </w:r>
                </w:p>
              </w:tc>
              <w:tc>
                <w:tcPr>
                  <w:tcW w:w="502" w:type="pct"/>
                  <w:noWrap/>
                  <w:vAlign w:val="center"/>
                </w:tcPr>
                <w:p>
                  <w:pPr>
                    <w:widowControl/>
                    <w:jc w:val="center"/>
                    <w:rPr>
                      <w:kern w:val="0"/>
                      <w:szCs w:val="21"/>
                    </w:rPr>
                  </w:pPr>
                  <w:r>
                    <w:rPr>
                      <w:rFonts w:hint="eastAsia"/>
                      <w:kern w:val="0"/>
                      <w:szCs w:val="21"/>
                    </w:rPr>
                    <w:t>不达标</w:t>
                  </w:r>
                </w:p>
              </w:tc>
              <w:tc>
                <w:tcPr>
                  <w:tcW w:w="588" w:type="pct"/>
                  <w:tcBorders>
                    <w:right w:val="single" w:color="auto" w:sz="4" w:space="0"/>
                  </w:tcBorders>
                  <w:noWrap/>
                  <w:vAlign w:val="center"/>
                </w:tcPr>
                <w:p>
                  <w:pPr>
                    <w:widowControl/>
                    <w:jc w:val="center"/>
                    <w:rPr>
                      <w:kern w:val="0"/>
                      <w:szCs w:val="21"/>
                    </w:rPr>
                  </w:pPr>
                  <w:r>
                    <w:rPr>
                      <w:rFonts w:hint="eastAsia"/>
                      <w:kern w:val="0"/>
                      <w:szCs w:val="21"/>
                    </w:rPr>
                    <w:t>达标</w:t>
                  </w:r>
                </w:p>
              </w:tc>
              <w:tc>
                <w:tcPr>
                  <w:tcW w:w="616" w:type="pct"/>
                  <w:tcBorders>
                    <w:left w:val="single" w:color="auto" w:sz="4" w:space="0"/>
                    <w:right w:val="single" w:color="auto" w:sz="4" w:space="0"/>
                  </w:tcBorders>
                  <w:noWrap/>
                  <w:vAlign w:val="center"/>
                </w:tcPr>
                <w:p>
                  <w:pPr>
                    <w:widowControl/>
                    <w:jc w:val="center"/>
                    <w:rPr>
                      <w:kern w:val="0"/>
                      <w:szCs w:val="21"/>
                    </w:rPr>
                  </w:pPr>
                  <w:r>
                    <w:rPr>
                      <w:rFonts w:hint="eastAsia"/>
                      <w:kern w:val="0"/>
                      <w:szCs w:val="21"/>
                    </w:rPr>
                    <w:t>达标</w:t>
                  </w:r>
                </w:p>
              </w:tc>
            </w:tr>
          </w:tbl>
          <w:p>
            <w:pPr>
              <w:widowControl/>
              <w:spacing w:line="360" w:lineRule="auto"/>
              <w:ind w:firstLine="420" w:firstLineChars="200"/>
              <w:outlineLvl w:val="1"/>
            </w:pPr>
            <w:r>
              <w:rPr>
                <w:rFonts w:hint="eastAsia" w:ascii="宋体" w:hAnsi="宋体" w:cs="宋体"/>
                <w:kern w:val="0"/>
                <w:szCs w:val="21"/>
                <w:lang w:bidi="ar"/>
              </w:rPr>
              <w:t>由上表可知，</w:t>
            </w:r>
            <w:r>
              <w:rPr>
                <w:rFonts w:ascii="宋体" w:hAnsi="宋体" w:cs="宋体"/>
                <w:kern w:val="0"/>
                <w:szCs w:val="21"/>
                <w:lang w:bidi="ar"/>
              </w:rPr>
              <w:t>南蛇沥</w:t>
            </w:r>
            <w:r>
              <w:rPr>
                <w:rFonts w:hint="eastAsia" w:ascii="宋体" w:hAnsi="宋体" w:cs="宋体"/>
                <w:kern w:val="0"/>
                <w:szCs w:val="21"/>
                <w:lang w:bidi="ar"/>
              </w:rPr>
              <w:t>水质</w:t>
            </w:r>
            <w:r>
              <w:rPr>
                <w:rFonts w:ascii="宋体" w:hAnsi="宋体" w:cs="宋体"/>
                <w:kern w:val="0"/>
                <w:szCs w:val="21"/>
                <w:lang w:bidi="ar"/>
              </w:rPr>
              <w:t>现状</w:t>
            </w:r>
            <w:r>
              <w:rPr>
                <w:rFonts w:hint="eastAsia" w:ascii="宋体" w:hAnsi="宋体" w:cs="宋体"/>
                <w:kern w:val="0"/>
                <w:szCs w:val="21"/>
                <w:lang w:bidi="ar"/>
              </w:rPr>
              <w:t>不</w:t>
            </w:r>
            <w:r>
              <w:rPr>
                <w:rFonts w:ascii="宋体" w:hAnsi="宋体" w:cs="宋体"/>
                <w:kern w:val="0"/>
                <w:szCs w:val="21"/>
                <w:lang w:bidi="ar"/>
              </w:rPr>
              <w:t>能满足</w:t>
            </w:r>
            <w:r>
              <w:rPr>
                <w:rFonts w:hint="eastAsia" w:ascii="宋体" w:hAnsi="宋体" w:cs="宋体"/>
                <w:kern w:val="0"/>
                <w:szCs w:val="21"/>
                <w:lang w:bidi="ar"/>
              </w:rPr>
              <w:t>《地表水环境质量标准》（</w:t>
            </w:r>
            <w:r>
              <w:rPr>
                <w:kern w:val="0"/>
                <w:szCs w:val="21"/>
                <w:lang w:bidi="ar"/>
              </w:rPr>
              <w:t>GB3838-2002</w:t>
            </w:r>
            <w:r>
              <w:rPr>
                <w:rFonts w:hint="eastAsia" w:ascii="宋体" w:hAnsi="宋体" w:cs="宋体"/>
                <w:kern w:val="0"/>
                <w:szCs w:val="21"/>
                <w:lang w:bidi="ar"/>
              </w:rPr>
              <w:t>）中</w:t>
            </w:r>
            <w:r>
              <w:rPr>
                <w:rFonts w:hint="eastAsia" w:hAnsi="宋体"/>
                <w:szCs w:val="21"/>
              </w:rPr>
              <w:t>Ⅳ类</w:t>
            </w:r>
            <w:r>
              <w:rPr>
                <w:rFonts w:hint="eastAsia" w:ascii="宋体" w:hAnsi="宋体" w:cs="宋体"/>
                <w:kern w:val="0"/>
                <w:szCs w:val="21"/>
                <w:lang w:bidi="ar"/>
              </w:rPr>
              <w:t>标准的要求，</w:t>
            </w:r>
            <w:r>
              <w:rPr>
                <w:rFonts w:ascii="宋体" w:hAnsi="宋体" w:cs="宋体"/>
                <w:kern w:val="0"/>
                <w:szCs w:val="21"/>
                <w:lang w:bidi="ar"/>
              </w:rPr>
              <w:t>根据现场调查，造成超标的原因主要是过去的污水管网未完善，河道沿线生活和生产废水的排放所致。</w:t>
            </w:r>
            <w:r>
              <w:rPr>
                <w:rFonts w:hint="eastAsia" w:ascii="宋体" w:hAnsi="宋体" w:cs="宋体"/>
                <w:kern w:val="0"/>
                <w:szCs w:val="21"/>
                <w:lang w:bidi="ar"/>
              </w:rPr>
              <w:t>鉴于项目区域水质较差，地方政府一方面应加快城镇生活污水处理厂及其管网的建设，另一方面环保部门需加强工业污染源的监管，确保水质达标</w:t>
            </w:r>
            <w:r>
              <w:rPr>
                <w:kern w:val="0"/>
                <w:szCs w:val="21"/>
              </w:rPr>
              <w:t>。</w:t>
            </w:r>
          </w:p>
          <w:p>
            <w:pPr>
              <w:widowControl/>
              <w:adjustRightInd w:val="0"/>
              <w:snapToGrid w:val="0"/>
              <w:spacing w:line="360" w:lineRule="auto"/>
              <w:ind w:firstLine="422" w:firstLineChars="200"/>
              <w:jc w:val="left"/>
              <w:rPr>
                <w:b/>
              </w:rPr>
            </w:pPr>
            <w:r>
              <w:rPr>
                <w:rFonts w:hint="eastAsia"/>
                <w:b/>
              </w:rPr>
              <w:t>3</w:t>
            </w:r>
            <w:r>
              <w:rPr>
                <w:b/>
              </w:rPr>
              <w:t>、声环境</w:t>
            </w:r>
          </w:p>
          <w:p>
            <w:pPr>
              <w:widowControl/>
              <w:adjustRightInd w:val="0"/>
              <w:snapToGrid w:val="0"/>
              <w:spacing w:line="360" w:lineRule="auto"/>
              <w:ind w:firstLine="420" w:firstLineChars="200"/>
              <w:rPr>
                <w:rFonts w:hAnsi="宋体"/>
                <w:szCs w:val="21"/>
              </w:rPr>
            </w:pPr>
            <w:r>
              <w:rPr>
                <w:kern w:val="0"/>
                <w:szCs w:val="21"/>
              </w:rPr>
              <w:t>本项目所在地区属居住、商业和工业混杂区，根据《声环境功能区划分技术规范》（GB/T15190-2014）</w:t>
            </w:r>
            <w:r>
              <w:rPr>
                <w:rFonts w:hint="eastAsia"/>
                <w:kern w:val="0"/>
                <w:szCs w:val="21"/>
              </w:rPr>
              <w:t>和</w:t>
            </w:r>
            <w:r>
              <w:rPr>
                <w:kern w:val="0"/>
                <w:szCs w:val="21"/>
              </w:rPr>
              <w:t>《声环境质量标准》（GB3096-2008），本项目所在区域</w:t>
            </w:r>
            <w:r>
              <w:rPr>
                <w:rFonts w:hint="eastAsia"/>
                <w:kern w:val="0"/>
                <w:szCs w:val="21"/>
              </w:rPr>
              <w:t>属于2类声环境功能区，</w:t>
            </w:r>
            <w:r>
              <w:rPr>
                <w:rFonts w:hint="eastAsia"/>
                <w:szCs w:val="21"/>
              </w:rPr>
              <w:t>执行</w:t>
            </w:r>
            <w:r>
              <w:rPr>
                <w:szCs w:val="21"/>
              </w:rPr>
              <w:t>《声环境质量标准》（GB3096-2008）</w:t>
            </w:r>
            <w:r>
              <w:rPr>
                <w:rFonts w:hint="eastAsia"/>
                <w:szCs w:val="21"/>
              </w:rPr>
              <w:t>中2类标准</w:t>
            </w:r>
            <w:r>
              <w:rPr>
                <w:szCs w:val="21"/>
              </w:rPr>
              <w:t>。</w:t>
            </w:r>
          </w:p>
          <w:p>
            <w:pPr>
              <w:spacing w:line="360" w:lineRule="auto"/>
              <w:ind w:firstLine="420" w:firstLineChars="200"/>
              <w:rPr>
                <w:kern w:val="0"/>
                <w:szCs w:val="21"/>
              </w:rPr>
            </w:pPr>
            <w:r>
              <w:t>距离项目</w:t>
            </w:r>
            <w:r>
              <w:rPr>
                <w:rFonts w:hint="eastAsia"/>
              </w:rPr>
              <w:t>周边5</w:t>
            </w:r>
            <w:r>
              <w:t>0</w:t>
            </w:r>
            <w:r>
              <w:rPr>
                <w:rFonts w:hint="eastAsia"/>
              </w:rPr>
              <w:t>米范围内的</w:t>
            </w:r>
            <w:r>
              <w:t>声环境保护目标</w:t>
            </w:r>
            <w:r>
              <w:rPr>
                <w:rFonts w:hint="eastAsia"/>
              </w:rPr>
              <w:t>有东侧边界外</w:t>
            </w:r>
            <w:r>
              <w:t>3</w:t>
            </w:r>
            <w:r>
              <w:rPr>
                <w:rFonts w:hint="eastAsia"/>
              </w:rPr>
              <w:t>米的居民楼</w:t>
            </w:r>
            <w:r>
              <w:t>，</w:t>
            </w:r>
            <w:r>
              <w:rPr>
                <w:kern w:val="0"/>
                <w:szCs w:val="21"/>
              </w:rPr>
              <w:t>为了解本项目周边敏感点声环境质量现状，建设单位委托东莞市启丰检测技术服务有限公司于2022年8月31日严格按照《声环境质量标准》（GB3096-2008）要求对项目</w:t>
            </w:r>
            <w:r>
              <w:rPr>
                <w:rFonts w:hint="eastAsia"/>
                <w:kern w:val="0"/>
                <w:szCs w:val="21"/>
              </w:rPr>
              <w:t>东面的居民楼处</w:t>
            </w:r>
            <w:r>
              <w:rPr>
                <w:kern w:val="0"/>
                <w:szCs w:val="21"/>
              </w:rPr>
              <w:t>进行了噪声监测，监测点位见附图2，监测结果见下表，监测报告见附件7。</w:t>
            </w:r>
          </w:p>
          <w:p>
            <w:pPr>
              <w:widowControl/>
              <w:numPr>
                <w:ilvl w:val="0"/>
                <w:numId w:val="2"/>
              </w:numPr>
              <w:tabs>
                <w:tab w:val="left" w:pos="0"/>
              </w:tabs>
              <w:adjustRightInd w:val="0"/>
              <w:spacing w:line="360" w:lineRule="auto"/>
              <w:ind w:left="0"/>
              <w:jc w:val="center"/>
              <w:textAlignment w:val="baseline"/>
              <w:rPr>
                <w:b/>
                <w:kern w:val="0"/>
                <w:szCs w:val="20"/>
              </w:rPr>
            </w:pPr>
            <w:r>
              <w:rPr>
                <w:b/>
                <w:kern w:val="0"/>
                <w:szCs w:val="20"/>
              </w:rPr>
              <w:t>环境噪声现状监测结果统计表    单位：dB(A)</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2360"/>
              <w:gridCol w:w="1029"/>
              <w:gridCol w:w="1177"/>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dxa"/>
                  <w:vAlign w:val="center"/>
                </w:tcPr>
                <w:p>
                  <w:pPr>
                    <w:jc w:val="center"/>
                    <w:rPr>
                      <w:b/>
                      <w:bCs/>
                      <w:kern w:val="0"/>
                      <w:szCs w:val="21"/>
                    </w:rPr>
                  </w:pPr>
                  <w:r>
                    <w:rPr>
                      <w:b/>
                      <w:bCs/>
                      <w:kern w:val="0"/>
                      <w:szCs w:val="21"/>
                    </w:rPr>
                    <w:t>编号</w:t>
                  </w:r>
                </w:p>
              </w:tc>
              <w:tc>
                <w:tcPr>
                  <w:tcW w:w="2360" w:type="dxa"/>
                  <w:vAlign w:val="center"/>
                </w:tcPr>
                <w:p>
                  <w:pPr>
                    <w:jc w:val="center"/>
                    <w:rPr>
                      <w:b/>
                      <w:bCs/>
                      <w:kern w:val="0"/>
                      <w:szCs w:val="21"/>
                    </w:rPr>
                  </w:pPr>
                  <w:r>
                    <w:rPr>
                      <w:b/>
                      <w:bCs/>
                      <w:kern w:val="0"/>
                      <w:szCs w:val="21"/>
                    </w:rPr>
                    <w:t>监测点位</w:t>
                  </w:r>
                </w:p>
              </w:tc>
              <w:tc>
                <w:tcPr>
                  <w:tcW w:w="1029" w:type="dxa"/>
                  <w:vAlign w:val="center"/>
                </w:tcPr>
                <w:p>
                  <w:pPr>
                    <w:jc w:val="center"/>
                    <w:rPr>
                      <w:b/>
                      <w:bCs/>
                      <w:kern w:val="0"/>
                      <w:szCs w:val="21"/>
                    </w:rPr>
                  </w:pPr>
                  <w:r>
                    <w:rPr>
                      <w:b/>
                      <w:bCs/>
                      <w:kern w:val="0"/>
                      <w:szCs w:val="21"/>
                    </w:rPr>
                    <w:t>昼间</w:t>
                  </w:r>
                </w:p>
              </w:tc>
              <w:tc>
                <w:tcPr>
                  <w:tcW w:w="1177" w:type="dxa"/>
                  <w:vAlign w:val="center"/>
                </w:tcPr>
                <w:p>
                  <w:pPr>
                    <w:jc w:val="center"/>
                    <w:rPr>
                      <w:b/>
                      <w:bCs/>
                      <w:kern w:val="0"/>
                      <w:szCs w:val="21"/>
                    </w:rPr>
                  </w:pPr>
                  <w:r>
                    <w:rPr>
                      <w:b/>
                      <w:bCs/>
                      <w:kern w:val="0"/>
                      <w:szCs w:val="21"/>
                    </w:rPr>
                    <w:t>夜间</w:t>
                  </w:r>
                </w:p>
              </w:tc>
              <w:tc>
                <w:tcPr>
                  <w:tcW w:w="3094" w:type="dxa"/>
                  <w:vAlign w:val="center"/>
                </w:tcPr>
                <w:p>
                  <w:pPr>
                    <w:jc w:val="center"/>
                    <w:rPr>
                      <w:b/>
                      <w:bCs/>
                      <w:kern w:val="0"/>
                      <w:szCs w:val="21"/>
                    </w:rPr>
                  </w:pPr>
                  <w:r>
                    <w:rPr>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1" w:type="dxa"/>
                  <w:vAlign w:val="center"/>
                </w:tcPr>
                <w:p>
                  <w:pPr>
                    <w:jc w:val="center"/>
                    <w:rPr>
                      <w:kern w:val="0"/>
                      <w:szCs w:val="21"/>
                    </w:rPr>
                  </w:pPr>
                  <w:r>
                    <w:rPr>
                      <w:kern w:val="0"/>
                      <w:szCs w:val="21"/>
                    </w:rPr>
                    <w:t>N1</w:t>
                  </w:r>
                </w:p>
              </w:tc>
              <w:tc>
                <w:tcPr>
                  <w:tcW w:w="2360" w:type="dxa"/>
                  <w:vAlign w:val="center"/>
                </w:tcPr>
                <w:p>
                  <w:pPr>
                    <w:jc w:val="center"/>
                    <w:rPr>
                      <w:kern w:val="0"/>
                      <w:szCs w:val="21"/>
                    </w:rPr>
                  </w:pPr>
                  <w:r>
                    <w:rPr>
                      <w:kern w:val="0"/>
                      <w:szCs w:val="21"/>
                    </w:rPr>
                    <w:t>东侧3米的居民楼</w:t>
                  </w:r>
                </w:p>
              </w:tc>
              <w:tc>
                <w:tcPr>
                  <w:tcW w:w="1029" w:type="dxa"/>
                  <w:vAlign w:val="center"/>
                </w:tcPr>
                <w:p>
                  <w:pPr>
                    <w:jc w:val="center"/>
                    <w:rPr>
                      <w:kern w:val="0"/>
                      <w:szCs w:val="21"/>
                    </w:rPr>
                  </w:pPr>
                  <w:r>
                    <w:rPr>
                      <w:kern w:val="0"/>
                      <w:szCs w:val="21"/>
                    </w:rPr>
                    <w:t>55</w:t>
                  </w:r>
                </w:p>
              </w:tc>
              <w:tc>
                <w:tcPr>
                  <w:tcW w:w="1177" w:type="dxa"/>
                  <w:vAlign w:val="center"/>
                </w:tcPr>
                <w:p>
                  <w:pPr>
                    <w:jc w:val="center"/>
                    <w:rPr>
                      <w:kern w:val="0"/>
                      <w:szCs w:val="21"/>
                    </w:rPr>
                  </w:pPr>
                  <w:r>
                    <w:rPr>
                      <w:kern w:val="0"/>
                      <w:szCs w:val="21"/>
                    </w:rPr>
                    <w:t>48</w:t>
                  </w:r>
                </w:p>
              </w:tc>
              <w:tc>
                <w:tcPr>
                  <w:tcW w:w="3094" w:type="dxa"/>
                  <w:vAlign w:val="center"/>
                </w:tcPr>
                <w:p>
                  <w:pPr>
                    <w:jc w:val="center"/>
                    <w:rPr>
                      <w:kern w:val="0"/>
                      <w:szCs w:val="21"/>
                    </w:rPr>
                  </w:pPr>
                  <w:r>
                    <w:rPr>
                      <w:kern w:val="0"/>
                      <w:szCs w:val="21"/>
                    </w:rPr>
                    <w:t>GB3096-2008中2类标准：昼间≤60dB(A)、夜间≤50dB(A)</w:t>
                  </w:r>
                </w:p>
              </w:tc>
            </w:tr>
          </w:tbl>
          <w:p>
            <w:pPr>
              <w:adjustRightInd w:val="0"/>
              <w:snapToGrid w:val="0"/>
              <w:spacing w:before="120" w:line="360" w:lineRule="auto"/>
              <w:ind w:firstLine="420" w:firstLineChars="200"/>
              <w:rPr>
                <w:kern w:val="0"/>
                <w:szCs w:val="21"/>
              </w:rPr>
            </w:pPr>
            <w:r>
              <w:rPr>
                <w:kern w:val="0"/>
                <w:szCs w:val="21"/>
              </w:rPr>
              <w:t>从监测结果来看，</w:t>
            </w:r>
            <w:r>
              <w:rPr>
                <w:kern w:val="0"/>
                <w:szCs w:val="21"/>
                <w:lang w:val="zh-CN"/>
              </w:rPr>
              <w:t>项目</w:t>
            </w:r>
            <w:r>
              <w:rPr>
                <w:rFonts w:hint="eastAsia"/>
                <w:kern w:val="0"/>
                <w:szCs w:val="21"/>
              </w:rPr>
              <w:t>周边5</w:t>
            </w:r>
            <w:r>
              <w:rPr>
                <w:kern w:val="0"/>
                <w:szCs w:val="21"/>
              </w:rPr>
              <w:t>0</w:t>
            </w:r>
            <w:r>
              <w:rPr>
                <w:rFonts w:hint="eastAsia"/>
                <w:kern w:val="0"/>
                <w:szCs w:val="21"/>
              </w:rPr>
              <w:t>米范围内的声环境保护目标的</w:t>
            </w:r>
            <w:r>
              <w:rPr>
                <w:kern w:val="0"/>
                <w:szCs w:val="21"/>
              </w:rPr>
              <w:t>昼、夜间环境噪声值</w:t>
            </w:r>
            <w:r>
              <w:rPr>
                <w:rFonts w:hint="eastAsia"/>
                <w:kern w:val="0"/>
                <w:szCs w:val="21"/>
              </w:rPr>
              <w:t>均可</w:t>
            </w:r>
            <w:r>
              <w:rPr>
                <w:kern w:val="0"/>
                <w:szCs w:val="21"/>
              </w:rPr>
              <w:t>达到</w:t>
            </w:r>
            <w:r>
              <w:rPr>
                <w:kern w:val="0"/>
                <w:szCs w:val="21"/>
                <w:lang w:val="zh-CN"/>
              </w:rPr>
              <w:t>《声环境质量标准》（</w:t>
            </w:r>
            <w:r>
              <w:rPr>
                <w:kern w:val="0"/>
                <w:szCs w:val="21"/>
              </w:rPr>
              <w:t>GB3096-2008</w:t>
            </w:r>
            <w:r>
              <w:rPr>
                <w:kern w:val="0"/>
                <w:szCs w:val="21"/>
                <w:lang w:val="zh-CN"/>
              </w:rPr>
              <w:t>）</w:t>
            </w:r>
            <w:r>
              <w:rPr>
                <w:kern w:val="0"/>
                <w:szCs w:val="21"/>
              </w:rPr>
              <w:t>2</w:t>
            </w:r>
            <w:r>
              <w:rPr>
                <w:kern w:val="0"/>
                <w:szCs w:val="21"/>
                <w:lang w:val="zh-CN"/>
              </w:rPr>
              <w:t>类标准，说明声环境质量良好</w:t>
            </w:r>
            <w:r>
              <w:rPr>
                <w:kern w:val="0"/>
                <w:szCs w:val="21"/>
              </w:rPr>
              <w:t>。</w:t>
            </w:r>
          </w:p>
          <w:p>
            <w:pPr>
              <w:widowControl/>
              <w:adjustRightInd w:val="0"/>
              <w:snapToGrid w:val="0"/>
              <w:spacing w:line="360" w:lineRule="auto"/>
              <w:ind w:firstLine="422" w:firstLineChars="200"/>
              <w:rPr>
                <w:b/>
                <w:bCs/>
              </w:rPr>
            </w:pPr>
            <w:r>
              <w:rPr>
                <w:rFonts w:hint="eastAsia"/>
                <w:b/>
                <w:bCs/>
              </w:rPr>
              <w:t>4</w:t>
            </w:r>
            <w:r>
              <w:rPr>
                <w:b/>
                <w:bCs/>
              </w:rPr>
              <w:t>、生态环境</w:t>
            </w:r>
          </w:p>
          <w:p>
            <w:pPr>
              <w:widowControl/>
              <w:adjustRightInd w:val="0"/>
              <w:snapToGrid w:val="0"/>
              <w:spacing w:line="360" w:lineRule="auto"/>
              <w:ind w:firstLine="420" w:firstLineChars="200"/>
              <w:rPr>
                <w:kern w:val="0"/>
                <w:szCs w:val="21"/>
              </w:rPr>
            </w:pPr>
            <w:r>
              <w:rPr>
                <w:kern w:val="0"/>
                <w:szCs w:val="21"/>
              </w:rPr>
              <w:t>本项目租赁厂房，无新增用地。</w:t>
            </w:r>
          </w:p>
          <w:p>
            <w:pPr>
              <w:widowControl/>
              <w:adjustRightInd w:val="0"/>
              <w:snapToGrid w:val="0"/>
              <w:spacing w:line="360" w:lineRule="auto"/>
              <w:ind w:firstLine="422" w:firstLineChars="200"/>
              <w:rPr>
                <w:b/>
                <w:bCs/>
                <w:kern w:val="0"/>
                <w:szCs w:val="21"/>
              </w:rPr>
            </w:pPr>
            <w:r>
              <w:rPr>
                <w:rFonts w:hint="eastAsia"/>
                <w:b/>
                <w:bCs/>
                <w:kern w:val="0"/>
                <w:szCs w:val="21"/>
              </w:rPr>
              <w:t>5</w:t>
            </w:r>
            <w:r>
              <w:rPr>
                <w:b/>
                <w:bCs/>
                <w:kern w:val="0"/>
                <w:szCs w:val="21"/>
              </w:rPr>
              <w:t>、电磁辐射</w:t>
            </w:r>
          </w:p>
          <w:p>
            <w:pPr>
              <w:widowControl/>
              <w:adjustRightInd w:val="0"/>
              <w:snapToGrid w:val="0"/>
              <w:spacing w:line="360" w:lineRule="auto"/>
              <w:ind w:firstLine="420" w:firstLineChars="200"/>
              <w:rPr>
                <w:kern w:val="0"/>
                <w:szCs w:val="21"/>
              </w:rPr>
            </w:pPr>
            <w:r>
              <w:rPr>
                <w:kern w:val="0"/>
                <w:szCs w:val="21"/>
              </w:rPr>
              <w:t>无。</w:t>
            </w:r>
          </w:p>
          <w:p>
            <w:pPr>
              <w:widowControl/>
              <w:adjustRightInd w:val="0"/>
              <w:snapToGrid w:val="0"/>
              <w:spacing w:line="360" w:lineRule="auto"/>
              <w:ind w:firstLine="422" w:firstLineChars="200"/>
              <w:rPr>
                <w:b/>
                <w:bCs/>
                <w:kern w:val="0"/>
                <w:szCs w:val="21"/>
              </w:rPr>
            </w:pPr>
            <w:r>
              <w:rPr>
                <w:rFonts w:hint="eastAsia"/>
                <w:b/>
                <w:bCs/>
                <w:kern w:val="0"/>
                <w:szCs w:val="21"/>
              </w:rPr>
              <w:t>6</w:t>
            </w:r>
            <w:r>
              <w:rPr>
                <w:b/>
                <w:bCs/>
                <w:kern w:val="0"/>
                <w:szCs w:val="21"/>
              </w:rPr>
              <w:t>、</w:t>
            </w:r>
            <w:r>
              <w:rPr>
                <w:b/>
                <w:bCs/>
                <w:kern w:val="21"/>
                <w:szCs w:val="21"/>
              </w:rPr>
              <w:t>地下水、土壤环境</w:t>
            </w:r>
          </w:p>
          <w:p>
            <w:pPr>
              <w:widowControl/>
              <w:adjustRightInd w:val="0"/>
              <w:snapToGrid w:val="0"/>
              <w:spacing w:line="360" w:lineRule="auto"/>
              <w:ind w:firstLine="420" w:firstLineChars="200"/>
              <w:rPr>
                <w:kern w:val="0"/>
                <w:szCs w:val="21"/>
              </w:rPr>
            </w:pPr>
            <w:r>
              <w:rPr>
                <w:kern w:val="0"/>
                <w:szCs w:val="21"/>
              </w:rPr>
              <w:t>本项目无地下水、土壤污染途径，故不开展地下水、土壤现状调查。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78" w:type="pct"/>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4522" w:type="pct"/>
            <w:vAlign w:val="center"/>
          </w:tcPr>
          <w:p>
            <w:pPr>
              <w:pStyle w:val="79"/>
              <w:spacing w:line="360" w:lineRule="auto"/>
              <w:ind w:firstLine="422"/>
              <w:rPr>
                <w:b/>
                <w:kern w:val="2"/>
                <w:sz w:val="21"/>
              </w:rPr>
            </w:pPr>
            <w:r>
              <w:rPr>
                <w:rFonts w:hint="eastAsia"/>
                <w:b/>
                <w:kern w:val="2"/>
                <w:sz w:val="21"/>
              </w:rPr>
              <w:t>1</w:t>
            </w:r>
            <w:r>
              <w:rPr>
                <w:b/>
                <w:kern w:val="2"/>
                <w:sz w:val="21"/>
              </w:rPr>
              <w:t>、大气环境</w:t>
            </w:r>
          </w:p>
          <w:p>
            <w:pPr>
              <w:pStyle w:val="79"/>
              <w:spacing w:line="360" w:lineRule="auto"/>
              <w:ind w:firstLine="420"/>
              <w:rPr>
                <w:rFonts w:eastAsia="等线"/>
                <w:b/>
                <w:kern w:val="2"/>
                <w:sz w:val="21"/>
              </w:rPr>
            </w:pPr>
            <w:r>
              <w:rPr>
                <w:sz w:val="21"/>
                <w:szCs w:val="21"/>
              </w:rPr>
              <w:t>本项目大气环境保护目标为周边的环境空气，使其符合《环境空气质量标准》（GB3095-2012）及其修改单中的二级标准，项目500米范围内的环境敏感点及保护目标详见下表。</w:t>
            </w:r>
          </w:p>
          <w:p>
            <w:pPr>
              <w:numPr>
                <w:ilvl w:val="0"/>
                <w:numId w:val="2"/>
              </w:numPr>
              <w:adjustRightInd w:val="0"/>
              <w:snapToGrid w:val="0"/>
              <w:spacing w:line="360" w:lineRule="auto"/>
              <w:ind w:left="322"/>
              <w:jc w:val="center"/>
              <w:rPr>
                <w:b/>
                <w:bCs/>
                <w:szCs w:val="21"/>
              </w:rPr>
            </w:pPr>
            <w:r>
              <w:rPr>
                <w:b/>
                <w:bCs/>
                <w:szCs w:val="21"/>
              </w:rPr>
              <w:t>项目环境空气保护目标一览表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053"/>
              <w:gridCol w:w="963"/>
              <w:gridCol w:w="819"/>
              <w:gridCol w:w="1606"/>
              <w:gridCol w:w="991"/>
              <w:gridCol w:w="67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名称</w:t>
                  </w:r>
                </w:p>
              </w:tc>
              <w:tc>
                <w:tcPr>
                  <w:tcW w:w="1140" w:type="pct"/>
                  <w:gridSpan w:val="2"/>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地理坐标</w:t>
                  </w:r>
                </w:p>
              </w:tc>
              <w:tc>
                <w:tcPr>
                  <w:tcW w:w="495"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保护对象</w:t>
                  </w:r>
                </w:p>
              </w:tc>
              <w:tc>
                <w:tcPr>
                  <w:tcW w:w="962"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保护内容</w:t>
                  </w:r>
                </w:p>
              </w:tc>
              <w:tc>
                <w:tcPr>
                  <w:tcW w:w="597"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环境功能区</w:t>
                  </w:r>
                </w:p>
              </w:tc>
              <w:tc>
                <w:tcPr>
                  <w:tcW w:w="408"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相对厂址方位</w:t>
                  </w:r>
                </w:p>
              </w:tc>
              <w:tc>
                <w:tcPr>
                  <w:tcW w:w="513"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Merge w:val="continue"/>
                  <w:vAlign w:val="center"/>
                </w:tcPr>
                <w:p>
                  <w:pPr>
                    <w:widowControl/>
                    <w:jc w:val="left"/>
                    <w:rPr>
                      <w:b/>
                      <w:bCs/>
                      <w:kern w:val="0"/>
                      <w:sz w:val="18"/>
                      <w:szCs w:val="18"/>
                    </w:rPr>
                  </w:pP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经度</w:t>
                  </w:r>
                  <w:r>
                    <w:rPr>
                      <w:rFonts w:ascii="Times New Roman" w:hAnsi="Times New Roman"/>
                      <w:sz w:val="18"/>
                      <w:szCs w:val="18"/>
                    </w:rPr>
                    <w:t>E</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纬度</w:t>
                  </w:r>
                  <w:r>
                    <w:rPr>
                      <w:rFonts w:ascii="Times New Roman" w:hAnsi="Times New Roman"/>
                      <w:sz w:val="18"/>
                      <w:szCs w:val="18"/>
                    </w:rPr>
                    <w:t>N</w:t>
                  </w:r>
                </w:p>
              </w:tc>
              <w:tc>
                <w:tcPr>
                  <w:tcW w:w="495" w:type="pct"/>
                  <w:vMerge w:val="continue"/>
                  <w:vAlign w:val="center"/>
                </w:tcPr>
                <w:p>
                  <w:pPr>
                    <w:widowControl/>
                    <w:jc w:val="left"/>
                    <w:rPr>
                      <w:b/>
                      <w:bCs/>
                      <w:kern w:val="0"/>
                      <w:sz w:val="18"/>
                      <w:szCs w:val="18"/>
                    </w:rPr>
                  </w:pPr>
                </w:p>
              </w:tc>
              <w:tc>
                <w:tcPr>
                  <w:tcW w:w="962" w:type="pct"/>
                  <w:vMerge w:val="continue"/>
                  <w:vAlign w:val="center"/>
                </w:tcPr>
                <w:p>
                  <w:pPr>
                    <w:widowControl/>
                    <w:jc w:val="left"/>
                    <w:rPr>
                      <w:b/>
                      <w:bCs/>
                      <w:kern w:val="0"/>
                      <w:sz w:val="18"/>
                      <w:szCs w:val="18"/>
                    </w:rPr>
                  </w:pPr>
                </w:p>
              </w:tc>
              <w:tc>
                <w:tcPr>
                  <w:tcW w:w="597" w:type="pct"/>
                  <w:vMerge w:val="continue"/>
                  <w:vAlign w:val="center"/>
                </w:tcPr>
                <w:p>
                  <w:pPr>
                    <w:widowControl/>
                    <w:jc w:val="left"/>
                    <w:rPr>
                      <w:b/>
                      <w:bCs/>
                      <w:kern w:val="0"/>
                      <w:sz w:val="18"/>
                      <w:szCs w:val="18"/>
                    </w:rPr>
                  </w:pPr>
                </w:p>
              </w:tc>
              <w:tc>
                <w:tcPr>
                  <w:tcW w:w="408" w:type="pct"/>
                  <w:vMerge w:val="continue"/>
                  <w:vAlign w:val="center"/>
                </w:tcPr>
                <w:p>
                  <w:pPr>
                    <w:widowControl/>
                    <w:jc w:val="left"/>
                    <w:rPr>
                      <w:b/>
                      <w:bCs/>
                      <w:kern w:val="0"/>
                      <w:sz w:val="18"/>
                      <w:szCs w:val="18"/>
                    </w:rPr>
                  </w:pPr>
                </w:p>
              </w:tc>
              <w:tc>
                <w:tcPr>
                  <w:tcW w:w="513" w:type="pct"/>
                  <w:vMerge w:val="continue"/>
                  <w:vAlign w:val="center"/>
                </w:tcPr>
                <w:p>
                  <w:pPr>
                    <w:widowControl/>
                    <w:jc w:val="left"/>
                    <w:rPr>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居民楼</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114.43471°</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23.40759°</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居民，约4人</w:t>
                  </w:r>
                </w:p>
              </w:tc>
              <w:tc>
                <w:tcPr>
                  <w:tcW w:w="597" w:type="pct"/>
                  <w:vMerge w:val="restar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环境空气功能区二类区</w:t>
                  </w:r>
                </w:p>
              </w:tc>
              <w:tc>
                <w:tcPr>
                  <w:tcW w:w="408" w:type="pct"/>
                  <w:vAlign w:val="center"/>
                </w:tcPr>
                <w:p>
                  <w:pPr>
                    <w:autoSpaceDE w:val="0"/>
                    <w:jc w:val="center"/>
                    <w:rPr>
                      <w:sz w:val="18"/>
                      <w:szCs w:val="18"/>
                    </w:rPr>
                  </w:pPr>
                  <w:r>
                    <w:rPr>
                      <w:sz w:val="18"/>
                      <w:szCs w:val="18"/>
                    </w:rPr>
                    <w:t>东</w:t>
                  </w:r>
                </w:p>
              </w:tc>
              <w:tc>
                <w:tcPr>
                  <w:tcW w:w="513" w:type="pct"/>
                  <w:vAlign w:val="center"/>
                </w:tcPr>
                <w:p>
                  <w:pPr>
                    <w:autoSpaceDE w:val="0"/>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十二岭</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114.43226°</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23.40646°</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居民，约500人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西南</w:t>
                  </w:r>
                </w:p>
              </w:tc>
              <w:tc>
                <w:tcPr>
                  <w:tcW w:w="513" w:type="pct"/>
                  <w:vAlign w:val="center"/>
                </w:tcPr>
                <w:p>
                  <w:pPr>
                    <w:autoSpaceDE w:val="0"/>
                    <w:jc w:val="center"/>
                    <w:rPr>
                      <w:sz w:val="18"/>
                      <w:szCs w:val="18"/>
                    </w:rPr>
                  </w:pPr>
                  <w:r>
                    <w:rPr>
                      <w:rFonts w:hint="eastAsia"/>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陈村</w:t>
                  </w:r>
                  <w:r>
                    <w:rPr>
                      <w:sz w:val="18"/>
                      <w:szCs w:val="18"/>
                    </w:rPr>
                    <w:t>岭</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114.43477°</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23.41063°</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居民，约300人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北</w:t>
                  </w:r>
                </w:p>
              </w:tc>
              <w:tc>
                <w:tcPr>
                  <w:tcW w:w="513" w:type="pct"/>
                  <w:vAlign w:val="center"/>
                </w:tcPr>
                <w:p>
                  <w:pPr>
                    <w:autoSpaceDE w:val="0"/>
                    <w:jc w:val="center"/>
                    <w:rPr>
                      <w:sz w:val="18"/>
                      <w:szCs w:val="18"/>
                    </w:rPr>
                  </w:pPr>
                  <w:r>
                    <w:rPr>
                      <w:rFonts w:hint="eastAsia"/>
                      <w:sz w:val="18"/>
                      <w:szCs w:val="18"/>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罗村</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114.43022°</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23.40412°</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居民，约300人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西南</w:t>
                  </w:r>
                </w:p>
              </w:tc>
              <w:tc>
                <w:tcPr>
                  <w:tcW w:w="513" w:type="pct"/>
                  <w:vAlign w:val="center"/>
                </w:tcPr>
                <w:p>
                  <w:pPr>
                    <w:autoSpaceDE w:val="0"/>
                    <w:jc w:val="center"/>
                    <w:rPr>
                      <w:sz w:val="18"/>
                      <w:szCs w:val="18"/>
                    </w:rPr>
                  </w:pPr>
                  <w:r>
                    <w:rPr>
                      <w:rFonts w:hint="eastAsia"/>
                      <w:sz w:val="18"/>
                      <w:szCs w:val="18"/>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杨村</w:t>
                  </w:r>
                  <w:r>
                    <w:rPr>
                      <w:sz w:val="18"/>
                      <w:szCs w:val="18"/>
                    </w:rPr>
                    <w:t>中心医院第一分院</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114.42919°</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23.40636°</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hint="eastAsia" w:ascii="Times New Roman" w:hAnsi="Times New Roman"/>
                      <w:sz w:val="18"/>
                      <w:szCs w:val="18"/>
                    </w:rPr>
                    <w:t>医疗</w:t>
                  </w:r>
                </w:p>
              </w:tc>
              <w:tc>
                <w:tcPr>
                  <w:tcW w:w="962" w:type="pct"/>
                  <w:vAlign w:val="center"/>
                </w:tcPr>
                <w:p>
                  <w:pPr>
                    <w:adjustRightInd w:val="0"/>
                    <w:snapToGrid w:val="0"/>
                    <w:jc w:val="center"/>
                    <w:rPr>
                      <w:sz w:val="18"/>
                      <w:szCs w:val="18"/>
                    </w:rPr>
                  </w:pPr>
                  <w:r>
                    <w:rPr>
                      <w:rFonts w:hint="eastAsia"/>
                      <w:sz w:val="18"/>
                      <w:szCs w:val="18"/>
                    </w:rPr>
                    <w:t>约50人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西</w:t>
                  </w:r>
                </w:p>
              </w:tc>
              <w:tc>
                <w:tcPr>
                  <w:tcW w:w="513" w:type="pct"/>
                  <w:vAlign w:val="center"/>
                </w:tcPr>
                <w:p>
                  <w:pPr>
                    <w:autoSpaceDE w:val="0"/>
                    <w:jc w:val="center"/>
                    <w:rPr>
                      <w:sz w:val="18"/>
                      <w:szCs w:val="18"/>
                    </w:rPr>
                  </w:pPr>
                  <w:r>
                    <w:rPr>
                      <w:rFonts w:hint="eastAsia"/>
                      <w:sz w:val="18"/>
                      <w:szCs w:val="18"/>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水华</w:t>
                  </w:r>
                  <w:r>
                    <w:rPr>
                      <w:sz w:val="18"/>
                      <w:szCs w:val="18"/>
                    </w:rPr>
                    <w:t>寨村</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114.42927°</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23.40718°</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居民，约50人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西</w:t>
                  </w:r>
                </w:p>
              </w:tc>
              <w:tc>
                <w:tcPr>
                  <w:tcW w:w="513" w:type="pct"/>
                  <w:vAlign w:val="center"/>
                </w:tcPr>
                <w:p>
                  <w:pPr>
                    <w:autoSpaceDE w:val="0"/>
                    <w:jc w:val="center"/>
                    <w:rPr>
                      <w:sz w:val="18"/>
                      <w:szCs w:val="18"/>
                    </w:rPr>
                  </w:pPr>
                  <w:r>
                    <w:rPr>
                      <w:rFonts w:hint="eastAsia"/>
                      <w:sz w:val="18"/>
                      <w:szCs w:val="18"/>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渡头村</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114.43778°</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23.41112°</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居民，约200人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rFonts w:hint="eastAsia"/>
                      <w:sz w:val="18"/>
                      <w:szCs w:val="18"/>
                    </w:rPr>
                    <w:t>东北</w:t>
                  </w:r>
                </w:p>
              </w:tc>
              <w:tc>
                <w:tcPr>
                  <w:tcW w:w="513" w:type="pct"/>
                  <w:vAlign w:val="center"/>
                </w:tcPr>
                <w:p>
                  <w:pPr>
                    <w:autoSpaceDE w:val="0"/>
                    <w:jc w:val="center"/>
                    <w:rPr>
                      <w:sz w:val="18"/>
                      <w:szCs w:val="18"/>
                    </w:rPr>
                  </w:pPr>
                  <w:r>
                    <w:rPr>
                      <w:rFonts w:hint="eastAsia"/>
                      <w:sz w:val="18"/>
                      <w:szCs w:val="18"/>
                    </w:rPr>
                    <w:t>4</w:t>
                  </w:r>
                  <w:r>
                    <w:rPr>
                      <w:sz w:val="18"/>
                      <w:szCs w:val="18"/>
                    </w:rPr>
                    <w:t>4</w:t>
                  </w: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4" w:type="pct"/>
                  <w:vAlign w:val="center"/>
                </w:tcPr>
                <w:p>
                  <w:pPr>
                    <w:autoSpaceDE w:val="0"/>
                    <w:jc w:val="center"/>
                    <w:rPr>
                      <w:sz w:val="18"/>
                      <w:szCs w:val="18"/>
                    </w:rPr>
                  </w:pPr>
                  <w:r>
                    <w:rPr>
                      <w:rFonts w:hint="eastAsia"/>
                      <w:sz w:val="18"/>
                      <w:szCs w:val="18"/>
                    </w:rPr>
                    <w:t>黎塘村</w:t>
                  </w:r>
                </w:p>
              </w:tc>
              <w:tc>
                <w:tcPr>
                  <w:tcW w:w="569"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114.43034°</w:t>
                  </w:r>
                </w:p>
              </w:tc>
              <w:tc>
                <w:tcPr>
                  <w:tcW w:w="571"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23.41079°</w:t>
                  </w:r>
                </w:p>
              </w:tc>
              <w:tc>
                <w:tcPr>
                  <w:tcW w:w="495"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62" w:type="pct"/>
                  <w:vAlign w:val="center"/>
                </w:tcPr>
                <w:p>
                  <w:pPr>
                    <w:adjustRightInd w:val="0"/>
                    <w:snapToGrid w:val="0"/>
                    <w:jc w:val="center"/>
                    <w:rPr>
                      <w:sz w:val="18"/>
                      <w:szCs w:val="18"/>
                    </w:rPr>
                  </w:pPr>
                  <w:r>
                    <w:rPr>
                      <w:sz w:val="18"/>
                      <w:szCs w:val="18"/>
                    </w:rPr>
                    <w:t>居民，约300人</w:t>
                  </w:r>
                </w:p>
              </w:tc>
              <w:tc>
                <w:tcPr>
                  <w:tcW w:w="597"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408" w:type="pct"/>
                  <w:vAlign w:val="center"/>
                </w:tcPr>
                <w:p>
                  <w:pPr>
                    <w:autoSpaceDE w:val="0"/>
                    <w:jc w:val="center"/>
                    <w:rPr>
                      <w:sz w:val="18"/>
                      <w:szCs w:val="18"/>
                    </w:rPr>
                  </w:pPr>
                  <w:r>
                    <w:rPr>
                      <w:sz w:val="18"/>
                      <w:szCs w:val="18"/>
                    </w:rPr>
                    <w:t>西</w:t>
                  </w:r>
                  <w:r>
                    <w:rPr>
                      <w:rFonts w:hint="eastAsia"/>
                      <w:sz w:val="18"/>
                      <w:szCs w:val="18"/>
                    </w:rPr>
                    <w:t>北</w:t>
                  </w:r>
                </w:p>
              </w:tc>
              <w:tc>
                <w:tcPr>
                  <w:tcW w:w="513" w:type="pct"/>
                  <w:vAlign w:val="center"/>
                </w:tcPr>
                <w:p>
                  <w:pPr>
                    <w:autoSpaceDE w:val="0"/>
                    <w:jc w:val="center"/>
                    <w:rPr>
                      <w:sz w:val="18"/>
                      <w:szCs w:val="18"/>
                    </w:rPr>
                  </w:pPr>
                  <w:r>
                    <w:rPr>
                      <w:sz w:val="18"/>
                      <w:szCs w:val="18"/>
                    </w:rPr>
                    <w:t>535</w:t>
                  </w:r>
                </w:p>
              </w:tc>
            </w:tr>
          </w:tbl>
          <w:p>
            <w:pPr>
              <w:pStyle w:val="79"/>
              <w:spacing w:line="360" w:lineRule="auto"/>
              <w:ind w:firstLine="409" w:firstLineChars="194"/>
              <w:rPr>
                <w:b/>
                <w:kern w:val="2"/>
                <w:sz w:val="21"/>
              </w:rPr>
            </w:pPr>
            <w:r>
              <w:rPr>
                <w:rFonts w:hint="eastAsia"/>
                <w:b/>
                <w:kern w:val="2"/>
                <w:sz w:val="21"/>
              </w:rPr>
              <w:t>2</w:t>
            </w:r>
            <w:r>
              <w:rPr>
                <w:b/>
                <w:kern w:val="2"/>
                <w:sz w:val="21"/>
              </w:rPr>
              <w:t>、声环境</w:t>
            </w:r>
          </w:p>
          <w:p>
            <w:pPr>
              <w:adjustRightInd w:val="0"/>
              <w:snapToGrid w:val="0"/>
              <w:spacing w:line="360" w:lineRule="auto"/>
              <w:ind w:firstLine="420"/>
              <w:rPr>
                <w:szCs w:val="21"/>
              </w:rPr>
            </w:pPr>
            <w:r>
              <w:rPr>
                <w:szCs w:val="21"/>
              </w:rPr>
              <w:t>根据《建设项目环境影响报告表编制技术指南（污染影响类）（试行）》（环办环评〔2020〕33号）的要求：声环境环境保护目标的范围为厂界外50米，本项目厂界外50米范围内声环境保护目标如下表所示。</w:t>
            </w:r>
          </w:p>
          <w:p>
            <w:pPr>
              <w:widowControl/>
              <w:numPr>
                <w:ilvl w:val="0"/>
                <w:numId w:val="2"/>
              </w:numPr>
              <w:tabs>
                <w:tab w:val="left" w:pos="0"/>
              </w:tabs>
              <w:adjustRightInd w:val="0"/>
              <w:spacing w:line="360" w:lineRule="auto"/>
              <w:ind w:left="0"/>
              <w:jc w:val="center"/>
              <w:textAlignment w:val="baseline"/>
              <w:rPr>
                <w:b/>
                <w:kern w:val="0"/>
                <w:szCs w:val="20"/>
              </w:rPr>
            </w:pPr>
            <w:r>
              <w:rPr>
                <w:b/>
                <w:kern w:val="0"/>
                <w:szCs w:val="20"/>
              </w:rPr>
              <w:t>声环境保护目标一览表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67"/>
              <w:gridCol w:w="1072"/>
              <w:gridCol w:w="681"/>
              <w:gridCol w:w="985"/>
              <w:gridCol w:w="701"/>
              <w:gridCol w:w="188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81" w:type="pct"/>
                  <w:vMerge w:val="restart"/>
                  <w:vAlign w:val="center"/>
                </w:tcPr>
                <w:p>
                  <w:pPr>
                    <w:adjustRightInd w:val="0"/>
                    <w:snapToGrid w:val="0"/>
                    <w:jc w:val="center"/>
                    <w:rPr>
                      <w:b/>
                      <w:kern w:val="0"/>
                      <w:sz w:val="18"/>
                      <w:szCs w:val="18"/>
                    </w:rPr>
                  </w:pPr>
                  <w:r>
                    <w:rPr>
                      <w:rFonts w:hint="eastAsia"/>
                      <w:b/>
                      <w:kern w:val="0"/>
                      <w:sz w:val="18"/>
                      <w:szCs w:val="18"/>
                    </w:rPr>
                    <w:t>名称</w:t>
                  </w:r>
                </w:p>
              </w:tc>
              <w:tc>
                <w:tcPr>
                  <w:tcW w:w="1732" w:type="pct"/>
                  <w:gridSpan w:val="3"/>
                  <w:vAlign w:val="center"/>
                </w:tcPr>
                <w:p>
                  <w:pPr>
                    <w:adjustRightInd w:val="0"/>
                    <w:snapToGrid w:val="0"/>
                    <w:jc w:val="center"/>
                    <w:rPr>
                      <w:b/>
                      <w:kern w:val="0"/>
                      <w:sz w:val="18"/>
                      <w:szCs w:val="18"/>
                    </w:rPr>
                  </w:pPr>
                  <w:r>
                    <w:rPr>
                      <w:b/>
                      <w:kern w:val="0"/>
                      <w:sz w:val="18"/>
                      <w:szCs w:val="18"/>
                    </w:rPr>
                    <w:t>坐标</w:t>
                  </w:r>
                </w:p>
              </w:tc>
              <w:tc>
                <w:tcPr>
                  <w:tcW w:w="584" w:type="pct"/>
                  <w:vMerge w:val="restart"/>
                  <w:vAlign w:val="center"/>
                </w:tcPr>
                <w:p>
                  <w:pPr>
                    <w:adjustRightInd w:val="0"/>
                    <w:snapToGrid w:val="0"/>
                    <w:jc w:val="center"/>
                    <w:rPr>
                      <w:b/>
                      <w:kern w:val="0"/>
                      <w:sz w:val="18"/>
                      <w:szCs w:val="18"/>
                    </w:rPr>
                  </w:pPr>
                  <w:r>
                    <w:rPr>
                      <w:rFonts w:hint="eastAsia"/>
                      <w:b/>
                      <w:kern w:val="0"/>
                      <w:sz w:val="18"/>
                      <w:szCs w:val="18"/>
                    </w:rPr>
                    <w:t>距离</w:t>
                  </w:r>
                  <w:r>
                    <w:rPr>
                      <w:b/>
                      <w:kern w:val="0"/>
                      <w:sz w:val="18"/>
                      <w:szCs w:val="18"/>
                    </w:rPr>
                    <w:t>厂界最近距离/m</w:t>
                  </w:r>
                </w:p>
              </w:tc>
              <w:tc>
                <w:tcPr>
                  <w:tcW w:w="416" w:type="pct"/>
                  <w:vMerge w:val="restart"/>
                  <w:vAlign w:val="center"/>
                </w:tcPr>
                <w:p>
                  <w:pPr>
                    <w:adjustRightInd w:val="0"/>
                    <w:snapToGrid w:val="0"/>
                    <w:jc w:val="center"/>
                    <w:rPr>
                      <w:b/>
                      <w:kern w:val="0"/>
                      <w:sz w:val="18"/>
                      <w:szCs w:val="18"/>
                    </w:rPr>
                  </w:pPr>
                  <w:r>
                    <w:rPr>
                      <w:rFonts w:hint="eastAsia"/>
                      <w:b/>
                      <w:kern w:val="0"/>
                      <w:sz w:val="18"/>
                      <w:szCs w:val="18"/>
                    </w:rPr>
                    <w:t>方位</w:t>
                  </w:r>
                </w:p>
              </w:tc>
              <w:tc>
                <w:tcPr>
                  <w:tcW w:w="1117" w:type="pct"/>
                  <w:vMerge w:val="restart"/>
                  <w:vAlign w:val="center"/>
                </w:tcPr>
                <w:p>
                  <w:pPr>
                    <w:adjustRightInd w:val="0"/>
                    <w:snapToGrid w:val="0"/>
                    <w:jc w:val="center"/>
                    <w:rPr>
                      <w:b/>
                      <w:kern w:val="0"/>
                      <w:sz w:val="18"/>
                      <w:szCs w:val="18"/>
                    </w:rPr>
                  </w:pPr>
                  <w:r>
                    <w:rPr>
                      <w:rFonts w:hint="eastAsia"/>
                      <w:b/>
                      <w:kern w:val="0"/>
                      <w:sz w:val="18"/>
                      <w:szCs w:val="18"/>
                    </w:rPr>
                    <w:t>执行标准/功能区类别</w:t>
                  </w:r>
                </w:p>
              </w:tc>
              <w:tc>
                <w:tcPr>
                  <w:tcW w:w="670" w:type="pct"/>
                  <w:vMerge w:val="restart"/>
                  <w:vAlign w:val="center"/>
                </w:tcPr>
                <w:p>
                  <w:pPr>
                    <w:adjustRightInd w:val="0"/>
                    <w:snapToGrid w:val="0"/>
                    <w:jc w:val="center"/>
                    <w:rPr>
                      <w:b/>
                      <w:kern w:val="0"/>
                      <w:sz w:val="18"/>
                      <w:szCs w:val="18"/>
                    </w:rPr>
                  </w:pPr>
                  <w:r>
                    <w:rPr>
                      <w:rFonts w:hint="eastAsia"/>
                      <w:b/>
                      <w:kern w:val="0"/>
                      <w:sz w:val="18"/>
                      <w:szCs w:val="18"/>
                    </w:rPr>
                    <w:t>声环境保护目标情况说明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481" w:type="pct"/>
                  <w:vMerge w:val="continue"/>
                  <w:vAlign w:val="center"/>
                </w:tcPr>
                <w:p>
                  <w:pPr>
                    <w:rPr>
                      <w:kern w:val="0"/>
                      <w:szCs w:val="20"/>
                    </w:rPr>
                  </w:pPr>
                </w:p>
              </w:tc>
              <w:tc>
                <w:tcPr>
                  <w:tcW w:w="692" w:type="pct"/>
                  <w:vAlign w:val="center"/>
                </w:tcPr>
                <w:p>
                  <w:pPr>
                    <w:adjustRightInd w:val="0"/>
                    <w:snapToGrid w:val="0"/>
                    <w:jc w:val="center"/>
                    <w:rPr>
                      <w:b/>
                      <w:i/>
                      <w:iCs/>
                      <w:kern w:val="0"/>
                      <w:sz w:val="18"/>
                      <w:szCs w:val="18"/>
                    </w:rPr>
                  </w:pPr>
                  <w:r>
                    <w:rPr>
                      <w:b/>
                      <w:i/>
                      <w:iCs/>
                      <w:kern w:val="0"/>
                      <w:sz w:val="18"/>
                      <w:szCs w:val="18"/>
                    </w:rPr>
                    <w:t>E</w:t>
                  </w:r>
                </w:p>
              </w:tc>
              <w:tc>
                <w:tcPr>
                  <w:tcW w:w="636" w:type="pct"/>
                  <w:vAlign w:val="center"/>
                </w:tcPr>
                <w:p>
                  <w:pPr>
                    <w:adjustRightInd w:val="0"/>
                    <w:snapToGrid w:val="0"/>
                    <w:jc w:val="center"/>
                    <w:rPr>
                      <w:b/>
                      <w:i/>
                      <w:iCs/>
                      <w:kern w:val="0"/>
                      <w:sz w:val="18"/>
                      <w:szCs w:val="18"/>
                    </w:rPr>
                  </w:pPr>
                  <w:r>
                    <w:rPr>
                      <w:b/>
                      <w:i/>
                      <w:iCs/>
                      <w:kern w:val="0"/>
                      <w:sz w:val="18"/>
                      <w:szCs w:val="18"/>
                    </w:rPr>
                    <w:t>N</w:t>
                  </w:r>
                </w:p>
              </w:tc>
              <w:tc>
                <w:tcPr>
                  <w:tcW w:w="404" w:type="pct"/>
                  <w:vAlign w:val="center"/>
                </w:tcPr>
                <w:p>
                  <w:pPr>
                    <w:adjustRightInd w:val="0"/>
                    <w:snapToGrid w:val="0"/>
                    <w:jc w:val="center"/>
                    <w:rPr>
                      <w:kern w:val="0"/>
                      <w:szCs w:val="20"/>
                    </w:rPr>
                  </w:pPr>
                  <w:r>
                    <w:rPr>
                      <w:rFonts w:hint="eastAsia"/>
                      <w:b/>
                      <w:i/>
                      <w:iCs/>
                      <w:kern w:val="0"/>
                      <w:sz w:val="18"/>
                      <w:szCs w:val="18"/>
                    </w:rPr>
                    <w:t>Z</w:t>
                  </w:r>
                </w:p>
              </w:tc>
              <w:tc>
                <w:tcPr>
                  <w:tcW w:w="584" w:type="pct"/>
                  <w:vMerge w:val="continue"/>
                  <w:vAlign w:val="center"/>
                </w:tcPr>
                <w:p>
                  <w:pPr>
                    <w:rPr>
                      <w:kern w:val="0"/>
                      <w:szCs w:val="20"/>
                    </w:rPr>
                  </w:pPr>
                </w:p>
              </w:tc>
              <w:tc>
                <w:tcPr>
                  <w:tcW w:w="416" w:type="pct"/>
                  <w:vMerge w:val="continue"/>
                  <w:vAlign w:val="center"/>
                </w:tcPr>
                <w:p>
                  <w:pPr>
                    <w:rPr>
                      <w:kern w:val="0"/>
                      <w:szCs w:val="20"/>
                    </w:rPr>
                  </w:pPr>
                </w:p>
              </w:tc>
              <w:tc>
                <w:tcPr>
                  <w:tcW w:w="1117" w:type="pct"/>
                  <w:vMerge w:val="continue"/>
                  <w:vAlign w:val="center"/>
                </w:tcPr>
                <w:p>
                  <w:pPr>
                    <w:rPr>
                      <w:kern w:val="0"/>
                      <w:szCs w:val="20"/>
                    </w:rPr>
                  </w:pPr>
                </w:p>
              </w:tc>
              <w:tc>
                <w:tcPr>
                  <w:tcW w:w="670" w:type="pct"/>
                  <w:vMerge w:val="continue"/>
                  <w:vAlign w:val="center"/>
                </w:tcPr>
                <w:p>
                  <w:pPr>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81" w:type="pct"/>
                  <w:vAlign w:val="center"/>
                </w:tcPr>
                <w:p>
                  <w:pPr>
                    <w:autoSpaceDE w:val="0"/>
                    <w:jc w:val="center"/>
                    <w:rPr>
                      <w:sz w:val="18"/>
                      <w:szCs w:val="18"/>
                    </w:rPr>
                  </w:pPr>
                  <w:r>
                    <w:rPr>
                      <w:rFonts w:hint="eastAsia"/>
                      <w:sz w:val="18"/>
                      <w:szCs w:val="18"/>
                    </w:rPr>
                    <w:t>居民楼</w:t>
                  </w:r>
                </w:p>
              </w:tc>
              <w:tc>
                <w:tcPr>
                  <w:tcW w:w="692"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114.43471°</w:t>
                  </w:r>
                </w:p>
              </w:tc>
              <w:tc>
                <w:tcPr>
                  <w:tcW w:w="636"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23.40759°</w:t>
                  </w:r>
                </w:p>
              </w:tc>
              <w:tc>
                <w:tcPr>
                  <w:tcW w:w="404" w:type="pct"/>
                  <w:vAlign w:val="center"/>
                </w:tcPr>
                <w:p>
                  <w:pPr>
                    <w:adjustRightInd w:val="0"/>
                    <w:snapToGrid w:val="0"/>
                    <w:jc w:val="center"/>
                    <w:textAlignment w:val="baseline"/>
                    <w:rPr>
                      <w:kern w:val="0"/>
                      <w:sz w:val="18"/>
                      <w:szCs w:val="18"/>
                    </w:rPr>
                  </w:pPr>
                  <w:r>
                    <w:rPr>
                      <w:rFonts w:hint="eastAsia"/>
                      <w:kern w:val="0"/>
                      <w:sz w:val="18"/>
                      <w:szCs w:val="18"/>
                    </w:rPr>
                    <w:t>-3</w:t>
                  </w:r>
                </w:p>
              </w:tc>
              <w:tc>
                <w:tcPr>
                  <w:tcW w:w="584" w:type="pct"/>
                  <w:vAlign w:val="center"/>
                </w:tcPr>
                <w:p>
                  <w:pPr>
                    <w:adjustRightInd w:val="0"/>
                    <w:snapToGrid w:val="0"/>
                    <w:jc w:val="center"/>
                    <w:textAlignment w:val="baseline"/>
                    <w:rPr>
                      <w:kern w:val="0"/>
                      <w:sz w:val="18"/>
                      <w:szCs w:val="18"/>
                    </w:rPr>
                  </w:pPr>
                  <w:r>
                    <w:rPr>
                      <w:rFonts w:hint="eastAsia"/>
                      <w:kern w:val="0"/>
                      <w:sz w:val="18"/>
                      <w:szCs w:val="18"/>
                    </w:rPr>
                    <w:t>3</w:t>
                  </w:r>
                </w:p>
              </w:tc>
              <w:tc>
                <w:tcPr>
                  <w:tcW w:w="416" w:type="pct"/>
                  <w:vAlign w:val="center"/>
                </w:tcPr>
                <w:p>
                  <w:pPr>
                    <w:adjustRightInd w:val="0"/>
                    <w:snapToGrid w:val="0"/>
                    <w:jc w:val="center"/>
                    <w:rPr>
                      <w:kern w:val="0"/>
                      <w:sz w:val="18"/>
                      <w:szCs w:val="18"/>
                    </w:rPr>
                  </w:pPr>
                  <w:r>
                    <w:rPr>
                      <w:rFonts w:hint="eastAsia"/>
                      <w:kern w:val="0"/>
                      <w:sz w:val="18"/>
                      <w:szCs w:val="18"/>
                    </w:rPr>
                    <w:t>东</w:t>
                  </w:r>
                </w:p>
              </w:tc>
              <w:tc>
                <w:tcPr>
                  <w:tcW w:w="1117" w:type="pct"/>
                  <w:vAlign w:val="center"/>
                </w:tcPr>
                <w:p>
                  <w:pPr>
                    <w:adjustRightInd w:val="0"/>
                    <w:snapToGrid w:val="0"/>
                    <w:jc w:val="center"/>
                    <w:rPr>
                      <w:kern w:val="0"/>
                      <w:sz w:val="18"/>
                      <w:szCs w:val="18"/>
                    </w:rPr>
                  </w:pPr>
                  <w:r>
                    <w:rPr>
                      <w:kern w:val="0"/>
                      <w:sz w:val="18"/>
                      <w:szCs w:val="18"/>
                    </w:rPr>
                    <w:t>《声环境质量标准》（GB3096-2008）2类标准</w:t>
                  </w:r>
                  <w:r>
                    <w:rPr>
                      <w:rFonts w:hint="eastAsia"/>
                      <w:kern w:val="0"/>
                      <w:sz w:val="18"/>
                      <w:szCs w:val="18"/>
                    </w:rPr>
                    <w:t>，</w:t>
                  </w:r>
                  <w:r>
                    <w:rPr>
                      <w:kern w:val="0"/>
                      <w:sz w:val="18"/>
                      <w:szCs w:val="18"/>
                    </w:rPr>
                    <w:t>声环境2类区</w:t>
                  </w:r>
                </w:p>
              </w:tc>
              <w:tc>
                <w:tcPr>
                  <w:tcW w:w="670" w:type="pct"/>
                  <w:vAlign w:val="center"/>
                </w:tcPr>
                <w:p>
                  <w:pPr>
                    <w:adjustRightInd w:val="0"/>
                    <w:snapToGrid w:val="0"/>
                    <w:jc w:val="center"/>
                    <w:rPr>
                      <w:kern w:val="0"/>
                      <w:sz w:val="18"/>
                      <w:szCs w:val="18"/>
                    </w:rPr>
                  </w:pPr>
                  <w:r>
                    <w:rPr>
                      <w:rFonts w:hint="eastAsia"/>
                      <w:kern w:val="0"/>
                      <w:sz w:val="18"/>
                      <w:szCs w:val="18"/>
                    </w:rPr>
                    <w:t>砖混</w:t>
                  </w:r>
                  <w:r>
                    <w:rPr>
                      <w:kern w:val="0"/>
                      <w:sz w:val="18"/>
                      <w:szCs w:val="18"/>
                    </w:rPr>
                    <w:t>结构</w:t>
                  </w:r>
                  <w:r>
                    <w:rPr>
                      <w:rFonts w:hint="eastAsia"/>
                      <w:kern w:val="0"/>
                      <w:sz w:val="18"/>
                      <w:szCs w:val="18"/>
                    </w:rPr>
                    <w:t>，3层</w:t>
                  </w:r>
                  <w:r>
                    <w:rPr>
                      <w:kern w:val="0"/>
                      <w:sz w:val="18"/>
                      <w:szCs w:val="18"/>
                    </w:rPr>
                    <w:t>，朝东</w:t>
                  </w:r>
                </w:p>
              </w:tc>
            </w:tr>
          </w:tbl>
          <w:p>
            <w:pPr>
              <w:adjustRightInd w:val="0"/>
              <w:snapToGrid w:val="0"/>
              <w:spacing w:line="360" w:lineRule="auto"/>
              <w:ind w:firstLine="361" w:firstLineChars="200"/>
              <w:rPr>
                <w:b/>
                <w:sz w:val="18"/>
                <w:szCs w:val="18"/>
              </w:rPr>
            </w:pPr>
            <w:r>
              <w:rPr>
                <w:rFonts w:hint="eastAsia"/>
                <w:b/>
                <w:sz w:val="18"/>
                <w:szCs w:val="18"/>
              </w:rPr>
              <w:t>备注</w:t>
            </w:r>
            <w:r>
              <w:rPr>
                <w:b/>
                <w:sz w:val="18"/>
                <w:szCs w:val="18"/>
              </w:rPr>
              <w:t>：</w:t>
            </w:r>
            <w:r>
              <w:rPr>
                <w:rFonts w:hint="eastAsia"/>
                <w:b/>
                <w:sz w:val="18"/>
                <w:szCs w:val="18"/>
              </w:rPr>
              <w:t>z为</w:t>
            </w:r>
            <w:r>
              <w:rPr>
                <w:b/>
                <w:sz w:val="18"/>
                <w:szCs w:val="18"/>
              </w:rPr>
              <w:t>敏感点相对项目的高度。</w:t>
            </w:r>
          </w:p>
          <w:p>
            <w:pPr>
              <w:pStyle w:val="79"/>
              <w:spacing w:line="360" w:lineRule="auto"/>
              <w:ind w:firstLine="422"/>
              <w:rPr>
                <w:b/>
                <w:kern w:val="2"/>
                <w:sz w:val="21"/>
              </w:rPr>
            </w:pPr>
            <w:r>
              <w:rPr>
                <w:rFonts w:hint="eastAsia"/>
                <w:b/>
                <w:kern w:val="2"/>
                <w:sz w:val="21"/>
              </w:rPr>
              <w:t>3</w:t>
            </w:r>
            <w:r>
              <w:rPr>
                <w:b/>
                <w:kern w:val="2"/>
                <w:sz w:val="21"/>
              </w:rPr>
              <w:t>、地下水环境</w:t>
            </w:r>
          </w:p>
          <w:p>
            <w:pPr>
              <w:adjustRightInd w:val="0"/>
              <w:snapToGrid w:val="0"/>
              <w:spacing w:line="360" w:lineRule="auto"/>
              <w:ind w:firstLine="420" w:firstLineChars="200"/>
            </w:pPr>
            <w:r>
              <w:t>本项目厂界外500米范围内无地下水集中式饮用水源和热水、矿泉水、温泉等特殊地下水资源。</w:t>
            </w:r>
          </w:p>
          <w:p>
            <w:pPr>
              <w:adjustRightInd w:val="0"/>
              <w:snapToGrid w:val="0"/>
              <w:spacing w:line="360" w:lineRule="auto"/>
              <w:ind w:firstLine="422" w:firstLineChars="200"/>
              <w:rPr>
                <w:b/>
                <w:bCs/>
              </w:rPr>
            </w:pPr>
            <w:r>
              <w:rPr>
                <w:rFonts w:hint="eastAsia"/>
                <w:b/>
                <w:bCs/>
              </w:rPr>
              <w:t>4</w:t>
            </w:r>
            <w:r>
              <w:rPr>
                <w:b/>
                <w:bCs/>
              </w:rPr>
              <w:t>、生态环境</w:t>
            </w:r>
          </w:p>
          <w:p>
            <w:pPr>
              <w:widowControl/>
              <w:spacing w:line="360" w:lineRule="auto"/>
              <w:ind w:firstLine="420" w:firstLineChars="200"/>
              <w:rPr>
                <w:kern w:val="0"/>
                <w:szCs w:val="21"/>
              </w:rPr>
            </w:pPr>
            <w:r>
              <w:rPr>
                <w:kern w:val="0"/>
                <w:szCs w:val="21"/>
              </w:rPr>
              <w:t>本项目租赁厂房，无新增用地。</w:t>
            </w:r>
          </w:p>
          <w:p>
            <w:pP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78" w:type="pct"/>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4522" w:type="pct"/>
            <w:vAlign w:val="center"/>
          </w:tcPr>
          <w:p>
            <w:pPr>
              <w:snapToGrid w:val="0"/>
              <w:spacing w:line="360" w:lineRule="auto"/>
              <w:ind w:firstLine="422" w:firstLineChars="200"/>
              <w:rPr>
                <w:b/>
                <w:szCs w:val="21"/>
              </w:rPr>
            </w:pPr>
            <w:r>
              <w:rPr>
                <w:rFonts w:hint="eastAsia"/>
                <w:b/>
                <w:szCs w:val="21"/>
              </w:rPr>
              <w:t>1</w:t>
            </w:r>
            <w:r>
              <w:rPr>
                <w:b/>
                <w:szCs w:val="21"/>
              </w:rPr>
              <w:t>、大气</w:t>
            </w:r>
          </w:p>
          <w:p>
            <w:pPr>
              <w:spacing w:line="360" w:lineRule="auto"/>
              <w:ind w:firstLine="420" w:firstLineChars="200"/>
              <w:rPr>
                <w:szCs w:val="21"/>
              </w:rPr>
            </w:pPr>
            <w:r>
              <w:rPr>
                <w:bCs/>
                <w:szCs w:val="21"/>
              </w:rPr>
              <w:t>项目</w:t>
            </w:r>
            <w:r>
              <w:rPr>
                <w:rFonts w:hint="eastAsia"/>
                <w:bCs/>
                <w:szCs w:val="21"/>
              </w:rPr>
              <w:t>挤出</w:t>
            </w:r>
            <w:r>
              <w:rPr>
                <w:bCs/>
                <w:szCs w:val="21"/>
              </w:rPr>
              <w:t>工序产生的有机废气排放执行《合成树脂工业污染物排放标准》（GB31572-2015）表5、表9中的排放限值要求</w:t>
            </w:r>
            <w:r>
              <w:rPr>
                <w:rFonts w:hint="eastAsia"/>
                <w:bCs/>
                <w:szCs w:val="21"/>
              </w:rPr>
              <w:t>；</w:t>
            </w:r>
            <w:r>
              <w:rPr>
                <w:bCs/>
                <w:szCs w:val="21"/>
              </w:rPr>
              <w:t>项目</w:t>
            </w:r>
            <w:r>
              <w:rPr>
                <w:rFonts w:hint="eastAsia"/>
                <w:bCs/>
                <w:szCs w:val="21"/>
              </w:rPr>
              <w:t>贴合</w:t>
            </w:r>
            <w:r>
              <w:rPr>
                <w:rFonts w:hint="eastAsia"/>
              </w:rPr>
              <w:t>、</w:t>
            </w:r>
            <w:r>
              <w:t>植皮</w:t>
            </w:r>
            <w:r>
              <w:rPr>
                <w:rFonts w:hint="eastAsia"/>
              </w:rPr>
              <w:t>、</w:t>
            </w:r>
            <w:r>
              <w:t>印刷、烘干</w:t>
            </w:r>
            <w:r>
              <w:rPr>
                <w:rFonts w:hint="eastAsia"/>
              </w:rPr>
              <w:t>废气</w:t>
            </w:r>
            <w:r>
              <w:t>经</w:t>
            </w:r>
            <w:r>
              <w:rPr>
                <w:rFonts w:hint="eastAsia"/>
              </w:rPr>
              <w:t>同一根</w:t>
            </w:r>
            <w:r>
              <w:t>排气筒排放，</w:t>
            </w:r>
            <w:r>
              <w:rPr>
                <w:bCs/>
                <w:szCs w:val="21"/>
              </w:rPr>
              <w:t>排放执行</w:t>
            </w:r>
            <w:r>
              <w:rPr>
                <w:bCs/>
              </w:rPr>
              <w:t>广东省《固定污染源挥发性有机物综合排放标准》（DB44/2367-2022）表1</w:t>
            </w:r>
            <w:r>
              <w:rPr>
                <w:rFonts w:hint="eastAsia"/>
                <w:bCs/>
              </w:rPr>
              <w:t>挥发性有机物排放限值和</w:t>
            </w:r>
            <w:r>
              <w:rPr>
                <w:rFonts w:hint="eastAsia"/>
                <w:bCs/>
                <w:kern w:val="0"/>
                <w:szCs w:val="21"/>
              </w:rPr>
              <w:t>广东省《印刷行业挥发性有机化合物排放标准》（DB44/815-2010）表2中柔性版印刷Ⅱ时段标准的</w:t>
            </w:r>
            <w:r>
              <w:rPr>
                <w:bCs/>
                <w:kern w:val="0"/>
                <w:szCs w:val="21"/>
              </w:rPr>
              <w:t>较严值，</w:t>
            </w:r>
            <w:r>
              <w:rPr>
                <w:rFonts w:hint="eastAsia"/>
                <w:bCs/>
              </w:rPr>
              <w:t>项目厂界VOCs排放</w:t>
            </w:r>
            <w:r>
              <w:rPr>
                <w:bCs/>
              </w:rPr>
              <w:t>执行</w:t>
            </w:r>
            <w:r>
              <w:rPr>
                <w:rFonts w:hint="eastAsia"/>
                <w:bCs/>
                <w:kern w:val="0"/>
                <w:szCs w:val="21"/>
              </w:rPr>
              <w:t>广东省《印刷行业挥发性有机化合物排放标准》（DB44/815-2010）表</w:t>
            </w:r>
            <w:r>
              <w:rPr>
                <w:bCs/>
                <w:kern w:val="0"/>
                <w:szCs w:val="21"/>
              </w:rPr>
              <w:t>3</w:t>
            </w:r>
            <w:r>
              <w:rPr>
                <w:rFonts w:hint="eastAsia"/>
                <w:bCs/>
                <w:kern w:val="0"/>
                <w:szCs w:val="21"/>
              </w:rPr>
              <w:t>无组织</w:t>
            </w:r>
            <w:r>
              <w:rPr>
                <w:bCs/>
                <w:kern w:val="0"/>
                <w:szCs w:val="21"/>
              </w:rPr>
              <w:t>排放监控点浓度限值，项目厂区内</w:t>
            </w:r>
            <w:r>
              <w:rPr>
                <w:rFonts w:hint="eastAsia"/>
                <w:bCs/>
                <w:kern w:val="0"/>
                <w:szCs w:val="21"/>
              </w:rPr>
              <w:t>VOCs排放</w:t>
            </w:r>
            <w:r>
              <w:rPr>
                <w:bCs/>
                <w:kern w:val="0"/>
                <w:szCs w:val="21"/>
              </w:rPr>
              <w:t>执行</w:t>
            </w:r>
            <w:r>
              <w:rPr>
                <w:bCs/>
              </w:rPr>
              <w:t>广东省《固定污染源挥发性有机物综合排放标准》（DB44/2367-2022）表3</w:t>
            </w:r>
            <w:r>
              <w:rPr>
                <w:rFonts w:hint="eastAsia"/>
                <w:bCs/>
              </w:rPr>
              <w:t>厂区内 VOCs 无组织排放限值。</w:t>
            </w:r>
            <w:r>
              <w:rPr>
                <w:bCs/>
                <w:szCs w:val="21"/>
              </w:rPr>
              <w:t>具体标准限值见下表。</w:t>
            </w:r>
          </w:p>
          <w:p>
            <w:pPr>
              <w:numPr>
                <w:ilvl w:val="0"/>
                <w:numId w:val="2"/>
              </w:numPr>
              <w:adjustRightInd w:val="0"/>
              <w:snapToGrid w:val="0"/>
              <w:spacing w:line="360" w:lineRule="auto"/>
              <w:ind w:left="322"/>
              <w:jc w:val="center"/>
              <w:rPr>
                <w:b/>
                <w:bCs/>
                <w:szCs w:val="21"/>
              </w:rPr>
            </w:pPr>
            <w:r>
              <w:rPr>
                <w:rFonts w:hint="eastAsia"/>
                <w:b/>
                <w:szCs w:val="21"/>
              </w:rPr>
              <w:t>项目</w:t>
            </w:r>
            <w:r>
              <w:rPr>
                <w:b/>
                <w:szCs w:val="21"/>
              </w:rPr>
              <w:t>大气污染物排放标准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944"/>
              <w:gridCol w:w="1579"/>
              <w:gridCol w:w="1418"/>
              <w:gridCol w:w="1407"/>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90" w:type="pct"/>
                  <w:vAlign w:val="center"/>
                </w:tcPr>
                <w:p>
                  <w:pPr>
                    <w:widowControl/>
                    <w:adjustRightInd w:val="0"/>
                    <w:snapToGrid w:val="0"/>
                    <w:jc w:val="center"/>
                    <w:rPr>
                      <w:b/>
                      <w:bCs/>
                      <w:kern w:val="0"/>
                      <w:szCs w:val="21"/>
                    </w:rPr>
                  </w:pPr>
                  <w:r>
                    <w:rPr>
                      <w:b/>
                      <w:bCs/>
                      <w:kern w:val="0"/>
                      <w:szCs w:val="21"/>
                    </w:rPr>
                    <w:t>产污环节</w:t>
                  </w:r>
                </w:p>
              </w:tc>
              <w:tc>
                <w:tcPr>
                  <w:tcW w:w="560" w:type="pct"/>
                  <w:vAlign w:val="center"/>
                </w:tcPr>
                <w:p>
                  <w:pPr>
                    <w:widowControl/>
                    <w:adjustRightInd w:val="0"/>
                    <w:snapToGrid w:val="0"/>
                    <w:jc w:val="center"/>
                    <w:rPr>
                      <w:b/>
                      <w:bCs/>
                      <w:kern w:val="0"/>
                      <w:szCs w:val="21"/>
                    </w:rPr>
                  </w:pPr>
                  <w:r>
                    <w:rPr>
                      <w:b/>
                      <w:bCs/>
                      <w:kern w:val="0"/>
                      <w:szCs w:val="21"/>
                    </w:rPr>
                    <w:t>排气筒高度</w:t>
                  </w:r>
                  <w:r>
                    <w:rPr>
                      <w:b/>
                      <w:bCs/>
                      <w:szCs w:val="21"/>
                    </w:rPr>
                    <w:t>（m）</w:t>
                  </w:r>
                </w:p>
              </w:tc>
              <w:tc>
                <w:tcPr>
                  <w:tcW w:w="936" w:type="pct"/>
                  <w:vAlign w:val="center"/>
                </w:tcPr>
                <w:p>
                  <w:pPr>
                    <w:widowControl/>
                    <w:adjustRightInd w:val="0"/>
                    <w:snapToGrid w:val="0"/>
                    <w:jc w:val="center"/>
                    <w:rPr>
                      <w:b/>
                      <w:bCs/>
                      <w:kern w:val="0"/>
                      <w:szCs w:val="21"/>
                      <w:lang w:eastAsia="en-US"/>
                    </w:rPr>
                  </w:pPr>
                  <w:r>
                    <w:rPr>
                      <w:b/>
                      <w:bCs/>
                      <w:kern w:val="0"/>
                      <w:szCs w:val="21"/>
                      <w:lang w:eastAsia="en-US"/>
                    </w:rPr>
                    <w:t>污染物类型</w:t>
                  </w:r>
                </w:p>
              </w:tc>
              <w:tc>
                <w:tcPr>
                  <w:tcW w:w="841" w:type="pct"/>
                  <w:vAlign w:val="center"/>
                </w:tcPr>
                <w:p>
                  <w:pPr>
                    <w:widowControl/>
                    <w:adjustRightInd w:val="0"/>
                    <w:snapToGrid w:val="0"/>
                    <w:jc w:val="center"/>
                    <w:rPr>
                      <w:b/>
                      <w:bCs/>
                      <w:kern w:val="0"/>
                      <w:szCs w:val="21"/>
                    </w:rPr>
                  </w:pPr>
                  <w:r>
                    <w:rPr>
                      <w:b/>
                      <w:bCs/>
                      <w:kern w:val="0"/>
                      <w:szCs w:val="21"/>
                    </w:rPr>
                    <w:t>最高允许排放浓度（mg/m</w:t>
                  </w:r>
                  <w:r>
                    <w:rPr>
                      <w:b/>
                      <w:bCs/>
                      <w:kern w:val="0"/>
                      <w:szCs w:val="21"/>
                      <w:vertAlign w:val="superscript"/>
                    </w:rPr>
                    <w:t>3</w:t>
                  </w:r>
                  <w:r>
                    <w:rPr>
                      <w:b/>
                      <w:bCs/>
                      <w:kern w:val="0"/>
                      <w:szCs w:val="21"/>
                    </w:rPr>
                    <w:t>）</w:t>
                  </w:r>
                </w:p>
              </w:tc>
              <w:tc>
                <w:tcPr>
                  <w:tcW w:w="834" w:type="pct"/>
                  <w:vAlign w:val="center"/>
                </w:tcPr>
                <w:p>
                  <w:pPr>
                    <w:widowControl/>
                    <w:adjustRightInd w:val="0"/>
                    <w:snapToGrid w:val="0"/>
                    <w:jc w:val="center"/>
                    <w:rPr>
                      <w:b/>
                      <w:bCs/>
                      <w:kern w:val="0"/>
                      <w:szCs w:val="21"/>
                    </w:rPr>
                  </w:pPr>
                  <w:r>
                    <w:rPr>
                      <w:rFonts w:hint="eastAsia"/>
                      <w:b/>
                      <w:bCs/>
                      <w:kern w:val="0"/>
                      <w:szCs w:val="21"/>
                    </w:rPr>
                    <w:t>企业边界</w:t>
                  </w:r>
                  <w:r>
                    <w:rPr>
                      <w:b/>
                      <w:bCs/>
                      <w:kern w:val="0"/>
                      <w:szCs w:val="21"/>
                    </w:rPr>
                    <w:t>大气污染物限值mg/m</w:t>
                  </w:r>
                  <w:r>
                    <w:rPr>
                      <w:b/>
                      <w:bCs/>
                      <w:kern w:val="0"/>
                      <w:szCs w:val="21"/>
                      <w:vertAlign w:val="superscript"/>
                    </w:rPr>
                    <w:t>3</w:t>
                  </w:r>
                </w:p>
              </w:tc>
              <w:tc>
                <w:tcPr>
                  <w:tcW w:w="1338" w:type="pct"/>
                  <w:vAlign w:val="center"/>
                </w:tcPr>
                <w:p>
                  <w:pPr>
                    <w:widowControl/>
                    <w:adjustRightInd w:val="0"/>
                    <w:snapToGrid w:val="0"/>
                    <w:jc w:val="center"/>
                    <w:rPr>
                      <w:b/>
                      <w:bCs/>
                      <w:kern w:val="0"/>
                      <w:szCs w:val="21"/>
                    </w:rPr>
                  </w:pPr>
                  <w:r>
                    <w:rPr>
                      <w:b/>
                      <w:bCs/>
                      <w:kern w:val="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vAlign w:val="center"/>
                </w:tcPr>
                <w:p>
                  <w:pPr>
                    <w:widowControl/>
                    <w:adjustRightInd w:val="0"/>
                    <w:snapToGrid w:val="0"/>
                    <w:jc w:val="center"/>
                    <w:rPr>
                      <w:kern w:val="0"/>
                      <w:szCs w:val="21"/>
                    </w:rPr>
                  </w:pPr>
                  <w:r>
                    <w:rPr>
                      <w:rFonts w:hint="eastAsia"/>
                      <w:kern w:val="0"/>
                      <w:szCs w:val="21"/>
                    </w:rPr>
                    <w:t>挤出</w:t>
                  </w:r>
                </w:p>
              </w:tc>
              <w:tc>
                <w:tcPr>
                  <w:tcW w:w="560" w:type="pct"/>
                  <w:vAlign w:val="center"/>
                </w:tcPr>
                <w:p>
                  <w:pPr>
                    <w:widowControl/>
                    <w:adjustRightInd w:val="0"/>
                    <w:snapToGrid w:val="0"/>
                    <w:jc w:val="center"/>
                    <w:rPr>
                      <w:kern w:val="0"/>
                      <w:szCs w:val="21"/>
                    </w:rPr>
                  </w:pPr>
                  <w:r>
                    <w:rPr>
                      <w:kern w:val="0"/>
                      <w:szCs w:val="21"/>
                    </w:rPr>
                    <w:t>15</w:t>
                  </w:r>
                </w:p>
              </w:tc>
              <w:tc>
                <w:tcPr>
                  <w:tcW w:w="936" w:type="pct"/>
                  <w:vAlign w:val="center"/>
                </w:tcPr>
                <w:p>
                  <w:pPr>
                    <w:widowControl/>
                    <w:adjustRightInd w:val="0"/>
                    <w:snapToGrid w:val="0"/>
                    <w:jc w:val="center"/>
                    <w:rPr>
                      <w:kern w:val="0"/>
                      <w:szCs w:val="21"/>
                    </w:rPr>
                  </w:pPr>
                  <w:r>
                    <w:rPr>
                      <w:kern w:val="0"/>
                      <w:szCs w:val="21"/>
                    </w:rPr>
                    <w:t>非甲烷总烃</w:t>
                  </w:r>
                </w:p>
              </w:tc>
              <w:tc>
                <w:tcPr>
                  <w:tcW w:w="841" w:type="pct"/>
                  <w:vAlign w:val="center"/>
                </w:tcPr>
                <w:p>
                  <w:pPr>
                    <w:widowControl/>
                    <w:adjustRightInd w:val="0"/>
                    <w:snapToGrid w:val="0"/>
                    <w:jc w:val="center"/>
                    <w:rPr>
                      <w:bCs/>
                      <w:kern w:val="0"/>
                      <w:szCs w:val="21"/>
                    </w:rPr>
                  </w:pPr>
                  <w:r>
                    <w:rPr>
                      <w:bCs/>
                      <w:kern w:val="0"/>
                      <w:szCs w:val="21"/>
                    </w:rPr>
                    <w:t>60</w:t>
                  </w:r>
                </w:p>
              </w:tc>
              <w:tc>
                <w:tcPr>
                  <w:tcW w:w="834" w:type="pct"/>
                  <w:vAlign w:val="center"/>
                </w:tcPr>
                <w:p>
                  <w:pPr>
                    <w:widowControl/>
                    <w:adjustRightInd w:val="0"/>
                    <w:snapToGrid w:val="0"/>
                    <w:jc w:val="center"/>
                    <w:rPr>
                      <w:bCs/>
                      <w:kern w:val="0"/>
                      <w:szCs w:val="21"/>
                    </w:rPr>
                  </w:pPr>
                  <w:r>
                    <w:rPr>
                      <w:bCs/>
                      <w:kern w:val="0"/>
                      <w:szCs w:val="21"/>
                    </w:rPr>
                    <w:t>4.0</w:t>
                  </w:r>
                </w:p>
              </w:tc>
              <w:tc>
                <w:tcPr>
                  <w:tcW w:w="1338" w:type="pct"/>
                  <w:vAlign w:val="center"/>
                </w:tcPr>
                <w:p>
                  <w:pPr>
                    <w:widowControl/>
                    <w:adjustRightInd w:val="0"/>
                    <w:snapToGrid w:val="0"/>
                    <w:jc w:val="center"/>
                    <w:rPr>
                      <w:bCs/>
                      <w:kern w:val="0"/>
                      <w:szCs w:val="21"/>
                    </w:rPr>
                  </w:pPr>
                  <w:r>
                    <w:rPr>
                      <w:bCs/>
                      <w:kern w:val="0"/>
                      <w:szCs w:val="21"/>
                    </w:rPr>
                    <w:t>（GB31572-2015）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vMerge w:val="restart"/>
                  <w:vAlign w:val="center"/>
                </w:tcPr>
                <w:p>
                  <w:pPr>
                    <w:widowControl/>
                    <w:adjustRightInd w:val="0"/>
                    <w:snapToGrid w:val="0"/>
                    <w:jc w:val="center"/>
                    <w:rPr>
                      <w:kern w:val="0"/>
                      <w:szCs w:val="21"/>
                    </w:rPr>
                  </w:pPr>
                  <w:r>
                    <w:rPr>
                      <w:rFonts w:hint="eastAsia"/>
                      <w:bCs/>
                      <w:kern w:val="0"/>
                      <w:szCs w:val="21"/>
                    </w:rPr>
                    <w:t>贴合</w:t>
                  </w:r>
                  <w:r>
                    <w:rPr>
                      <w:rFonts w:hint="eastAsia"/>
                      <w:kern w:val="0"/>
                      <w:szCs w:val="21"/>
                    </w:rPr>
                    <w:t>、</w:t>
                  </w:r>
                  <w:r>
                    <w:rPr>
                      <w:kern w:val="0"/>
                      <w:szCs w:val="21"/>
                    </w:rPr>
                    <w:t>植皮</w:t>
                  </w:r>
                  <w:r>
                    <w:rPr>
                      <w:rFonts w:hint="eastAsia"/>
                      <w:kern w:val="0"/>
                      <w:szCs w:val="21"/>
                    </w:rPr>
                    <w:t>、</w:t>
                  </w:r>
                  <w:r>
                    <w:rPr>
                      <w:kern w:val="0"/>
                      <w:szCs w:val="21"/>
                    </w:rPr>
                    <w:t>印刷、烘干</w:t>
                  </w:r>
                </w:p>
              </w:tc>
              <w:tc>
                <w:tcPr>
                  <w:tcW w:w="560" w:type="pct"/>
                  <w:vMerge w:val="restart"/>
                  <w:vAlign w:val="center"/>
                </w:tcPr>
                <w:p>
                  <w:pPr>
                    <w:widowControl/>
                    <w:adjustRightInd w:val="0"/>
                    <w:snapToGrid w:val="0"/>
                    <w:jc w:val="center"/>
                    <w:rPr>
                      <w:kern w:val="0"/>
                      <w:szCs w:val="21"/>
                    </w:rPr>
                  </w:pPr>
                  <w:r>
                    <w:rPr>
                      <w:kern w:val="0"/>
                      <w:szCs w:val="21"/>
                    </w:rPr>
                    <w:t>15</w:t>
                  </w:r>
                </w:p>
              </w:tc>
              <w:tc>
                <w:tcPr>
                  <w:tcW w:w="936" w:type="pct"/>
                  <w:vAlign w:val="center"/>
                </w:tcPr>
                <w:p>
                  <w:pPr>
                    <w:widowControl/>
                    <w:adjustRightInd w:val="0"/>
                    <w:snapToGrid w:val="0"/>
                    <w:jc w:val="center"/>
                    <w:rPr>
                      <w:kern w:val="0"/>
                      <w:szCs w:val="21"/>
                    </w:rPr>
                  </w:pPr>
                  <w:r>
                    <w:rPr>
                      <w:rFonts w:hint="eastAsia"/>
                      <w:kern w:val="0"/>
                      <w:szCs w:val="21"/>
                    </w:rPr>
                    <w:t>N</w:t>
                  </w:r>
                  <w:r>
                    <w:rPr>
                      <w:kern w:val="0"/>
                      <w:szCs w:val="21"/>
                    </w:rPr>
                    <w:t>MHC</w:t>
                  </w:r>
                </w:p>
              </w:tc>
              <w:tc>
                <w:tcPr>
                  <w:tcW w:w="841" w:type="pct"/>
                  <w:vAlign w:val="center"/>
                </w:tcPr>
                <w:p>
                  <w:pPr>
                    <w:widowControl/>
                    <w:adjustRightInd w:val="0"/>
                    <w:snapToGrid w:val="0"/>
                    <w:jc w:val="center"/>
                    <w:rPr>
                      <w:bCs/>
                      <w:kern w:val="0"/>
                      <w:szCs w:val="21"/>
                    </w:rPr>
                  </w:pPr>
                  <w:r>
                    <w:rPr>
                      <w:bCs/>
                      <w:kern w:val="0"/>
                      <w:szCs w:val="21"/>
                    </w:rPr>
                    <w:t>8</w:t>
                  </w:r>
                  <w:r>
                    <w:rPr>
                      <w:rFonts w:hint="eastAsia"/>
                      <w:bCs/>
                      <w:kern w:val="0"/>
                      <w:szCs w:val="21"/>
                    </w:rPr>
                    <w:t>0</w:t>
                  </w:r>
                </w:p>
              </w:tc>
              <w:tc>
                <w:tcPr>
                  <w:tcW w:w="834" w:type="pct"/>
                  <w:vAlign w:val="center"/>
                </w:tcPr>
                <w:p>
                  <w:pPr>
                    <w:widowControl/>
                    <w:adjustRightInd w:val="0"/>
                    <w:snapToGrid w:val="0"/>
                    <w:jc w:val="center"/>
                    <w:rPr>
                      <w:bCs/>
                      <w:kern w:val="0"/>
                      <w:szCs w:val="21"/>
                    </w:rPr>
                  </w:pPr>
                  <w:r>
                    <w:rPr>
                      <w:bCs/>
                      <w:kern w:val="0"/>
                      <w:szCs w:val="21"/>
                    </w:rPr>
                    <w:t>/</w:t>
                  </w:r>
                </w:p>
              </w:tc>
              <w:tc>
                <w:tcPr>
                  <w:tcW w:w="1338" w:type="pct"/>
                  <w:vAlign w:val="center"/>
                </w:tcPr>
                <w:p>
                  <w:pPr>
                    <w:widowControl/>
                    <w:adjustRightInd w:val="0"/>
                    <w:snapToGrid w:val="0"/>
                    <w:jc w:val="center"/>
                    <w:rPr>
                      <w:bCs/>
                      <w:kern w:val="0"/>
                      <w:szCs w:val="21"/>
                    </w:rPr>
                  </w:pPr>
                  <w:r>
                    <w:rPr>
                      <w:bCs/>
                    </w:rPr>
                    <w:t>（DB44/2367-2022）</w:t>
                  </w:r>
                  <w:r>
                    <w:rPr>
                      <w:rFonts w:hint="eastAsia"/>
                      <w:bCs/>
                      <w:kern w:val="0"/>
                      <w:szCs w:val="21"/>
                    </w:rPr>
                    <w:t>与（DB44/815-2010）的</w:t>
                  </w:r>
                  <w:r>
                    <w:rPr>
                      <w:bCs/>
                      <w:kern w:val="0"/>
                      <w:szCs w:val="21"/>
                    </w:rPr>
                    <w:t>较严值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vMerge w:val="continue"/>
                  <w:vAlign w:val="center"/>
                </w:tcPr>
                <w:p>
                  <w:pPr>
                    <w:widowControl/>
                    <w:adjustRightInd w:val="0"/>
                    <w:snapToGrid w:val="0"/>
                    <w:jc w:val="center"/>
                    <w:rPr>
                      <w:kern w:val="0"/>
                      <w:szCs w:val="21"/>
                    </w:rPr>
                  </w:pPr>
                </w:p>
              </w:tc>
              <w:tc>
                <w:tcPr>
                  <w:tcW w:w="560" w:type="pct"/>
                  <w:vMerge w:val="continue"/>
                  <w:vAlign w:val="center"/>
                </w:tcPr>
                <w:p>
                  <w:pPr>
                    <w:widowControl/>
                    <w:adjustRightInd w:val="0"/>
                    <w:snapToGrid w:val="0"/>
                    <w:jc w:val="center"/>
                    <w:rPr>
                      <w:kern w:val="0"/>
                      <w:szCs w:val="21"/>
                    </w:rPr>
                  </w:pPr>
                </w:p>
              </w:tc>
              <w:tc>
                <w:tcPr>
                  <w:tcW w:w="936" w:type="pct"/>
                  <w:vAlign w:val="center"/>
                </w:tcPr>
                <w:p>
                  <w:pPr>
                    <w:widowControl/>
                    <w:adjustRightInd w:val="0"/>
                    <w:snapToGrid w:val="0"/>
                    <w:jc w:val="center"/>
                    <w:rPr>
                      <w:kern w:val="0"/>
                      <w:szCs w:val="21"/>
                    </w:rPr>
                  </w:pPr>
                  <w:r>
                    <w:rPr>
                      <w:rFonts w:hint="eastAsia"/>
                      <w:kern w:val="0"/>
                      <w:szCs w:val="21"/>
                    </w:rPr>
                    <w:t>TVOC（VOCs）</w:t>
                  </w:r>
                </w:p>
              </w:tc>
              <w:tc>
                <w:tcPr>
                  <w:tcW w:w="841" w:type="pct"/>
                  <w:vAlign w:val="center"/>
                </w:tcPr>
                <w:p>
                  <w:pPr>
                    <w:widowControl/>
                    <w:adjustRightInd w:val="0"/>
                    <w:snapToGrid w:val="0"/>
                    <w:jc w:val="center"/>
                    <w:rPr>
                      <w:bCs/>
                      <w:kern w:val="0"/>
                      <w:szCs w:val="21"/>
                    </w:rPr>
                  </w:pPr>
                  <w:r>
                    <w:rPr>
                      <w:rFonts w:hint="eastAsia"/>
                      <w:bCs/>
                      <w:kern w:val="0"/>
                      <w:szCs w:val="21"/>
                    </w:rPr>
                    <w:t>100</w:t>
                  </w:r>
                </w:p>
              </w:tc>
              <w:tc>
                <w:tcPr>
                  <w:tcW w:w="834" w:type="pct"/>
                  <w:vAlign w:val="center"/>
                </w:tcPr>
                <w:p>
                  <w:pPr>
                    <w:widowControl/>
                    <w:adjustRightInd w:val="0"/>
                    <w:snapToGrid w:val="0"/>
                    <w:jc w:val="center"/>
                    <w:rPr>
                      <w:bCs/>
                      <w:kern w:val="0"/>
                      <w:szCs w:val="21"/>
                    </w:rPr>
                  </w:pPr>
                  <w:r>
                    <w:rPr>
                      <w:rFonts w:hint="eastAsia"/>
                      <w:bCs/>
                      <w:kern w:val="0"/>
                      <w:szCs w:val="21"/>
                    </w:rPr>
                    <w:t>2.0</w:t>
                  </w:r>
                </w:p>
              </w:tc>
              <w:tc>
                <w:tcPr>
                  <w:tcW w:w="1338" w:type="pct"/>
                  <w:vAlign w:val="center"/>
                </w:tcPr>
                <w:p>
                  <w:pPr>
                    <w:widowControl/>
                    <w:adjustRightInd w:val="0"/>
                    <w:snapToGrid w:val="0"/>
                    <w:jc w:val="center"/>
                    <w:rPr>
                      <w:bCs/>
                      <w:kern w:val="0"/>
                      <w:szCs w:val="21"/>
                    </w:rPr>
                  </w:pPr>
                  <w:r>
                    <w:rPr>
                      <w:bCs/>
                    </w:rPr>
                    <w:t>（DB44/2367-2022）</w:t>
                  </w:r>
                  <w:r>
                    <w:rPr>
                      <w:rFonts w:hint="eastAsia"/>
                      <w:bCs/>
                      <w:kern w:val="0"/>
                      <w:szCs w:val="21"/>
                    </w:rPr>
                    <w:t>与（DB44/815-2010）的</w:t>
                  </w:r>
                  <w:r>
                    <w:rPr>
                      <w:bCs/>
                      <w:kern w:val="0"/>
                      <w:szCs w:val="21"/>
                    </w:rPr>
                    <w:t>较严值</w:t>
                  </w:r>
                </w:p>
              </w:tc>
            </w:tr>
          </w:tbl>
          <w:p>
            <w:pPr>
              <w:numPr>
                <w:ilvl w:val="0"/>
                <w:numId w:val="2"/>
              </w:numPr>
              <w:adjustRightInd w:val="0"/>
              <w:snapToGrid w:val="0"/>
              <w:spacing w:line="360" w:lineRule="auto"/>
              <w:ind w:left="0"/>
              <w:jc w:val="center"/>
              <w:rPr>
                <w:b/>
                <w:bCs/>
              </w:rPr>
            </w:pPr>
            <w:r>
              <w:rPr>
                <w:rFonts w:hint="eastAsia"/>
                <w:b/>
                <w:bCs/>
              </w:rPr>
              <w:t xml:space="preserve">厂区内 VOCs 无组织排放限值 </w:t>
            </w:r>
            <w:r>
              <w:rPr>
                <w:b/>
                <w:bCs/>
              </w:rPr>
              <w:t>单位：mg/m</w:t>
            </w:r>
            <w:r>
              <w:rPr>
                <w:b/>
                <w:bCs/>
                <w:vertAlign w:val="superscript"/>
              </w:rPr>
              <w:t>3</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95"/>
              <w:gridCol w:w="316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vAlign w:val="center"/>
                </w:tcPr>
                <w:p>
                  <w:pPr>
                    <w:pStyle w:val="90"/>
                    <w:spacing w:after="0"/>
                    <w:ind w:left="0" w:leftChars="0" w:firstLine="0" w:firstLineChars="0"/>
                    <w:jc w:val="center"/>
                    <w:rPr>
                      <w:b/>
                      <w:bCs/>
                      <w:sz w:val="21"/>
                      <w:szCs w:val="21"/>
                    </w:rPr>
                  </w:pPr>
                  <w:r>
                    <w:rPr>
                      <w:b/>
                      <w:bCs/>
                      <w:sz w:val="21"/>
                      <w:szCs w:val="21"/>
                    </w:rPr>
                    <w:t>污染物项目</w:t>
                  </w:r>
                </w:p>
              </w:tc>
              <w:tc>
                <w:tcPr>
                  <w:tcW w:w="768" w:type="pct"/>
                  <w:vAlign w:val="center"/>
                </w:tcPr>
                <w:p>
                  <w:pPr>
                    <w:pStyle w:val="90"/>
                    <w:spacing w:after="0"/>
                    <w:ind w:left="0" w:leftChars="0" w:firstLine="0" w:firstLineChars="0"/>
                    <w:jc w:val="center"/>
                    <w:rPr>
                      <w:b/>
                      <w:bCs/>
                      <w:sz w:val="21"/>
                      <w:szCs w:val="21"/>
                    </w:rPr>
                  </w:pPr>
                  <w:r>
                    <w:rPr>
                      <w:b/>
                      <w:bCs/>
                      <w:sz w:val="21"/>
                      <w:szCs w:val="21"/>
                    </w:rPr>
                    <w:t>排放限值</w:t>
                  </w:r>
                </w:p>
              </w:tc>
              <w:tc>
                <w:tcPr>
                  <w:tcW w:w="1877" w:type="pct"/>
                  <w:vAlign w:val="center"/>
                </w:tcPr>
                <w:p>
                  <w:pPr>
                    <w:pStyle w:val="90"/>
                    <w:spacing w:after="0"/>
                    <w:ind w:left="0" w:leftChars="0" w:firstLine="0" w:firstLineChars="0"/>
                    <w:jc w:val="center"/>
                    <w:rPr>
                      <w:b/>
                      <w:bCs/>
                      <w:sz w:val="21"/>
                      <w:szCs w:val="21"/>
                    </w:rPr>
                  </w:pPr>
                  <w:r>
                    <w:rPr>
                      <w:b/>
                      <w:bCs/>
                      <w:sz w:val="21"/>
                      <w:szCs w:val="21"/>
                    </w:rPr>
                    <w:t>限值含义</w:t>
                  </w:r>
                </w:p>
              </w:tc>
              <w:tc>
                <w:tcPr>
                  <w:tcW w:w="1505" w:type="pct"/>
                  <w:vAlign w:val="center"/>
                </w:tcPr>
                <w:p>
                  <w:pPr>
                    <w:pStyle w:val="90"/>
                    <w:spacing w:after="0"/>
                    <w:ind w:left="0" w:leftChars="0" w:firstLine="0" w:firstLineChars="0"/>
                    <w:jc w:val="center"/>
                    <w:rPr>
                      <w:b/>
                      <w:bCs/>
                      <w:sz w:val="21"/>
                      <w:szCs w:val="21"/>
                    </w:rPr>
                  </w:pPr>
                  <w:r>
                    <w:rPr>
                      <w:b/>
                      <w:bCs/>
                      <w:sz w:val="21"/>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vMerge w:val="restart"/>
                  <w:vAlign w:val="center"/>
                </w:tcPr>
                <w:p>
                  <w:pPr>
                    <w:pStyle w:val="90"/>
                    <w:spacing w:after="0"/>
                    <w:ind w:left="0" w:leftChars="0" w:firstLine="0" w:firstLineChars="0"/>
                    <w:jc w:val="center"/>
                    <w:rPr>
                      <w:sz w:val="21"/>
                      <w:szCs w:val="21"/>
                    </w:rPr>
                  </w:pPr>
                  <w:r>
                    <w:rPr>
                      <w:sz w:val="21"/>
                      <w:szCs w:val="21"/>
                    </w:rPr>
                    <w:t>NMHC</w:t>
                  </w:r>
                </w:p>
              </w:tc>
              <w:tc>
                <w:tcPr>
                  <w:tcW w:w="768" w:type="pct"/>
                  <w:vAlign w:val="center"/>
                </w:tcPr>
                <w:p>
                  <w:pPr>
                    <w:pStyle w:val="90"/>
                    <w:spacing w:after="0"/>
                    <w:ind w:left="0" w:leftChars="0" w:firstLine="0" w:firstLineChars="0"/>
                    <w:jc w:val="center"/>
                    <w:rPr>
                      <w:sz w:val="21"/>
                      <w:szCs w:val="21"/>
                    </w:rPr>
                  </w:pPr>
                  <w:r>
                    <w:rPr>
                      <w:sz w:val="21"/>
                      <w:szCs w:val="21"/>
                    </w:rPr>
                    <w:t>6</w:t>
                  </w:r>
                </w:p>
              </w:tc>
              <w:tc>
                <w:tcPr>
                  <w:tcW w:w="1877" w:type="pct"/>
                  <w:vAlign w:val="center"/>
                </w:tcPr>
                <w:p>
                  <w:pPr>
                    <w:pStyle w:val="90"/>
                    <w:spacing w:after="0"/>
                    <w:ind w:left="0" w:leftChars="0" w:firstLine="0" w:firstLineChars="0"/>
                    <w:jc w:val="center"/>
                    <w:rPr>
                      <w:sz w:val="21"/>
                      <w:szCs w:val="21"/>
                    </w:rPr>
                  </w:pPr>
                  <w:r>
                    <w:rPr>
                      <w:sz w:val="21"/>
                      <w:szCs w:val="21"/>
                    </w:rPr>
                    <w:t>监控点处1h平均浓度值</w:t>
                  </w:r>
                </w:p>
              </w:tc>
              <w:tc>
                <w:tcPr>
                  <w:tcW w:w="1505" w:type="pct"/>
                  <w:vMerge w:val="restart"/>
                  <w:vAlign w:val="center"/>
                </w:tcPr>
                <w:p>
                  <w:pPr>
                    <w:pStyle w:val="90"/>
                    <w:spacing w:after="0"/>
                    <w:ind w:left="0" w:leftChars="0" w:firstLine="0" w:firstLineChars="0"/>
                    <w:jc w:val="center"/>
                    <w:rPr>
                      <w:sz w:val="21"/>
                      <w:szCs w:val="21"/>
                    </w:rPr>
                  </w:pPr>
                  <w:r>
                    <w:rPr>
                      <w:sz w:val="21"/>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vMerge w:val="continue"/>
                  <w:vAlign w:val="center"/>
                </w:tcPr>
                <w:p>
                  <w:pPr>
                    <w:widowControl/>
                    <w:jc w:val="left"/>
                    <w:rPr>
                      <w:kern w:val="0"/>
                      <w:szCs w:val="21"/>
                    </w:rPr>
                  </w:pPr>
                </w:p>
              </w:tc>
              <w:tc>
                <w:tcPr>
                  <w:tcW w:w="768" w:type="pct"/>
                  <w:vAlign w:val="center"/>
                </w:tcPr>
                <w:p>
                  <w:pPr>
                    <w:pStyle w:val="90"/>
                    <w:spacing w:after="0"/>
                    <w:ind w:left="0" w:leftChars="0" w:firstLine="0" w:firstLineChars="0"/>
                    <w:jc w:val="center"/>
                    <w:rPr>
                      <w:sz w:val="21"/>
                      <w:szCs w:val="21"/>
                    </w:rPr>
                  </w:pPr>
                  <w:r>
                    <w:rPr>
                      <w:sz w:val="21"/>
                      <w:szCs w:val="21"/>
                    </w:rPr>
                    <w:t>20</w:t>
                  </w:r>
                </w:p>
              </w:tc>
              <w:tc>
                <w:tcPr>
                  <w:tcW w:w="1877" w:type="pct"/>
                  <w:vAlign w:val="center"/>
                </w:tcPr>
                <w:p>
                  <w:pPr>
                    <w:pStyle w:val="90"/>
                    <w:spacing w:after="0"/>
                    <w:ind w:left="0" w:leftChars="0" w:firstLine="0" w:firstLineChars="0"/>
                    <w:jc w:val="center"/>
                    <w:rPr>
                      <w:sz w:val="21"/>
                      <w:szCs w:val="21"/>
                    </w:rPr>
                  </w:pPr>
                  <w:r>
                    <w:rPr>
                      <w:sz w:val="21"/>
                      <w:szCs w:val="21"/>
                    </w:rPr>
                    <w:t>监控点处任意一次浓度值</w:t>
                  </w:r>
                </w:p>
              </w:tc>
              <w:tc>
                <w:tcPr>
                  <w:tcW w:w="1505" w:type="pct"/>
                  <w:vMerge w:val="continue"/>
                  <w:vAlign w:val="center"/>
                </w:tcPr>
                <w:p>
                  <w:pPr>
                    <w:widowControl/>
                    <w:jc w:val="left"/>
                    <w:rPr>
                      <w:kern w:val="0"/>
                      <w:szCs w:val="21"/>
                    </w:rPr>
                  </w:pPr>
                </w:p>
              </w:tc>
            </w:tr>
          </w:tbl>
          <w:p>
            <w:pPr>
              <w:snapToGrid w:val="0"/>
              <w:spacing w:line="360" w:lineRule="auto"/>
              <w:ind w:firstLine="422" w:firstLineChars="200"/>
              <w:rPr>
                <w:b/>
                <w:szCs w:val="21"/>
              </w:rPr>
            </w:pPr>
            <w:r>
              <w:rPr>
                <w:rFonts w:hint="eastAsia"/>
                <w:b/>
                <w:szCs w:val="21"/>
              </w:rPr>
              <w:t>2</w:t>
            </w:r>
            <w:r>
              <w:rPr>
                <w:b/>
                <w:szCs w:val="21"/>
              </w:rPr>
              <w:t>、废水</w:t>
            </w:r>
          </w:p>
          <w:p>
            <w:pPr>
              <w:spacing w:line="360" w:lineRule="auto"/>
              <w:ind w:firstLine="420" w:firstLineChars="200"/>
              <w:rPr>
                <w:bCs/>
                <w:szCs w:val="21"/>
              </w:rPr>
            </w:pPr>
            <w:r>
              <w:rPr>
                <w:szCs w:val="21"/>
              </w:rPr>
              <w:t>本项目</w:t>
            </w:r>
            <w:r>
              <w:rPr>
                <w:rFonts w:hint="eastAsia"/>
                <w:szCs w:val="21"/>
              </w:rPr>
              <w:t>主要外排</w:t>
            </w:r>
            <w:r>
              <w:rPr>
                <w:szCs w:val="21"/>
              </w:rPr>
              <w:t>污水为生活污水，</w:t>
            </w:r>
            <w:r>
              <w:rPr>
                <w:bCs/>
                <w:szCs w:val="21"/>
              </w:rPr>
              <w:t>本项目属于</w:t>
            </w:r>
            <w:r>
              <w:rPr>
                <w:kern w:val="0"/>
                <w:szCs w:val="21"/>
              </w:rPr>
              <w:t>杨侨镇生活污水处理厂纳污范围，</w:t>
            </w:r>
            <w:r>
              <w:rPr>
                <w:bCs/>
                <w:szCs w:val="21"/>
              </w:rPr>
              <w:t>生活污水经三级化粪池预处理达到</w:t>
            </w:r>
            <w:r>
              <w:rPr>
                <w:rFonts w:hint="eastAsia"/>
                <w:szCs w:val="21"/>
              </w:rPr>
              <w:t>广东省《水污染物排放限值》第二时段</w:t>
            </w:r>
            <w:r>
              <w:rPr>
                <w:szCs w:val="21"/>
              </w:rPr>
              <w:t>三级标准</w:t>
            </w:r>
            <w:r>
              <w:rPr>
                <w:bCs/>
                <w:szCs w:val="21"/>
              </w:rPr>
              <w:t>后，通过市政污水管网进入</w:t>
            </w:r>
            <w:r>
              <w:rPr>
                <w:kern w:val="0"/>
                <w:szCs w:val="21"/>
              </w:rPr>
              <w:t>杨侨镇生活污水处理厂</w:t>
            </w:r>
            <w:r>
              <w:rPr>
                <w:bCs/>
                <w:szCs w:val="21"/>
              </w:rPr>
              <w:t>处理，</w:t>
            </w:r>
            <w:r>
              <w:rPr>
                <w:szCs w:val="21"/>
              </w:rPr>
              <w:t>处理达标后</w:t>
            </w:r>
            <w:r>
              <w:rPr>
                <w:rFonts w:hint="eastAsia"/>
                <w:szCs w:val="21"/>
              </w:rPr>
              <w:t>排入南蛇沥</w:t>
            </w:r>
            <w:r>
              <w:rPr>
                <w:szCs w:val="21"/>
              </w:rPr>
              <w:t>排渠</w:t>
            </w:r>
            <w:r>
              <w:rPr>
                <w:rFonts w:hint="eastAsia"/>
                <w:szCs w:val="21"/>
              </w:rPr>
              <w:t>，然</w:t>
            </w:r>
            <w:r>
              <w:rPr>
                <w:szCs w:val="21"/>
              </w:rPr>
              <w:t>后</w:t>
            </w:r>
            <w:r>
              <w:rPr>
                <w:rFonts w:hint="eastAsia"/>
                <w:szCs w:val="21"/>
              </w:rPr>
              <w:t>汇入公庄河</w:t>
            </w:r>
            <w:r>
              <w:rPr>
                <w:bCs/>
                <w:szCs w:val="21"/>
              </w:rPr>
              <w:t>，</w:t>
            </w:r>
            <w:r>
              <w:rPr>
                <w:kern w:val="0"/>
                <w:szCs w:val="21"/>
              </w:rPr>
              <w:t>杨侨镇生活污水处理厂</w:t>
            </w:r>
            <w:r>
              <w:rPr>
                <w:bCs/>
                <w:szCs w:val="21"/>
              </w:rPr>
              <w:t>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标准与广东省《水污染物排放限值》第二时段一级</w:t>
            </w:r>
            <w:r>
              <w:rPr>
                <w:szCs w:val="21"/>
              </w:rPr>
              <w:t>标准中的</w:t>
            </w:r>
            <w:r>
              <w:rPr>
                <w:rFonts w:hint="eastAsia"/>
                <w:szCs w:val="21"/>
              </w:rPr>
              <w:t>较严值</w:t>
            </w:r>
            <w:r>
              <w:rPr>
                <w:bCs/>
                <w:szCs w:val="21"/>
              </w:rPr>
              <w:t>，具体排放限值详见下表。</w:t>
            </w:r>
          </w:p>
          <w:p>
            <w:pPr>
              <w:numPr>
                <w:ilvl w:val="0"/>
                <w:numId w:val="2"/>
              </w:numPr>
              <w:adjustRightInd w:val="0"/>
              <w:snapToGrid w:val="0"/>
              <w:spacing w:line="360" w:lineRule="auto"/>
              <w:ind w:left="0"/>
              <w:jc w:val="center"/>
              <w:rPr>
                <w:b/>
                <w:szCs w:val="21"/>
              </w:rPr>
            </w:pPr>
            <w:r>
              <w:rPr>
                <w:b/>
                <w:szCs w:val="21"/>
              </w:rPr>
              <w:t>杨侨镇生活污水处理厂接管标准和尾水出水指标 单位：mg/L</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868"/>
              <w:gridCol w:w="926"/>
              <w:gridCol w:w="858"/>
              <w:gridCol w:w="1020"/>
              <w:gridCol w:w="882"/>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777" w:type="pct"/>
                  <w:vAlign w:val="center"/>
                </w:tcPr>
                <w:p>
                  <w:pPr>
                    <w:jc w:val="center"/>
                    <w:rPr>
                      <w:b/>
                      <w:szCs w:val="21"/>
                    </w:rPr>
                  </w:pPr>
                  <w:r>
                    <w:rPr>
                      <w:b/>
                      <w:szCs w:val="21"/>
                    </w:rPr>
                    <w:t>污染物</w:t>
                  </w:r>
                </w:p>
              </w:tc>
              <w:tc>
                <w:tcPr>
                  <w:tcW w:w="515" w:type="pct"/>
                  <w:vAlign w:val="center"/>
                </w:tcPr>
                <w:p>
                  <w:pPr>
                    <w:jc w:val="center"/>
                    <w:rPr>
                      <w:b/>
                      <w:szCs w:val="21"/>
                    </w:rPr>
                  </w:pPr>
                  <w:r>
                    <w:rPr>
                      <w:b/>
                      <w:szCs w:val="21"/>
                    </w:rPr>
                    <w:t>COD</w:t>
                  </w:r>
                  <w:r>
                    <w:rPr>
                      <w:b/>
                      <w:szCs w:val="21"/>
                      <w:vertAlign w:val="subscript"/>
                    </w:rPr>
                    <w:t>Cr</w:t>
                  </w:r>
                </w:p>
              </w:tc>
              <w:tc>
                <w:tcPr>
                  <w:tcW w:w="549" w:type="pct"/>
                  <w:vAlign w:val="center"/>
                </w:tcPr>
                <w:p>
                  <w:pPr>
                    <w:jc w:val="center"/>
                    <w:rPr>
                      <w:b/>
                      <w:szCs w:val="21"/>
                    </w:rPr>
                  </w:pPr>
                  <w:r>
                    <w:rPr>
                      <w:b/>
                      <w:szCs w:val="21"/>
                    </w:rPr>
                    <w:t>BOD</w:t>
                  </w:r>
                  <w:r>
                    <w:rPr>
                      <w:b/>
                      <w:szCs w:val="21"/>
                      <w:vertAlign w:val="subscript"/>
                    </w:rPr>
                    <w:t>5</w:t>
                  </w:r>
                </w:p>
              </w:tc>
              <w:tc>
                <w:tcPr>
                  <w:tcW w:w="509" w:type="pct"/>
                  <w:vAlign w:val="center"/>
                </w:tcPr>
                <w:p>
                  <w:pPr>
                    <w:jc w:val="center"/>
                    <w:rPr>
                      <w:b/>
                      <w:szCs w:val="21"/>
                    </w:rPr>
                  </w:pPr>
                  <w:r>
                    <w:rPr>
                      <w:b/>
                      <w:szCs w:val="21"/>
                    </w:rPr>
                    <w:t>NH</w:t>
                  </w:r>
                  <w:r>
                    <w:rPr>
                      <w:b/>
                      <w:szCs w:val="21"/>
                      <w:vertAlign w:val="subscript"/>
                    </w:rPr>
                    <w:t>3</w:t>
                  </w:r>
                  <w:r>
                    <w:rPr>
                      <w:b/>
                      <w:szCs w:val="21"/>
                    </w:rPr>
                    <w:t>-N</w:t>
                  </w:r>
                </w:p>
              </w:tc>
              <w:tc>
                <w:tcPr>
                  <w:tcW w:w="605" w:type="pct"/>
                  <w:vAlign w:val="center"/>
                </w:tcPr>
                <w:p>
                  <w:pPr>
                    <w:jc w:val="center"/>
                    <w:rPr>
                      <w:b/>
                      <w:szCs w:val="21"/>
                    </w:rPr>
                  </w:pPr>
                  <w:r>
                    <w:rPr>
                      <w:b/>
                      <w:szCs w:val="21"/>
                    </w:rPr>
                    <w:t>SS</w:t>
                  </w:r>
                </w:p>
              </w:tc>
              <w:tc>
                <w:tcPr>
                  <w:tcW w:w="523" w:type="pct"/>
                  <w:vAlign w:val="center"/>
                </w:tcPr>
                <w:p>
                  <w:pPr>
                    <w:jc w:val="center"/>
                    <w:rPr>
                      <w:b/>
                      <w:szCs w:val="21"/>
                    </w:rPr>
                  </w:pPr>
                  <w:r>
                    <w:rPr>
                      <w:rFonts w:hint="eastAsia"/>
                      <w:b/>
                      <w:szCs w:val="21"/>
                    </w:rPr>
                    <w:t>TN</w:t>
                  </w:r>
                </w:p>
              </w:tc>
              <w:tc>
                <w:tcPr>
                  <w:tcW w:w="523" w:type="pct"/>
                  <w:vAlign w:val="center"/>
                </w:tcPr>
                <w:p>
                  <w:pPr>
                    <w:jc w:val="center"/>
                    <w:rPr>
                      <w:b/>
                      <w:szCs w:val="21"/>
                    </w:rPr>
                  </w:pPr>
                  <w:r>
                    <w:rPr>
                      <w:b/>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77" w:type="pct"/>
                  <w:vAlign w:val="center"/>
                </w:tcPr>
                <w:p>
                  <w:pPr>
                    <w:jc w:val="center"/>
                    <w:rPr>
                      <w:szCs w:val="21"/>
                    </w:rPr>
                  </w:pPr>
                  <w:r>
                    <w:rPr>
                      <w:rFonts w:hint="eastAsia"/>
                      <w:szCs w:val="21"/>
                    </w:rPr>
                    <w:t>预处理标准</w:t>
                  </w:r>
                </w:p>
              </w:tc>
              <w:tc>
                <w:tcPr>
                  <w:tcW w:w="515" w:type="pct"/>
                  <w:vAlign w:val="center"/>
                </w:tcPr>
                <w:p>
                  <w:pPr>
                    <w:jc w:val="center"/>
                    <w:rPr>
                      <w:szCs w:val="21"/>
                    </w:rPr>
                  </w:pPr>
                  <w:r>
                    <w:t>≤500</w:t>
                  </w:r>
                </w:p>
              </w:tc>
              <w:tc>
                <w:tcPr>
                  <w:tcW w:w="549" w:type="pct"/>
                  <w:vAlign w:val="center"/>
                </w:tcPr>
                <w:p>
                  <w:pPr>
                    <w:jc w:val="center"/>
                    <w:rPr>
                      <w:szCs w:val="21"/>
                    </w:rPr>
                  </w:pPr>
                  <w:r>
                    <w:t>≤400</w:t>
                  </w:r>
                </w:p>
              </w:tc>
              <w:tc>
                <w:tcPr>
                  <w:tcW w:w="509" w:type="pct"/>
                  <w:vAlign w:val="center"/>
                </w:tcPr>
                <w:p>
                  <w:pPr>
                    <w:jc w:val="center"/>
                    <w:rPr>
                      <w:szCs w:val="21"/>
                    </w:rPr>
                  </w:pPr>
                  <w:r>
                    <w:t>--</w:t>
                  </w:r>
                </w:p>
              </w:tc>
              <w:tc>
                <w:tcPr>
                  <w:tcW w:w="605" w:type="pct"/>
                  <w:vAlign w:val="center"/>
                </w:tcPr>
                <w:p>
                  <w:pPr>
                    <w:jc w:val="center"/>
                    <w:rPr>
                      <w:szCs w:val="21"/>
                    </w:rPr>
                  </w:pPr>
                  <w:r>
                    <w:t>≤300</w:t>
                  </w:r>
                </w:p>
              </w:tc>
              <w:tc>
                <w:tcPr>
                  <w:tcW w:w="523" w:type="pct"/>
                  <w:vAlign w:val="center"/>
                </w:tcPr>
                <w:p>
                  <w:pPr>
                    <w:jc w:val="center"/>
                    <w:rPr>
                      <w:szCs w:val="21"/>
                    </w:rPr>
                  </w:pPr>
                  <w:r>
                    <w:t>--</w:t>
                  </w:r>
                </w:p>
              </w:tc>
              <w:tc>
                <w:tcPr>
                  <w:tcW w:w="523" w:type="pct"/>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77" w:type="pct"/>
                  <w:vAlign w:val="center"/>
                </w:tcPr>
                <w:p>
                  <w:pPr>
                    <w:jc w:val="center"/>
                    <w:rPr>
                      <w:spacing w:val="-6"/>
                      <w:szCs w:val="21"/>
                    </w:rPr>
                  </w:pPr>
                  <w:r>
                    <w:rPr>
                      <w:szCs w:val="21"/>
                    </w:rPr>
                    <w:t>污水厂出水水质指标</w:t>
                  </w:r>
                </w:p>
              </w:tc>
              <w:tc>
                <w:tcPr>
                  <w:tcW w:w="515" w:type="pct"/>
                  <w:vAlign w:val="center"/>
                </w:tcPr>
                <w:p>
                  <w:pPr>
                    <w:jc w:val="center"/>
                    <w:rPr>
                      <w:szCs w:val="21"/>
                    </w:rPr>
                  </w:pPr>
                  <w:r>
                    <w:rPr>
                      <w:szCs w:val="21"/>
                    </w:rPr>
                    <w:t>≤40</w:t>
                  </w:r>
                </w:p>
              </w:tc>
              <w:tc>
                <w:tcPr>
                  <w:tcW w:w="549" w:type="pct"/>
                  <w:vAlign w:val="center"/>
                </w:tcPr>
                <w:p>
                  <w:pPr>
                    <w:jc w:val="center"/>
                    <w:rPr>
                      <w:szCs w:val="21"/>
                    </w:rPr>
                  </w:pPr>
                  <w:r>
                    <w:rPr>
                      <w:szCs w:val="21"/>
                    </w:rPr>
                    <w:t>≤10</w:t>
                  </w:r>
                </w:p>
              </w:tc>
              <w:tc>
                <w:tcPr>
                  <w:tcW w:w="509" w:type="pct"/>
                  <w:vAlign w:val="center"/>
                </w:tcPr>
                <w:p>
                  <w:pPr>
                    <w:jc w:val="center"/>
                    <w:rPr>
                      <w:szCs w:val="21"/>
                    </w:rPr>
                  </w:pPr>
                  <w:r>
                    <w:rPr>
                      <w:szCs w:val="21"/>
                    </w:rPr>
                    <w:t>≤2.0</w:t>
                  </w:r>
                </w:p>
              </w:tc>
              <w:tc>
                <w:tcPr>
                  <w:tcW w:w="605" w:type="pct"/>
                  <w:vAlign w:val="center"/>
                </w:tcPr>
                <w:p>
                  <w:pPr>
                    <w:jc w:val="center"/>
                    <w:rPr>
                      <w:szCs w:val="21"/>
                    </w:rPr>
                  </w:pPr>
                  <w:r>
                    <w:rPr>
                      <w:szCs w:val="21"/>
                    </w:rPr>
                    <w:t>≤10</w:t>
                  </w:r>
                </w:p>
              </w:tc>
              <w:tc>
                <w:tcPr>
                  <w:tcW w:w="523" w:type="pct"/>
                  <w:vAlign w:val="center"/>
                </w:tcPr>
                <w:p>
                  <w:pPr>
                    <w:jc w:val="center"/>
                    <w:rPr>
                      <w:szCs w:val="21"/>
                    </w:rPr>
                  </w:pPr>
                  <w:r>
                    <w:rPr>
                      <w:szCs w:val="21"/>
                    </w:rPr>
                    <w:t>≤</w:t>
                  </w:r>
                  <w:r>
                    <w:rPr>
                      <w:rFonts w:hint="eastAsia"/>
                      <w:szCs w:val="21"/>
                    </w:rPr>
                    <w:t>15</w:t>
                  </w:r>
                </w:p>
              </w:tc>
              <w:tc>
                <w:tcPr>
                  <w:tcW w:w="523" w:type="pct"/>
                  <w:vAlign w:val="center"/>
                </w:tcPr>
                <w:p>
                  <w:pPr>
                    <w:jc w:val="center"/>
                    <w:rPr>
                      <w:szCs w:val="21"/>
                    </w:rPr>
                  </w:pPr>
                  <w:r>
                    <w:rPr>
                      <w:szCs w:val="21"/>
                    </w:rPr>
                    <w:t>≤0.4</w:t>
                  </w:r>
                </w:p>
              </w:tc>
            </w:tr>
          </w:tbl>
          <w:p>
            <w:pPr>
              <w:snapToGrid w:val="0"/>
              <w:spacing w:line="360" w:lineRule="auto"/>
              <w:ind w:firstLine="422" w:firstLineChars="200"/>
              <w:rPr>
                <w:b/>
                <w:szCs w:val="21"/>
              </w:rPr>
            </w:pPr>
            <w:r>
              <w:rPr>
                <w:rFonts w:hint="eastAsia"/>
                <w:b/>
                <w:szCs w:val="21"/>
              </w:rPr>
              <w:t>3</w:t>
            </w:r>
            <w:r>
              <w:rPr>
                <w:b/>
                <w:szCs w:val="21"/>
              </w:rPr>
              <w:t>、噪声</w:t>
            </w:r>
          </w:p>
          <w:p>
            <w:pPr>
              <w:spacing w:line="360" w:lineRule="auto"/>
              <w:ind w:firstLine="420" w:firstLineChars="200"/>
              <w:rPr>
                <w:szCs w:val="21"/>
              </w:rPr>
            </w:pPr>
            <w:r>
              <w:rPr>
                <w:szCs w:val="21"/>
              </w:rPr>
              <w:t>本项目所在区域执行《工业企业厂界环境噪声排放标准》（GB12348-2008）中2类标准（昼间≤60dB（A）、夜间≤50dB（A））。</w:t>
            </w:r>
          </w:p>
          <w:p>
            <w:pPr>
              <w:snapToGrid w:val="0"/>
              <w:spacing w:line="360" w:lineRule="auto"/>
              <w:ind w:firstLine="422" w:firstLineChars="200"/>
              <w:rPr>
                <w:bCs/>
                <w:szCs w:val="21"/>
              </w:rPr>
            </w:pPr>
            <w:r>
              <w:rPr>
                <w:rFonts w:hint="eastAsia"/>
                <w:b/>
                <w:szCs w:val="21"/>
              </w:rPr>
              <w:t>4</w:t>
            </w:r>
            <w:r>
              <w:rPr>
                <w:b/>
                <w:szCs w:val="21"/>
              </w:rPr>
              <w:t>、固废</w:t>
            </w:r>
          </w:p>
          <w:p>
            <w:pPr>
              <w:spacing w:line="360" w:lineRule="auto"/>
              <w:ind w:firstLine="420" w:firstLineChars="200"/>
              <w:rPr>
                <w:kern w:val="0"/>
                <w:szCs w:val="21"/>
              </w:rPr>
            </w:pPr>
            <w:r>
              <w:rPr>
                <w:szCs w:val="21"/>
              </w:rPr>
              <w:t>一般工业固体废物的临时贮存和管理执行《一般工业固体废物贮存和填埋污染控制标准》(GB 18599-2020)中的相关规定。危险废物执行《危险废物贮存污染控制标准》（GB18597-2001）及修改单中的有关标准。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478" w:type="pct"/>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4522" w:type="pct"/>
            <w:vAlign w:val="center"/>
          </w:tcPr>
          <w:p>
            <w:pPr>
              <w:adjustRightInd w:val="0"/>
              <w:snapToGrid w:val="0"/>
              <w:spacing w:line="360" w:lineRule="auto"/>
              <w:ind w:firstLine="420" w:firstLineChars="200"/>
              <w:rPr>
                <w:szCs w:val="21"/>
              </w:rPr>
            </w:pPr>
            <w:r>
              <w:rPr>
                <w:szCs w:val="21"/>
              </w:rPr>
              <w:t>按达标排放的原则，提出本项目污染物排放总量控制指标建议如下表：</w:t>
            </w:r>
          </w:p>
          <w:p>
            <w:pPr>
              <w:numPr>
                <w:ilvl w:val="0"/>
                <w:numId w:val="2"/>
              </w:numPr>
              <w:adjustRightInd w:val="0"/>
              <w:snapToGrid w:val="0"/>
              <w:spacing w:line="360" w:lineRule="auto"/>
              <w:ind w:left="0"/>
              <w:jc w:val="center"/>
              <w:rPr>
                <w:b/>
                <w:kern w:val="0"/>
                <w:szCs w:val="21"/>
              </w:rPr>
            </w:pPr>
            <w:r>
              <w:rPr>
                <w:b/>
                <w:kern w:val="0"/>
                <w:szCs w:val="21"/>
              </w:rPr>
              <w:t>项目污染物总量控制指标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610"/>
              <w:gridCol w:w="922"/>
              <w:gridCol w:w="1024"/>
              <w:gridCol w:w="1391"/>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trPr>
              <w:tc>
                <w:tcPr>
                  <w:tcW w:w="416" w:type="pct"/>
                  <w:vMerge w:val="restart"/>
                  <w:vAlign w:val="center"/>
                </w:tcPr>
                <w:p>
                  <w:pPr>
                    <w:snapToGrid w:val="0"/>
                    <w:jc w:val="center"/>
                    <w:outlineLvl w:val="1"/>
                    <w:rPr>
                      <w:b/>
                      <w:szCs w:val="21"/>
                    </w:rPr>
                  </w:pPr>
                  <w:r>
                    <w:rPr>
                      <w:b/>
                      <w:szCs w:val="21"/>
                    </w:rPr>
                    <w:t>污染物</w:t>
                  </w:r>
                </w:p>
              </w:tc>
              <w:tc>
                <w:tcPr>
                  <w:tcW w:w="955" w:type="pct"/>
                  <w:vMerge w:val="restart"/>
                  <w:vAlign w:val="center"/>
                </w:tcPr>
                <w:p>
                  <w:pPr>
                    <w:snapToGrid w:val="0"/>
                    <w:jc w:val="center"/>
                    <w:outlineLvl w:val="1"/>
                    <w:rPr>
                      <w:b/>
                      <w:szCs w:val="21"/>
                    </w:rPr>
                  </w:pPr>
                  <w:r>
                    <w:rPr>
                      <w:b/>
                      <w:szCs w:val="21"/>
                    </w:rPr>
                    <w:t>要素</w:t>
                  </w:r>
                </w:p>
              </w:tc>
              <w:tc>
                <w:tcPr>
                  <w:tcW w:w="1154" w:type="pct"/>
                  <w:gridSpan w:val="2"/>
                  <w:vAlign w:val="center"/>
                </w:tcPr>
                <w:p>
                  <w:pPr>
                    <w:snapToGrid w:val="0"/>
                    <w:jc w:val="center"/>
                    <w:outlineLvl w:val="1"/>
                    <w:rPr>
                      <w:b/>
                      <w:szCs w:val="21"/>
                    </w:rPr>
                  </w:pPr>
                  <w:r>
                    <w:rPr>
                      <w:b/>
                      <w:szCs w:val="21"/>
                    </w:rPr>
                    <w:t>排放量</w:t>
                  </w:r>
                  <w:r>
                    <w:rPr>
                      <w:rFonts w:hint="eastAsia"/>
                      <w:b/>
                      <w:szCs w:val="21"/>
                    </w:rPr>
                    <w:t>(</w:t>
                  </w:r>
                  <w:r>
                    <w:rPr>
                      <w:b/>
                      <w:bCs/>
                      <w:szCs w:val="21"/>
                    </w:rPr>
                    <w:t>t/a)</w:t>
                  </w:r>
                </w:p>
              </w:tc>
              <w:tc>
                <w:tcPr>
                  <w:tcW w:w="825" w:type="pct"/>
                  <w:vMerge w:val="restart"/>
                  <w:vAlign w:val="center"/>
                </w:tcPr>
                <w:p>
                  <w:pPr>
                    <w:snapToGrid w:val="0"/>
                    <w:jc w:val="center"/>
                    <w:outlineLvl w:val="1"/>
                    <w:rPr>
                      <w:b/>
                      <w:szCs w:val="21"/>
                    </w:rPr>
                  </w:pPr>
                  <w:r>
                    <w:rPr>
                      <w:b/>
                      <w:szCs w:val="21"/>
                    </w:rPr>
                    <w:t>总量控制量</w:t>
                  </w:r>
                </w:p>
              </w:tc>
              <w:tc>
                <w:tcPr>
                  <w:tcW w:w="1650" w:type="pct"/>
                  <w:vMerge w:val="restart"/>
                  <w:vAlign w:val="center"/>
                </w:tcPr>
                <w:p>
                  <w:pPr>
                    <w:snapToGrid w:val="0"/>
                    <w:jc w:val="center"/>
                    <w:outlineLvl w:val="1"/>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6" w:type="pct"/>
                  <w:vMerge w:val="continue"/>
                  <w:vAlign w:val="center"/>
                </w:tcPr>
                <w:p>
                  <w:pPr>
                    <w:snapToGrid w:val="0"/>
                    <w:jc w:val="center"/>
                    <w:outlineLvl w:val="1"/>
                    <w:rPr>
                      <w:b/>
                      <w:szCs w:val="21"/>
                    </w:rPr>
                  </w:pPr>
                </w:p>
              </w:tc>
              <w:tc>
                <w:tcPr>
                  <w:tcW w:w="955" w:type="pct"/>
                  <w:vMerge w:val="continue"/>
                  <w:vAlign w:val="center"/>
                </w:tcPr>
                <w:p>
                  <w:pPr>
                    <w:snapToGrid w:val="0"/>
                    <w:jc w:val="center"/>
                    <w:outlineLvl w:val="1"/>
                    <w:rPr>
                      <w:b/>
                      <w:szCs w:val="21"/>
                    </w:rPr>
                  </w:pPr>
                </w:p>
              </w:tc>
              <w:tc>
                <w:tcPr>
                  <w:tcW w:w="547" w:type="pct"/>
                  <w:vAlign w:val="center"/>
                </w:tcPr>
                <w:p>
                  <w:pPr>
                    <w:snapToGrid w:val="0"/>
                    <w:jc w:val="center"/>
                    <w:outlineLvl w:val="1"/>
                    <w:rPr>
                      <w:b/>
                      <w:szCs w:val="21"/>
                    </w:rPr>
                  </w:pPr>
                  <w:r>
                    <w:rPr>
                      <w:b/>
                      <w:szCs w:val="21"/>
                    </w:rPr>
                    <w:t>有组织</w:t>
                  </w:r>
                </w:p>
              </w:tc>
              <w:tc>
                <w:tcPr>
                  <w:tcW w:w="607" w:type="pct"/>
                  <w:vAlign w:val="center"/>
                </w:tcPr>
                <w:p>
                  <w:pPr>
                    <w:snapToGrid w:val="0"/>
                    <w:jc w:val="center"/>
                    <w:outlineLvl w:val="1"/>
                    <w:rPr>
                      <w:b/>
                      <w:szCs w:val="21"/>
                    </w:rPr>
                  </w:pPr>
                  <w:r>
                    <w:rPr>
                      <w:b/>
                      <w:szCs w:val="21"/>
                    </w:rPr>
                    <w:t>无组织</w:t>
                  </w:r>
                </w:p>
              </w:tc>
              <w:tc>
                <w:tcPr>
                  <w:tcW w:w="825" w:type="pct"/>
                  <w:vMerge w:val="continue"/>
                  <w:vAlign w:val="center"/>
                </w:tcPr>
                <w:p>
                  <w:pPr>
                    <w:snapToGrid w:val="0"/>
                    <w:jc w:val="center"/>
                    <w:outlineLvl w:val="1"/>
                    <w:rPr>
                      <w:b/>
                      <w:szCs w:val="21"/>
                    </w:rPr>
                  </w:pPr>
                </w:p>
              </w:tc>
              <w:tc>
                <w:tcPr>
                  <w:tcW w:w="1650" w:type="pct"/>
                  <w:vMerge w:val="continue"/>
                  <w:vAlign w:val="center"/>
                </w:tcPr>
                <w:p>
                  <w:pPr>
                    <w:snapToGrid w:val="0"/>
                    <w:jc w:val="center"/>
                    <w:outlineLvl w:val="1"/>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restart"/>
                  <w:vAlign w:val="center"/>
                </w:tcPr>
                <w:p>
                  <w:pPr>
                    <w:snapToGrid w:val="0"/>
                    <w:jc w:val="center"/>
                    <w:outlineLvl w:val="1"/>
                    <w:rPr>
                      <w:bCs/>
                      <w:szCs w:val="21"/>
                    </w:rPr>
                  </w:pPr>
                  <w:r>
                    <w:rPr>
                      <w:bCs/>
                      <w:szCs w:val="21"/>
                    </w:rPr>
                    <w:t>生活污水</w:t>
                  </w:r>
                </w:p>
              </w:tc>
              <w:tc>
                <w:tcPr>
                  <w:tcW w:w="955" w:type="pct"/>
                  <w:vAlign w:val="center"/>
                </w:tcPr>
                <w:p>
                  <w:pPr>
                    <w:snapToGrid w:val="0"/>
                    <w:jc w:val="center"/>
                    <w:outlineLvl w:val="1"/>
                    <w:rPr>
                      <w:bCs/>
                      <w:szCs w:val="21"/>
                    </w:rPr>
                  </w:pPr>
                  <w:r>
                    <w:rPr>
                      <w:bCs/>
                      <w:szCs w:val="21"/>
                    </w:rPr>
                    <w:t>废水量</w:t>
                  </w:r>
                </w:p>
              </w:tc>
              <w:tc>
                <w:tcPr>
                  <w:tcW w:w="1154" w:type="pct"/>
                  <w:gridSpan w:val="2"/>
                  <w:vAlign w:val="center"/>
                </w:tcPr>
                <w:p>
                  <w:pPr>
                    <w:snapToGrid w:val="0"/>
                    <w:jc w:val="center"/>
                    <w:outlineLvl w:val="1"/>
                    <w:rPr>
                      <w:bCs/>
                      <w:szCs w:val="21"/>
                    </w:rPr>
                  </w:pPr>
                  <w:r>
                    <w:rPr>
                      <w:bCs/>
                      <w:szCs w:val="21"/>
                    </w:rPr>
                    <w:t>800</w:t>
                  </w:r>
                </w:p>
              </w:tc>
              <w:tc>
                <w:tcPr>
                  <w:tcW w:w="825" w:type="pct"/>
                  <w:vAlign w:val="center"/>
                </w:tcPr>
                <w:p>
                  <w:pPr>
                    <w:snapToGrid w:val="0"/>
                    <w:jc w:val="center"/>
                    <w:outlineLvl w:val="1"/>
                    <w:rPr>
                      <w:bCs/>
                      <w:szCs w:val="21"/>
                    </w:rPr>
                  </w:pPr>
                  <w:r>
                    <w:rPr>
                      <w:bCs/>
                      <w:szCs w:val="21"/>
                    </w:rPr>
                    <w:t>800</w:t>
                  </w:r>
                </w:p>
              </w:tc>
              <w:tc>
                <w:tcPr>
                  <w:tcW w:w="1650" w:type="pct"/>
                  <w:vMerge w:val="restart"/>
                  <w:vAlign w:val="center"/>
                </w:tcPr>
                <w:p>
                  <w:pPr>
                    <w:snapToGrid w:val="0"/>
                    <w:jc w:val="center"/>
                    <w:outlineLvl w:val="1"/>
                    <w:rPr>
                      <w:bCs/>
                      <w:szCs w:val="21"/>
                    </w:rPr>
                  </w:pPr>
                  <w:r>
                    <w:rPr>
                      <w:bCs/>
                      <w:szCs w:val="21"/>
                    </w:rPr>
                    <w:t>纳入</w:t>
                  </w:r>
                  <w:r>
                    <w:rPr>
                      <w:rFonts w:hint="eastAsia"/>
                      <w:bCs/>
                      <w:szCs w:val="21"/>
                    </w:rPr>
                    <w:t>杨侨镇生活污水处理厂</w:t>
                  </w:r>
                  <w:r>
                    <w:rPr>
                      <w:bCs/>
                      <w:szCs w:val="21"/>
                    </w:rPr>
                    <w:t>的总量中进行控制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continue"/>
                  <w:vAlign w:val="center"/>
                </w:tcPr>
                <w:p>
                  <w:pPr>
                    <w:snapToGrid w:val="0"/>
                    <w:jc w:val="center"/>
                    <w:outlineLvl w:val="1"/>
                    <w:rPr>
                      <w:bCs/>
                      <w:szCs w:val="21"/>
                    </w:rPr>
                  </w:pPr>
                </w:p>
              </w:tc>
              <w:tc>
                <w:tcPr>
                  <w:tcW w:w="955" w:type="pct"/>
                  <w:vAlign w:val="center"/>
                </w:tcPr>
                <w:p>
                  <w:pPr>
                    <w:snapToGrid w:val="0"/>
                    <w:jc w:val="center"/>
                    <w:outlineLvl w:val="1"/>
                    <w:rPr>
                      <w:bCs/>
                      <w:szCs w:val="21"/>
                    </w:rPr>
                  </w:pPr>
                  <w:r>
                    <w:rPr>
                      <w:bCs/>
                      <w:szCs w:val="21"/>
                    </w:rPr>
                    <w:t>COD</w:t>
                  </w:r>
                  <w:r>
                    <w:rPr>
                      <w:bCs/>
                      <w:szCs w:val="21"/>
                      <w:vertAlign w:val="subscript"/>
                    </w:rPr>
                    <w:t>Cr</w:t>
                  </w:r>
                </w:p>
              </w:tc>
              <w:tc>
                <w:tcPr>
                  <w:tcW w:w="1154" w:type="pct"/>
                  <w:gridSpan w:val="2"/>
                  <w:vAlign w:val="center"/>
                </w:tcPr>
                <w:p>
                  <w:pPr>
                    <w:snapToGrid w:val="0"/>
                    <w:jc w:val="center"/>
                    <w:outlineLvl w:val="1"/>
                    <w:rPr>
                      <w:bCs/>
                      <w:szCs w:val="21"/>
                    </w:rPr>
                  </w:pPr>
                  <w:r>
                    <w:rPr>
                      <w:bCs/>
                      <w:szCs w:val="21"/>
                    </w:rPr>
                    <w:t>0.032</w:t>
                  </w:r>
                </w:p>
              </w:tc>
              <w:tc>
                <w:tcPr>
                  <w:tcW w:w="825" w:type="pct"/>
                  <w:vAlign w:val="center"/>
                </w:tcPr>
                <w:p>
                  <w:pPr>
                    <w:snapToGrid w:val="0"/>
                    <w:jc w:val="center"/>
                    <w:outlineLvl w:val="1"/>
                    <w:rPr>
                      <w:bCs/>
                      <w:szCs w:val="21"/>
                    </w:rPr>
                  </w:pPr>
                  <w:r>
                    <w:rPr>
                      <w:bCs/>
                      <w:szCs w:val="21"/>
                    </w:rPr>
                    <w:t>0.032</w:t>
                  </w:r>
                </w:p>
              </w:tc>
              <w:tc>
                <w:tcPr>
                  <w:tcW w:w="1650" w:type="pct"/>
                  <w:vMerge w:val="continue"/>
                  <w:vAlign w:val="center"/>
                </w:tcPr>
                <w:p>
                  <w:pPr>
                    <w:snapToGrid w:val="0"/>
                    <w:jc w:val="center"/>
                    <w:outlineLvl w:val="1"/>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vMerge w:val="continue"/>
                  <w:vAlign w:val="center"/>
                </w:tcPr>
                <w:p>
                  <w:pPr>
                    <w:snapToGrid w:val="0"/>
                    <w:jc w:val="center"/>
                    <w:outlineLvl w:val="1"/>
                    <w:rPr>
                      <w:bCs/>
                      <w:szCs w:val="21"/>
                    </w:rPr>
                  </w:pPr>
                </w:p>
              </w:tc>
              <w:tc>
                <w:tcPr>
                  <w:tcW w:w="955" w:type="pct"/>
                  <w:vAlign w:val="center"/>
                </w:tcPr>
                <w:p>
                  <w:pPr>
                    <w:snapToGrid w:val="0"/>
                    <w:jc w:val="center"/>
                    <w:outlineLvl w:val="1"/>
                    <w:rPr>
                      <w:bCs/>
                      <w:szCs w:val="21"/>
                    </w:rPr>
                  </w:pPr>
                  <w:r>
                    <w:rPr>
                      <w:bCs/>
                      <w:szCs w:val="21"/>
                    </w:rPr>
                    <w:t>NH</w:t>
                  </w:r>
                  <w:r>
                    <w:rPr>
                      <w:bCs/>
                      <w:szCs w:val="21"/>
                      <w:vertAlign w:val="subscript"/>
                    </w:rPr>
                    <w:t>3</w:t>
                  </w:r>
                  <w:r>
                    <w:rPr>
                      <w:bCs/>
                      <w:szCs w:val="21"/>
                    </w:rPr>
                    <w:t>-N</w:t>
                  </w:r>
                </w:p>
              </w:tc>
              <w:tc>
                <w:tcPr>
                  <w:tcW w:w="1154" w:type="pct"/>
                  <w:gridSpan w:val="2"/>
                  <w:vAlign w:val="center"/>
                </w:tcPr>
                <w:p>
                  <w:pPr>
                    <w:snapToGrid w:val="0"/>
                    <w:jc w:val="center"/>
                    <w:outlineLvl w:val="1"/>
                    <w:rPr>
                      <w:bCs/>
                      <w:szCs w:val="21"/>
                    </w:rPr>
                  </w:pPr>
                  <w:r>
                    <w:rPr>
                      <w:bCs/>
                      <w:szCs w:val="21"/>
                    </w:rPr>
                    <w:t>0.0016</w:t>
                  </w:r>
                </w:p>
              </w:tc>
              <w:tc>
                <w:tcPr>
                  <w:tcW w:w="825" w:type="pct"/>
                  <w:vAlign w:val="center"/>
                </w:tcPr>
                <w:p>
                  <w:pPr>
                    <w:snapToGrid w:val="0"/>
                    <w:jc w:val="center"/>
                    <w:outlineLvl w:val="1"/>
                    <w:rPr>
                      <w:bCs/>
                      <w:szCs w:val="21"/>
                    </w:rPr>
                  </w:pPr>
                  <w:r>
                    <w:rPr>
                      <w:bCs/>
                      <w:szCs w:val="21"/>
                    </w:rPr>
                    <w:t>0.0016</w:t>
                  </w:r>
                </w:p>
              </w:tc>
              <w:tc>
                <w:tcPr>
                  <w:tcW w:w="1650" w:type="pct"/>
                  <w:vMerge w:val="continue"/>
                  <w:vAlign w:val="center"/>
                </w:tcPr>
                <w:p>
                  <w:pPr>
                    <w:snapToGrid w:val="0"/>
                    <w:jc w:val="center"/>
                    <w:outlineLvl w:val="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16" w:type="pct"/>
                  <w:vAlign w:val="center"/>
                </w:tcPr>
                <w:p>
                  <w:pPr>
                    <w:snapToGrid w:val="0"/>
                    <w:jc w:val="center"/>
                    <w:outlineLvl w:val="1"/>
                    <w:rPr>
                      <w:bCs/>
                      <w:szCs w:val="21"/>
                    </w:rPr>
                  </w:pPr>
                  <w:r>
                    <w:rPr>
                      <w:bCs/>
                      <w:szCs w:val="21"/>
                    </w:rPr>
                    <w:t>废气</w:t>
                  </w:r>
                </w:p>
              </w:tc>
              <w:tc>
                <w:tcPr>
                  <w:tcW w:w="955" w:type="pct"/>
                  <w:vAlign w:val="center"/>
                </w:tcPr>
                <w:p>
                  <w:pPr>
                    <w:snapToGrid w:val="0"/>
                    <w:jc w:val="center"/>
                    <w:outlineLvl w:val="1"/>
                    <w:rPr>
                      <w:bCs/>
                      <w:szCs w:val="21"/>
                    </w:rPr>
                  </w:pPr>
                  <w:r>
                    <w:rPr>
                      <w:bCs/>
                      <w:szCs w:val="21"/>
                    </w:rPr>
                    <w:t>挥发性有机物</w:t>
                  </w:r>
                  <w:r>
                    <w:rPr>
                      <w:rFonts w:hint="eastAsia"/>
                      <w:bCs/>
                      <w:szCs w:val="21"/>
                    </w:rPr>
                    <w:t>（包括</w:t>
                  </w:r>
                  <w:r>
                    <w:rPr>
                      <w:bCs/>
                      <w:szCs w:val="21"/>
                    </w:rPr>
                    <w:t>非甲烷总烃和</w:t>
                  </w:r>
                  <w:r>
                    <w:rPr>
                      <w:rFonts w:hint="eastAsia"/>
                      <w:bCs/>
                      <w:szCs w:val="21"/>
                    </w:rPr>
                    <w:t>VOCs）</w:t>
                  </w:r>
                </w:p>
              </w:tc>
              <w:tc>
                <w:tcPr>
                  <w:tcW w:w="547" w:type="pct"/>
                  <w:vAlign w:val="center"/>
                </w:tcPr>
                <w:p>
                  <w:pPr>
                    <w:snapToGrid w:val="0"/>
                    <w:jc w:val="center"/>
                    <w:outlineLvl w:val="1"/>
                    <w:rPr>
                      <w:bCs/>
                      <w:szCs w:val="21"/>
                    </w:rPr>
                  </w:pPr>
                  <w:r>
                    <w:rPr>
                      <w:bCs/>
                      <w:szCs w:val="21"/>
                    </w:rPr>
                    <w:t>0.02795</w:t>
                  </w:r>
                </w:p>
              </w:tc>
              <w:tc>
                <w:tcPr>
                  <w:tcW w:w="607" w:type="pct"/>
                  <w:vAlign w:val="center"/>
                </w:tcPr>
                <w:p>
                  <w:pPr>
                    <w:snapToGrid w:val="0"/>
                    <w:jc w:val="center"/>
                    <w:outlineLvl w:val="1"/>
                    <w:rPr>
                      <w:bCs/>
                      <w:szCs w:val="21"/>
                    </w:rPr>
                  </w:pPr>
                  <w:r>
                    <w:rPr>
                      <w:bCs/>
                      <w:szCs w:val="21"/>
                    </w:rPr>
                    <w:t>0.0932</w:t>
                  </w:r>
                </w:p>
              </w:tc>
              <w:tc>
                <w:tcPr>
                  <w:tcW w:w="825" w:type="pct"/>
                  <w:vAlign w:val="center"/>
                </w:tcPr>
                <w:p>
                  <w:pPr>
                    <w:snapToGrid w:val="0"/>
                    <w:jc w:val="center"/>
                    <w:outlineLvl w:val="1"/>
                    <w:rPr>
                      <w:bCs/>
                      <w:szCs w:val="21"/>
                    </w:rPr>
                  </w:pPr>
                  <w:r>
                    <w:rPr>
                      <w:bCs/>
                      <w:szCs w:val="21"/>
                    </w:rPr>
                    <w:t>0.12115</w:t>
                  </w:r>
                </w:p>
              </w:tc>
              <w:tc>
                <w:tcPr>
                  <w:tcW w:w="1650" w:type="pct"/>
                  <w:vAlign w:val="center"/>
                </w:tcPr>
                <w:p>
                  <w:pPr>
                    <w:snapToGrid w:val="0"/>
                    <w:jc w:val="center"/>
                    <w:outlineLvl w:val="1"/>
                    <w:rPr>
                      <w:bCs/>
                      <w:szCs w:val="21"/>
                    </w:rPr>
                  </w:pPr>
                  <w:r>
                    <w:rPr>
                      <w:bCs/>
                      <w:szCs w:val="21"/>
                    </w:rPr>
                    <w:t>/</w:t>
                  </w:r>
                </w:p>
              </w:tc>
            </w:tr>
          </w:tbl>
          <w:p>
            <w:pPr>
              <w:keepLines/>
              <w:widowControl/>
              <w:autoSpaceDE w:val="0"/>
              <w:adjustRightInd w:val="0"/>
              <w:textAlignment w:val="baseline"/>
              <w:outlineLvl w:val="2"/>
              <w:rPr>
                <w:kern w:val="0"/>
                <w:szCs w:val="21"/>
              </w:rPr>
            </w:pPr>
          </w:p>
        </w:tc>
      </w:tr>
    </w:tbl>
    <w:p>
      <w:pPr>
        <w:pStyle w:val="25"/>
        <w:jc w:val="center"/>
        <w:outlineLvl w:val="0"/>
        <w:rPr>
          <w:rFonts w:ascii="Times New Roman" w:hAnsi="Times New Roman" w:eastAsia="黑体"/>
          <w:snapToGrid w:val="0"/>
          <w:sz w:val="36"/>
          <w:szCs w:val="36"/>
        </w:rPr>
        <w:sectPr>
          <w:pgSz w:w="11907" w:h="16840"/>
          <w:pgMar w:top="720" w:right="1275" w:bottom="720" w:left="1276" w:header="851" w:footer="851" w:gutter="0"/>
          <w:cols w:space="720" w:num="1"/>
          <w:docGrid w:linePitch="312" w:charSpace="0"/>
        </w:sect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四、主要环境影响和保护措施</w:t>
      </w:r>
    </w:p>
    <w:tbl>
      <w:tblPr>
        <w:tblStyle w:val="28"/>
        <w:tblW w:w="500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4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27" w:type="pct"/>
            <w:tcMar>
              <w:left w:w="28" w:type="dxa"/>
              <w:right w:w="28" w:type="dxa"/>
            </w:tcMar>
            <w:vAlign w:val="center"/>
          </w:tcPr>
          <w:p>
            <w:pPr>
              <w:pStyle w:val="2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施工期环境保护措施</w:t>
            </w:r>
          </w:p>
        </w:tc>
        <w:tc>
          <w:tcPr>
            <w:tcW w:w="4773" w:type="pct"/>
            <w:tcBorders>
              <w:bottom w:val="single" w:color="auto" w:sz="4" w:space="0"/>
            </w:tcBorders>
            <w:vAlign w:val="center"/>
          </w:tcPr>
          <w:p>
            <w:pPr>
              <w:spacing w:line="360" w:lineRule="auto"/>
              <w:ind w:firstLine="482"/>
              <w:rPr>
                <w:bCs/>
                <w:spacing w:val="-10"/>
                <w:szCs w:val="21"/>
              </w:rPr>
            </w:pPr>
            <w:r>
              <w:rPr>
                <w:szCs w:val="21"/>
              </w:rPr>
              <w:t>根据现场勘踏，项目租用厂房已建成，其他附属设施已经建成，施工期仅需进行设备安装及调试，施工期环境影响不明显。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227" w:type="pct"/>
            <w:tcMar>
              <w:left w:w="28" w:type="dxa"/>
              <w:right w:w="28" w:type="dxa"/>
            </w:tcMar>
            <w:vAlign w:val="center"/>
          </w:tcPr>
          <w:p>
            <w:pPr>
              <w:adjustRightInd w:val="0"/>
              <w:snapToGrid w:val="0"/>
              <w:jc w:val="center"/>
              <w:rPr>
                <w:bCs/>
                <w:szCs w:val="21"/>
              </w:rPr>
            </w:pPr>
            <w:r>
              <w:rPr>
                <w:bCs/>
                <w:szCs w:val="21"/>
              </w:rPr>
              <w:t>运营期环境影响和保护措施</w:t>
            </w:r>
          </w:p>
        </w:tc>
        <w:tc>
          <w:tcPr>
            <w:tcW w:w="4773" w:type="pct"/>
            <w:tcBorders>
              <w:top w:val="single" w:color="auto" w:sz="4" w:space="0"/>
              <w:bottom w:val="single" w:color="auto" w:sz="4" w:space="0"/>
              <w:right w:val="single" w:color="auto" w:sz="4" w:space="0"/>
            </w:tcBorders>
            <w:vAlign w:val="center"/>
          </w:tcPr>
          <w:p>
            <w:pPr>
              <w:snapToGrid w:val="0"/>
              <w:spacing w:line="360" w:lineRule="auto"/>
              <w:ind w:firstLine="422" w:firstLineChars="200"/>
              <w:rPr>
                <w:b/>
                <w:szCs w:val="21"/>
              </w:rPr>
            </w:pPr>
            <w:r>
              <w:rPr>
                <w:rFonts w:hint="eastAsia"/>
                <w:b/>
                <w:szCs w:val="21"/>
              </w:rPr>
              <w:t>1</w:t>
            </w:r>
            <w:r>
              <w:rPr>
                <w:b/>
                <w:szCs w:val="21"/>
              </w:rPr>
              <w:t>、废气</w:t>
            </w:r>
          </w:p>
          <w:p>
            <w:pPr>
              <w:snapToGrid w:val="0"/>
              <w:spacing w:line="360" w:lineRule="auto"/>
              <w:ind w:firstLine="422" w:firstLineChars="200"/>
              <w:rPr>
                <w:b/>
                <w:szCs w:val="21"/>
              </w:rPr>
            </w:pPr>
            <w:r>
              <w:rPr>
                <w:rFonts w:hint="eastAsia"/>
                <w:b/>
                <w:szCs w:val="21"/>
              </w:rPr>
              <w:t>（1）废气源强</w:t>
            </w:r>
          </w:p>
          <w:p>
            <w:pPr>
              <w:spacing w:line="360" w:lineRule="auto"/>
              <w:ind w:firstLine="420" w:firstLineChars="200"/>
              <w:rPr>
                <w:szCs w:val="21"/>
              </w:rPr>
            </w:pPr>
            <w:r>
              <w:rPr>
                <w:szCs w:val="21"/>
              </w:rPr>
              <w:t>本项目的废气污染物主要是</w:t>
            </w:r>
            <w:r>
              <w:rPr>
                <w:rFonts w:hint="eastAsia"/>
                <w:szCs w:val="21"/>
              </w:rPr>
              <w:t>挤出、</w:t>
            </w:r>
            <w:r>
              <w:rPr>
                <w:szCs w:val="21"/>
              </w:rPr>
              <w:t>贴合、植皮、印刷、烘干过程</w:t>
            </w:r>
            <w:r>
              <w:rPr>
                <w:bCs/>
                <w:szCs w:val="21"/>
              </w:rPr>
              <w:t>产生的有机废气</w:t>
            </w:r>
            <w:r>
              <w:rPr>
                <w:szCs w:val="21"/>
              </w:rPr>
              <w:t>。</w:t>
            </w:r>
          </w:p>
          <w:p>
            <w:pPr>
              <w:numPr>
                <w:ilvl w:val="0"/>
                <w:numId w:val="2"/>
              </w:numPr>
              <w:adjustRightInd w:val="0"/>
              <w:snapToGrid w:val="0"/>
              <w:spacing w:line="360" w:lineRule="auto"/>
              <w:ind w:left="0"/>
              <w:jc w:val="center"/>
              <w:rPr>
                <w:b/>
                <w:bCs/>
                <w:szCs w:val="21"/>
              </w:rPr>
            </w:pPr>
            <w:r>
              <w:rPr>
                <w:b/>
                <w:bCs/>
                <w:szCs w:val="21"/>
              </w:rPr>
              <w:t>废气污染物源强核算结果一览表</w:t>
            </w:r>
          </w:p>
          <w:p>
            <w:pPr>
              <w:pStyle w:val="43"/>
              <w:rPr>
                <w:rFonts w:ascii="Times New Roman"/>
                <w:b/>
                <w:color w:val="auto"/>
                <w:sz w:val="21"/>
                <w:szCs w:val="21"/>
              </w:rPr>
            </w:pPr>
            <w:r>
              <w:rPr>
                <w:rFonts w:ascii="Times New Roman"/>
                <w:b/>
                <w:color w:val="auto"/>
                <w:sz w:val="21"/>
                <w:szCs w:val="21"/>
              </w:rPr>
              <w:t>（单位:废气量：m</w:t>
            </w:r>
            <w:r>
              <w:rPr>
                <w:rFonts w:ascii="Times New Roman"/>
                <w:b/>
                <w:color w:val="auto"/>
                <w:sz w:val="21"/>
                <w:szCs w:val="21"/>
                <w:vertAlign w:val="superscript"/>
              </w:rPr>
              <w:t>3</w:t>
            </w:r>
            <w:r>
              <w:rPr>
                <w:rFonts w:ascii="Times New Roman"/>
                <w:b/>
                <w:color w:val="auto"/>
                <w:sz w:val="21"/>
                <w:szCs w:val="21"/>
              </w:rPr>
              <w:t>/h；浓度：mg/m</w:t>
            </w:r>
            <w:r>
              <w:rPr>
                <w:rFonts w:ascii="Times New Roman"/>
                <w:b/>
                <w:color w:val="auto"/>
                <w:sz w:val="21"/>
                <w:szCs w:val="21"/>
                <w:vertAlign w:val="superscript"/>
              </w:rPr>
              <w:t>3</w:t>
            </w:r>
            <w:r>
              <w:rPr>
                <w:rFonts w:ascii="Times New Roman"/>
                <w:b/>
                <w:color w:val="auto"/>
                <w:sz w:val="21"/>
                <w:szCs w:val="21"/>
              </w:rPr>
              <w:t>；收集量、排放量：t/a；速率：kg/h）</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16"/>
              <w:gridCol w:w="961"/>
              <w:gridCol w:w="899"/>
              <w:gridCol w:w="1144"/>
              <w:gridCol w:w="908"/>
              <w:gridCol w:w="806"/>
              <w:gridCol w:w="694"/>
              <w:gridCol w:w="1322"/>
              <w:gridCol w:w="822"/>
              <w:gridCol w:w="683"/>
              <w:gridCol w:w="1004"/>
              <w:gridCol w:w="1004"/>
              <w:gridCol w:w="99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Merge w:val="restart"/>
                  <w:vAlign w:val="center"/>
                </w:tcPr>
                <w:p>
                  <w:pPr>
                    <w:jc w:val="center"/>
                    <w:rPr>
                      <w:b/>
                      <w:szCs w:val="21"/>
                    </w:rPr>
                  </w:pPr>
                  <w:r>
                    <w:rPr>
                      <w:rFonts w:hint="eastAsia"/>
                      <w:b/>
                      <w:szCs w:val="21"/>
                    </w:rPr>
                    <w:t>产</w:t>
                  </w:r>
                  <w:r>
                    <w:rPr>
                      <w:b/>
                      <w:szCs w:val="21"/>
                    </w:rPr>
                    <w:t>排污环节</w:t>
                  </w:r>
                </w:p>
              </w:tc>
              <w:tc>
                <w:tcPr>
                  <w:tcW w:w="1116" w:type="dxa"/>
                  <w:vMerge w:val="restart"/>
                  <w:vAlign w:val="center"/>
                </w:tcPr>
                <w:p>
                  <w:pPr>
                    <w:jc w:val="center"/>
                    <w:rPr>
                      <w:b/>
                      <w:szCs w:val="21"/>
                    </w:rPr>
                  </w:pPr>
                  <w:r>
                    <w:rPr>
                      <w:rFonts w:hint="eastAsia"/>
                      <w:b/>
                      <w:szCs w:val="21"/>
                    </w:rPr>
                    <w:t>污染</w:t>
                  </w:r>
                  <w:r>
                    <w:rPr>
                      <w:b/>
                      <w:szCs w:val="21"/>
                    </w:rPr>
                    <w:t>物种类</w:t>
                  </w:r>
                </w:p>
              </w:tc>
              <w:tc>
                <w:tcPr>
                  <w:tcW w:w="961" w:type="dxa"/>
                  <w:vMerge w:val="restart"/>
                  <w:vAlign w:val="center"/>
                </w:tcPr>
                <w:p>
                  <w:pPr>
                    <w:jc w:val="center"/>
                    <w:rPr>
                      <w:b/>
                      <w:szCs w:val="21"/>
                    </w:rPr>
                  </w:pPr>
                  <w:r>
                    <w:rPr>
                      <w:rFonts w:hint="eastAsia"/>
                      <w:b/>
                      <w:bCs/>
                      <w:szCs w:val="21"/>
                    </w:rPr>
                    <w:t>排</w:t>
                  </w:r>
                  <w:r>
                    <w:rPr>
                      <w:b/>
                      <w:bCs/>
                      <w:szCs w:val="21"/>
                    </w:rPr>
                    <w:t>放形式</w:t>
                  </w:r>
                </w:p>
              </w:tc>
              <w:tc>
                <w:tcPr>
                  <w:tcW w:w="2951" w:type="dxa"/>
                  <w:gridSpan w:val="3"/>
                  <w:vAlign w:val="center"/>
                </w:tcPr>
                <w:p>
                  <w:pPr>
                    <w:jc w:val="center"/>
                    <w:rPr>
                      <w:b/>
                      <w:bCs/>
                      <w:szCs w:val="21"/>
                    </w:rPr>
                  </w:pPr>
                  <w:r>
                    <w:rPr>
                      <w:rFonts w:hint="eastAsia"/>
                      <w:b/>
                      <w:szCs w:val="21"/>
                    </w:rPr>
                    <w:t>污染</w:t>
                  </w:r>
                  <w:r>
                    <w:rPr>
                      <w:b/>
                      <w:szCs w:val="21"/>
                    </w:rPr>
                    <w:t>物产生</w:t>
                  </w:r>
                  <w:r>
                    <w:rPr>
                      <w:rFonts w:hint="eastAsia"/>
                      <w:b/>
                      <w:szCs w:val="21"/>
                    </w:rPr>
                    <w:t>情况</w:t>
                  </w:r>
                </w:p>
              </w:tc>
              <w:tc>
                <w:tcPr>
                  <w:tcW w:w="0" w:type="auto"/>
                  <w:gridSpan w:val="5"/>
                  <w:vAlign w:val="center"/>
                </w:tcPr>
                <w:p>
                  <w:pPr>
                    <w:jc w:val="center"/>
                    <w:rPr>
                      <w:b/>
                      <w:bCs/>
                      <w:szCs w:val="21"/>
                    </w:rPr>
                  </w:pPr>
                  <w:r>
                    <w:rPr>
                      <w:rFonts w:hint="eastAsia"/>
                      <w:b/>
                      <w:bCs/>
                      <w:szCs w:val="21"/>
                    </w:rPr>
                    <w:t>治</w:t>
                  </w:r>
                  <w:r>
                    <w:rPr>
                      <w:b/>
                      <w:bCs/>
                      <w:szCs w:val="21"/>
                    </w:rPr>
                    <w:t>理设施</w:t>
                  </w:r>
                </w:p>
              </w:tc>
              <w:tc>
                <w:tcPr>
                  <w:tcW w:w="3000" w:type="dxa"/>
                  <w:gridSpan w:val="3"/>
                  <w:vAlign w:val="center"/>
                </w:tcPr>
                <w:p>
                  <w:pPr>
                    <w:jc w:val="center"/>
                    <w:rPr>
                      <w:b/>
                      <w:bCs/>
                      <w:szCs w:val="21"/>
                    </w:rPr>
                  </w:pPr>
                  <w:r>
                    <w:rPr>
                      <w:rFonts w:hint="eastAsia"/>
                      <w:b/>
                      <w:bCs/>
                      <w:szCs w:val="21"/>
                    </w:rPr>
                    <w:t>污染物排放情况</w:t>
                  </w:r>
                </w:p>
              </w:tc>
              <w:tc>
                <w:tcPr>
                  <w:tcW w:w="1168" w:type="dxa"/>
                  <w:vMerge w:val="restart"/>
                  <w:vAlign w:val="center"/>
                </w:tcPr>
                <w:p>
                  <w:pPr>
                    <w:jc w:val="center"/>
                    <w:rPr>
                      <w:b/>
                      <w:bCs/>
                      <w:szCs w:val="21"/>
                    </w:rPr>
                  </w:pPr>
                  <w:r>
                    <w:rPr>
                      <w:rFonts w:hint="eastAsia"/>
                      <w:b/>
                      <w:bCs/>
                      <w:szCs w:val="21"/>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Merge w:val="continue"/>
                  <w:vAlign w:val="center"/>
                </w:tcPr>
                <w:p>
                  <w:pPr>
                    <w:jc w:val="center"/>
                    <w:rPr>
                      <w:b/>
                      <w:szCs w:val="21"/>
                    </w:rPr>
                  </w:pPr>
                </w:p>
              </w:tc>
              <w:tc>
                <w:tcPr>
                  <w:tcW w:w="1116" w:type="dxa"/>
                  <w:vMerge w:val="continue"/>
                  <w:vAlign w:val="center"/>
                </w:tcPr>
                <w:p>
                  <w:pPr>
                    <w:jc w:val="center"/>
                    <w:rPr>
                      <w:b/>
                      <w:szCs w:val="21"/>
                    </w:rPr>
                  </w:pPr>
                </w:p>
              </w:tc>
              <w:tc>
                <w:tcPr>
                  <w:tcW w:w="961" w:type="dxa"/>
                  <w:vMerge w:val="continue"/>
                  <w:vAlign w:val="center"/>
                </w:tcPr>
                <w:p>
                  <w:pPr>
                    <w:jc w:val="center"/>
                    <w:rPr>
                      <w:b/>
                      <w:szCs w:val="21"/>
                    </w:rPr>
                  </w:pPr>
                </w:p>
              </w:tc>
              <w:tc>
                <w:tcPr>
                  <w:tcW w:w="899" w:type="dxa"/>
                  <w:vAlign w:val="center"/>
                </w:tcPr>
                <w:p>
                  <w:pPr>
                    <w:jc w:val="center"/>
                    <w:rPr>
                      <w:b/>
                      <w:bCs/>
                      <w:szCs w:val="21"/>
                    </w:rPr>
                  </w:pPr>
                  <w:r>
                    <w:rPr>
                      <w:rFonts w:hint="eastAsia"/>
                      <w:b/>
                      <w:bCs/>
                      <w:szCs w:val="21"/>
                    </w:rPr>
                    <w:t>产生量</w:t>
                  </w:r>
                </w:p>
              </w:tc>
              <w:tc>
                <w:tcPr>
                  <w:tcW w:w="1144" w:type="dxa"/>
                  <w:vAlign w:val="center"/>
                </w:tcPr>
                <w:p>
                  <w:pPr>
                    <w:jc w:val="center"/>
                    <w:rPr>
                      <w:b/>
                      <w:bCs/>
                      <w:szCs w:val="21"/>
                    </w:rPr>
                  </w:pPr>
                  <w:r>
                    <w:rPr>
                      <w:rFonts w:hint="eastAsia"/>
                      <w:b/>
                      <w:bCs/>
                      <w:szCs w:val="21"/>
                    </w:rPr>
                    <w:t>产生</w:t>
                  </w:r>
                </w:p>
                <w:p>
                  <w:pPr>
                    <w:jc w:val="center"/>
                    <w:rPr>
                      <w:b/>
                      <w:bCs/>
                      <w:szCs w:val="21"/>
                    </w:rPr>
                  </w:pPr>
                  <w:r>
                    <w:rPr>
                      <w:rFonts w:hint="eastAsia"/>
                      <w:b/>
                      <w:bCs/>
                      <w:szCs w:val="21"/>
                    </w:rPr>
                    <w:t>速率</w:t>
                  </w:r>
                </w:p>
              </w:tc>
              <w:tc>
                <w:tcPr>
                  <w:tcW w:w="908" w:type="dxa"/>
                  <w:vAlign w:val="center"/>
                </w:tcPr>
                <w:p>
                  <w:pPr>
                    <w:jc w:val="center"/>
                    <w:rPr>
                      <w:b/>
                      <w:bCs/>
                      <w:szCs w:val="21"/>
                    </w:rPr>
                  </w:pPr>
                  <w:r>
                    <w:rPr>
                      <w:rFonts w:hint="eastAsia"/>
                      <w:b/>
                      <w:bCs/>
                      <w:szCs w:val="21"/>
                    </w:rPr>
                    <w:t>产生浓度</w:t>
                  </w:r>
                </w:p>
              </w:tc>
              <w:tc>
                <w:tcPr>
                  <w:tcW w:w="0" w:type="auto"/>
                  <w:vAlign w:val="center"/>
                </w:tcPr>
                <w:p>
                  <w:pPr>
                    <w:jc w:val="center"/>
                    <w:rPr>
                      <w:b/>
                      <w:bCs/>
                      <w:szCs w:val="21"/>
                    </w:rPr>
                  </w:pPr>
                  <w:r>
                    <w:rPr>
                      <w:rFonts w:hint="eastAsia"/>
                      <w:b/>
                      <w:bCs/>
                      <w:szCs w:val="21"/>
                    </w:rPr>
                    <w:t>处</w:t>
                  </w:r>
                  <w:r>
                    <w:rPr>
                      <w:b/>
                      <w:bCs/>
                      <w:szCs w:val="21"/>
                    </w:rPr>
                    <w:t>理能力</w:t>
                  </w:r>
                </w:p>
              </w:tc>
              <w:tc>
                <w:tcPr>
                  <w:tcW w:w="0" w:type="auto"/>
                  <w:vAlign w:val="center"/>
                </w:tcPr>
                <w:p>
                  <w:pPr>
                    <w:jc w:val="center"/>
                    <w:rPr>
                      <w:b/>
                      <w:bCs/>
                      <w:szCs w:val="21"/>
                    </w:rPr>
                  </w:pPr>
                  <w:r>
                    <w:rPr>
                      <w:rFonts w:hint="eastAsia"/>
                      <w:b/>
                      <w:bCs/>
                      <w:szCs w:val="21"/>
                    </w:rPr>
                    <w:t>收</w:t>
                  </w:r>
                  <w:r>
                    <w:rPr>
                      <w:b/>
                      <w:bCs/>
                      <w:szCs w:val="21"/>
                    </w:rPr>
                    <w:t>集效率</w:t>
                  </w:r>
                </w:p>
              </w:tc>
              <w:tc>
                <w:tcPr>
                  <w:tcW w:w="0" w:type="auto"/>
                  <w:vAlign w:val="center"/>
                </w:tcPr>
                <w:p>
                  <w:pPr>
                    <w:jc w:val="center"/>
                    <w:rPr>
                      <w:b/>
                      <w:bCs/>
                      <w:szCs w:val="21"/>
                    </w:rPr>
                  </w:pPr>
                  <w:r>
                    <w:rPr>
                      <w:rFonts w:hint="eastAsia"/>
                      <w:b/>
                      <w:bCs/>
                      <w:szCs w:val="21"/>
                    </w:rPr>
                    <w:t>治理工艺</w:t>
                  </w:r>
                </w:p>
              </w:tc>
              <w:tc>
                <w:tcPr>
                  <w:tcW w:w="0" w:type="auto"/>
                  <w:vAlign w:val="center"/>
                </w:tcPr>
                <w:p>
                  <w:pPr>
                    <w:jc w:val="center"/>
                    <w:rPr>
                      <w:b/>
                      <w:bCs/>
                      <w:szCs w:val="21"/>
                    </w:rPr>
                  </w:pPr>
                  <w:r>
                    <w:rPr>
                      <w:rFonts w:hint="eastAsia"/>
                      <w:b/>
                      <w:bCs/>
                      <w:szCs w:val="21"/>
                    </w:rPr>
                    <w:t>治</w:t>
                  </w:r>
                  <w:r>
                    <w:rPr>
                      <w:b/>
                      <w:bCs/>
                      <w:szCs w:val="21"/>
                    </w:rPr>
                    <w:t>理工艺去除率</w:t>
                  </w:r>
                </w:p>
              </w:tc>
              <w:tc>
                <w:tcPr>
                  <w:tcW w:w="0" w:type="auto"/>
                  <w:vAlign w:val="center"/>
                </w:tcPr>
                <w:p>
                  <w:pPr>
                    <w:jc w:val="center"/>
                    <w:rPr>
                      <w:b/>
                      <w:bCs/>
                      <w:szCs w:val="21"/>
                    </w:rPr>
                  </w:pPr>
                  <w:r>
                    <w:rPr>
                      <w:rFonts w:hint="eastAsia"/>
                      <w:b/>
                      <w:bCs/>
                      <w:szCs w:val="21"/>
                    </w:rPr>
                    <w:t>是</w:t>
                  </w:r>
                  <w:r>
                    <w:rPr>
                      <w:b/>
                      <w:bCs/>
                      <w:szCs w:val="21"/>
                    </w:rPr>
                    <w:t>否为可行</w:t>
                  </w:r>
                  <w:r>
                    <w:rPr>
                      <w:rFonts w:hint="eastAsia"/>
                      <w:b/>
                      <w:bCs/>
                      <w:szCs w:val="21"/>
                    </w:rPr>
                    <w:t>技术</w:t>
                  </w:r>
                </w:p>
              </w:tc>
              <w:tc>
                <w:tcPr>
                  <w:tcW w:w="1004" w:type="dxa"/>
                  <w:vAlign w:val="center"/>
                </w:tcPr>
                <w:p>
                  <w:pPr>
                    <w:jc w:val="center"/>
                    <w:rPr>
                      <w:b/>
                      <w:bCs/>
                      <w:szCs w:val="21"/>
                    </w:rPr>
                  </w:pPr>
                  <w:r>
                    <w:rPr>
                      <w:rFonts w:hint="eastAsia"/>
                      <w:b/>
                      <w:bCs/>
                      <w:szCs w:val="21"/>
                    </w:rPr>
                    <w:t>排放量</w:t>
                  </w:r>
                </w:p>
              </w:tc>
              <w:tc>
                <w:tcPr>
                  <w:tcW w:w="1004" w:type="dxa"/>
                  <w:vAlign w:val="center"/>
                </w:tcPr>
                <w:p>
                  <w:pPr>
                    <w:jc w:val="center"/>
                    <w:rPr>
                      <w:b/>
                      <w:bCs/>
                      <w:szCs w:val="21"/>
                    </w:rPr>
                  </w:pPr>
                  <w:r>
                    <w:rPr>
                      <w:rFonts w:hint="eastAsia"/>
                      <w:b/>
                      <w:bCs/>
                      <w:szCs w:val="21"/>
                    </w:rPr>
                    <w:t>排放速率</w:t>
                  </w:r>
                </w:p>
              </w:tc>
              <w:tc>
                <w:tcPr>
                  <w:tcW w:w="992" w:type="dxa"/>
                  <w:vAlign w:val="center"/>
                </w:tcPr>
                <w:p>
                  <w:pPr>
                    <w:jc w:val="center"/>
                    <w:rPr>
                      <w:b/>
                      <w:bCs/>
                      <w:szCs w:val="21"/>
                    </w:rPr>
                  </w:pPr>
                  <w:r>
                    <w:rPr>
                      <w:rFonts w:hint="eastAsia"/>
                      <w:b/>
                      <w:bCs/>
                      <w:szCs w:val="21"/>
                    </w:rPr>
                    <w:t>排放浓度</w:t>
                  </w:r>
                </w:p>
              </w:tc>
              <w:tc>
                <w:tcPr>
                  <w:tcW w:w="1168"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0" w:type="dxa"/>
                  <w:vMerge w:val="restart"/>
                  <w:vAlign w:val="center"/>
                </w:tcPr>
                <w:p>
                  <w:pPr>
                    <w:jc w:val="center"/>
                    <w:rPr>
                      <w:szCs w:val="21"/>
                    </w:rPr>
                  </w:pPr>
                  <w:r>
                    <w:rPr>
                      <w:rFonts w:hint="eastAsia" w:hAnsi="Calibri"/>
                      <w:bCs/>
                      <w:szCs w:val="21"/>
                    </w:rPr>
                    <w:t>挤出</w:t>
                  </w:r>
                </w:p>
              </w:tc>
              <w:tc>
                <w:tcPr>
                  <w:tcW w:w="1116" w:type="dxa"/>
                  <w:vMerge w:val="restart"/>
                  <w:vAlign w:val="center"/>
                </w:tcPr>
                <w:p>
                  <w:pPr>
                    <w:widowControl/>
                    <w:jc w:val="center"/>
                    <w:textAlignment w:val="center"/>
                    <w:rPr>
                      <w:szCs w:val="21"/>
                    </w:rPr>
                  </w:pPr>
                  <w:r>
                    <w:rPr>
                      <w:rFonts w:hint="eastAsia" w:hAnsi="Calibri"/>
                      <w:bCs/>
                      <w:szCs w:val="21"/>
                    </w:rPr>
                    <w:t>非甲烷总烃</w:t>
                  </w:r>
                </w:p>
              </w:tc>
              <w:tc>
                <w:tcPr>
                  <w:tcW w:w="961" w:type="dxa"/>
                  <w:vAlign w:val="center"/>
                </w:tcPr>
                <w:p>
                  <w:pPr>
                    <w:jc w:val="center"/>
                    <w:rPr>
                      <w:szCs w:val="21"/>
                    </w:rPr>
                  </w:pPr>
                  <w:r>
                    <w:rPr>
                      <w:rFonts w:hint="eastAsia"/>
                      <w:szCs w:val="21"/>
                    </w:rPr>
                    <w:t>有组织</w:t>
                  </w:r>
                </w:p>
              </w:tc>
              <w:tc>
                <w:tcPr>
                  <w:tcW w:w="899" w:type="dxa"/>
                  <w:vAlign w:val="center"/>
                </w:tcPr>
                <w:p>
                  <w:pPr>
                    <w:widowControl/>
                    <w:jc w:val="center"/>
                    <w:rPr>
                      <w:kern w:val="0"/>
                      <w:szCs w:val="21"/>
                    </w:rPr>
                  </w:pPr>
                  <w:r>
                    <w:rPr>
                      <w:szCs w:val="21"/>
                    </w:rPr>
                    <w:t xml:space="preserve">0.0017 </w:t>
                  </w:r>
                </w:p>
              </w:tc>
              <w:tc>
                <w:tcPr>
                  <w:tcW w:w="1144" w:type="dxa"/>
                  <w:vAlign w:val="center"/>
                </w:tcPr>
                <w:p>
                  <w:pPr>
                    <w:jc w:val="center"/>
                    <w:rPr>
                      <w:szCs w:val="21"/>
                    </w:rPr>
                  </w:pPr>
                  <w:r>
                    <w:rPr>
                      <w:szCs w:val="21"/>
                    </w:rPr>
                    <w:t>0.00073</w:t>
                  </w:r>
                </w:p>
              </w:tc>
              <w:tc>
                <w:tcPr>
                  <w:tcW w:w="908" w:type="dxa"/>
                  <w:vAlign w:val="center"/>
                </w:tcPr>
                <w:p>
                  <w:pPr>
                    <w:jc w:val="center"/>
                    <w:rPr>
                      <w:szCs w:val="21"/>
                    </w:rPr>
                  </w:pPr>
                  <w:r>
                    <w:rPr>
                      <w:szCs w:val="21"/>
                    </w:rPr>
                    <w:t>0.145</w:t>
                  </w:r>
                </w:p>
              </w:tc>
              <w:tc>
                <w:tcPr>
                  <w:tcW w:w="0" w:type="auto"/>
                  <w:vMerge w:val="restart"/>
                  <w:vAlign w:val="center"/>
                </w:tcPr>
                <w:p>
                  <w:pPr>
                    <w:jc w:val="center"/>
                    <w:rPr>
                      <w:szCs w:val="21"/>
                    </w:rPr>
                  </w:pPr>
                  <w:r>
                    <w:rPr>
                      <w:szCs w:val="21"/>
                    </w:rPr>
                    <w:t>5000</w:t>
                  </w:r>
                </w:p>
              </w:tc>
              <w:tc>
                <w:tcPr>
                  <w:tcW w:w="0" w:type="auto"/>
                  <w:vMerge w:val="restart"/>
                  <w:vAlign w:val="center"/>
                </w:tcPr>
                <w:p>
                  <w:pPr>
                    <w:jc w:val="center"/>
                    <w:rPr>
                      <w:szCs w:val="21"/>
                    </w:rPr>
                  </w:pPr>
                  <w:r>
                    <w:rPr>
                      <w:szCs w:val="21"/>
                    </w:rPr>
                    <w:t>60</w:t>
                  </w:r>
                  <w:r>
                    <w:rPr>
                      <w:rFonts w:hint="eastAsia"/>
                      <w:szCs w:val="21"/>
                    </w:rPr>
                    <w:t>%</w:t>
                  </w:r>
                </w:p>
              </w:tc>
              <w:tc>
                <w:tcPr>
                  <w:tcW w:w="0" w:type="auto"/>
                  <w:vMerge w:val="restart"/>
                  <w:vAlign w:val="center"/>
                </w:tcPr>
                <w:p>
                  <w:pPr>
                    <w:jc w:val="center"/>
                    <w:textAlignment w:val="center"/>
                    <w:rPr>
                      <w:szCs w:val="21"/>
                    </w:rPr>
                  </w:pPr>
                  <w:r>
                    <w:rPr>
                      <w:rFonts w:hint="eastAsia" w:hAnsi="宋体"/>
                      <w:szCs w:val="21"/>
                    </w:rPr>
                    <w:t>“水喷淋+干式</w:t>
                  </w:r>
                  <w:r>
                    <w:rPr>
                      <w:rFonts w:hAnsi="宋体"/>
                      <w:szCs w:val="21"/>
                    </w:rPr>
                    <w:t>除雾器+两级活性炭吸附</w:t>
                  </w:r>
                  <w:r>
                    <w:rPr>
                      <w:rFonts w:hint="eastAsia" w:hAnsi="宋体"/>
                      <w:szCs w:val="21"/>
                    </w:rPr>
                    <w:t>”</w:t>
                  </w:r>
                </w:p>
              </w:tc>
              <w:tc>
                <w:tcPr>
                  <w:tcW w:w="0" w:type="auto"/>
                  <w:vMerge w:val="restart"/>
                  <w:vAlign w:val="center"/>
                </w:tcPr>
                <w:p>
                  <w:pPr>
                    <w:widowControl/>
                    <w:jc w:val="center"/>
                    <w:textAlignment w:val="center"/>
                    <w:rPr>
                      <w:szCs w:val="21"/>
                    </w:rPr>
                  </w:pPr>
                  <w:r>
                    <w:rPr>
                      <w:szCs w:val="21"/>
                    </w:rPr>
                    <w:t>80</w:t>
                  </w:r>
                  <w:r>
                    <w:rPr>
                      <w:rFonts w:hint="eastAsia"/>
                      <w:szCs w:val="21"/>
                    </w:rPr>
                    <w:t>%</w:t>
                  </w:r>
                </w:p>
              </w:tc>
              <w:tc>
                <w:tcPr>
                  <w:tcW w:w="0" w:type="auto"/>
                  <w:vMerge w:val="restart"/>
                  <w:vAlign w:val="center"/>
                </w:tcPr>
                <w:p>
                  <w:pPr>
                    <w:jc w:val="center"/>
                    <w:rPr>
                      <w:szCs w:val="21"/>
                    </w:rPr>
                  </w:pPr>
                  <w:r>
                    <w:rPr>
                      <w:szCs w:val="21"/>
                    </w:rPr>
                    <w:t>是</w:t>
                  </w:r>
                </w:p>
              </w:tc>
              <w:tc>
                <w:tcPr>
                  <w:tcW w:w="1004" w:type="dxa"/>
                  <w:vAlign w:val="center"/>
                </w:tcPr>
                <w:p>
                  <w:pPr>
                    <w:widowControl/>
                    <w:jc w:val="center"/>
                    <w:rPr>
                      <w:kern w:val="0"/>
                      <w:szCs w:val="21"/>
                    </w:rPr>
                  </w:pPr>
                  <w:r>
                    <w:rPr>
                      <w:szCs w:val="21"/>
                    </w:rPr>
                    <w:t xml:space="preserve">0.00035 </w:t>
                  </w:r>
                </w:p>
              </w:tc>
              <w:tc>
                <w:tcPr>
                  <w:tcW w:w="1004" w:type="dxa"/>
                  <w:vAlign w:val="center"/>
                </w:tcPr>
                <w:p>
                  <w:pPr>
                    <w:jc w:val="center"/>
                    <w:rPr>
                      <w:szCs w:val="21"/>
                    </w:rPr>
                  </w:pPr>
                  <w:r>
                    <w:rPr>
                      <w:szCs w:val="21"/>
                    </w:rPr>
                    <w:t xml:space="preserve">0.00015 </w:t>
                  </w:r>
                </w:p>
              </w:tc>
              <w:tc>
                <w:tcPr>
                  <w:tcW w:w="992" w:type="dxa"/>
                  <w:vAlign w:val="center"/>
                </w:tcPr>
                <w:p>
                  <w:pPr>
                    <w:jc w:val="center"/>
                    <w:rPr>
                      <w:szCs w:val="21"/>
                    </w:rPr>
                  </w:pPr>
                  <w:r>
                    <w:rPr>
                      <w:szCs w:val="21"/>
                    </w:rPr>
                    <w:t>0.029</w:t>
                  </w:r>
                </w:p>
              </w:tc>
              <w:tc>
                <w:tcPr>
                  <w:tcW w:w="1168" w:type="dxa"/>
                  <w:vAlign w:val="center"/>
                </w:tcPr>
                <w:p>
                  <w:pPr>
                    <w:jc w:val="center"/>
                    <w:rPr>
                      <w:szCs w:val="21"/>
                    </w:rPr>
                  </w:pPr>
                  <w:r>
                    <w:rPr>
                      <w:rFonts w:hint="eastAsia"/>
                      <w:szCs w:val="21"/>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Merge w:val="continue"/>
                  <w:vAlign w:val="center"/>
                </w:tcPr>
                <w:p>
                  <w:pPr>
                    <w:jc w:val="center"/>
                    <w:rPr>
                      <w:rFonts w:hAnsi="Calibri"/>
                      <w:bCs/>
                      <w:szCs w:val="21"/>
                    </w:rPr>
                  </w:pPr>
                </w:p>
              </w:tc>
              <w:tc>
                <w:tcPr>
                  <w:tcW w:w="1116" w:type="dxa"/>
                  <w:vMerge w:val="continue"/>
                  <w:vAlign w:val="center"/>
                </w:tcPr>
                <w:p>
                  <w:pPr>
                    <w:widowControl/>
                    <w:jc w:val="center"/>
                    <w:textAlignment w:val="center"/>
                    <w:rPr>
                      <w:rFonts w:hAnsi="Calibri"/>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0.0012</w:t>
                  </w:r>
                </w:p>
              </w:tc>
              <w:tc>
                <w:tcPr>
                  <w:tcW w:w="1144" w:type="dxa"/>
                  <w:vAlign w:val="center"/>
                </w:tcPr>
                <w:p>
                  <w:pPr>
                    <w:jc w:val="center"/>
                    <w:rPr>
                      <w:szCs w:val="21"/>
                    </w:rPr>
                  </w:pPr>
                  <w:r>
                    <w:rPr>
                      <w:szCs w:val="21"/>
                    </w:rPr>
                    <w:t>0.00048</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0" w:type="auto"/>
                  <w:vMerge w:val="continue"/>
                  <w:vAlign w:val="center"/>
                </w:tcPr>
                <w:p>
                  <w:pPr>
                    <w:widowControl/>
                    <w:jc w:val="center"/>
                    <w:textAlignment w:val="center"/>
                    <w:rPr>
                      <w:szCs w:val="21"/>
                    </w:rPr>
                  </w:pPr>
                </w:p>
              </w:tc>
              <w:tc>
                <w:tcPr>
                  <w:tcW w:w="0" w:type="auto"/>
                  <w:vMerge w:val="continue"/>
                  <w:vAlign w:val="center"/>
                </w:tcPr>
                <w:p>
                  <w:pPr>
                    <w:widowControl/>
                    <w:jc w:val="center"/>
                    <w:textAlignment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0.0012</w:t>
                  </w:r>
                </w:p>
              </w:tc>
              <w:tc>
                <w:tcPr>
                  <w:tcW w:w="1004" w:type="dxa"/>
                  <w:vAlign w:val="center"/>
                </w:tcPr>
                <w:p>
                  <w:pPr>
                    <w:jc w:val="center"/>
                    <w:rPr>
                      <w:szCs w:val="21"/>
                    </w:rPr>
                  </w:pPr>
                  <w:r>
                    <w:rPr>
                      <w:szCs w:val="21"/>
                    </w:rPr>
                    <w:t>0.00048</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00" w:type="dxa"/>
                  <w:vMerge w:val="restart"/>
                  <w:vAlign w:val="center"/>
                </w:tcPr>
                <w:p>
                  <w:pPr>
                    <w:jc w:val="center"/>
                    <w:rPr>
                      <w:szCs w:val="21"/>
                    </w:rPr>
                  </w:pPr>
                  <w:r>
                    <w:rPr>
                      <w:szCs w:val="21"/>
                    </w:rPr>
                    <w:t>贴合、植皮、印刷、烘干</w:t>
                  </w:r>
                </w:p>
              </w:tc>
              <w:tc>
                <w:tcPr>
                  <w:tcW w:w="1116" w:type="dxa"/>
                  <w:vMerge w:val="restart"/>
                  <w:vAlign w:val="center"/>
                </w:tcPr>
                <w:p>
                  <w:pPr>
                    <w:widowControl/>
                    <w:jc w:val="center"/>
                    <w:textAlignment w:val="center"/>
                    <w:rPr>
                      <w:szCs w:val="21"/>
                    </w:rPr>
                  </w:pPr>
                  <w:r>
                    <w:rPr>
                      <w:rFonts w:hint="eastAsia"/>
                      <w:bCs/>
                      <w:szCs w:val="21"/>
                    </w:rPr>
                    <w:t>V</w:t>
                  </w:r>
                  <w:r>
                    <w:rPr>
                      <w:bCs/>
                      <w:szCs w:val="21"/>
                    </w:rPr>
                    <w:t>OCs</w:t>
                  </w:r>
                </w:p>
              </w:tc>
              <w:tc>
                <w:tcPr>
                  <w:tcW w:w="961" w:type="dxa"/>
                  <w:vAlign w:val="center"/>
                </w:tcPr>
                <w:p>
                  <w:pPr>
                    <w:jc w:val="center"/>
                    <w:rPr>
                      <w:szCs w:val="21"/>
                    </w:rPr>
                  </w:pPr>
                  <w:r>
                    <w:rPr>
                      <w:rFonts w:hint="eastAsia"/>
                      <w:szCs w:val="21"/>
                    </w:rPr>
                    <w:t>有组织</w:t>
                  </w:r>
                </w:p>
              </w:tc>
              <w:tc>
                <w:tcPr>
                  <w:tcW w:w="899" w:type="dxa"/>
                  <w:vAlign w:val="center"/>
                </w:tcPr>
                <w:p>
                  <w:pPr>
                    <w:widowControl/>
                    <w:jc w:val="center"/>
                    <w:rPr>
                      <w:kern w:val="0"/>
                      <w:szCs w:val="21"/>
                    </w:rPr>
                  </w:pPr>
                  <w:r>
                    <w:rPr>
                      <w:szCs w:val="21"/>
                    </w:rPr>
                    <w:t>0.138</w:t>
                  </w:r>
                </w:p>
              </w:tc>
              <w:tc>
                <w:tcPr>
                  <w:tcW w:w="1144" w:type="dxa"/>
                  <w:vAlign w:val="center"/>
                </w:tcPr>
                <w:p>
                  <w:pPr>
                    <w:jc w:val="center"/>
                    <w:rPr>
                      <w:szCs w:val="21"/>
                    </w:rPr>
                  </w:pPr>
                  <w:r>
                    <w:rPr>
                      <w:szCs w:val="21"/>
                    </w:rPr>
                    <w:t xml:space="preserve">0.0575 </w:t>
                  </w:r>
                </w:p>
              </w:tc>
              <w:tc>
                <w:tcPr>
                  <w:tcW w:w="908" w:type="dxa"/>
                  <w:vAlign w:val="center"/>
                </w:tcPr>
                <w:p>
                  <w:pPr>
                    <w:jc w:val="center"/>
                    <w:rPr>
                      <w:szCs w:val="21"/>
                    </w:rPr>
                  </w:pPr>
                  <w:r>
                    <w:rPr>
                      <w:szCs w:val="21"/>
                    </w:rPr>
                    <w:t>1.64</w:t>
                  </w:r>
                </w:p>
              </w:tc>
              <w:tc>
                <w:tcPr>
                  <w:tcW w:w="0" w:type="auto"/>
                  <w:vMerge w:val="restart"/>
                  <w:vAlign w:val="center"/>
                </w:tcPr>
                <w:p>
                  <w:pPr>
                    <w:jc w:val="center"/>
                    <w:rPr>
                      <w:szCs w:val="21"/>
                    </w:rPr>
                  </w:pPr>
                  <w:r>
                    <w:rPr>
                      <w:szCs w:val="21"/>
                    </w:rPr>
                    <w:t>3</w:t>
                  </w:r>
                  <w:r>
                    <w:rPr>
                      <w:rFonts w:hint="eastAsia"/>
                      <w:szCs w:val="21"/>
                    </w:rPr>
                    <w:t>5000</w:t>
                  </w:r>
                </w:p>
              </w:tc>
              <w:tc>
                <w:tcPr>
                  <w:tcW w:w="0" w:type="auto"/>
                  <w:vMerge w:val="restart"/>
                  <w:vAlign w:val="center"/>
                </w:tcPr>
                <w:p>
                  <w:pPr>
                    <w:jc w:val="center"/>
                    <w:rPr>
                      <w:szCs w:val="21"/>
                    </w:rPr>
                  </w:pPr>
                  <w:r>
                    <w:rPr>
                      <w:szCs w:val="21"/>
                    </w:rPr>
                    <w:t>60</w:t>
                  </w:r>
                  <w:r>
                    <w:rPr>
                      <w:rFonts w:hint="eastAsia"/>
                      <w:szCs w:val="21"/>
                    </w:rPr>
                    <w:t>%</w:t>
                  </w:r>
                </w:p>
              </w:tc>
              <w:tc>
                <w:tcPr>
                  <w:tcW w:w="0" w:type="auto"/>
                  <w:vMerge w:val="restart"/>
                  <w:vAlign w:val="center"/>
                </w:tcPr>
                <w:p>
                  <w:pPr>
                    <w:jc w:val="center"/>
                    <w:rPr>
                      <w:szCs w:val="21"/>
                    </w:rPr>
                  </w:pPr>
                  <w:r>
                    <w:rPr>
                      <w:rFonts w:hint="eastAsia"/>
                      <w:szCs w:val="21"/>
                    </w:rPr>
                    <w:t>两级活性炭</w:t>
                  </w:r>
                  <w:r>
                    <w:rPr>
                      <w:szCs w:val="21"/>
                    </w:rPr>
                    <w:t>吸附</w:t>
                  </w:r>
                </w:p>
              </w:tc>
              <w:tc>
                <w:tcPr>
                  <w:tcW w:w="0" w:type="auto"/>
                  <w:vMerge w:val="restart"/>
                  <w:vAlign w:val="center"/>
                </w:tcPr>
                <w:p>
                  <w:pPr>
                    <w:jc w:val="center"/>
                    <w:rPr>
                      <w:szCs w:val="21"/>
                    </w:rPr>
                  </w:pPr>
                  <w:r>
                    <w:rPr>
                      <w:szCs w:val="21"/>
                    </w:rPr>
                    <w:t>80%</w:t>
                  </w:r>
                </w:p>
              </w:tc>
              <w:tc>
                <w:tcPr>
                  <w:tcW w:w="0" w:type="auto"/>
                  <w:vMerge w:val="restart"/>
                  <w:vAlign w:val="center"/>
                </w:tcPr>
                <w:p>
                  <w:pPr>
                    <w:jc w:val="center"/>
                    <w:rPr>
                      <w:szCs w:val="21"/>
                    </w:rPr>
                  </w:pPr>
                  <w:r>
                    <w:rPr>
                      <w:rFonts w:hint="eastAsia"/>
                      <w:szCs w:val="21"/>
                    </w:rPr>
                    <w:t>是</w:t>
                  </w:r>
                </w:p>
              </w:tc>
              <w:tc>
                <w:tcPr>
                  <w:tcW w:w="1004" w:type="dxa"/>
                  <w:vAlign w:val="center"/>
                </w:tcPr>
                <w:p>
                  <w:pPr>
                    <w:widowControl/>
                    <w:jc w:val="center"/>
                    <w:rPr>
                      <w:kern w:val="0"/>
                      <w:szCs w:val="21"/>
                    </w:rPr>
                  </w:pPr>
                  <w:r>
                    <w:rPr>
                      <w:szCs w:val="21"/>
                    </w:rPr>
                    <w:t>0.0276</w:t>
                  </w:r>
                </w:p>
              </w:tc>
              <w:tc>
                <w:tcPr>
                  <w:tcW w:w="1004" w:type="dxa"/>
                  <w:vAlign w:val="center"/>
                </w:tcPr>
                <w:p>
                  <w:pPr>
                    <w:jc w:val="center"/>
                    <w:rPr>
                      <w:szCs w:val="21"/>
                    </w:rPr>
                  </w:pPr>
                  <w:r>
                    <w:rPr>
                      <w:szCs w:val="21"/>
                    </w:rPr>
                    <w:t>0.0115</w:t>
                  </w:r>
                </w:p>
              </w:tc>
              <w:tc>
                <w:tcPr>
                  <w:tcW w:w="992" w:type="dxa"/>
                  <w:vAlign w:val="center"/>
                </w:tcPr>
                <w:p>
                  <w:pPr>
                    <w:jc w:val="center"/>
                    <w:rPr>
                      <w:szCs w:val="21"/>
                    </w:rPr>
                  </w:pPr>
                  <w:r>
                    <w:rPr>
                      <w:szCs w:val="21"/>
                    </w:rPr>
                    <w:t>0.33</w:t>
                  </w:r>
                </w:p>
              </w:tc>
              <w:tc>
                <w:tcPr>
                  <w:tcW w:w="1168" w:type="dxa"/>
                  <w:vAlign w:val="center"/>
                </w:tcPr>
                <w:p>
                  <w:pPr>
                    <w:jc w:val="center"/>
                    <w:rPr>
                      <w:szCs w:val="21"/>
                    </w:rPr>
                  </w:pPr>
                  <w:r>
                    <w:rPr>
                      <w:rFonts w:hint="eastAsia"/>
                      <w:szCs w:val="21"/>
                    </w:rPr>
                    <w:t>DA00</w:t>
                  </w: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00" w:type="dxa"/>
                  <w:vMerge w:val="continue"/>
                  <w:vAlign w:val="center"/>
                </w:tcPr>
                <w:p>
                  <w:pPr>
                    <w:jc w:val="center"/>
                    <w:rPr>
                      <w:szCs w:val="21"/>
                    </w:rPr>
                  </w:pPr>
                </w:p>
              </w:tc>
              <w:tc>
                <w:tcPr>
                  <w:tcW w:w="1116" w:type="dxa"/>
                  <w:vMerge w:val="continue"/>
                  <w:vAlign w:val="center"/>
                </w:tcPr>
                <w:p>
                  <w:pPr>
                    <w:widowControl/>
                    <w:jc w:val="center"/>
                    <w:textAlignment w:val="center"/>
                    <w:rPr>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 xml:space="preserve">0.092 </w:t>
                  </w:r>
                </w:p>
              </w:tc>
              <w:tc>
                <w:tcPr>
                  <w:tcW w:w="1144" w:type="dxa"/>
                  <w:vAlign w:val="center"/>
                </w:tcPr>
                <w:p>
                  <w:pPr>
                    <w:jc w:val="center"/>
                    <w:rPr>
                      <w:szCs w:val="21"/>
                    </w:rPr>
                  </w:pPr>
                  <w:r>
                    <w:rPr>
                      <w:szCs w:val="21"/>
                    </w:rPr>
                    <w:t>0.0383</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 xml:space="preserve">0.092 </w:t>
                  </w:r>
                </w:p>
              </w:tc>
              <w:tc>
                <w:tcPr>
                  <w:tcW w:w="1004" w:type="dxa"/>
                  <w:vAlign w:val="center"/>
                </w:tcPr>
                <w:p>
                  <w:pPr>
                    <w:jc w:val="center"/>
                    <w:rPr>
                      <w:szCs w:val="21"/>
                    </w:rPr>
                  </w:pPr>
                  <w:r>
                    <w:rPr>
                      <w:szCs w:val="21"/>
                    </w:rPr>
                    <w:t>0.0383</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bl>
          <w:p>
            <w:pPr>
              <w:snapToGrid w:val="0"/>
              <w:spacing w:line="520" w:lineRule="exact"/>
            </w:pPr>
          </w:p>
        </w:tc>
      </w:tr>
    </w:tbl>
    <w:p>
      <w:pPr>
        <w:tabs>
          <w:tab w:val="left" w:pos="2064"/>
        </w:tabs>
        <w:adjustRightInd w:val="0"/>
        <w:snapToGrid w:val="0"/>
        <w:spacing w:line="360" w:lineRule="auto"/>
        <w:rPr>
          <w:b/>
          <w:kern w:val="0"/>
          <w:sz w:val="28"/>
          <w:szCs w:val="28"/>
        </w:rPr>
        <w:sectPr>
          <w:pgSz w:w="16840" w:h="11907" w:orient="landscape"/>
          <w:pgMar w:top="1276" w:right="720" w:bottom="1275" w:left="720" w:header="851" w:footer="851" w:gutter="0"/>
          <w:cols w:space="720" w:num="1"/>
          <w:docGrid w:linePitch="312" w:charSpace="0"/>
        </w:sectPr>
      </w:pPr>
      <w:r>
        <w:rPr>
          <w:b/>
          <w:kern w:val="0"/>
          <w:sz w:val="28"/>
          <w:szCs w:val="28"/>
        </w:rPr>
        <w:tab/>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tabs>
                <w:tab w:val="left" w:pos="2064"/>
              </w:tabs>
              <w:adjustRightInd w:val="0"/>
              <w:snapToGrid w:val="0"/>
              <w:spacing w:line="360" w:lineRule="auto"/>
              <w:rPr>
                <w:b/>
                <w:kern w:val="0"/>
                <w:sz w:val="28"/>
                <w:szCs w:val="28"/>
              </w:rPr>
            </w:pPr>
            <w:r>
              <w:rPr>
                <w:bCs/>
                <w:szCs w:val="21"/>
              </w:rPr>
              <w:t>运营期环境影响和保护措施</w:t>
            </w:r>
          </w:p>
        </w:tc>
        <w:tc>
          <w:tcPr>
            <w:tcW w:w="8642" w:type="dxa"/>
          </w:tcPr>
          <w:p>
            <w:pPr>
              <w:snapToGrid w:val="0"/>
              <w:spacing w:line="360" w:lineRule="auto"/>
              <w:ind w:firstLine="422" w:firstLineChars="200"/>
              <w:rPr>
                <w:b/>
                <w:szCs w:val="21"/>
              </w:rPr>
            </w:pPr>
            <w:r>
              <w:rPr>
                <w:rFonts w:hint="eastAsia" w:ascii="宋体" w:hAnsi="宋体" w:cs="宋体"/>
                <w:b/>
                <w:szCs w:val="21"/>
              </w:rPr>
              <w:t>①</w:t>
            </w:r>
            <w:r>
              <w:rPr>
                <w:rFonts w:hint="eastAsia"/>
                <w:b/>
                <w:szCs w:val="21"/>
              </w:rPr>
              <w:t>挤出废气</w:t>
            </w:r>
          </w:p>
          <w:p>
            <w:pPr>
              <w:widowControl/>
              <w:adjustRightInd w:val="0"/>
              <w:snapToGrid w:val="0"/>
              <w:spacing w:line="360" w:lineRule="auto"/>
              <w:ind w:firstLine="420" w:firstLineChars="200"/>
              <w:rPr>
                <w:szCs w:val="21"/>
              </w:rPr>
            </w:pPr>
            <w:r>
              <w:rPr>
                <w:szCs w:val="21"/>
              </w:rPr>
              <w:t>本项目</w:t>
            </w:r>
            <w:r>
              <w:rPr>
                <w:rFonts w:hint="eastAsia"/>
                <w:szCs w:val="21"/>
              </w:rPr>
              <w:t>PP塑料粒挤出成型</w:t>
            </w:r>
            <w:r>
              <w:rPr>
                <w:szCs w:val="21"/>
              </w:rPr>
              <w:t>过程中塑料粒熔融会产生一定量的有机废气，根据建设单位提供的技术参数，</w:t>
            </w:r>
            <w:r>
              <w:rPr>
                <w:rFonts w:hint="eastAsia"/>
                <w:bCs/>
                <w:szCs w:val="21"/>
              </w:rPr>
              <w:t>挤出</w:t>
            </w:r>
            <w:r>
              <w:rPr>
                <w:bCs/>
                <w:szCs w:val="21"/>
              </w:rPr>
              <w:t>温度约</w:t>
            </w:r>
            <w:r>
              <w:rPr>
                <w:rFonts w:hint="eastAsia"/>
              </w:rPr>
              <w:t>180</w:t>
            </w:r>
            <w:r>
              <w:t>-200</w:t>
            </w:r>
            <w:r>
              <w:rPr>
                <w:rFonts w:hint="eastAsia"/>
              </w:rPr>
              <w:t>℃</w:t>
            </w:r>
            <w:r>
              <w:rPr>
                <w:szCs w:val="21"/>
              </w:rPr>
              <w:t>。</w:t>
            </w:r>
            <w:r>
              <w:rPr>
                <w:kern w:val="0"/>
                <w:szCs w:val="21"/>
              </w:rPr>
              <w:t>根据相关技术资料， PP分解温度约370</w:t>
            </w:r>
            <w:r>
              <w:rPr>
                <w:rFonts w:hint="eastAsia" w:ascii="宋体" w:hAnsi="宋体" w:cs="宋体"/>
                <w:szCs w:val="21"/>
              </w:rPr>
              <w:t>℃</w:t>
            </w:r>
            <w:r>
              <w:rPr>
                <w:kern w:val="0"/>
                <w:szCs w:val="21"/>
              </w:rPr>
              <w:t>，因此，</w:t>
            </w:r>
            <w:r>
              <w:rPr>
                <w:rFonts w:hint="eastAsia"/>
                <w:kern w:val="0"/>
                <w:szCs w:val="21"/>
              </w:rPr>
              <w:t>挤出</w:t>
            </w:r>
            <w:r>
              <w:rPr>
                <w:kern w:val="0"/>
                <w:szCs w:val="21"/>
              </w:rPr>
              <w:t>过程</w:t>
            </w:r>
            <w:r>
              <w:rPr>
                <w:rFonts w:hint="eastAsia"/>
                <w:kern w:val="0"/>
                <w:szCs w:val="21"/>
              </w:rPr>
              <w:t>PP不会</w:t>
            </w:r>
            <w:r>
              <w:rPr>
                <w:kern w:val="0"/>
                <w:szCs w:val="21"/>
              </w:rPr>
              <w:t>分解，</w:t>
            </w:r>
            <w:r>
              <w:rPr>
                <w:rFonts w:hint="eastAsia"/>
                <w:kern w:val="0"/>
                <w:szCs w:val="21"/>
              </w:rPr>
              <w:t>本环评以非甲烷总烃作为挤出工序排放的挥发性有机物的综合管控指标，核算排放总量</w:t>
            </w:r>
            <w:r>
              <w:rPr>
                <w:rFonts w:hint="eastAsia"/>
                <w:szCs w:val="21"/>
              </w:rPr>
              <w:t>。</w:t>
            </w:r>
            <w:r>
              <w:rPr>
                <w:szCs w:val="21"/>
              </w:rPr>
              <w:t>参考</w:t>
            </w:r>
            <w:r>
              <w:t>《</w:t>
            </w:r>
            <w:r>
              <w:rPr>
                <w:rFonts w:hint="eastAsia"/>
              </w:rPr>
              <w:t>浙江省重点</w:t>
            </w:r>
            <w:r>
              <w:t>行业</w:t>
            </w:r>
            <w:r>
              <w:rPr>
                <w:rFonts w:hint="eastAsia"/>
              </w:rPr>
              <w:t>VOCs污染</w:t>
            </w:r>
            <w:r>
              <w:t>排放源</w:t>
            </w:r>
            <w:r>
              <w:rPr>
                <w:rFonts w:hint="eastAsia"/>
              </w:rPr>
              <w:t>排放量</w:t>
            </w:r>
            <w:r>
              <w:t>计算方法》</w:t>
            </w:r>
            <w:r>
              <w:rPr>
                <w:rFonts w:hint="eastAsia"/>
              </w:rPr>
              <w:t>（1.1版）</w:t>
            </w:r>
            <w:r>
              <w:t>中表1-7</w:t>
            </w:r>
            <w:r>
              <w:rPr>
                <w:rFonts w:hint="eastAsia"/>
              </w:rPr>
              <w:t>塑料行业</w:t>
            </w:r>
            <w:r>
              <w:t>的排放系数为 0.539kg/t原料</w:t>
            </w:r>
            <w:r>
              <w:rPr>
                <w:szCs w:val="21"/>
              </w:rPr>
              <w:t>，</w:t>
            </w:r>
            <w:r>
              <w:rPr>
                <w:rFonts w:hint="eastAsia"/>
                <w:szCs w:val="21"/>
              </w:rPr>
              <w:t>项目PP塑料粒总</w:t>
            </w:r>
            <w:r>
              <w:rPr>
                <w:szCs w:val="21"/>
              </w:rPr>
              <w:t>用</w:t>
            </w:r>
            <w:r>
              <w:rPr>
                <w:rFonts w:hint="eastAsia"/>
                <w:szCs w:val="21"/>
              </w:rPr>
              <w:t>量为</w:t>
            </w:r>
            <w:r>
              <w:rPr>
                <w:szCs w:val="21"/>
              </w:rPr>
              <w:t>5.3</w:t>
            </w:r>
            <w:r>
              <w:rPr>
                <w:rFonts w:hint="eastAsia"/>
                <w:szCs w:val="21"/>
              </w:rPr>
              <w:t>t/a，挤出</w:t>
            </w:r>
            <w:r>
              <w:rPr>
                <w:szCs w:val="21"/>
              </w:rPr>
              <w:t>工序年工作时间2400h，则项目</w:t>
            </w:r>
            <w:r>
              <w:rPr>
                <w:rFonts w:hint="eastAsia"/>
                <w:szCs w:val="21"/>
              </w:rPr>
              <w:t>挤出</w:t>
            </w:r>
            <w:r>
              <w:rPr>
                <w:szCs w:val="21"/>
              </w:rPr>
              <w:t>工序非甲烷总烃总产生量为0.0029t/a（0.0012kg/h）。</w:t>
            </w:r>
          </w:p>
          <w:p>
            <w:pPr>
              <w:spacing w:line="360" w:lineRule="auto"/>
              <w:ind w:firstLine="420" w:firstLineChars="200"/>
            </w:pPr>
            <w:r>
              <w:t>建设单位拟在</w:t>
            </w:r>
            <w:r>
              <w:rPr>
                <w:rFonts w:hint="eastAsia"/>
                <w:kern w:val="0"/>
                <w:szCs w:val="21"/>
              </w:rPr>
              <w:t>挤出</w:t>
            </w:r>
            <w:r>
              <w:rPr>
                <w:kern w:val="0"/>
                <w:szCs w:val="21"/>
              </w:rPr>
              <w:t>工序设置集气罩，</w:t>
            </w:r>
            <w:r>
              <w:t>将产生的</w:t>
            </w:r>
            <w:r>
              <w:rPr>
                <w:rFonts w:hint="eastAsia"/>
              </w:rPr>
              <w:t>非甲烷总烃</w:t>
            </w:r>
            <w:r>
              <w:t>收集后引至</w:t>
            </w:r>
            <w:r>
              <w:rPr>
                <w:rFonts w:hint="eastAsia"/>
              </w:rPr>
              <w:t>“水喷淋+干式</w:t>
            </w:r>
            <w:r>
              <w:t>除雾器+两级活性炭吸附</w:t>
            </w:r>
            <w:r>
              <w:rPr>
                <w:rFonts w:hint="eastAsia"/>
              </w:rPr>
              <w:t>”装置</w:t>
            </w:r>
            <w:r>
              <w:t>进行处理，处理达标</w:t>
            </w:r>
            <w:r>
              <w:rPr>
                <w:rFonts w:hint="eastAsia"/>
              </w:rPr>
              <w:t>后挤出废气</w:t>
            </w:r>
            <w:r>
              <w:t>经DA001排气筒排放</w:t>
            </w:r>
            <w:r>
              <w:rPr>
                <w:rFonts w:hint="eastAsia"/>
              </w:rPr>
              <w:t>，</w:t>
            </w:r>
            <w:r>
              <w:t>排放高度</w:t>
            </w:r>
            <w:r>
              <w:rPr>
                <w:rFonts w:hint="eastAsia"/>
              </w:rPr>
              <w:t>15米</w:t>
            </w:r>
            <w:r>
              <w:t>。</w:t>
            </w:r>
          </w:p>
          <w:p>
            <w:pPr>
              <w:spacing w:line="360" w:lineRule="auto"/>
              <w:ind w:firstLine="420" w:firstLineChars="200"/>
            </w:pPr>
            <w:r>
              <w:rPr>
                <w:bCs/>
              </w:rPr>
              <w:t>根据《三废处理工程技术手册》（废气卷）中外部集气罩风量确定计算公式</w:t>
            </w:r>
            <w:r>
              <w:t>：</w:t>
            </w:r>
          </w:p>
          <w:p>
            <w:pPr>
              <w:spacing w:line="360" w:lineRule="auto"/>
              <w:ind w:firstLine="420" w:firstLineChars="200"/>
            </w:pPr>
            <w:r>
              <w:t>L=3600（5x</w:t>
            </w:r>
            <w:r>
              <w:rPr>
                <w:vertAlign w:val="superscript"/>
              </w:rPr>
              <w:t>2</w:t>
            </w:r>
            <w:r>
              <w:t>+F）×Vx，</w:t>
            </w:r>
          </w:p>
          <w:p>
            <w:pPr>
              <w:spacing w:line="360" w:lineRule="auto"/>
              <w:ind w:firstLine="420" w:firstLineChars="200"/>
            </w:pPr>
            <w:r>
              <w:t>其中：X----集气罩至污染源的距离；</w:t>
            </w:r>
          </w:p>
          <w:p>
            <w:pPr>
              <w:spacing w:line="360" w:lineRule="auto"/>
              <w:ind w:firstLine="420" w:firstLineChars="200"/>
            </w:pPr>
            <w:r>
              <w:t>F----集气罩口面积；</w:t>
            </w:r>
          </w:p>
          <w:p>
            <w:pPr>
              <w:spacing w:line="360" w:lineRule="auto"/>
              <w:ind w:firstLine="420" w:firstLineChars="200"/>
              <w:rPr>
                <w:szCs w:val="21"/>
              </w:rPr>
            </w:pPr>
            <w:r>
              <w:t>Vx----控制风速。</w:t>
            </w:r>
          </w:p>
          <w:p>
            <w:pPr>
              <w:numPr>
                <w:ilvl w:val="0"/>
                <w:numId w:val="2"/>
              </w:numPr>
              <w:adjustRightInd w:val="0"/>
              <w:snapToGrid w:val="0"/>
              <w:spacing w:line="360" w:lineRule="auto"/>
              <w:ind w:left="0"/>
              <w:jc w:val="center"/>
              <w:rPr>
                <w:b/>
              </w:rPr>
            </w:pPr>
            <w:r>
              <w:rPr>
                <w:b/>
              </w:rPr>
              <w:t>项目</w:t>
            </w:r>
            <w:r>
              <w:rPr>
                <w:rFonts w:hint="eastAsia"/>
                <w:b/>
              </w:rPr>
              <w:t>挤出</w:t>
            </w:r>
            <w:r>
              <w:rPr>
                <w:b/>
              </w:rPr>
              <w:t>废气收集风量设计参数表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404"/>
              <w:gridCol w:w="1404"/>
              <w:gridCol w:w="1404"/>
              <w:gridCol w:w="140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pct"/>
                  <w:shd w:val="clear" w:color="auto" w:fill="auto"/>
                  <w:vAlign w:val="center"/>
                </w:tcPr>
                <w:p>
                  <w:pPr>
                    <w:pStyle w:val="83"/>
                    <w:spacing w:line="240" w:lineRule="auto"/>
                  </w:pPr>
                  <w:r>
                    <w:t>产污工序</w:t>
                  </w:r>
                </w:p>
              </w:tc>
              <w:tc>
                <w:tcPr>
                  <w:tcW w:w="834" w:type="pct"/>
                  <w:shd w:val="clear" w:color="auto" w:fill="auto"/>
                  <w:vAlign w:val="center"/>
                </w:tcPr>
                <w:p>
                  <w:pPr>
                    <w:pStyle w:val="83"/>
                    <w:spacing w:line="240" w:lineRule="auto"/>
                  </w:pPr>
                  <w:r>
                    <w:t>集气设施至污染源的距离（m）</w:t>
                  </w:r>
                </w:p>
              </w:tc>
              <w:tc>
                <w:tcPr>
                  <w:tcW w:w="834" w:type="pct"/>
                  <w:shd w:val="clear" w:color="auto" w:fill="auto"/>
                  <w:vAlign w:val="center"/>
                </w:tcPr>
                <w:p>
                  <w:pPr>
                    <w:pStyle w:val="83"/>
                    <w:spacing w:line="240" w:lineRule="auto"/>
                  </w:pPr>
                  <w:r>
                    <w:t>集气罩口面积（m</w:t>
                  </w:r>
                  <w:r>
                    <w:rPr>
                      <w:vertAlign w:val="superscript"/>
                    </w:rPr>
                    <w:t>2</w:t>
                  </w:r>
                  <w:r>
                    <w:t>）</w:t>
                  </w:r>
                </w:p>
              </w:tc>
              <w:tc>
                <w:tcPr>
                  <w:tcW w:w="834" w:type="pct"/>
                  <w:shd w:val="clear" w:color="auto" w:fill="auto"/>
                  <w:vAlign w:val="center"/>
                </w:tcPr>
                <w:p>
                  <w:pPr>
                    <w:pStyle w:val="83"/>
                    <w:spacing w:line="240" w:lineRule="auto"/>
                  </w:pPr>
                  <w:r>
                    <w:t>控制风速（m/s）</w:t>
                  </w:r>
                </w:p>
              </w:tc>
              <w:tc>
                <w:tcPr>
                  <w:tcW w:w="833" w:type="pct"/>
                  <w:shd w:val="clear" w:color="auto" w:fill="auto"/>
                  <w:vAlign w:val="center"/>
                </w:tcPr>
                <w:p>
                  <w:pPr>
                    <w:pStyle w:val="83"/>
                    <w:spacing w:line="240" w:lineRule="auto"/>
                  </w:pPr>
                  <w:r>
                    <w:t>集气设施数量（个）</w:t>
                  </w:r>
                </w:p>
              </w:tc>
              <w:tc>
                <w:tcPr>
                  <w:tcW w:w="833" w:type="pct"/>
                  <w:shd w:val="clear" w:color="auto" w:fill="auto"/>
                  <w:vAlign w:val="center"/>
                </w:tcPr>
                <w:p>
                  <w:pPr>
                    <w:pStyle w:val="83"/>
                    <w:spacing w:line="240" w:lineRule="auto"/>
                  </w:pPr>
                  <w:r>
                    <w:rPr>
                      <w:rFonts w:hint="eastAsia"/>
                    </w:rPr>
                    <w:t>所需</w:t>
                  </w:r>
                  <w:r>
                    <w:t>风量（m</w:t>
                  </w:r>
                  <w:r>
                    <w:rPr>
                      <w:vertAlign w:val="superscript"/>
                    </w:rPr>
                    <w:t>3</w:t>
                  </w:r>
                  <w: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pct"/>
                  <w:shd w:val="clear" w:color="auto" w:fill="auto"/>
                  <w:vAlign w:val="center"/>
                </w:tcPr>
                <w:p>
                  <w:pPr>
                    <w:pStyle w:val="83"/>
                    <w:spacing w:line="240" w:lineRule="auto"/>
                    <w:rPr>
                      <w:b w:val="0"/>
                      <w:bCs/>
                    </w:rPr>
                  </w:pPr>
                  <w:r>
                    <w:rPr>
                      <w:b w:val="0"/>
                      <w:bCs/>
                    </w:rPr>
                    <w:t>挤出成型</w:t>
                  </w:r>
                </w:p>
              </w:tc>
              <w:tc>
                <w:tcPr>
                  <w:tcW w:w="834" w:type="pct"/>
                  <w:shd w:val="clear" w:color="auto" w:fill="auto"/>
                  <w:vAlign w:val="center"/>
                </w:tcPr>
                <w:p>
                  <w:pPr>
                    <w:widowControl/>
                    <w:jc w:val="center"/>
                    <w:rPr>
                      <w:kern w:val="0"/>
                      <w:szCs w:val="21"/>
                    </w:rPr>
                  </w:pPr>
                  <w:r>
                    <w:rPr>
                      <w:szCs w:val="21"/>
                    </w:rPr>
                    <w:t>0.4</w:t>
                  </w:r>
                </w:p>
              </w:tc>
              <w:tc>
                <w:tcPr>
                  <w:tcW w:w="834" w:type="pct"/>
                  <w:shd w:val="clear" w:color="auto" w:fill="auto"/>
                  <w:vAlign w:val="center"/>
                </w:tcPr>
                <w:p>
                  <w:pPr>
                    <w:jc w:val="center"/>
                    <w:rPr>
                      <w:szCs w:val="21"/>
                    </w:rPr>
                  </w:pPr>
                  <w:r>
                    <w:rPr>
                      <w:szCs w:val="21"/>
                    </w:rPr>
                    <w:t>1.2</w:t>
                  </w:r>
                </w:p>
              </w:tc>
              <w:tc>
                <w:tcPr>
                  <w:tcW w:w="834" w:type="pct"/>
                  <w:shd w:val="clear" w:color="auto" w:fill="auto"/>
                  <w:vAlign w:val="center"/>
                </w:tcPr>
                <w:p>
                  <w:pPr>
                    <w:jc w:val="center"/>
                    <w:rPr>
                      <w:szCs w:val="21"/>
                    </w:rPr>
                  </w:pPr>
                  <w:r>
                    <w:rPr>
                      <w:szCs w:val="21"/>
                    </w:rPr>
                    <w:t>0.5</w:t>
                  </w:r>
                </w:p>
              </w:tc>
              <w:tc>
                <w:tcPr>
                  <w:tcW w:w="833" w:type="pct"/>
                  <w:shd w:val="clear" w:color="auto" w:fill="auto"/>
                  <w:vAlign w:val="center"/>
                </w:tcPr>
                <w:p>
                  <w:pPr>
                    <w:jc w:val="center"/>
                    <w:rPr>
                      <w:szCs w:val="21"/>
                    </w:rPr>
                  </w:pPr>
                  <w:r>
                    <w:rPr>
                      <w:szCs w:val="21"/>
                    </w:rPr>
                    <w:t>1</w:t>
                  </w:r>
                </w:p>
              </w:tc>
              <w:tc>
                <w:tcPr>
                  <w:tcW w:w="833" w:type="pct"/>
                  <w:shd w:val="clear" w:color="auto" w:fill="auto"/>
                  <w:vAlign w:val="center"/>
                </w:tcPr>
                <w:p>
                  <w:pPr>
                    <w:jc w:val="center"/>
                    <w:rPr>
                      <w:szCs w:val="21"/>
                    </w:rPr>
                  </w:pPr>
                  <w:r>
                    <w:rPr>
                      <w:szCs w:val="21"/>
                    </w:rPr>
                    <w:t>3600</w:t>
                  </w:r>
                </w:p>
              </w:tc>
            </w:tr>
          </w:tbl>
          <w:p>
            <w:pPr>
              <w:adjustRightInd w:val="0"/>
              <w:snapToGrid w:val="0"/>
              <w:spacing w:line="360" w:lineRule="auto"/>
              <w:ind w:firstLine="420" w:firstLineChars="200"/>
              <w:rPr>
                <w:szCs w:val="21"/>
              </w:rPr>
            </w:pPr>
            <w:r>
              <w:t>经验公式计算得出，本项目总集气风量约为3600m</w:t>
            </w:r>
            <w:r>
              <w:rPr>
                <w:vertAlign w:val="superscript"/>
              </w:rPr>
              <w:t>3</w:t>
            </w:r>
            <w:r>
              <w:t>/h，</w:t>
            </w:r>
            <w:r>
              <w:rPr>
                <w:rFonts w:hint="eastAsia"/>
              </w:rPr>
              <w:t>考虑</w:t>
            </w:r>
            <w:r>
              <w:t>风量损失，因此，</w:t>
            </w:r>
            <w:r>
              <w:rPr>
                <w:rFonts w:hint="eastAsia"/>
              </w:rPr>
              <w:t>挤出废气</w:t>
            </w:r>
            <w:r>
              <w:t>收集风机</w:t>
            </w:r>
            <w:r>
              <w:rPr>
                <w:rFonts w:hint="eastAsia"/>
              </w:rPr>
              <w:t>设计</w:t>
            </w:r>
            <w:r>
              <w:t>风量取5000m</w:t>
            </w:r>
            <w:r>
              <w:rPr>
                <w:vertAlign w:val="superscript"/>
              </w:rPr>
              <w:t>3</w:t>
            </w:r>
            <w:r>
              <w:t>/h。</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本项目采用</w:t>
            </w:r>
            <w:r>
              <w:rPr>
                <w:rFonts w:hint="eastAsia" w:ascii="Times New Roman"/>
                <w:color w:val="auto"/>
                <w:sz w:val="21"/>
                <w:szCs w:val="21"/>
              </w:rPr>
              <w:t>通</w:t>
            </w:r>
            <w:r>
              <w:rPr>
                <w:rFonts w:ascii="Times New Roman"/>
                <w:color w:val="auto"/>
                <w:sz w:val="21"/>
                <w:szCs w:val="21"/>
              </w:rPr>
              <w:t>过软质垂帘四周围挡（</w:t>
            </w:r>
            <w:r>
              <w:rPr>
                <w:rFonts w:hint="eastAsia" w:ascii="Times New Roman"/>
                <w:color w:val="auto"/>
                <w:sz w:val="21"/>
                <w:szCs w:val="21"/>
              </w:rPr>
              <w:t>偶</w:t>
            </w:r>
            <w:r>
              <w:rPr>
                <w:rFonts w:ascii="Times New Roman"/>
                <w:color w:val="auto"/>
                <w:sz w:val="21"/>
                <w:szCs w:val="21"/>
              </w:rPr>
              <w:t>有部分敞开）</w:t>
            </w:r>
            <w:r>
              <w:rPr>
                <w:rFonts w:hint="eastAsia" w:ascii="Times New Roman"/>
                <w:color w:val="auto"/>
                <w:sz w:val="21"/>
                <w:szCs w:val="21"/>
              </w:rPr>
              <w:t>的</w:t>
            </w:r>
            <w:r>
              <w:rPr>
                <w:rFonts w:ascii="Times New Roman"/>
                <w:color w:val="auto"/>
                <w:sz w:val="21"/>
                <w:szCs w:val="21"/>
              </w:rPr>
              <w:t>包围型集气罩</w:t>
            </w:r>
            <w:r>
              <w:rPr>
                <w:rFonts w:hint="eastAsia" w:ascii="Times New Roman"/>
                <w:color w:val="auto"/>
                <w:sz w:val="21"/>
                <w:szCs w:val="21"/>
              </w:rPr>
              <w:t>，</w:t>
            </w:r>
            <w:r>
              <w:rPr>
                <w:rFonts w:ascii="Times New Roman"/>
                <w:color w:val="auto"/>
                <w:sz w:val="21"/>
                <w:szCs w:val="21"/>
              </w:rPr>
              <w:t>敞开</w:t>
            </w:r>
            <w:r>
              <w:rPr>
                <w:rFonts w:hint="eastAsia" w:ascii="Times New Roman"/>
                <w:color w:val="auto"/>
                <w:sz w:val="21"/>
                <w:szCs w:val="21"/>
              </w:rPr>
              <w:t>面</w:t>
            </w:r>
            <w:r>
              <w:rPr>
                <w:rFonts w:ascii="Times New Roman"/>
                <w:color w:val="auto"/>
                <w:sz w:val="21"/>
                <w:szCs w:val="21"/>
              </w:rPr>
              <w:t>控制风速0.5</w:t>
            </w:r>
            <w:r>
              <w:rPr>
                <w:rFonts w:hint="eastAsia" w:ascii="Times New Roman"/>
                <w:color w:val="auto"/>
                <w:sz w:val="21"/>
                <w:szCs w:val="21"/>
              </w:rPr>
              <w:t>m/s，参照《广东省工业源挥发性有机物减排量核算方法（试行）》，采</w:t>
            </w:r>
            <w:r>
              <w:rPr>
                <w:rFonts w:ascii="Times New Roman"/>
                <w:color w:val="auto"/>
                <w:sz w:val="21"/>
                <w:szCs w:val="21"/>
              </w:rPr>
              <w:t>用上述集气设备，废气收集效率</w:t>
            </w:r>
            <w:r>
              <w:rPr>
                <w:rFonts w:hint="eastAsia" w:ascii="Times New Roman"/>
                <w:color w:val="auto"/>
                <w:sz w:val="21"/>
                <w:szCs w:val="21"/>
              </w:rPr>
              <w:t>约</w:t>
            </w:r>
            <w:r>
              <w:rPr>
                <w:rFonts w:ascii="Times New Roman" w:hAnsi="Times New Roman"/>
                <w:color w:val="auto"/>
                <w:sz w:val="21"/>
                <w:szCs w:val="21"/>
              </w:rPr>
              <w:t>60%。</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根据《深圳市典型行业工艺废气排污量核算方法（试行）》表6挥发性有机物治理设施及达标要求，活性炭吸附治理效率为70%，</w:t>
            </w:r>
            <w:r>
              <w:rPr>
                <w:rFonts w:hint="eastAsia" w:ascii="Times New Roman" w:hAnsi="Times New Roman"/>
                <w:color w:val="auto"/>
                <w:sz w:val="21"/>
                <w:szCs w:val="21"/>
              </w:rPr>
              <w:t>本项目</w:t>
            </w:r>
            <w:r>
              <w:rPr>
                <w:rFonts w:ascii="Times New Roman" w:hAnsi="Times New Roman"/>
                <w:color w:val="auto"/>
                <w:sz w:val="21"/>
                <w:szCs w:val="21"/>
              </w:rPr>
              <w:t>挤出废气采用</w:t>
            </w:r>
            <w:r>
              <w:rPr>
                <w:rFonts w:hint="eastAsia" w:ascii="Times New Roman" w:hAnsi="Times New Roman"/>
                <w:color w:val="auto"/>
                <w:sz w:val="21"/>
                <w:szCs w:val="21"/>
              </w:rPr>
              <w:t>“水喷淋+干式</w:t>
            </w:r>
            <w:r>
              <w:rPr>
                <w:rFonts w:ascii="Times New Roman" w:hAnsi="Times New Roman"/>
                <w:color w:val="auto"/>
                <w:sz w:val="21"/>
                <w:szCs w:val="21"/>
              </w:rPr>
              <w:t>除雾器+两级活性炭吸附</w:t>
            </w:r>
            <w:r>
              <w:rPr>
                <w:rFonts w:hint="eastAsia" w:ascii="Times New Roman" w:hAnsi="Times New Roman"/>
                <w:color w:val="auto"/>
                <w:sz w:val="21"/>
                <w:szCs w:val="21"/>
              </w:rPr>
              <w:t>”</w:t>
            </w:r>
            <w:r>
              <w:rPr>
                <w:rFonts w:ascii="Times New Roman" w:hAnsi="Times New Roman"/>
                <w:color w:val="auto"/>
                <w:sz w:val="21"/>
                <w:szCs w:val="21"/>
              </w:rPr>
              <w:t>设施进行处理，</w:t>
            </w:r>
            <w:r>
              <w:rPr>
                <w:rFonts w:hint="eastAsia" w:ascii="Times New Roman" w:hAnsi="Times New Roman"/>
                <w:color w:val="auto"/>
                <w:sz w:val="21"/>
                <w:szCs w:val="21"/>
              </w:rPr>
              <w:t>理论</w:t>
            </w:r>
            <w:r>
              <w:rPr>
                <w:rFonts w:ascii="Times New Roman" w:hAnsi="Times New Roman"/>
                <w:color w:val="auto"/>
                <w:sz w:val="21"/>
                <w:szCs w:val="21"/>
              </w:rPr>
              <w:t>去除率为</w:t>
            </w:r>
            <w:r>
              <w:rPr>
                <w:rFonts w:hint="eastAsia" w:ascii="Times New Roman" w:hAnsi="Times New Roman"/>
                <w:color w:val="auto"/>
                <w:sz w:val="21"/>
                <w:szCs w:val="21"/>
              </w:rPr>
              <w:t>70</w:t>
            </w:r>
            <w:r>
              <w:rPr>
                <w:rFonts w:ascii="Times New Roman" w:hAnsi="Times New Roman"/>
                <w:color w:val="auto"/>
                <w:sz w:val="21"/>
                <w:szCs w:val="21"/>
              </w:rPr>
              <w:t>%+30%*70%=</w:t>
            </w:r>
            <w:r>
              <w:rPr>
                <w:rFonts w:hint="eastAsia" w:ascii="Times New Roman" w:hAnsi="Times New Roman"/>
                <w:color w:val="auto"/>
                <w:sz w:val="21"/>
                <w:szCs w:val="21"/>
              </w:rPr>
              <w:t>91</w:t>
            </w:r>
            <w:r>
              <w:rPr>
                <w:rFonts w:ascii="Times New Roman" w:hAnsi="Times New Roman"/>
                <w:color w:val="auto"/>
                <w:sz w:val="21"/>
                <w:szCs w:val="21"/>
              </w:rPr>
              <w:t>%，本报告</w:t>
            </w:r>
            <w:r>
              <w:rPr>
                <w:rFonts w:hint="eastAsia" w:ascii="Times New Roman" w:hAnsi="Times New Roman"/>
                <w:color w:val="auto"/>
                <w:sz w:val="21"/>
                <w:szCs w:val="21"/>
              </w:rPr>
              <w:t>保守</w:t>
            </w:r>
            <w:r>
              <w:rPr>
                <w:rFonts w:ascii="Times New Roman" w:hAnsi="Times New Roman"/>
                <w:color w:val="auto"/>
                <w:sz w:val="21"/>
                <w:szCs w:val="21"/>
              </w:rPr>
              <w:t>取80%。</w:t>
            </w:r>
          </w:p>
          <w:p>
            <w:pPr>
              <w:pStyle w:val="79"/>
              <w:adjustRightInd w:val="0"/>
              <w:snapToGrid w:val="0"/>
              <w:spacing w:line="360" w:lineRule="auto"/>
              <w:ind w:firstLine="420"/>
              <w:rPr>
                <w:bCs/>
                <w:kern w:val="2"/>
                <w:sz w:val="21"/>
              </w:rPr>
            </w:pPr>
            <w:r>
              <w:rPr>
                <w:rFonts w:hint="eastAsia"/>
                <w:kern w:val="2"/>
                <w:sz w:val="21"/>
              </w:rPr>
              <w:t>经</w:t>
            </w:r>
            <w:r>
              <w:rPr>
                <w:kern w:val="2"/>
                <w:sz w:val="21"/>
              </w:rPr>
              <w:t>处理后，项目</w:t>
            </w:r>
            <w:r>
              <w:rPr>
                <w:rFonts w:hint="eastAsia"/>
                <w:kern w:val="2"/>
                <w:sz w:val="21"/>
              </w:rPr>
              <w:t>挤出</w:t>
            </w:r>
            <w:r>
              <w:rPr>
                <w:kern w:val="2"/>
                <w:sz w:val="21"/>
              </w:rPr>
              <w:t>废气</w:t>
            </w:r>
            <w:r>
              <w:rPr>
                <w:bCs/>
                <w:kern w:val="2"/>
                <w:sz w:val="21"/>
              </w:rPr>
              <w:t>非甲烷总烃</w:t>
            </w:r>
            <w:r>
              <w:rPr>
                <w:rFonts w:hint="eastAsia"/>
                <w:bCs/>
                <w:kern w:val="2"/>
                <w:sz w:val="21"/>
              </w:rPr>
              <w:t>有组织</w:t>
            </w:r>
            <w:r>
              <w:rPr>
                <w:bCs/>
                <w:kern w:val="2"/>
                <w:sz w:val="21"/>
              </w:rPr>
              <w:t>排放量为0.00035t/a，排放速率为0.00015kg/h，排放浓度为0.029mg/m</w:t>
            </w:r>
            <w:r>
              <w:rPr>
                <w:bCs/>
                <w:kern w:val="2"/>
                <w:sz w:val="21"/>
                <w:vertAlign w:val="superscript"/>
              </w:rPr>
              <w:t>3</w:t>
            </w:r>
            <w:r>
              <w:rPr>
                <w:bCs/>
                <w:kern w:val="2"/>
                <w:sz w:val="21"/>
              </w:rPr>
              <w:t>，</w:t>
            </w:r>
            <w:r>
              <w:rPr>
                <w:rFonts w:hint="eastAsia"/>
                <w:bCs/>
                <w:kern w:val="2"/>
                <w:sz w:val="21"/>
              </w:rPr>
              <w:t>无组织</w:t>
            </w:r>
            <w:r>
              <w:rPr>
                <w:bCs/>
                <w:kern w:val="2"/>
                <w:sz w:val="21"/>
              </w:rPr>
              <w:t>排放量为0.0012t/a，排放速率为0.00048kg/h。</w:t>
            </w:r>
          </w:p>
          <w:p>
            <w:pPr>
              <w:snapToGrid w:val="0"/>
              <w:spacing w:line="360" w:lineRule="auto"/>
              <w:ind w:firstLine="422" w:firstLineChars="200"/>
              <w:rPr>
                <w:b/>
                <w:szCs w:val="21"/>
              </w:rPr>
            </w:pPr>
            <w:r>
              <w:rPr>
                <w:rFonts w:hint="eastAsia" w:ascii="宋体" w:hAnsi="宋体" w:cs="宋体"/>
                <w:b/>
                <w:szCs w:val="21"/>
              </w:rPr>
              <w:t>②</w:t>
            </w:r>
            <w:r>
              <w:rPr>
                <w:rFonts w:hint="eastAsia"/>
                <w:b/>
                <w:bCs/>
                <w:szCs w:val="21"/>
              </w:rPr>
              <w:t>贴合</w:t>
            </w:r>
            <w:r>
              <w:rPr>
                <w:rFonts w:hint="eastAsia"/>
                <w:b/>
                <w:szCs w:val="21"/>
              </w:rPr>
              <w:t>、</w:t>
            </w:r>
            <w:r>
              <w:rPr>
                <w:b/>
                <w:szCs w:val="21"/>
              </w:rPr>
              <w:t>植皮</w:t>
            </w:r>
            <w:r>
              <w:rPr>
                <w:rFonts w:hint="eastAsia"/>
                <w:b/>
                <w:szCs w:val="21"/>
              </w:rPr>
              <w:t>、</w:t>
            </w:r>
            <w:r>
              <w:rPr>
                <w:b/>
                <w:szCs w:val="21"/>
              </w:rPr>
              <w:t>印刷、烘干</w:t>
            </w:r>
            <w:r>
              <w:rPr>
                <w:rFonts w:hint="eastAsia"/>
                <w:b/>
                <w:szCs w:val="21"/>
              </w:rPr>
              <w:t>废气</w:t>
            </w:r>
          </w:p>
          <w:p>
            <w:pPr>
              <w:widowControl/>
              <w:adjustRightInd w:val="0"/>
              <w:snapToGrid w:val="0"/>
              <w:spacing w:line="360" w:lineRule="auto"/>
              <w:ind w:firstLine="420" w:firstLineChars="200"/>
              <w:rPr>
                <w:bCs/>
                <w:szCs w:val="21"/>
              </w:rPr>
            </w:pPr>
            <w:r>
              <w:rPr>
                <w:szCs w:val="21"/>
              </w:rPr>
              <w:t>本项目</w:t>
            </w:r>
            <w:r>
              <w:rPr>
                <w:rFonts w:hint="eastAsia"/>
                <w:szCs w:val="21"/>
              </w:rPr>
              <w:t>贴合</w:t>
            </w:r>
            <w:r>
              <w:rPr>
                <w:szCs w:val="21"/>
              </w:rPr>
              <w:t>、植皮工序使用水性胶水、热熔胶</w:t>
            </w:r>
            <w:r>
              <w:rPr>
                <w:rFonts w:hint="eastAsia"/>
                <w:szCs w:val="21"/>
              </w:rPr>
              <w:t>会产生</w:t>
            </w:r>
            <w:r>
              <w:rPr>
                <w:szCs w:val="21"/>
              </w:rPr>
              <w:t>少量有机废气，本环评以VOCs表征；</w:t>
            </w:r>
            <w:r>
              <w:rPr>
                <w:rFonts w:hint="eastAsia"/>
                <w:szCs w:val="21"/>
              </w:rPr>
              <w:t>印刷、</w:t>
            </w:r>
            <w:r>
              <w:rPr>
                <w:szCs w:val="21"/>
              </w:rPr>
              <w:t>烘干过程水性油墨会产生少量有机废气，本环评以VOCs表征</w:t>
            </w:r>
            <w:r>
              <w:rPr>
                <w:rFonts w:hint="eastAsia"/>
                <w:szCs w:val="21"/>
              </w:rPr>
              <w:t>。</w:t>
            </w:r>
            <w:r>
              <w:rPr>
                <w:bCs/>
                <w:szCs w:val="21"/>
              </w:rPr>
              <w:t>根据建设单位提供的MSDS和VOCs检测报告（详见附件5），本项目水性油墨的VOCs含量为1%，</w:t>
            </w:r>
            <w:r>
              <w:rPr>
                <w:rFonts w:hint="eastAsia"/>
                <w:bCs/>
                <w:szCs w:val="21"/>
              </w:rPr>
              <w:t>水性</w:t>
            </w:r>
            <w:r>
              <w:rPr>
                <w:bCs/>
                <w:szCs w:val="21"/>
              </w:rPr>
              <w:t>胶</w:t>
            </w:r>
            <w:r>
              <w:rPr>
                <w:rFonts w:hint="eastAsia"/>
                <w:bCs/>
                <w:szCs w:val="21"/>
              </w:rPr>
              <w:t>水</w:t>
            </w:r>
            <w:r>
              <w:rPr>
                <w:bCs/>
                <w:szCs w:val="21"/>
              </w:rPr>
              <w:t>VOCs含量为</w:t>
            </w:r>
            <w:r>
              <w:rPr>
                <w:szCs w:val="21"/>
              </w:rPr>
              <w:t>27g/L</w:t>
            </w:r>
            <w:r>
              <w:rPr>
                <w:rFonts w:hint="eastAsia"/>
                <w:szCs w:val="21"/>
              </w:rPr>
              <w:t>，1.0-1.2t/m</w:t>
            </w:r>
            <w:r>
              <w:rPr>
                <w:rFonts w:hint="eastAsia"/>
                <w:szCs w:val="21"/>
                <w:vertAlign w:val="superscript"/>
              </w:rPr>
              <w:t>3</w:t>
            </w:r>
            <w:r>
              <w:rPr>
                <w:rFonts w:hint="eastAsia"/>
                <w:szCs w:val="21"/>
              </w:rPr>
              <w:t>，则</w:t>
            </w:r>
            <w:r>
              <w:rPr>
                <w:szCs w:val="21"/>
              </w:rPr>
              <w:t>其</w:t>
            </w:r>
            <w:r>
              <w:rPr>
                <w:rFonts w:hint="eastAsia"/>
                <w:szCs w:val="21"/>
              </w:rPr>
              <w:t>VOCs含量</w:t>
            </w:r>
            <w:r>
              <w:rPr>
                <w:szCs w:val="21"/>
              </w:rPr>
              <w:t>为</w:t>
            </w:r>
            <w:r>
              <w:rPr>
                <w:rFonts w:hint="eastAsia"/>
                <w:szCs w:val="21"/>
              </w:rPr>
              <w:t>2.7</w:t>
            </w:r>
            <w:r>
              <w:rPr>
                <w:szCs w:val="21"/>
              </w:rPr>
              <w:t>%~2.25%，本环评按</w:t>
            </w:r>
            <w:r>
              <w:rPr>
                <w:rFonts w:hint="eastAsia"/>
                <w:szCs w:val="21"/>
              </w:rPr>
              <w:t>2.7</w:t>
            </w:r>
            <w:r>
              <w:rPr>
                <w:szCs w:val="21"/>
              </w:rPr>
              <w:t>%计；</w:t>
            </w:r>
            <w:r>
              <w:rPr>
                <w:bCs/>
                <w:szCs w:val="21"/>
              </w:rPr>
              <w:t>根据建设单位提供的MSDS（详见附件5），热熔胶常温下为固态，固形物含量99.8%，不含有机溶剂，VOCs含量为0%，使用时受热熔融会产生少量有机废气，有机废气量按非固形物计，则热熔胶使用时VOCs产生系数为0.2%。</w:t>
            </w:r>
          </w:p>
          <w:p>
            <w:pPr>
              <w:widowControl/>
              <w:adjustRightInd w:val="0"/>
              <w:snapToGrid w:val="0"/>
              <w:spacing w:line="360" w:lineRule="auto"/>
              <w:ind w:firstLine="420" w:firstLineChars="200"/>
              <w:rPr>
                <w:bCs/>
                <w:szCs w:val="21"/>
              </w:rPr>
            </w:pPr>
            <w:r>
              <w:rPr>
                <w:szCs w:val="21"/>
              </w:rPr>
              <w:t>项目水性油墨用量为0.02t/a，</w:t>
            </w:r>
            <w:r>
              <w:rPr>
                <w:rFonts w:hint="eastAsia"/>
                <w:szCs w:val="21"/>
              </w:rPr>
              <w:t>水性</w:t>
            </w:r>
            <w:r>
              <w:rPr>
                <w:szCs w:val="21"/>
              </w:rPr>
              <w:t>胶水用量为8t/a，热熔胶用量6t/a，</w:t>
            </w:r>
            <w:r>
              <w:rPr>
                <w:bCs/>
                <w:szCs w:val="21"/>
              </w:rPr>
              <w:t>则项目印刷、烘干</w:t>
            </w:r>
            <w:r>
              <w:rPr>
                <w:rFonts w:hint="eastAsia"/>
                <w:bCs/>
                <w:szCs w:val="21"/>
              </w:rPr>
              <w:t>贴合</w:t>
            </w:r>
            <w:r>
              <w:rPr>
                <w:bCs/>
                <w:szCs w:val="21"/>
              </w:rPr>
              <w:t>、植皮工序VOCs总产生量为0.23t/a，</w:t>
            </w:r>
            <w:r>
              <w:rPr>
                <w:szCs w:val="21"/>
              </w:rPr>
              <w:t>项目年工作300天，每天开工8小时，则项目VOCs废气总产生速率为0.096kg/h。</w:t>
            </w:r>
          </w:p>
          <w:p>
            <w:pPr>
              <w:spacing w:line="360" w:lineRule="auto"/>
              <w:ind w:firstLine="420" w:firstLineChars="200"/>
            </w:pPr>
            <w:r>
              <w:t>建设单位拟在</w:t>
            </w:r>
            <w:r>
              <w:rPr>
                <w:rFonts w:hint="eastAsia"/>
                <w:kern w:val="0"/>
                <w:szCs w:val="21"/>
              </w:rPr>
              <w:t>贴合、植皮、印刷、烘干</w:t>
            </w:r>
            <w:r>
              <w:rPr>
                <w:kern w:val="0"/>
                <w:szCs w:val="21"/>
              </w:rPr>
              <w:t>工序设置集气罩，</w:t>
            </w:r>
            <w:r>
              <w:t>将产生的</w:t>
            </w:r>
            <w:r>
              <w:rPr>
                <w:rFonts w:hint="eastAsia"/>
              </w:rPr>
              <w:t>有机废气</w:t>
            </w:r>
            <w:r>
              <w:t>收集后引至</w:t>
            </w:r>
            <w:r>
              <w:rPr>
                <w:rFonts w:hint="eastAsia"/>
              </w:rPr>
              <w:t>两级活性炭</w:t>
            </w:r>
            <w:r>
              <w:t>吸附装置</w:t>
            </w:r>
            <w:r>
              <w:rPr>
                <w:rFonts w:hint="eastAsia"/>
              </w:rPr>
              <w:t>处理</w:t>
            </w:r>
            <w:r>
              <w:t>后通过</w:t>
            </w:r>
            <w:r>
              <w:rPr>
                <w:rFonts w:hint="eastAsia"/>
              </w:rPr>
              <w:t>DA00</w:t>
            </w:r>
            <w:r>
              <w:t>2</w:t>
            </w:r>
            <w:r>
              <w:rPr>
                <w:rFonts w:hint="eastAsia"/>
              </w:rPr>
              <w:t>排气筒</w:t>
            </w:r>
            <w:r>
              <w:t>高空排放，排放高度</w:t>
            </w:r>
            <w:r>
              <w:rPr>
                <w:rFonts w:hint="eastAsia"/>
              </w:rPr>
              <w:t>15米</w:t>
            </w:r>
            <w:r>
              <w:t>。</w:t>
            </w:r>
            <w:r>
              <w:rPr>
                <w:bCs/>
              </w:rPr>
              <w:t>根据《三废处理工程技术手册》（废气卷）中外部集气罩风量确定计算公式</w:t>
            </w:r>
            <w:r>
              <w:t>：</w:t>
            </w:r>
          </w:p>
          <w:p>
            <w:pPr>
              <w:spacing w:line="360" w:lineRule="auto"/>
              <w:ind w:firstLine="420" w:firstLineChars="200"/>
            </w:pPr>
            <w:r>
              <w:t>L=3600（5x</w:t>
            </w:r>
            <w:r>
              <w:rPr>
                <w:vertAlign w:val="superscript"/>
              </w:rPr>
              <w:t>2</w:t>
            </w:r>
            <w:r>
              <w:t>+F）×Vx，</w:t>
            </w:r>
          </w:p>
          <w:p>
            <w:pPr>
              <w:spacing w:line="360" w:lineRule="auto"/>
              <w:ind w:firstLine="420" w:firstLineChars="200"/>
            </w:pPr>
            <w:r>
              <w:t>其中：X----集气罩至污染源的距离；</w:t>
            </w:r>
          </w:p>
          <w:p>
            <w:pPr>
              <w:spacing w:line="360" w:lineRule="auto"/>
              <w:ind w:firstLine="420" w:firstLineChars="200"/>
            </w:pPr>
            <w:r>
              <w:t>F----集气罩口面积；</w:t>
            </w:r>
          </w:p>
          <w:p>
            <w:pPr>
              <w:spacing w:line="360" w:lineRule="auto"/>
              <w:ind w:firstLine="420" w:firstLineChars="200"/>
              <w:rPr>
                <w:szCs w:val="21"/>
              </w:rPr>
            </w:pPr>
            <w:r>
              <w:t>Vx----控制风速。</w:t>
            </w:r>
          </w:p>
          <w:p>
            <w:pPr>
              <w:numPr>
                <w:ilvl w:val="0"/>
                <w:numId w:val="2"/>
              </w:numPr>
              <w:adjustRightInd w:val="0"/>
              <w:snapToGrid w:val="0"/>
              <w:spacing w:line="360" w:lineRule="auto"/>
              <w:ind w:left="0"/>
              <w:jc w:val="center"/>
              <w:rPr>
                <w:b/>
              </w:rPr>
            </w:pPr>
            <w:r>
              <w:rPr>
                <w:b/>
              </w:rPr>
              <w:t>项目</w:t>
            </w:r>
            <w:r>
              <w:rPr>
                <w:rFonts w:hint="eastAsia"/>
                <w:b/>
              </w:rPr>
              <w:t>贴合、植皮、印刷、烘干工序</w:t>
            </w:r>
            <w:r>
              <w:rPr>
                <w:b/>
              </w:rPr>
              <w:t>风量设计参数表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402"/>
              <w:gridCol w:w="1402"/>
              <w:gridCol w:w="1402"/>
              <w:gridCol w:w="140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pct"/>
                  <w:shd w:val="clear" w:color="auto" w:fill="auto"/>
                  <w:vAlign w:val="center"/>
                </w:tcPr>
                <w:p>
                  <w:pPr>
                    <w:pStyle w:val="83"/>
                    <w:spacing w:line="240" w:lineRule="auto"/>
                  </w:pPr>
                  <w:r>
                    <w:t>产污工序</w:t>
                  </w:r>
                </w:p>
              </w:tc>
              <w:tc>
                <w:tcPr>
                  <w:tcW w:w="833" w:type="pct"/>
                  <w:shd w:val="clear" w:color="auto" w:fill="auto"/>
                  <w:vAlign w:val="center"/>
                </w:tcPr>
                <w:p>
                  <w:pPr>
                    <w:pStyle w:val="83"/>
                    <w:spacing w:line="240" w:lineRule="auto"/>
                  </w:pPr>
                  <w:r>
                    <w:t>集气设施至污染源的距离（m）</w:t>
                  </w:r>
                </w:p>
              </w:tc>
              <w:tc>
                <w:tcPr>
                  <w:tcW w:w="833" w:type="pct"/>
                  <w:shd w:val="clear" w:color="auto" w:fill="auto"/>
                  <w:vAlign w:val="center"/>
                </w:tcPr>
                <w:p>
                  <w:pPr>
                    <w:pStyle w:val="83"/>
                    <w:spacing w:line="240" w:lineRule="auto"/>
                  </w:pPr>
                  <w:r>
                    <w:t>集气罩口面积（m</w:t>
                  </w:r>
                  <w:r>
                    <w:rPr>
                      <w:vertAlign w:val="superscript"/>
                    </w:rPr>
                    <w:t>2</w:t>
                  </w:r>
                  <w:r>
                    <w:t>）</w:t>
                  </w:r>
                </w:p>
              </w:tc>
              <w:tc>
                <w:tcPr>
                  <w:tcW w:w="833" w:type="pct"/>
                  <w:shd w:val="clear" w:color="auto" w:fill="auto"/>
                  <w:vAlign w:val="center"/>
                </w:tcPr>
                <w:p>
                  <w:pPr>
                    <w:pStyle w:val="83"/>
                    <w:spacing w:line="240" w:lineRule="auto"/>
                  </w:pPr>
                  <w:r>
                    <w:t>控制风速（m/s）</w:t>
                  </w:r>
                </w:p>
              </w:tc>
              <w:tc>
                <w:tcPr>
                  <w:tcW w:w="835" w:type="pct"/>
                  <w:shd w:val="clear" w:color="auto" w:fill="auto"/>
                  <w:vAlign w:val="center"/>
                </w:tcPr>
                <w:p>
                  <w:pPr>
                    <w:pStyle w:val="83"/>
                    <w:spacing w:line="240" w:lineRule="auto"/>
                  </w:pPr>
                  <w:r>
                    <w:t>集气设施数量（个）</w:t>
                  </w:r>
                </w:p>
              </w:tc>
              <w:tc>
                <w:tcPr>
                  <w:tcW w:w="832" w:type="pct"/>
                  <w:shd w:val="clear" w:color="auto" w:fill="auto"/>
                  <w:vAlign w:val="center"/>
                </w:tcPr>
                <w:p>
                  <w:pPr>
                    <w:pStyle w:val="83"/>
                    <w:spacing w:line="240" w:lineRule="auto"/>
                  </w:pPr>
                  <w:r>
                    <w:t>风量（m</w:t>
                  </w:r>
                  <w:r>
                    <w:rPr>
                      <w:vertAlign w:val="superscript"/>
                    </w:rPr>
                    <w:t>3</w:t>
                  </w:r>
                  <w: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pct"/>
                  <w:shd w:val="clear" w:color="auto" w:fill="auto"/>
                  <w:vAlign w:val="center"/>
                </w:tcPr>
                <w:p>
                  <w:pPr>
                    <w:pStyle w:val="83"/>
                    <w:spacing w:line="240" w:lineRule="auto"/>
                    <w:rPr>
                      <w:b w:val="0"/>
                      <w:bCs/>
                    </w:rPr>
                  </w:pPr>
                  <w:r>
                    <w:rPr>
                      <w:rFonts w:hint="eastAsia"/>
                      <w:b w:val="0"/>
                      <w:bCs/>
                    </w:rPr>
                    <w:t>贴合</w:t>
                  </w:r>
                </w:p>
              </w:tc>
              <w:tc>
                <w:tcPr>
                  <w:tcW w:w="833" w:type="pct"/>
                  <w:shd w:val="clear" w:color="auto" w:fill="auto"/>
                  <w:vAlign w:val="center"/>
                </w:tcPr>
                <w:p>
                  <w:pPr>
                    <w:widowControl/>
                    <w:jc w:val="center"/>
                    <w:rPr>
                      <w:kern w:val="0"/>
                      <w:szCs w:val="21"/>
                    </w:rPr>
                  </w:pPr>
                  <w:r>
                    <w:rPr>
                      <w:szCs w:val="21"/>
                    </w:rPr>
                    <w:t>0.2</w:t>
                  </w:r>
                </w:p>
              </w:tc>
              <w:tc>
                <w:tcPr>
                  <w:tcW w:w="833" w:type="pct"/>
                  <w:shd w:val="clear" w:color="auto" w:fill="auto"/>
                  <w:vAlign w:val="center"/>
                </w:tcPr>
                <w:p>
                  <w:pPr>
                    <w:jc w:val="center"/>
                    <w:rPr>
                      <w:szCs w:val="21"/>
                    </w:rPr>
                  </w:pPr>
                  <w:r>
                    <w:rPr>
                      <w:szCs w:val="21"/>
                    </w:rPr>
                    <w:t>0.36</w:t>
                  </w:r>
                </w:p>
              </w:tc>
              <w:tc>
                <w:tcPr>
                  <w:tcW w:w="833" w:type="pct"/>
                  <w:shd w:val="clear" w:color="auto" w:fill="auto"/>
                  <w:vAlign w:val="center"/>
                </w:tcPr>
                <w:p>
                  <w:pPr>
                    <w:jc w:val="center"/>
                    <w:rPr>
                      <w:szCs w:val="21"/>
                    </w:rPr>
                  </w:pPr>
                  <w:r>
                    <w:rPr>
                      <w:szCs w:val="21"/>
                    </w:rPr>
                    <w:t>0.5</w:t>
                  </w:r>
                </w:p>
              </w:tc>
              <w:tc>
                <w:tcPr>
                  <w:tcW w:w="835" w:type="pct"/>
                  <w:shd w:val="clear" w:color="auto" w:fill="auto"/>
                  <w:vAlign w:val="center"/>
                </w:tcPr>
                <w:p>
                  <w:pPr>
                    <w:jc w:val="center"/>
                    <w:rPr>
                      <w:szCs w:val="21"/>
                    </w:rPr>
                  </w:pPr>
                  <w:r>
                    <w:rPr>
                      <w:szCs w:val="21"/>
                    </w:rPr>
                    <w:t>21</w:t>
                  </w:r>
                </w:p>
              </w:tc>
              <w:tc>
                <w:tcPr>
                  <w:tcW w:w="832" w:type="pct"/>
                  <w:shd w:val="clear" w:color="auto" w:fill="auto"/>
                  <w:vAlign w:val="center"/>
                </w:tcPr>
                <w:p>
                  <w:pPr>
                    <w:jc w:val="center"/>
                    <w:rPr>
                      <w:szCs w:val="21"/>
                    </w:rPr>
                  </w:pPr>
                  <w:r>
                    <w:rPr>
                      <w:szCs w:val="21"/>
                    </w:rPr>
                    <w:t>21168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pct"/>
                  <w:shd w:val="clear" w:color="auto" w:fill="auto"/>
                  <w:vAlign w:val="center"/>
                </w:tcPr>
                <w:p>
                  <w:pPr>
                    <w:pStyle w:val="83"/>
                    <w:spacing w:line="240" w:lineRule="auto"/>
                    <w:rPr>
                      <w:b w:val="0"/>
                      <w:bCs/>
                    </w:rPr>
                  </w:pPr>
                  <w:r>
                    <w:rPr>
                      <w:rFonts w:hint="eastAsia"/>
                      <w:b w:val="0"/>
                      <w:bCs/>
                    </w:rPr>
                    <w:t>植皮</w:t>
                  </w:r>
                </w:p>
              </w:tc>
              <w:tc>
                <w:tcPr>
                  <w:tcW w:w="833" w:type="pct"/>
                  <w:shd w:val="clear" w:color="auto" w:fill="auto"/>
                  <w:vAlign w:val="center"/>
                </w:tcPr>
                <w:p>
                  <w:pPr>
                    <w:jc w:val="center"/>
                    <w:rPr>
                      <w:szCs w:val="21"/>
                    </w:rPr>
                  </w:pPr>
                  <w:r>
                    <w:rPr>
                      <w:szCs w:val="21"/>
                    </w:rPr>
                    <w:t>0.2</w:t>
                  </w:r>
                </w:p>
              </w:tc>
              <w:tc>
                <w:tcPr>
                  <w:tcW w:w="833" w:type="pct"/>
                  <w:shd w:val="clear" w:color="auto" w:fill="auto"/>
                  <w:vAlign w:val="center"/>
                </w:tcPr>
                <w:p>
                  <w:pPr>
                    <w:jc w:val="center"/>
                    <w:rPr>
                      <w:szCs w:val="21"/>
                    </w:rPr>
                  </w:pPr>
                  <w:r>
                    <w:rPr>
                      <w:szCs w:val="21"/>
                    </w:rPr>
                    <w:t>0.36</w:t>
                  </w:r>
                </w:p>
              </w:tc>
              <w:tc>
                <w:tcPr>
                  <w:tcW w:w="833" w:type="pct"/>
                  <w:shd w:val="clear" w:color="auto" w:fill="auto"/>
                  <w:vAlign w:val="center"/>
                </w:tcPr>
                <w:p>
                  <w:pPr>
                    <w:jc w:val="center"/>
                    <w:rPr>
                      <w:szCs w:val="21"/>
                    </w:rPr>
                  </w:pPr>
                  <w:r>
                    <w:rPr>
                      <w:szCs w:val="21"/>
                    </w:rPr>
                    <w:t>0.5</w:t>
                  </w:r>
                </w:p>
              </w:tc>
              <w:tc>
                <w:tcPr>
                  <w:tcW w:w="835" w:type="pct"/>
                  <w:shd w:val="clear" w:color="auto" w:fill="auto"/>
                  <w:vAlign w:val="center"/>
                </w:tcPr>
                <w:p>
                  <w:pPr>
                    <w:jc w:val="center"/>
                    <w:rPr>
                      <w:szCs w:val="21"/>
                    </w:rPr>
                  </w:pPr>
                  <w:r>
                    <w:rPr>
                      <w:szCs w:val="21"/>
                    </w:rPr>
                    <w:t>10</w:t>
                  </w:r>
                </w:p>
              </w:tc>
              <w:tc>
                <w:tcPr>
                  <w:tcW w:w="832" w:type="pct"/>
                  <w:shd w:val="clear" w:color="auto" w:fill="auto"/>
                  <w:vAlign w:val="center"/>
                </w:tcPr>
                <w:p>
                  <w:pPr>
                    <w:jc w:val="center"/>
                    <w:rPr>
                      <w:szCs w:val="21"/>
                    </w:rPr>
                  </w:pPr>
                  <w:r>
                    <w:rPr>
                      <w:szCs w:val="21"/>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pct"/>
                  <w:shd w:val="clear" w:color="auto" w:fill="auto"/>
                  <w:vAlign w:val="center"/>
                </w:tcPr>
                <w:p>
                  <w:pPr>
                    <w:pStyle w:val="83"/>
                    <w:spacing w:line="240" w:lineRule="auto"/>
                    <w:rPr>
                      <w:b w:val="0"/>
                      <w:bCs/>
                    </w:rPr>
                  </w:pPr>
                  <w:r>
                    <w:rPr>
                      <w:rFonts w:hint="eastAsia"/>
                      <w:b w:val="0"/>
                      <w:bCs/>
                    </w:rPr>
                    <w:t>印刷</w:t>
                  </w:r>
                </w:p>
              </w:tc>
              <w:tc>
                <w:tcPr>
                  <w:tcW w:w="833" w:type="pct"/>
                  <w:shd w:val="clear" w:color="auto" w:fill="auto"/>
                  <w:vAlign w:val="center"/>
                </w:tcPr>
                <w:p>
                  <w:pPr>
                    <w:jc w:val="center"/>
                    <w:rPr>
                      <w:szCs w:val="21"/>
                    </w:rPr>
                  </w:pPr>
                  <w:r>
                    <w:rPr>
                      <w:szCs w:val="21"/>
                    </w:rPr>
                    <w:t>0.2</w:t>
                  </w:r>
                </w:p>
              </w:tc>
              <w:tc>
                <w:tcPr>
                  <w:tcW w:w="833" w:type="pct"/>
                  <w:shd w:val="clear" w:color="auto" w:fill="auto"/>
                  <w:vAlign w:val="center"/>
                </w:tcPr>
                <w:p>
                  <w:pPr>
                    <w:jc w:val="center"/>
                    <w:rPr>
                      <w:szCs w:val="21"/>
                    </w:rPr>
                  </w:pPr>
                  <w:r>
                    <w:rPr>
                      <w:szCs w:val="21"/>
                    </w:rPr>
                    <w:t>0.25</w:t>
                  </w:r>
                </w:p>
              </w:tc>
              <w:tc>
                <w:tcPr>
                  <w:tcW w:w="833" w:type="pct"/>
                  <w:shd w:val="clear" w:color="auto" w:fill="auto"/>
                  <w:vAlign w:val="center"/>
                </w:tcPr>
                <w:p>
                  <w:pPr>
                    <w:jc w:val="center"/>
                    <w:rPr>
                      <w:szCs w:val="21"/>
                    </w:rPr>
                  </w:pPr>
                  <w:r>
                    <w:rPr>
                      <w:szCs w:val="21"/>
                    </w:rPr>
                    <w:t>0.5</w:t>
                  </w:r>
                </w:p>
              </w:tc>
              <w:tc>
                <w:tcPr>
                  <w:tcW w:w="835" w:type="pct"/>
                  <w:shd w:val="clear" w:color="auto" w:fill="auto"/>
                  <w:vAlign w:val="center"/>
                </w:tcPr>
                <w:p>
                  <w:pPr>
                    <w:jc w:val="center"/>
                    <w:rPr>
                      <w:szCs w:val="21"/>
                    </w:rPr>
                  </w:pPr>
                  <w:r>
                    <w:rPr>
                      <w:szCs w:val="21"/>
                    </w:rPr>
                    <w:t>1</w:t>
                  </w:r>
                </w:p>
              </w:tc>
              <w:tc>
                <w:tcPr>
                  <w:tcW w:w="832" w:type="pct"/>
                  <w:shd w:val="clear" w:color="auto" w:fill="auto"/>
                  <w:vAlign w:val="center"/>
                </w:tcPr>
                <w:p>
                  <w:pPr>
                    <w:jc w:val="center"/>
                    <w:rPr>
                      <w:szCs w:val="21"/>
                    </w:rPr>
                  </w:pPr>
                  <w:r>
                    <w:rPr>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pct"/>
                  <w:shd w:val="clear" w:color="auto" w:fill="auto"/>
                  <w:vAlign w:val="center"/>
                </w:tcPr>
                <w:p>
                  <w:pPr>
                    <w:pStyle w:val="83"/>
                    <w:spacing w:line="240" w:lineRule="auto"/>
                    <w:rPr>
                      <w:b w:val="0"/>
                      <w:bCs/>
                    </w:rPr>
                  </w:pPr>
                  <w:r>
                    <w:rPr>
                      <w:rFonts w:hint="eastAsia"/>
                      <w:b w:val="0"/>
                      <w:bCs/>
                    </w:rPr>
                    <w:t>烘干</w:t>
                  </w:r>
                </w:p>
              </w:tc>
              <w:tc>
                <w:tcPr>
                  <w:tcW w:w="833" w:type="pct"/>
                  <w:shd w:val="clear" w:color="auto" w:fill="auto"/>
                  <w:vAlign w:val="center"/>
                </w:tcPr>
                <w:p>
                  <w:pPr>
                    <w:jc w:val="center"/>
                    <w:rPr>
                      <w:szCs w:val="21"/>
                    </w:rPr>
                  </w:pPr>
                  <w:r>
                    <w:rPr>
                      <w:szCs w:val="21"/>
                    </w:rPr>
                    <w:t>0.2</w:t>
                  </w:r>
                </w:p>
              </w:tc>
              <w:tc>
                <w:tcPr>
                  <w:tcW w:w="833" w:type="pct"/>
                  <w:shd w:val="clear" w:color="auto" w:fill="auto"/>
                  <w:vAlign w:val="center"/>
                </w:tcPr>
                <w:p>
                  <w:pPr>
                    <w:jc w:val="center"/>
                    <w:rPr>
                      <w:szCs w:val="21"/>
                    </w:rPr>
                  </w:pPr>
                  <w:r>
                    <w:rPr>
                      <w:szCs w:val="21"/>
                    </w:rPr>
                    <w:t>0.25</w:t>
                  </w:r>
                </w:p>
              </w:tc>
              <w:tc>
                <w:tcPr>
                  <w:tcW w:w="833" w:type="pct"/>
                  <w:shd w:val="clear" w:color="auto" w:fill="auto"/>
                  <w:vAlign w:val="center"/>
                </w:tcPr>
                <w:p>
                  <w:pPr>
                    <w:jc w:val="center"/>
                    <w:rPr>
                      <w:szCs w:val="21"/>
                    </w:rPr>
                  </w:pPr>
                  <w:r>
                    <w:rPr>
                      <w:szCs w:val="21"/>
                    </w:rPr>
                    <w:t>0.5</w:t>
                  </w:r>
                </w:p>
              </w:tc>
              <w:tc>
                <w:tcPr>
                  <w:tcW w:w="835" w:type="pct"/>
                  <w:shd w:val="clear" w:color="auto" w:fill="auto"/>
                  <w:vAlign w:val="center"/>
                </w:tcPr>
                <w:p>
                  <w:pPr>
                    <w:jc w:val="center"/>
                    <w:rPr>
                      <w:szCs w:val="21"/>
                    </w:rPr>
                  </w:pPr>
                  <w:r>
                    <w:rPr>
                      <w:szCs w:val="21"/>
                    </w:rPr>
                    <w:t>1</w:t>
                  </w:r>
                </w:p>
              </w:tc>
              <w:tc>
                <w:tcPr>
                  <w:tcW w:w="832" w:type="pct"/>
                  <w:shd w:val="clear" w:color="auto" w:fill="auto"/>
                  <w:vAlign w:val="center"/>
                </w:tcPr>
                <w:p>
                  <w:pPr>
                    <w:jc w:val="center"/>
                    <w:rPr>
                      <w:szCs w:val="21"/>
                    </w:rPr>
                  </w:pPr>
                  <w:r>
                    <w:rPr>
                      <w:szCs w:val="21"/>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68" w:type="pct"/>
                  <w:gridSpan w:val="5"/>
                  <w:shd w:val="clear" w:color="auto" w:fill="auto"/>
                  <w:vAlign w:val="center"/>
                </w:tcPr>
                <w:p>
                  <w:pPr>
                    <w:pStyle w:val="83"/>
                    <w:spacing w:line="240" w:lineRule="auto"/>
                    <w:rPr>
                      <w:b w:val="0"/>
                      <w:szCs w:val="21"/>
                    </w:rPr>
                  </w:pPr>
                  <w:r>
                    <w:rPr>
                      <w:rFonts w:hint="eastAsia"/>
                      <w:b w:val="0"/>
                      <w:szCs w:val="21"/>
                    </w:rPr>
                    <w:t>合计</w:t>
                  </w:r>
                </w:p>
              </w:tc>
              <w:tc>
                <w:tcPr>
                  <w:tcW w:w="832" w:type="pct"/>
                  <w:shd w:val="clear" w:color="auto" w:fill="auto"/>
                  <w:vAlign w:val="center"/>
                </w:tcPr>
                <w:p>
                  <w:pPr>
                    <w:jc w:val="center"/>
                    <w:rPr>
                      <w:szCs w:val="21"/>
                    </w:rPr>
                  </w:pPr>
                  <w:r>
                    <w:rPr>
                      <w:szCs w:val="21"/>
                    </w:rPr>
                    <w:t>32868</w:t>
                  </w:r>
                </w:p>
              </w:tc>
            </w:tr>
          </w:tbl>
          <w:p>
            <w:pPr>
              <w:adjustRightInd w:val="0"/>
              <w:snapToGrid w:val="0"/>
              <w:spacing w:line="360" w:lineRule="auto"/>
              <w:ind w:firstLine="420" w:firstLineChars="200"/>
              <w:rPr>
                <w:szCs w:val="21"/>
              </w:rPr>
            </w:pPr>
            <w:r>
              <w:t>经验公式计算得出，本项目</w:t>
            </w:r>
            <w:r>
              <w:rPr>
                <w:rFonts w:hint="eastAsia"/>
                <w:kern w:val="0"/>
                <w:szCs w:val="21"/>
              </w:rPr>
              <w:t>贴合、植皮、印刷、烘干</w:t>
            </w:r>
            <w:r>
              <w:t>工序所需集气风量约为32868m</w:t>
            </w:r>
            <w:r>
              <w:rPr>
                <w:vertAlign w:val="superscript"/>
              </w:rPr>
              <w:t>3</w:t>
            </w:r>
            <w:r>
              <w:t>/h，</w:t>
            </w:r>
            <w:r>
              <w:rPr>
                <w:rFonts w:hint="eastAsia"/>
              </w:rPr>
              <w:t>考虑</w:t>
            </w:r>
            <w:r>
              <w:t>风量损失，</w:t>
            </w:r>
            <w:r>
              <w:rPr>
                <w:rFonts w:hint="eastAsia"/>
              </w:rPr>
              <w:t>该</w:t>
            </w:r>
            <w:r>
              <w:t>套废气处理设施风机</w:t>
            </w:r>
            <w:r>
              <w:rPr>
                <w:rFonts w:hint="eastAsia"/>
              </w:rPr>
              <w:t>设计</w:t>
            </w:r>
            <w:r>
              <w:t>风量取35000m</w:t>
            </w:r>
            <w:r>
              <w:rPr>
                <w:vertAlign w:val="superscript"/>
              </w:rPr>
              <w:t>3</w:t>
            </w:r>
            <w:r>
              <w:t>/h。</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本项目采用</w:t>
            </w:r>
            <w:r>
              <w:rPr>
                <w:rFonts w:hint="eastAsia" w:ascii="Times New Roman"/>
                <w:color w:val="auto"/>
                <w:sz w:val="21"/>
                <w:szCs w:val="21"/>
              </w:rPr>
              <w:t>通</w:t>
            </w:r>
            <w:r>
              <w:rPr>
                <w:rFonts w:ascii="Times New Roman"/>
                <w:color w:val="auto"/>
                <w:sz w:val="21"/>
                <w:szCs w:val="21"/>
              </w:rPr>
              <w:t>过软质垂帘四周围挡（</w:t>
            </w:r>
            <w:r>
              <w:rPr>
                <w:rFonts w:hint="eastAsia" w:ascii="Times New Roman"/>
                <w:color w:val="auto"/>
                <w:sz w:val="21"/>
                <w:szCs w:val="21"/>
              </w:rPr>
              <w:t>偶</w:t>
            </w:r>
            <w:r>
              <w:rPr>
                <w:rFonts w:ascii="Times New Roman"/>
                <w:color w:val="auto"/>
                <w:sz w:val="21"/>
                <w:szCs w:val="21"/>
              </w:rPr>
              <w:t>有部分敞开）</w:t>
            </w:r>
            <w:r>
              <w:rPr>
                <w:rFonts w:hint="eastAsia" w:ascii="Times New Roman"/>
                <w:color w:val="auto"/>
                <w:sz w:val="21"/>
                <w:szCs w:val="21"/>
              </w:rPr>
              <w:t>的</w:t>
            </w:r>
            <w:r>
              <w:rPr>
                <w:rFonts w:ascii="Times New Roman"/>
                <w:color w:val="auto"/>
                <w:sz w:val="21"/>
                <w:szCs w:val="21"/>
              </w:rPr>
              <w:t>包围型集气罩</w:t>
            </w:r>
            <w:r>
              <w:rPr>
                <w:rFonts w:hint="eastAsia" w:ascii="Times New Roman"/>
                <w:color w:val="auto"/>
                <w:sz w:val="21"/>
                <w:szCs w:val="21"/>
              </w:rPr>
              <w:t>，</w:t>
            </w:r>
            <w:r>
              <w:rPr>
                <w:rFonts w:ascii="Times New Roman"/>
                <w:color w:val="auto"/>
                <w:sz w:val="21"/>
                <w:szCs w:val="21"/>
              </w:rPr>
              <w:t>敞开</w:t>
            </w:r>
            <w:r>
              <w:rPr>
                <w:rFonts w:hint="eastAsia" w:ascii="Times New Roman"/>
                <w:color w:val="auto"/>
                <w:sz w:val="21"/>
                <w:szCs w:val="21"/>
              </w:rPr>
              <w:t>面</w:t>
            </w:r>
            <w:r>
              <w:rPr>
                <w:rFonts w:ascii="Times New Roman"/>
                <w:color w:val="auto"/>
                <w:sz w:val="21"/>
                <w:szCs w:val="21"/>
              </w:rPr>
              <w:t>控制风速0.5</w:t>
            </w:r>
            <w:r>
              <w:rPr>
                <w:rFonts w:hint="eastAsia" w:ascii="Times New Roman"/>
                <w:color w:val="auto"/>
                <w:sz w:val="21"/>
                <w:szCs w:val="21"/>
              </w:rPr>
              <w:t>m/s，参照《广东省工业源挥发性有机物减排量核算方法（试行）》，采</w:t>
            </w:r>
            <w:r>
              <w:rPr>
                <w:rFonts w:ascii="Times New Roman"/>
                <w:color w:val="auto"/>
                <w:sz w:val="21"/>
                <w:szCs w:val="21"/>
              </w:rPr>
              <w:t>用上述集气设备，废气收集效率</w:t>
            </w:r>
            <w:r>
              <w:rPr>
                <w:rFonts w:hint="eastAsia" w:ascii="Times New Roman"/>
                <w:color w:val="auto"/>
                <w:sz w:val="21"/>
                <w:szCs w:val="21"/>
              </w:rPr>
              <w:t>约</w:t>
            </w:r>
            <w:r>
              <w:rPr>
                <w:rFonts w:ascii="Times New Roman" w:hAnsi="Times New Roman"/>
                <w:color w:val="auto"/>
                <w:sz w:val="21"/>
                <w:szCs w:val="21"/>
              </w:rPr>
              <w:t>60%。</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根据《深圳市典型行业工艺废气排污量核算方法（试行）》表6挥发性有机物治理设施及达标要求，活性炭吸附治理效率为70%，</w:t>
            </w:r>
            <w:r>
              <w:rPr>
                <w:rFonts w:hint="eastAsia" w:ascii="Times New Roman" w:hAnsi="Times New Roman"/>
                <w:color w:val="auto"/>
                <w:sz w:val="21"/>
                <w:szCs w:val="21"/>
              </w:rPr>
              <w:t>本项目贴合、植皮、印刷、烘干</w:t>
            </w:r>
            <w:r>
              <w:rPr>
                <w:rFonts w:ascii="Times New Roman" w:hAnsi="Times New Roman"/>
                <w:color w:val="auto"/>
                <w:sz w:val="21"/>
                <w:szCs w:val="21"/>
              </w:rPr>
              <w:t>废气采用两级活性炭吸附设施进行处理，</w:t>
            </w:r>
            <w:r>
              <w:rPr>
                <w:rFonts w:hint="eastAsia" w:ascii="Times New Roman" w:hAnsi="Times New Roman"/>
                <w:color w:val="auto"/>
                <w:sz w:val="21"/>
                <w:szCs w:val="21"/>
              </w:rPr>
              <w:t>理论</w:t>
            </w:r>
            <w:r>
              <w:rPr>
                <w:rFonts w:ascii="Times New Roman" w:hAnsi="Times New Roman"/>
                <w:color w:val="auto"/>
                <w:sz w:val="21"/>
                <w:szCs w:val="21"/>
              </w:rPr>
              <w:t>去除率为</w:t>
            </w:r>
            <w:r>
              <w:rPr>
                <w:rFonts w:hint="eastAsia" w:ascii="Times New Roman" w:hAnsi="Times New Roman"/>
                <w:color w:val="auto"/>
                <w:sz w:val="21"/>
                <w:szCs w:val="21"/>
              </w:rPr>
              <w:t>70</w:t>
            </w:r>
            <w:r>
              <w:rPr>
                <w:rFonts w:ascii="Times New Roman" w:hAnsi="Times New Roman"/>
                <w:color w:val="auto"/>
                <w:sz w:val="21"/>
                <w:szCs w:val="21"/>
              </w:rPr>
              <w:t>%+30%*70%=</w:t>
            </w:r>
            <w:r>
              <w:rPr>
                <w:rFonts w:hint="eastAsia" w:ascii="Times New Roman" w:hAnsi="Times New Roman"/>
                <w:color w:val="auto"/>
                <w:sz w:val="21"/>
                <w:szCs w:val="21"/>
              </w:rPr>
              <w:t>91</w:t>
            </w:r>
            <w:r>
              <w:rPr>
                <w:rFonts w:ascii="Times New Roman" w:hAnsi="Times New Roman"/>
                <w:color w:val="auto"/>
                <w:sz w:val="21"/>
                <w:szCs w:val="21"/>
              </w:rPr>
              <w:t>%，本报告</w:t>
            </w:r>
            <w:r>
              <w:rPr>
                <w:rFonts w:hint="eastAsia" w:ascii="Times New Roman" w:hAnsi="Times New Roman"/>
                <w:color w:val="auto"/>
                <w:sz w:val="21"/>
                <w:szCs w:val="21"/>
              </w:rPr>
              <w:t>保守</w:t>
            </w:r>
            <w:r>
              <w:rPr>
                <w:rFonts w:ascii="Times New Roman" w:hAnsi="Times New Roman"/>
                <w:color w:val="auto"/>
                <w:sz w:val="21"/>
                <w:szCs w:val="21"/>
              </w:rPr>
              <w:t>取80%。</w:t>
            </w:r>
          </w:p>
          <w:p>
            <w:pPr>
              <w:pStyle w:val="79"/>
              <w:adjustRightInd w:val="0"/>
              <w:snapToGrid w:val="0"/>
              <w:spacing w:line="360" w:lineRule="auto"/>
              <w:ind w:firstLine="420"/>
              <w:rPr>
                <w:bCs/>
                <w:kern w:val="2"/>
                <w:sz w:val="21"/>
              </w:rPr>
            </w:pPr>
            <w:r>
              <w:rPr>
                <w:rFonts w:hint="eastAsia"/>
                <w:kern w:val="2"/>
                <w:sz w:val="21"/>
              </w:rPr>
              <w:t>综上</w:t>
            </w:r>
            <w:r>
              <w:rPr>
                <w:kern w:val="2"/>
                <w:sz w:val="21"/>
              </w:rPr>
              <w:t>所述，</w:t>
            </w:r>
            <w:r>
              <w:rPr>
                <w:rFonts w:hint="eastAsia"/>
                <w:kern w:val="2"/>
                <w:sz w:val="21"/>
              </w:rPr>
              <w:t>经</w:t>
            </w:r>
            <w:r>
              <w:rPr>
                <w:kern w:val="2"/>
                <w:sz w:val="21"/>
              </w:rPr>
              <w:t>处理后，项目</w:t>
            </w:r>
            <w:r>
              <w:rPr>
                <w:rFonts w:hint="eastAsia"/>
                <w:sz w:val="21"/>
                <w:szCs w:val="21"/>
              </w:rPr>
              <w:t>贴合、植皮、印刷、烘干工序VOCs</w:t>
            </w:r>
            <w:r>
              <w:rPr>
                <w:rFonts w:hint="eastAsia"/>
                <w:bCs/>
                <w:kern w:val="2"/>
                <w:sz w:val="21"/>
              </w:rPr>
              <w:t>有组织</w:t>
            </w:r>
            <w:r>
              <w:rPr>
                <w:bCs/>
                <w:kern w:val="2"/>
                <w:sz w:val="21"/>
              </w:rPr>
              <w:t>排放量为0.0276t/a，排放速率为0.0115kg/h，排放浓度为0.33mg/m</w:t>
            </w:r>
            <w:r>
              <w:rPr>
                <w:bCs/>
                <w:kern w:val="2"/>
                <w:sz w:val="21"/>
                <w:vertAlign w:val="superscript"/>
              </w:rPr>
              <w:t>3</w:t>
            </w:r>
            <w:r>
              <w:rPr>
                <w:bCs/>
                <w:kern w:val="2"/>
                <w:sz w:val="21"/>
              </w:rPr>
              <w:t>，</w:t>
            </w:r>
            <w:r>
              <w:rPr>
                <w:rFonts w:hint="eastAsia"/>
                <w:bCs/>
                <w:kern w:val="2"/>
                <w:sz w:val="21"/>
              </w:rPr>
              <w:t>无组织</w:t>
            </w:r>
            <w:r>
              <w:rPr>
                <w:bCs/>
                <w:kern w:val="2"/>
                <w:sz w:val="21"/>
              </w:rPr>
              <w:t>排放量为0.092t/a，排放速率为0.0383kg/h。</w:t>
            </w:r>
          </w:p>
          <w:p>
            <w:pPr>
              <w:adjustRightInd w:val="0"/>
              <w:snapToGrid w:val="0"/>
              <w:spacing w:line="360" w:lineRule="auto"/>
              <w:ind w:firstLine="422" w:firstLineChars="200"/>
              <w:rPr>
                <w:b/>
                <w:szCs w:val="21"/>
              </w:rPr>
            </w:pPr>
            <w:r>
              <w:rPr>
                <w:rFonts w:hint="eastAsia"/>
                <w:b/>
                <w:szCs w:val="21"/>
              </w:rPr>
              <w:t>（2）</w:t>
            </w:r>
            <w:r>
              <w:rPr>
                <w:b/>
                <w:szCs w:val="21"/>
              </w:rPr>
              <w:t>排放口情况</w:t>
            </w:r>
          </w:p>
          <w:p>
            <w:pPr>
              <w:numPr>
                <w:ilvl w:val="0"/>
                <w:numId w:val="2"/>
              </w:numPr>
              <w:adjustRightInd w:val="0"/>
              <w:snapToGrid w:val="0"/>
              <w:spacing w:line="360" w:lineRule="auto"/>
              <w:ind w:left="0"/>
              <w:jc w:val="center"/>
              <w:rPr>
                <w:b/>
                <w:szCs w:val="21"/>
              </w:rPr>
            </w:pPr>
            <w:r>
              <w:rPr>
                <w:b/>
                <w:szCs w:val="21"/>
              </w:rPr>
              <w:t>项目排气筒基本情况一览表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59"/>
              <w:gridCol w:w="970"/>
              <w:gridCol w:w="1249"/>
              <w:gridCol w:w="1179"/>
              <w:gridCol w:w="764"/>
              <w:gridCol w:w="764"/>
              <w:gridCol w:w="849"/>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Merge w:val="restart"/>
                  <w:vAlign w:val="center"/>
                </w:tcPr>
                <w:p>
                  <w:pPr>
                    <w:jc w:val="center"/>
                    <w:rPr>
                      <w:b/>
                      <w:bCs/>
                      <w:sz w:val="18"/>
                      <w:szCs w:val="18"/>
                    </w:rPr>
                  </w:pPr>
                  <w:r>
                    <w:rPr>
                      <w:b/>
                      <w:bCs/>
                      <w:sz w:val="18"/>
                      <w:szCs w:val="18"/>
                    </w:rPr>
                    <w:t>排放口编号</w:t>
                  </w:r>
                </w:p>
              </w:tc>
              <w:tc>
                <w:tcPr>
                  <w:tcW w:w="629" w:type="pct"/>
                  <w:vMerge w:val="restart"/>
                  <w:vAlign w:val="center"/>
                </w:tcPr>
                <w:p>
                  <w:pPr>
                    <w:jc w:val="center"/>
                    <w:rPr>
                      <w:b/>
                      <w:bCs/>
                      <w:sz w:val="18"/>
                      <w:szCs w:val="18"/>
                    </w:rPr>
                  </w:pPr>
                  <w:r>
                    <w:rPr>
                      <w:b/>
                      <w:bCs/>
                      <w:sz w:val="18"/>
                      <w:szCs w:val="18"/>
                    </w:rPr>
                    <w:t>排放口名称</w:t>
                  </w:r>
                </w:p>
              </w:tc>
              <w:tc>
                <w:tcPr>
                  <w:tcW w:w="576" w:type="pct"/>
                  <w:vMerge w:val="restart"/>
                  <w:vAlign w:val="center"/>
                </w:tcPr>
                <w:p>
                  <w:pPr>
                    <w:jc w:val="center"/>
                    <w:rPr>
                      <w:b/>
                      <w:bCs/>
                      <w:sz w:val="18"/>
                      <w:szCs w:val="18"/>
                    </w:rPr>
                  </w:pPr>
                  <w:r>
                    <w:rPr>
                      <w:b/>
                      <w:bCs/>
                      <w:sz w:val="18"/>
                      <w:szCs w:val="18"/>
                    </w:rPr>
                    <w:t>污染物种类</w:t>
                  </w:r>
                </w:p>
              </w:tc>
              <w:tc>
                <w:tcPr>
                  <w:tcW w:w="1442" w:type="pct"/>
                  <w:gridSpan w:val="2"/>
                  <w:vAlign w:val="center"/>
                </w:tcPr>
                <w:p>
                  <w:pPr>
                    <w:jc w:val="center"/>
                    <w:rPr>
                      <w:b/>
                      <w:bCs/>
                      <w:sz w:val="18"/>
                      <w:szCs w:val="18"/>
                    </w:rPr>
                  </w:pPr>
                  <w:r>
                    <w:rPr>
                      <w:b/>
                      <w:bCs/>
                      <w:sz w:val="18"/>
                      <w:szCs w:val="18"/>
                    </w:rPr>
                    <w:t>排放口地理坐标</w:t>
                  </w:r>
                </w:p>
              </w:tc>
              <w:tc>
                <w:tcPr>
                  <w:tcW w:w="454" w:type="pct"/>
                  <w:vMerge w:val="restart"/>
                  <w:vAlign w:val="center"/>
                </w:tcPr>
                <w:p>
                  <w:pPr>
                    <w:jc w:val="center"/>
                    <w:rPr>
                      <w:sz w:val="18"/>
                      <w:szCs w:val="18"/>
                    </w:rPr>
                  </w:pPr>
                  <w:r>
                    <w:rPr>
                      <w:b/>
                      <w:bCs/>
                      <w:sz w:val="18"/>
                      <w:szCs w:val="18"/>
                    </w:rPr>
                    <w:t>排气筒高度（m）</w:t>
                  </w:r>
                </w:p>
              </w:tc>
              <w:tc>
                <w:tcPr>
                  <w:tcW w:w="454" w:type="pct"/>
                  <w:vMerge w:val="restart"/>
                  <w:vAlign w:val="center"/>
                </w:tcPr>
                <w:p>
                  <w:pPr>
                    <w:jc w:val="center"/>
                    <w:rPr>
                      <w:b/>
                      <w:bCs/>
                      <w:sz w:val="18"/>
                      <w:szCs w:val="18"/>
                    </w:rPr>
                  </w:pPr>
                  <w:r>
                    <w:rPr>
                      <w:b/>
                      <w:bCs/>
                      <w:sz w:val="18"/>
                      <w:szCs w:val="18"/>
                    </w:rPr>
                    <w:t>排气筒出口内径（m）</w:t>
                  </w:r>
                </w:p>
              </w:tc>
              <w:tc>
                <w:tcPr>
                  <w:tcW w:w="504" w:type="pct"/>
                  <w:vMerge w:val="restart"/>
                  <w:vAlign w:val="center"/>
                </w:tcPr>
                <w:p>
                  <w:pPr>
                    <w:jc w:val="center"/>
                    <w:rPr>
                      <w:b/>
                      <w:bCs/>
                      <w:sz w:val="18"/>
                      <w:szCs w:val="18"/>
                    </w:rPr>
                  </w:pPr>
                  <w:r>
                    <w:rPr>
                      <w:rFonts w:hint="eastAsia"/>
                      <w:b/>
                      <w:bCs/>
                      <w:sz w:val="18"/>
                      <w:szCs w:val="18"/>
                    </w:rPr>
                    <w:t>烟气流速（m/s）</w:t>
                  </w:r>
                </w:p>
              </w:tc>
              <w:tc>
                <w:tcPr>
                  <w:tcW w:w="474" w:type="pct"/>
                  <w:vMerge w:val="restart"/>
                  <w:vAlign w:val="center"/>
                </w:tcPr>
                <w:p>
                  <w:pPr>
                    <w:jc w:val="center"/>
                    <w:rPr>
                      <w:b/>
                      <w:bCs/>
                      <w:sz w:val="18"/>
                      <w:szCs w:val="18"/>
                    </w:rPr>
                  </w:pPr>
                  <w:r>
                    <w:rPr>
                      <w:b/>
                      <w:bCs/>
                      <w:sz w:val="18"/>
                      <w:szCs w:val="18"/>
                    </w:rPr>
                    <w:t>排气温度（</w:t>
                  </w:r>
                  <w:r>
                    <w:rPr>
                      <w:rFonts w:hint="eastAsia" w:ascii="宋体" w:hAnsi="宋体" w:cs="宋体"/>
                      <w:b/>
                      <w:bCs/>
                      <w:sz w:val="18"/>
                      <w:szCs w:val="18"/>
                    </w:rPr>
                    <w:t>℃</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Merge w:val="continue"/>
                  <w:vAlign w:val="center"/>
                </w:tcPr>
                <w:p>
                  <w:pPr>
                    <w:widowControl/>
                    <w:jc w:val="center"/>
                    <w:rPr>
                      <w:sz w:val="18"/>
                      <w:szCs w:val="18"/>
                    </w:rPr>
                  </w:pPr>
                </w:p>
              </w:tc>
              <w:tc>
                <w:tcPr>
                  <w:tcW w:w="629" w:type="pct"/>
                  <w:vMerge w:val="continue"/>
                  <w:vAlign w:val="center"/>
                </w:tcPr>
                <w:p>
                  <w:pPr>
                    <w:widowControl/>
                    <w:jc w:val="center"/>
                    <w:rPr>
                      <w:sz w:val="18"/>
                      <w:szCs w:val="18"/>
                    </w:rPr>
                  </w:pPr>
                </w:p>
              </w:tc>
              <w:tc>
                <w:tcPr>
                  <w:tcW w:w="576" w:type="pct"/>
                  <w:vMerge w:val="continue"/>
                  <w:vAlign w:val="center"/>
                </w:tcPr>
                <w:p>
                  <w:pPr>
                    <w:widowControl/>
                    <w:jc w:val="center"/>
                    <w:rPr>
                      <w:sz w:val="18"/>
                      <w:szCs w:val="18"/>
                    </w:rPr>
                  </w:pPr>
                </w:p>
              </w:tc>
              <w:tc>
                <w:tcPr>
                  <w:tcW w:w="742" w:type="pct"/>
                  <w:vAlign w:val="center"/>
                </w:tcPr>
                <w:p>
                  <w:pPr>
                    <w:jc w:val="center"/>
                    <w:rPr>
                      <w:b/>
                      <w:bCs/>
                      <w:sz w:val="18"/>
                      <w:szCs w:val="18"/>
                    </w:rPr>
                  </w:pPr>
                  <w:r>
                    <w:rPr>
                      <w:b/>
                      <w:bCs/>
                      <w:sz w:val="18"/>
                      <w:szCs w:val="18"/>
                    </w:rPr>
                    <w:t>经度</w:t>
                  </w:r>
                </w:p>
              </w:tc>
              <w:tc>
                <w:tcPr>
                  <w:tcW w:w="700" w:type="pct"/>
                  <w:vAlign w:val="center"/>
                </w:tcPr>
                <w:p>
                  <w:pPr>
                    <w:jc w:val="center"/>
                    <w:rPr>
                      <w:b/>
                      <w:bCs/>
                      <w:sz w:val="18"/>
                      <w:szCs w:val="18"/>
                    </w:rPr>
                  </w:pPr>
                  <w:r>
                    <w:rPr>
                      <w:b/>
                      <w:bCs/>
                      <w:sz w:val="18"/>
                      <w:szCs w:val="18"/>
                    </w:rPr>
                    <w:t>纬度</w:t>
                  </w:r>
                </w:p>
              </w:tc>
              <w:tc>
                <w:tcPr>
                  <w:tcW w:w="454" w:type="pct"/>
                  <w:vMerge w:val="continue"/>
                  <w:vAlign w:val="center"/>
                </w:tcPr>
                <w:p>
                  <w:pPr>
                    <w:jc w:val="center"/>
                    <w:rPr>
                      <w:sz w:val="18"/>
                      <w:szCs w:val="18"/>
                    </w:rPr>
                  </w:pPr>
                </w:p>
              </w:tc>
              <w:tc>
                <w:tcPr>
                  <w:tcW w:w="454" w:type="pct"/>
                  <w:vMerge w:val="continue"/>
                  <w:vAlign w:val="center"/>
                </w:tcPr>
                <w:p>
                  <w:pPr>
                    <w:widowControl/>
                    <w:jc w:val="center"/>
                    <w:rPr>
                      <w:sz w:val="18"/>
                      <w:szCs w:val="18"/>
                    </w:rPr>
                  </w:pPr>
                </w:p>
              </w:tc>
              <w:tc>
                <w:tcPr>
                  <w:tcW w:w="504" w:type="pct"/>
                  <w:vMerge w:val="continue"/>
                  <w:vAlign w:val="center"/>
                </w:tcPr>
                <w:p>
                  <w:pPr>
                    <w:widowControl/>
                    <w:jc w:val="center"/>
                    <w:rPr>
                      <w:sz w:val="18"/>
                      <w:szCs w:val="18"/>
                    </w:rPr>
                  </w:pPr>
                </w:p>
              </w:tc>
              <w:tc>
                <w:tcPr>
                  <w:tcW w:w="474" w:type="pct"/>
                  <w:vMerge w:val="continue"/>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sz w:val="18"/>
                      <w:szCs w:val="18"/>
                    </w:rPr>
                    <w:t>DA001</w:t>
                  </w:r>
                </w:p>
              </w:tc>
              <w:tc>
                <w:tcPr>
                  <w:tcW w:w="629" w:type="pct"/>
                  <w:vAlign w:val="center"/>
                </w:tcPr>
                <w:p>
                  <w:pPr>
                    <w:adjustRightInd w:val="0"/>
                    <w:snapToGrid w:val="0"/>
                    <w:jc w:val="center"/>
                    <w:rPr>
                      <w:sz w:val="18"/>
                      <w:szCs w:val="18"/>
                    </w:rPr>
                  </w:pPr>
                  <w:r>
                    <w:rPr>
                      <w:rFonts w:hint="eastAsia"/>
                      <w:sz w:val="18"/>
                      <w:szCs w:val="18"/>
                    </w:rPr>
                    <w:t>挤出废气</w:t>
                  </w:r>
                  <w:r>
                    <w:rPr>
                      <w:sz w:val="18"/>
                      <w:szCs w:val="18"/>
                    </w:rPr>
                    <w:t>排放口</w:t>
                  </w:r>
                </w:p>
              </w:tc>
              <w:tc>
                <w:tcPr>
                  <w:tcW w:w="576" w:type="pct"/>
                  <w:vAlign w:val="center"/>
                </w:tcPr>
                <w:p>
                  <w:pPr>
                    <w:adjustRightInd w:val="0"/>
                    <w:snapToGrid w:val="0"/>
                    <w:jc w:val="center"/>
                    <w:rPr>
                      <w:sz w:val="18"/>
                      <w:szCs w:val="18"/>
                    </w:rPr>
                  </w:pPr>
                  <w:r>
                    <w:rPr>
                      <w:sz w:val="18"/>
                      <w:szCs w:val="18"/>
                    </w:rPr>
                    <w:t>非甲烷总烃</w:t>
                  </w:r>
                </w:p>
              </w:tc>
              <w:tc>
                <w:tcPr>
                  <w:tcW w:w="742" w:type="pct"/>
                  <w:vAlign w:val="center"/>
                </w:tcPr>
                <w:p>
                  <w:pPr>
                    <w:adjustRightInd w:val="0"/>
                    <w:snapToGrid w:val="0"/>
                    <w:jc w:val="center"/>
                    <w:rPr>
                      <w:sz w:val="18"/>
                      <w:szCs w:val="18"/>
                    </w:rPr>
                  </w:pPr>
                  <w:r>
                    <w:rPr>
                      <w:sz w:val="18"/>
                      <w:szCs w:val="18"/>
                    </w:rPr>
                    <w:t>E 114.43355°</w:t>
                  </w:r>
                </w:p>
              </w:tc>
              <w:tc>
                <w:tcPr>
                  <w:tcW w:w="700" w:type="pct"/>
                  <w:vAlign w:val="center"/>
                </w:tcPr>
                <w:p>
                  <w:pPr>
                    <w:adjustRightInd w:val="0"/>
                    <w:snapToGrid w:val="0"/>
                    <w:jc w:val="center"/>
                    <w:rPr>
                      <w:sz w:val="18"/>
                      <w:szCs w:val="18"/>
                    </w:rPr>
                  </w:pPr>
                  <w:r>
                    <w:rPr>
                      <w:sz w:val="18"/>
                      <w:szCs w:val="18"/>
                    </w:rPr>
                    <w:t>N</w:t>
                  </w:r>
                  <w:r>
                    <w:t xml:space="preserve"> </w:t>
                  </w:r>
                  <w:r>
                    <w:rPr>
                      <w:sz w:val="18"/>
                      <w:szCs w:val="18"/>
                    </w:rPr>
                    <w:t>23.40638°</w:t>
                  </w:r>
                </w:p>
              </w:tc>
              <w:tc>
                <w:tcPr>
                  <w:tcW w:w="454" w:type="pct"/>
                  <w:vAlign w:val="center"/>
                </w:tcPr>
                <w:p>
                  <w:pPr>
                    <w:jc w:val="center"/>
                    <w:rPr>
                      <w:sz w:val="18"/>
                      <w:szCs w:val="18"/>
                    </w:rPr>
                  </w:pPr>
                  <w:r>
                    <w:rPr>
                      <w:sz w:val="18"/>
                      <w:szCs w:val="18"/>
                    </w:rPr>
                    <w:t>15</w:t>
                  </w:r>
                </w:p>
              </w:tc>
              <w:tc>
                <w:tcPr>
                  <w:tcW w:w="454" w:type="pct"/>
                  <w:vAlign w:val="center"/>
                </w:tcPr>
                <w:p>
                  <w:pPr>
                    <w:jc w:val="center"/>
                    <w:rPr>
                      <w:sz w:val="18"/>
                      <w:szCs w:val="18"/>
                    </w:rPr>
                  </w:pPr>
                  <w:r>
                    <w:rPr>
                      <w:sz w:val="18"/>
                      <w:szCs w:val="18"/>
                    </w:rPr>
                    <w:t>0.4</w:t>
                  </w:r>
                </w:p>
              </w:tc>
              <w:tc>
                <w:tcPr>
                  <w:tcW w:w="504" w:type="pct"/>
                  <w:vAlign w:val="center"/>
                </w:tcPr>
                <w:p>
                  <w:pPr>
                    <w:jc w:val="center"/>
                    <w:rPr>
                      <w:sz w:val="18"/>
                      <w:szCs w:val="18"/>
                    </w:rPr>
                  </w:pPr>
                  <w:r>
                    <w:rPr>
                      <w:sz w:val="18"/>
                      <w:szCs w:val="18"/>
                    </w:rPr>
                    <w:t>11.06</w:t>
                  </w:r>
                </w:p>
              </w:tc>
              <w:tc>
                <w:tcPr>
                  <w:tcW w:w="474" w:type="pct"/>
                  <w:vAlign w:val="center"/>
                </w:tcPr>
                <w:p>
                  <w:pPr>
                    <w:jc w:val="center"/>
                    <w:rPr>
                      <w:sz w:val="18"/>
                      <w:szCs w:val="18"/>
                    </w:rPr>
                  </w:pPr>
                  <w:r>
                    <w:rPr>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rFonts w:hint="eastAsia"/>
                      <w:sz w:val="18"/>
                      <w:szCs w:val="18"/>
                    </w:rPr>
                    <w:t>DA002</w:t>
                  </w:r>
                </w:p>
              </w:tc>
              <w:tc>
                <w:tcPr>
                  <w:tcW w:w="629" w:type="pct"/>
                  <w:vAlign w:val="center"/>
                </w:tcPr>
                <w:p>
                  <w:pPr>
                    <w:adjustRightInd w:val="0"/>
                    <w:snapToGrid w:val="0"/>
                    <w:jc w:val="center"/>
                    <w:rPr>
                      <w:sz w:val="18"/>
                      <w:szCs w:val="18"/>
                    </w:rPr>
                  </w:pPr>
                  <w:r>
                    <w:rPr>
                      <w:rFonts w:hint="eastAsia"/>
                      <w:sz w:val="18"/>
                      <w:szCs w:val="18"/>
                    </w:rPr>
                    <w:t>贴合、植皮、印刷、烘干</w:t>
                  </w:r>
                  <w:r>
                    <w:rPr>
                      <w:sz w:val="18"/>
                      <w:szCs w:val="18"/>
                    </w:rPr>
                    <w:t>废气</w:t>
                  </w:r>
                  <w:r>
                    <w:rPr>
                      <w:rFonts w:hint="eastAsia"/>
                      <w:sz w:val="18"/>
                      <w:szCs w:val="18"/>
                    </w:rPr>
                    <w:t>废气</w:t>
                  </w:r>
                  <w:r>
                    <w:rPr>
                      <w:sz w:val="18"/>
                      <w:szCs w:val="18"/>
                    </w:rPr>
                    <w:t>排放口</w:t>
                  </w:r>
                </w:p>
              </w:tc>
              <w:tc>
                <w:tcPr>
                  <w:tcW w:w="576" w:type="pct"/>
                  <w:vAlign w:val="center"/>
                </w:tcPr>
                <w:p>
                  <w:pPr>
                    <w:adjustRightInd w:val="0"/>
                    <w:snapToGrid w:val="0"/>
                    <w:jc w:val="center"/>
                    <w:rPr>
                      <w:sz w:val="18"/>
                      <w:szCs w:val="18"/>
                    </w:rPr>
                  </w:pPr>
                  <w:r>
                    <w:rPr>
                      <w:rFonts w:hint="eastAsia"/>
                      <w:sz w:val="18"/>
                      <w:szCs w:val="18"/>
                    </w:rPr>
                    <w:t>V</w:t>
                  </w:r>
                  <w:r>
                    <w:rPr>
                      <w:sz w:val="18"/>
                      <w:szCs w:val="18"/>
                    </w:rPr>
                    <w:t>OCs</w:t>
                  </w:r>
                </w:p>
              </w:tc>
              <w:tc>
                <w:tcPr>
                  <w:tcW w:w="742" w:type="pct"/>
                  <w:vAlign w:val="center"/>
                </w:tcPr>
                <w:p>
                  <w:pPr>
                    <w:jc w:val="center"/>
                    <w:rPr>
                      <w:sz w:val="18"/>
                      <w:szCs w:val="18"/>
                    </w:rPr>
                  </w:pPr>
                  <w:r>
                    <w:rPr>
                      <w:sz w:val="18"/>
                      <w:szCs w:val="18"/>
                    </w:rPr>
                    <w:t>E</w:t>
                  </w:r>
                  <w:r>
                    <w:t xml:space="preserve"> </w:t>
                  </w:r>
                  <w:r>
                    <w:rPr>
                      <w:sz w:val="18"/>
                      <w:szCs w:val="18"/>
                    </w:rPr>
                    <w:t>114.43381°</w:t>
                  </w:r>
                </w:p>
              </w:tc>
              <w:tc>
                <w:tcPr>
                  <w:tcW w:w="700" w:type="pct"/>
                  <w:vAlign w:val="center"/>
                </w:tcPr>
                <w:p>
                  <w:pPr>
                    <w:adjustRightInd w:val="0"/>
                    <w:snapToGrid w:val="0"/>
                    <w:jc w:val="center"/>
                    <w:rPr>
                      <w:sz w:val="18"/>
                      <w:szCs w:val="18"/>
                    </w:rPr>
                  </w:pPr>
                  <w:r>
                    <w:rPr>
                      <w:sz w:val="18"/>
                      <w:szCs w:val="18"/>
                    </w:rPr>
                    <w:t>N</w:t>
                  </w:r>
                  <w:r>
                    <w:t xml:space="preserve"> </w:t>
                  </w:r>
                  <w:r>
                    <w:rPr>
                      <w:sz w:val="18"/>
                      <w:szCs w:val="18"/>
                    </w:rPr>
                    <w:t>23.40665°</w:t>
                  </w:r>
                </w:p>
              </w:tc>
              <w:tc>
                <w:tcPr>
                  <w:tcW w:w="454" w:type="pct"/>
                  <w:vAlign w:val="center"/>
                </w:tcPr>
                <w:p>
                  <w:pPr>
                    <w:jc w:val="center"/>
                    <w:rPr>
                      <w:sz w:val="18"/>
                      <w:szCs w:val="18"/>
                    </w:rPr>
                  </w:pPr>
                  <w:r>
                    <w:rPr>
                      <w:rFonts w:hint="eastAsia"/>
                      <w:sz w:val="18"/>
                      <w:szCs w:val="18"/>
                    </w:rPr>
                    <w:t>15</w:t>
                  </w:r>
                </w:p>
              </w:tc>
              <w:tc>
                <w:tcPr>
                  <w:tcW w:w="454" w:type="pct"/>
                  <w:vAlign w:val="center"/>
                </w:tcPr>
                <w:p>
                  <w:pPr>
                    <w:jc w:val="center"/>
                    <w:rPr>
                      <w:sz w:val="18"/>
                      <w:szCs w:val="18"/>
                    </w:rPr>
                  </w:pPr>
                  <w:r>
                    <w:rPr>
                      <w:rFonts w:hint="eastAsia"/>
                      <w:sz w:val="18"/>
                      <w:szCs w:val="18"/>
                    </w:rPr>
                    <w:t>0.</w:t>
                  </w:r>
                  <w:r>
                    <w:rPr>
                      <w:sz w:val="18"/>
                      <w:szCs w:val="18"/>
                    </w:rPr>
                    <w:t>8</w:t>
                  </w:r>
                </w:p>
              </w:tc>
              <w:tc>
                <w:tcPr>
                  <w:tcW w:w="504" w:type="pct"/>
                  <w:vAlign w:val="center"/>
                </w:tcPr>
                <w:p>
                  <w:pPr>
                    <w:jc w:val="center"/>
                    <w:rPr>
                      <w:sz w:val="18"/>
                      <w:szCs w:val="18"/>
                    </w:rPr>
                  </w:pPr>
                  <w:r>
                    <w:rPr>
                      <w:sz w:val="18"/>
                      <w:szCs w:val="18"/>
                    </w:rPr>
                    <w:t>19.35</w:t>
                  </w:r>
                </w:p>
              </w:tc>
              <w:tc>
                <w:tcPr>
                  <w:tcW w:w="474" w:type="pct"/>
                  <w:vAlign w:val="center"/>
                </w:tcPr>
                <w:p>
                  <w:pPr>
                    <w:jc w:val="center"/>
                    <w:rPr>
                      <w:sz w:val="18"/>
                      <w:szCs w:val="18"/>
                    </w:rPr>
                  </w:pPr>
                  <w:r>
                    <w:rPr>
                      <w:sz w:val="18"/>
                      <w:szCs w:val="18"/>
                    </w:rPr>
                    <w:t>25</w:t>
                  </w:r>
                </w:p>
              </w:tc>
            </w:tr>
          </w:tbl>
          <w:p>
            <w:pPr>
              <w:spacing w:line="360" w:lineRule="auto"/>
              <w:ind w:firstLine="422" w:firstLineChars="200"/>
              <w:rPr>
                <w:b/>
                <w:szCs w:val="21"/>
              </w:rPr>
            </w:pPr>
            <w:r>
              <w:rPr>
                <w:rFonts w:hint="eastAsia"/>
                <w:b/>
                <w:szCs w:val="21"/>
              </w:rPr>
              <w:t>（3）</w:t>
            </w:r>
            <w:r>
              <w:rPr>
                <w:b/>
                <w:szCs w:val="21"/>
              </w:rPr>
              <w:t>监测要求</w:t>
            </w:r>
          </w:p>
          <w:p>
            <w:pPr>
              <w:adjustRightInd w:val="0"/>
              <w:snapToGrid w:val="0"/>
              <w:spacing w:line="360" w:lineRule="auto"/>
              <w:ind w:firstLine="420" w:firstLineChars="200"/>
              <w:rPr>
                <w:szCs w:val="21"/>
              </w:rPr>
            </w:pPr>
            <w:r>
              <w:rPr>
                <w:szCs w:val="21"/>
              </w:rPr>
              <w:t>根据</w:t>
            </w:r>
            <w:r>
              <w:rPr>
                <w:bCs/>
                <w:szCs w:val="21"/>
              </w:rPr>
              <w:t>《固定污染源排污许可分类管理名录（2019年版）》（部令第11号），本项目属于登记管理类排污单位，</w:t>
            </w:r>
            <w:r>
              <w:rPr>
                <w:rFonts w:hint="eastAsia"/>
                <w:szCs w:val="21"/>
              </w:rPr>
              <w:t>参照</w:t>
            </w:r>
            <w:r>
              <w:rPr>
                <w:szCs w:val="21"/>
              </w:rPr>
              <w:t xml:space="preserve">《排污单位自行监测技术指南 </w:t>
            </w:r>
            <w:r>
              <w:rPr>
                <w:rFonts w:hint="eastAsia"/>
                <w:szCs w:val="21"/>
              </w:rPr>
              <w:t>总则</w:t>
            </w:r>
            <w:r>
              <w:rPr>
                <w:szCs w:val="21"/>
              </w:rPr>
              <w:t>》</w:t>
            </w:r>
            <w:r>
              <w:rPr>
                <w:rFonts w:hint="eastAsia"/>
                <w:szCs w:val="21"/>
              </w:rPr>
              <w:t>（</w:t>
            </w:r>
            <w:r>
              <w:rPr>
                <w:szCs w:val="21"/>
              </w:rPr>
              <w:t>HJ 819-2017</w:t>
            </w:r>
            <w:r>
              <w:rPr>
                <w:rFonts w:hint="eastAsia"/>
                <w:szCs w:val="21"/>
              </w:rPr>
              <w:t>）、《排污许可证申请与核发技术规范 橡胶和塑料制品工业》（HJ1122-2020）以及</w:t>
            </w:r>
            <w:r>
              <w:rPr>
                <w:b/>
                <w:bCs/>
                <w:szCs w:val="21"/>
              </w:rPr>
              <w:t> </w:t>
            </w:r>
            <w:r>
              <w:rPr>
                <w:bCs/>
                <w:szCs w:val="21"/>
              </w:rPr>
              <w:t>《广东省涉挥发性有机物（VOCs）重点行业治理指引》（粤环办〔2021〕43号）</w:t>
            </w:r>
            <w:r>
              <w:rPr>
                <w:rFonts w:hint="eastAsia"/>
                <w:szCs w:val="21"/>
              </w:rPr>
              <w:t>，</w:t>
            </w:r>
            <w:r>
              <w:rPr>
                <w:szCs w:val="21"/>
              </w:rPr>
              <w:t>项目</w:t>
            </w:r>
            <w:r>
              <w:rPr>
                <w:rFonts w:hint="eastAsia"/>
                <w:szCs w:val="21"/>
              </w:rPr>
              <w:t>运营期废气</w:t>
            </w:r>
            <w:r>
              <w:rPr>
                <w:szCs w:val="21"/>
              </w:rPr>
              <w:t>监测要求如下</w:t>
            </w:r>
          </w:p>
          <w:p>
            <w:pPr>
              <w:numPr>
                <w:ilvl w:val="0"/>
                <w:numId w:val="2"/>
              </w:numPr>
              <w:adjustRightInd w:val="0"/>
              <w:snapToGrid w:val="0"/>
              <w:spacing w:line="360" w:lineRule="auto"/>
              <w:ind w:left="0"/>
              <w:jc w:val="center"/>
              <w:rPr>
                <w:szCs w:val="21"/>
              </w:rPr>
            </w:pPr>
            <w:r>
              <w:rPr>
                <w:b/>
                <w:bCs/>
                <w:szCs w:val="21"/>
              </w:rPr>
              <w:t>废气污染物监测一览表</w:t>
            </w:r>
          </w:p>
          <w:tbl>
            <w:tblPr>
              <w:tblStyle w:val="28"/>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417"/>
              <w:gridCol w:w="1560"/>
              <w:gridCol w:w="238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adjustRightInd w:val="0"/>
                    <w:snapToGrid w:val="0"/>
                    <w:jc w:val="center"/>
                    <w:rPr>
                      <w:b/>
                      <w:bCs/>
                      <w:spacing w:val="-10"/>
                      <w:szCs w:val="21"/>
                    </w:rPr>
                  </w:pPr>
                  <w:r>
                    <w:rPr>
                      <w:b/>
                      <w:bCs/>
                      <w:spacing w:val="-10"/>
                      <w:szCs w:val="21"/>
                    </w:rPr>
                    <w:t>监测点位</w:t>
                  </w:r>
                </w:p>
              </w:tc>
              <w:tc>
                <w:tcPr>
                  <w:tcW w:w="844" w:type="pct"/>
                  <w:vAlign w:val="center"/>
                </w:tcPr>
                <w:p>
                  <w:pPr>
                    <w:jc w:val="center"/>
                    <w:rPr>
                      <w:b/>
                      <w:bCs/>
                      <w:spacing w:val="-10"/>
                      <w:szCs w:val="21"/>
                    </w:rPr>
                  </w:pPr>
                  <w:r>
                    <w:rPr>
                      <w:b/>
                      <w:bCs/>
                      <w:szCs w:val="21"/>
                    </w:rPr>
                    <w:t>监测因子</w:t>
                  </w:r>
                </w:p>
              </w:tc>
              <w:tc>
                <w:tcPr>
                  <w:tcW w:w="929" w:type="pct"/>
                  <w:vAlign w:val="center"/>
                </w:tcPr>
                <w:p>
                  <w:pPr>
                    <w:jc w:val="center"/>
                    <w:rPr>
                      <w:b/>
                      <w:bCs/>
                      <w:spacing w:val="-10"/>
                      <w:szCs w:val="21"/>
                    </w:rPr>
                  </w:pPr>
                  <w:r>
                    <w:rPr>
                      <w:b/>
                      <w:bCs/>
                      <w:szCs w:val="21"/>
                    </w:rPr>
                    <w:t>监测频次</w:t>
                  </w:r>
                </w:p>
              </w:tc>
              <w:tc>
                <w:tcPr>
                  <w:tcW w:w="1417" w:type="pct"/>
                  <w:vAlign w:val="center"/>
                </w:tcPr>
                <w:p>
                  <w:pPr>
                    <w:jc w:val="center"/>
                    <w:rPr>
                      <w:b/>
                      <w:bCs/>
                      <w:spacing w:val="-10"/>
                      <w:szCs w:val="21"/>
                    </w:rPr>
                  </w:pPr>
                  <w:r>
                    <w:rPr>
                      <w:b/>
                      <w:bCs/>
                      <w:szCs w:val="21"/>
                    </w:rPr>
                    <w:t>执行排放标准名称</w:t>
                  </w:r>
                </w:p>
              </w:tc>
              <w:tc>
                <w:tcPr>
                  <w:tcW w:w="948" w:type="pct"/>
                  <w:vAlign w:val="center"/>
                </w:tcPr>
                <w:p>
                  <w:pPr>
                    <w:jc w:val="center"/>
                    <w:rPr>
                      <w:b/>
                      <w:bCs/>
                      <w:szCs w:val="21"/>
                    </w:rPr>
                  </w:pPr>
                  <w:r>
                    <w:rPr>
                      <w:b/>
                      <w:bCs/>
                      <w:szCs w:val="21"/>
                    </w:rPr>
                    <w:t>排放限值mg/m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rPr>
                      <w:szCs w:val="21"/>
                    </w:rPr>
                    <w:t>DA001排气筒</w:t>
                  </w:r>
                </w:p>
              </w:tc>
              <w:tc>
                <w:tcPr>
                  <w:tcW w:w="844" w:type="pct"/>
                  <w:vAlign w:val="center"/>
                </w:tcPr>
                <w:p>
                  <w:pPr>
                    <w:widowControl/>
                    <w:jc w:val="center"/>
                    <w:rPr>
                      <w:szCs w:val="21"/>
                    </w:rPr>
                  </w:pPr>
                  <w:r>
                    <w:rPr>
                      <w:szCs w:val="21"/>
                    </w:rPr>
                    <w:t>非甲烷总烃</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bCs/>
                      <w:szCs w:val="21"/>
                    </w:rPr>
                    <w:t>《合成树脂工业污染物排放标准》（GB31572-2015）表5排放限值</w:t>
                  </w:r>
                </w:p>
              </w:tc>
              <w:tc>
                <w:tcPr>
                  <w:tcW w:w="948" w:type="pct"/>
                  <w:vAlign w:val="center"/>
                </w:tcPr>
                <w:p>
                  <w:pPr>
                    <w:widowControl/>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restart"/>
                  <w:vAlign w:val="center"/>
                </w:tcPr>
                <w:p>
                  <w:pPr>
                    <w:widowControl/>
                    <w:jc w:val="center"/>
                    <w:rPr>
                      <w:szCs w:val="21"/>
                    </w:rPr>
                  </w:pPr>
                  <w:r>
                    <w:rPr>
                      <w:rFonts w:hint="eastAsia"/>
                      <w:szCs w:val="21"/>
                    </w:rPr>
                    <w:t>DA002排气筒</w:t>
                  </w:r>
                </w:p>
              </w:tc>
              <w:tc>
                <w:tcPr>
                  <w:tcW w:w="844" w:type="pct"/>
                  <w:vAlign w:val="center"/>
                </w:tcPr>
                <w:p>
                  <w:pPr>
                    <w:widowControl/>
                    <w:adjustRightInd w:val="0"/>
                    <w:snapToGrid w:val="0"/>
                    <w:jc w:val="center"/>
                    <w:rPr>
                      <w:kern w:val="0"/>
                      <w:szCs w:val="21"/>
                    </w:rPr>
                  </w:pPr>
                  <w:r>
                    <w:rPr>
                      <w:rFonts w:hint="eastAsia"/>
                      <w:kern w:val="0"/>
                      <w:szCs w:val="21"/>
                    </w:rPr>
                    <w:t>N</w:t>
                  </w:r>
                  <w:r>
                    <w:rPr>
                      <w:kern w:val="0"/>
                      <w:szCs w:val="21"/>
                    </w:rPr>
                    <w:t>MHC</w:t>
                  </w:r>
                </w:p>
              </w:tc>
              <w:tc>
                <w:tcPr>
                  <w:tcW w:w="929" w:type="pct"/>
                  <w:vAlign w:val="center"/>
                </w:tcPr>
                <w:p>
                  <w:pPr>
                    <w:widowControl/>
                    <w:jc w:val="center"/>
                    <w:rPr>
                      <w:szCs w:val="21"/>
                    </w:rPr>
                  </w:pPr>
                  <w:r>
                    <w:rPr>
                      <w:szCs w:val="21"/>
                    </w:rPr>
                    <w:t>1次/年</w:t>
                  </w:r>
                </w:p>
              </w:tc>
              <w:tc>
                <w:tcPr>
                  <w:tcW w:w="1417" w:type="pct"/>
                  <w:vMerge w:val="restart"/>
                  <w:vAlign w:val="center"/>
                </w:tcPr>
                <w:p>
                  <w:pPr>
                    <w:widowControl/>
                    <w:jc w:val="center"/>
                    <w:rPr>
                      <w:szCs w:val="21"/>
                    </w:rPr>
                  </w:pPr>
                  <w:r>
                    <w:rPr>
                      <w:bCs/>
                      <w:kern w:val="0"/>
                      <w:szCs w:val="21"/>
                    </w:rPr>
                    <w:t>广东省《固定污染源挥发性有机物综合排放标准》（DB44/2367-2022）表1</w:t>
                  </w:r>
                </w:p>
              </w:tc>
              <w:tc>
                <w:tcPr>
                  <w:tcW w:w="948" w:type="pct"/>
                  <w:vAlign w:val="center"/>
                </w:tcPr>
                <w:p>
                  <w:pPr>
                    <w:widowControl/>
                    <w:jc w:val="center"/>
                    <w:rPr>
                      <w:szCs w:val="21"/>
                    </w:rPr>
                  </w:pPr>
                  <w:r>
                    <w:rPr>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continue"/>
                  <w:vAlign w:val="center"/>
                </w:tcPr>
                <w:p>
                  <w:pPr>
                    <w:widowControl/>
                    <w:jc w:val="center"/>
                    <w:rPr>
                      <w:szCs w:val="21"/>
                    </w:rPr>
                  </w:pPr>
                </w:p>
              </w:tc>
              <w:tc>
                <w:tcPr>
                  <w:tcW w:w="844" w:type="pct"/>
                  <w:vAlign w:val="center"/>
                </w:tcPr>
                <w:p>
                  <w:pPr>
                    <w:widowControl/>
                    <w:adjustRightInd w:val="0"/>
                    <w:snapToGrid w:val="0"/>
                    <w:jc w:val="center"/>
                    <w:rPr>
                      <w:kern w:val="0"/>
                      <w:szCs w:val="21"/>
                    </w:rPr>
                  </w:pPr>
                  <w:r>
                    <w:rPr>
                      <w:rFonts w:hint="eastAsia"/>
                      <w:kern w:val="0"/>
                      <w:szCs w:val="21"/>
                    </w:rPr>
                    <w:t>TVOC</w:t>
                  </w:r>
                </w:p>
              </w:tc>
              <w:tc>
                <w:tcPr>
                  <w:tcW w:w="929" w:type="pct"/>
                  <w:vAlign w:val="center"/>
                </w:tcPr>
                <w:p>
                  <w:pPr>
                    <w:widowControl/>
                    <w:jc w:val="center"/>
                    <w:rPr>
                      <w:szCs w:val="21"/>
                    </w:rPr>
                  </w:pPr>
                  <w:r>
                    <w:rPr>
                      <w:szCs w:val="21"/>
                    </w:rPr>
                    <w:t>1次/年</w:t>
                  </w:r>
                </w:p>
              </w:tc>
              <w:tc>
                <w:tcPr>
                  <w:tcW w:w="1417" w:type="pct"/>
                  <w:vMerge w:val="continue"/>
                  <w:vAlign w:val="center"/>
                </w:tcPr>
                <w:p>
                  <w:pPr>
                    <w:widowControl/>
                    <w:jc w:val="center"/>
                    <w:rPr>
                      <w:bCs/>
                      <w:kern w:val="0"/>
                      <w:szCs w:val="21"/>
                    </w:rPr>
                  </w:pPr>
                </w:p>
              </w:tc>
              <w:tc>
                <w:tcPr>
                  <w:tcW w:w="948" w:type="pct"/>
                  <w:vAlign w:val="center"/>
                </w:tcPr>
                <w:p>
                  <w:pPr>
                    <w:widowControl/>
                    <w:jc w:val="center"/>
                    <w:rPr>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restart"/>
                  <w:vAlign w:val="center"/>
                </w:tcPr>
                <w:p>
                  <w:pPr>
                    <w:widowControl/>
                    <w:jc w:val="center"/>
                    <w:rPr>
                      <w:szCs w:val="21"/>
                    </w:rPr>
                  </w:pPr>
                  <w:r>
                    <w:rPr>
                      <w:szCs w:val="21"/>
                    </w:rPr>
                    <w:t>项目厂界上风向1个点，下风向三个点，风向根据监测当天风向而定</w:t>
                  </w:r>
                </w:p>
              </w:tc>
              <w:tc>
                <w:tcPr>
                  <w:tcW w:w="844" w:type="pct"/>
                  <w:vAlign w:val="center"/>
                </w:tcPr>
                <w:p>
                  <w:pPr>
                    <w:widowControl/>
                    <w:jc w:val="center"/>
                    <w:rPr>
                      <w:szCs w:val="21"/>
                    </w:rPr>
                  </w:pPr>
                  <w:r>
                    <w:rPr>
                      <w:szCs w:val="21"/>
                    </w:rPr>
                    <w:t>非甲烷总烃</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szCs w:val="21"/>
                    </w:rPr>
                    <w:t>《合成树脂工业污染物排放标准》（GB31572-2015）</w:t>
                  </w:r>
                  <w:r>
                    <w:rPr>
                      <w:bCs/>
                      <w:szCs w:val="21"/>
                    </w:rPr>
                    <w:t>表9排放限值</w:t>
                  </w:r>
                </w:p>
              </w:tc>
              <w:tc>
                <w:tcPr>
                  <w:tcW w:w="948" w:type="pct"/>
                  <w:vAlign w:val="center"/>
                </w:tcPr>
                <w:p>
                  <w:pPr>
                    <w:widowControl/>
                    <w:jc w:val="center"/>
                    <w:rPr>
                      <w:szCs w:val="21"/>
                    </w:rPr>
                  </w:pPr>
                  <w:r>
                    <w:rPr>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continue"/>
                  <w:vAlign w:val="center"/>
                </w:tcPr>
                <w:p>
                  <w:pPr>
                    <w:widowControl/>
                    <w:jc w:val="center"/>
                    <w:rPr>
                      <w:szCs w:val="21"/>
                    </w:rPr>
                  </w:pPr>
                </w:p>
              </w:tc>
              <w:tc>
                <w:tcPr>
                  <w:tcW w:w="844" w:type="pct"/>
                  <w:vAlign w:val="center"/>
                </w:tcPr>
                <w:p>
                  <w:pPr>
                    <w:widowControl/>
                    <w:jc w:val="center"/>
                    <w:rPr>
                      <w:szCs w:val="21"/>
                    </w:rPr>
                  </w:pPr>
                  <w:r>
                    <w:rPr>
                      <w:rFonts w:hint="eastAsia"/>
                      <w:szCs w:val="21"/>
                    </w:rPr>
                    <w:t>V</w:t>
                  </w:r>
                  <w:r>
                    <w:rPr>
                      <w:szCs w:val="21"/>
                    </w:rPr>
                    <w:t>OCs</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rFonts w:hint="eastAsia"/>
                      <w:bCs/>
                      <w:kern w:val="0"/>
                      <w:szCs w:val="21"/>
                    </w:rPr>
                    <w:t>广东省《印刷行业挥发性有机化合物排放标准》（DB44/815-2010）表</w:t>
                  </w:r>
                  <w:r>
                    <w:rPr>
                      <w:bCs/>
                      <w:kern w:val="0"/>
                      <w:szCs w:val="21"/>
                    </w:rPr>
                    <w:t>3</w:t>
                  </w:r>
                </w:p>
              </w:tc>
              <w:tc>
                <w:tcPr>
                  <w:tcW w:w="948" w:type="pct"/>
                  <w:vAlign w:val="center"/>
                </w:tcPr>
                <w:p>
                  <w:pPr>
                    <w:widowControl/>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t>厂内</w:t>
                  </w:r>
                </w:p>
              </w:tc>
              <w:tc>
                <w:tcPr>
                  <w:tcW w:w="844" w:type="pct"/>
                  <w:vAlign w:val="center"/>
                </w:tcPr>
                <w:p>
                  <w:pPr>
                    <w:widowControl/>
                    <w:jc w:val="center"/>
                    <w:rPr>
                      <w:szCs w:val="21"/>
                    </w:rPr>
                  </w:pPr>
                  <w:r>
                    <w:t>非甲烷总烃</w:t>
                  </w:r>
                </w:p>
              </w:tc>
              <w:tc>
                <w:tcPr>
                  <w:tcW w:w="929" w:type="pct"/>
                  <w:vAlign w:val="center"/>
                </w:tcPr>
                <w:p>
                  <w:pPr>
                    <w:widowControl/>
                    <w:jc w:val="center"/>
                    <w:rPr>
                      <w:szCs w:val="21"/>
                    </w:rPr>
                  </w:pPr>
                  <w:r>
                    <w:t>1次/年</w:t>
                  </w:r>
                </w:p>
              </w:tc>
              <w:tc>
                <w:tcPr>
                  <w:tcW w:w="1417" w:type="pct"/>
                  <w:vAlign w:val="center"/>
                </w:tcPr>
                <w:p>
                  <w:pPr>
                    <w:widowControl/>
                    <w:jc w:val="center"/>
                    <w:rPr>
                      <w:bCs/>
                      <w:szCs w:val="21"/>
                    </w:rPr>
                  </w:pPr>
                  <w:r>
                    <w:rPr>
                      <w:bCs/>
                    </w:rPr>
                    <w:t>广东省《固定污染源挥发性有机物综合排放标准》（DB44/2367-2022）表3</w:t>
                  </w:r>
                </w:p>
              </w:tc>
              <w:tc>
                <w:tcPr>
                  <w:tcW w:w="948" w:type="pct"/>
                  <w:vAlign w:val="center"/>
                </w:tcPr>
                <w:p>
                  <w:pPr>
                    <w:widowControl/>
                    <w:jc w:val="center"/>
                    <w:rPr>
                      <w:szCs w:val="21"/>
                    </w:rPr>
                  </w:pPr>
                  <w:r>
                    <w:rPr>
                      <w:bCs/>
                      <w:spacing w:val="10"/>
                    </w:rPr>
                    <w:t>6（1h平均浓度值）；20（一次浓度值）</w:t>
                  </w:r>
                </w:p>
              </w:tc>
            </w:tr>
          </w:tbl>
          <w:p>
            <w:pPr>
              <w:snapToGrid w:val="0"/>
              <w:spacing w:line="360" w:lineRule="auto"/>
              <w:ind w:firstLine="422" w:firstLineChars="200"/>
              <w:rPr>
                <w:b/>
                <w:szCs w:val="21"/>
              </w:rPr>
            </w:pPr>
            <w:r>
              <w:rPr>
                <w:rFonts w:hint="eastAsia"/>
                <w:b/>
                <w:szCs w:val="21"/>
              </w:rPr>
              <w:t>（4）</w:t>
            </w:r>
            <w:r>
              <w:rPr>
                <w:b/>
                <w:szCs w:val="21"/>
              </w:rPr>
              <w:t>非正常工况分析</w:t>
            </w:r>
          </w:p>
          <w:p>
            <w:pPr>
              <w:snapToGrid w:val="0"/>
              <w:spacing w:line="360" w:lineRule="auto"/>
              <w:ind w:firstLine="412" w:firstLineChars="200"/>
              <w:rPr>
                <w:spacing w:val="-2"/>
                <w:kern w:val="0"/>
                <w:szCs w:val="21"/>
              </w:rPr>
            </w:pPr>
            <w:r>
              <w:rPr>
                <w:rFonts w:hint="eastAsia"/>
                <w:spacing w:val="-2"/>
                <w:kern w:val="0"/>
                <w:szCs w:val="21"/>
              </w:rPr>
              <w:t>根据</w:t>
            </w:r>
            <w:r>
              <w:rPr>
                <w:spacing w:val="-2"/>
                <w:kern w:val="0"/>
                <w:szCs w:val="21"/>
              </w:rPr>
              <w:t>建设单位提供的信息，项目</w:t>
            </w:r>
            <w:r>
              <w:rPr>
                <w:rFonts w:hint="eastAsia"/>
                <w:spacing w:val="-2"/>
                <w:kern w:val="0"/>
                <w:szCs w:val="21"/>
              </w:rPr>
              <w:t>设备</w:t>
            </w:r>
            <w:r>
              <w:rPr>
                <w:spacing w:val="-2"/>
                <w:kern w:val="0"/>
                <w:szCs w:val="21"/>
              </w:rPr>
              <w:t>开车时同步开启配套污染治理设施，</w:t>
            </w:r>
            <w:r>
              <w:rPr>
                <w:rFonts w:hint="eastAsia"/>
                <w:spacing w:val="-2"/>
                <w:kern w:val="0"/>
                <w:szCs w:val="21"/>
              </w:rPr>
              <w:t>因此</w:t>
            </w:r>
            <w:r>
              <w:rPr>
                <w:spacing w:val="-2"/>
                <w:kern w:val="0"/>
                <w:szCs w:val="21"/>
              </w:rPr>
              <w:t>，项目开车、停车时不</w:t>
            </w:r>
            <w:r>
              <w:rPr>
                <w:rFonts w:hint="eastAsia"/>
                <w:spacing w:val="-2"/>
                <w:kern w:val="0"/>
                <w:szCs w:val="21"/>
              </w:rPr>
              <w:t>涉及</w:t>
            </w:r>
            <w:r>
              <w:rPr>
                <w:spacing w:val="-2"/>
                <w:kern w:val="0"/>
                <w:szCs w:val="21"/>
              </w:rPr>
              <w:t>废气非正常排放，建设项目废气涉及到的</w:t>
            </w:r>
            <w:r>
              <w:rPr>
                <w:rFonts w:hint="eastAsia"/>
                <w:spacing w:val="-2"/>
                <w:kern w:val="0"/>
                <w:szCs w:val="21"/>
              </w:rPr>
              <w:t>非正常</w:t>
            </w:r>
            <w:r>
              <w:rPr>
                <w:spacing w:val="-2"/>
                <w:kern w:val="0"/>
                <w:szCs w:val="21"/>
              </w:rPr>
              <w:t>排放主要是废气处理设施发生故障，考虑下列情况：</w:t>
            </w:r>
          </w:p>
          <w:p>
            <w:pPr>
              <w:snapToGrid w:val="0"/>
              <w:spacing w:line="360" w:lineRule="auto"/>
              <w:ind w:firstLine="412" w:firstLineChars="200"/>
              <w:rPr>
                <w:spacing w:val="-2"/>
                <w:kern w:val="0"/>
                <w:szCs w:val="21"/>
              </w:rPr>
            </w:pPr>
            <w:r>
              <w:rPr>
                <w:rFonts w:hint="eastAsia" w:ascii="宋体" w:hAnsi="宋体" w:cs="宋体"/>
                <w:spacing w:val="-2"/>
                <w:kern w:val="0"/>
                <w:szCs w:val="21"/>
              </w:rPr>
              <w:t>①</w:t>
            </w:r>
            <w:r>
              <w:rPr>
                <w:rFonts w:hint="eastAsia"/>
                <w:szCs w:val="21"/>
              </w:rPr>
              <w:t>DA001</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rFonts w:hint="eastAsia" w:ascii="宋体" w:hAnsi="宋体" w:cs="宋体"/>
                <w:spacing w:val="-2"/>
                <w:kern w:val="0"/>
                <w:szCs w:val="21"/>
              </w:rPr>
              <w:t>②</w:t>
            </w:r>
            <w:r>
              <w:rPr>
                <w:rFonts w:hint="eastAsia"/>
                <w:szCs w:val="21"/>
              </w:rPr>
              <w:t>DA001</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spacing w:val="-2"/>
                <w:kern w:val="0"/>
                <w:szCs w:val="21"/>
              </w:rPr>
              <w:t>出现以上事故后，企业通过采取及时、有效的应对措施，一般可控制在1h 内恢复正常，因此按 1h 进行事故排放源强估算，建设项目非正常排放源强见</w:t>
            </w:r>
            <w:r>
              <w:rPr>
                <w:rFonts w:hint="eastAsia"/>
                <w:spacing w:val="-2"/>
                <w:kern w:val="0"/>
                <w:szCs w:val="21"/>
              </w:rPr>
              <w:t>下表</w:t>
            </w:r>
            <w:r>
              <w:rPr>
                <w:spacing w:val="-2"/>
                <w:kern w:val="0"/>
                <w:szCs w:val="21"/>
              </w:rPr>
              <w:t>。</w:t>
            </w:r>
          </w:p>
          <w:p>
            <w:pPr>
              <w:numPr>
                <w:ilvl w:val="0"/>
                <w:numId w:val="2"/>
              </w:numPr>
              <w:adjustRightInd w:val="0"/>
              <w:snapToGrid w:val="0"/>
              <w:spacing w:line="360" w:lineRule="auto"/>
              <w:ind w:left="0"/>
              <w:jc w:val="center"/>
              <w:rPr>
                <w:b/>
                <w:szCs w:val="21"/>
              </w:rPr>
            </w:pPr>
            <w:r>
              <w:rPr>
                <w:b/>
                <w:szCs w:val="21"/>
              </w:rPr>
              <w:t>项目污染源（有组织）排放一览表（非正常工况）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47"/>
              <w:gridCol w:w="1005"/>
              <w:gridCol w:w="747"/>
              <w:gridCol w:w="1264"/>
              <w:gridCol w:w="1153"/>
              <w:gridCol w:w="906"/>
              <w:gridCol w:w="90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0" w:type="pct"/>
                  <w:vAlign w:val="center"/>
                </w:tcPr>
                <w:p>
                  <w:pPr>
                    <w:widowControl/>
                    <w:jc w:val="center"/>
                    <w:rPr>
                      <w:b/>
                      <w:sz w:val="18"/>
                      <w:szCs w:val="18"/>
                    </w:rPr>
                  </w:pPr>
                  <w:r>
                    <w:rPr>
                      <w:b/>
                      <w:sz w:val="18"/>
                      <w:szCs w:val="18"/>
                    </w:rPr>
                    <w:t>排气筒编号</w:t>
                  </w:r>
                </w:p>
              </w:tc>
              <w:tc>
                <w:tcPr>
                  <w:tcW w:w="444" w:type="pct"/>
                  <w:vAlign w:val="center"/>
                </w:tcPr>
                <w:p>
                  <w:pPr>
                    <w:widowControl/>
                    <w:jc w:val="center"/>
                    <w:rPr>
                      <w:b/>
                      <w:sz w:val="18"/>
                      <w:szCs w:val="18"/>
                      <w:lang w:eastAsia="zh-TW"/>
                    </w:rPr>
                  </w:pPr>
                  <w:r>
                    <w:rPr>
                      <w:b/>
                      <w:sz w:val="18"/>
                      <w:szCs w:val="18"/>
                      <w:lang w:eastAsia="zh-TW"/>
                    </w:rPr>
                    <w:t>污染源</w:t>
                  </w:r>
                </w:p>
              </w:tc>
              <w:tc>
                <w:tcPr>
                  <w:tcW w:w="597" w:type="pct"/>
                  <w:vAlign w:val="center"/>
                </w:tcPr>
                <w:p>
                  <w:pPr>
                    <w:widowControl/>
                    <w:jc w:val="center"/>
                    <w:rPr>
                      <w:b/>
                      <w:sz w:val="18"/>
                      <w:szCs w:val="18"/>
                      <w:lang w:eastAsia="zh-TW"/>
                    </w:rPr>
                  </w:pPr>
                  <w:r>
                    <w:rPr>
                      <w:b/>
                      <w:sz w:val="18"/>
                      <w:szCs w:val="18"/>
                      <w:lang w:eastAsia="zh-TW"/>
                    </w:rPr>
                    <w:t>非正常排放原因</w:t>
                  </w:r>
                </w:p>
              </w:tc>
              <w:tc>
                <w:tcPr>
                  <w:tcW w:w="444" w:type="pct"/>
                  <w:vAlign w:val="center"/>
                </w:tcPr>
                <w:p>
                  <w:pPr>
                    <w:widowControl/>
                    <w:jc w:val="center"/>
                    <w:rPr>
                      <w:b/>
                      <w:sz w:val="18"/>
                      <w:szCs w:val="18"/>
                      <w:lang w:eastAsia="zh-TW"/>
                    </w:rPr>
                  </w:pPr>
                  <w:r>
                    <w:rPr>
                      <w:b/>
                      <w:sz w:val="18"/>
                      <w:szCs w:val="18"/>
                      <w:lang w:eastAsia="zh-TW"/>
                    </w:rPr>
                    <w:t>污染物</w:t>
                  </w:r>
                </w:p>
              </w:tc>
              <w:tc>
                <w:tcPr>
                  <w:tcW w:w="751" w:type="pct"/>
                  <w:vAlign w:val="center"/>
                </w:tcPr>
                <w:p>
                  <w:pPr>
                    <w:widowControl/>
                    <w:jc w:val="center"/>
                    <w:rPr>
                      <w:b/>
                      <w:sz w:val="18"/>
                      <w:szCs w:val="18"/>
                      <w:lang w:eastAsia="zh-TW"/>
                    </w:rPr>
                  </w:pPr>
                  <w:r>
                    <w:rPr>
                      <w:b/>
                      <w:sz w:val="18"/>
                      <w:szCs w:val="18"/>
                      <w:lang w:eastAsia="zh-TW"/>
                    </w:rPr>
                    <w:t>非正常排放速率/(kg/h)</w:t>
                  </w:r>
                </w:p>
              </w:tc>
              <w:tc>
                <w:tcPr>
                  <w:tcW w:w="685" w:type="pct"/>
                  <w:vAlign w:val="center"/>
                </w:tcPr>
                <w:p>
                  <w:pPr>
                    <w:widowControl/>
                    <w:jc w:val="center"/>
                    <w:rPr>
                      <w:b/>
                      <w:sz w:val="18"/>
                      <w:szCs w:val="18"/>
                      <w:lang w:eastAsia="zh-TW"/>
                    </w:rPr>
                  </w:pPr>
                  <w:r>
                    <w:rPr>
                      <w:b/>
                      <w:sz w:val="18"/>
                      <w:szCs w:val="18"/>
                      <w:lang w:eastAsia="zh-TW"/>
                    </w:rPr>
                    <w:t>非正常排放浓度/(</w:t>
                  </w:r>
                  <w:r>
                    <w:rPr>
                      <w:b/>
                      <w:sz w:val="18"/>
                      <w:szCs w:val="18"/>
                    </w:rPr>
                    <w:t>m</w:t>
                  </w:r>
                  <w:r>
                    <w:rPr>
                      <w:b/>
                      <w:sz w:val="18"/>
                      <w:szCs w:val="18"/>
                      <w:lang w:eastAsia="zh-TW"/>
                    </w:rPr>
                    <w:t>g/m</w:t>
                  </w:r>
                  <w:r>
                    <w:rPr>
                      <w:b/>
                      <w:sz w:val="18"/>
                      <w:szCs w:val="18"/>
                      <w:vertAlign w:val="superscript"/>
                      <w:lang w:eastAsia="zh-TW"/>
                    </w:rPr>
                    <w:t>3</w:t>
                  </w:r>
                  <w:r>
                    <w:rPr>
                      <w:b/>
                      <w:sz w:val="18"/>
                      <w:szCs w:val="18"/>
                      <w:lang w:eastAsia="zh-TW"/>
                    </w:rPr>
                    <w:t>)</w:t>
                  </w:r>
                </w:p>
              </w:tc>
              <w:tc>
                <w:tcPr>
                  <w:tcW w:w="538" w:type="pct"/>
                  <w:vAlign w:val="center"/>
                </w:tcPr>
                <w:p>
                  <w:pPr>
                    <w:widowControl/>
                    <w:jc w:val="center"/>
                    <w:rPr>
                      <w:b/>
                      <w:sz w:val="18"/>
                      <w:szCs w:val="18"/>
                      <w:lang w:eastAsia="zh-TW"/>
                    </w:rPr>
                  </w:pPr>
                  <w:r>
                    <w:rPr>
                      <w:b/>
                      <w:sz w:val="18"/>
                      <w:szCs w:val="18"/>
                      <w:lang w:eastAsia="zh-TW"/>
                    </w:rPr>
                    <w:t>单次持续时间/h</w:t>
                  </w:r>
                </w:p>
              </w:tc>
              <w:tc>
                <w:tcPr>
                  <w:tcW w:w="536" w:type="pct"/>
                  <w:vAlign w:val="center"/>
                </w:tcPr>
                <w:p>
                  <w:pPr>
                    <w:widowControl/>
                    <w:jc w:val="center"/>
                    <w:rPr>
                      <w:b/>
                      <w:sz w:val="18"/>
                      <w:szCs w:val="18"/>
                      <w:lang w:eastAsia="zh-TW"/>
                    </w:rPr>
                  </w:pPr>
                  <w:r>
                    <w:rPr>
                      <w:b/>
                      <w:sz w:val="18"/>
                      <w:szCs w:val="18"/>
                      <w:lang w:eastAsia="zh-TW"/>
                    </w:rPr>
                    <w:t>年发生频次/次</w:t>
                  </w:r>
                </w:p>
              </w:tc>
              <w:tc>
                <w:tcPr>
                  <w:tcW w:w="536" w:type="pct"/>
                  <w:vAlign w:val="center"/>
                </w:tcPr>
                <w:p>
                  <w:pPr>
                    <w:widowControl/>
                    <w:jc w:val="center"/>
                    <w:rPr>
                      <w:b/>
                      <w:sz w:val="18"/>
                      <w:szCs w:val="18"/>
                      <w:lang w:eastAsia="zh-TW"/>
                    </w:rPr>
                  </w:pPr>
                  <w:r>
                    <w:rPr>
                      <w:b/>
                      <w:sz w:val="18"/>
                      <w:szCs w:val="18"/>
                      <w:lang w:eastAsia="zh-TW"/>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0" w:type="pct"/>
                  <w:vAlign w:val="center"/>
                </w:tcPr>
                <w:p>
                  <w:pPr>
                    <w:widowControl/>
                    <w:jc w:val="center"/>
                    <w:rPr>
                      <w:sz w:val="18"/>
                      <w:szCs w:val="18"/>
                    </w:rPr>
                  </w:pPr>
                  <w:r>
                    <w:rPr>
                      <w:sz w:val="18"/>
                      <w:szCs w:val="18"/>
                    </w:rPr>
                    <w:t>DA001</w:t>
                  </w:r>
                </w:p>
              </w:tc>
              <w:tc>
                <w:tcPr>
                  <w:tcW w:w="444" w:type="pct"/>
                  <w:vAlign w:val="center"/>
                </w:tcPr>
                <w:p>
                  <w:pPr>
                    <w:jc w:val="center"/>
                    <w:rPr>
                      <w:sz w:val="18"/>
                      <w:szCs w:val="18"/>
                    </w:rPr>
                  </w:pPr>
                  <w:r>
                    <w:rPr>
                      <w:rFonts w:hint="eastAsia" w:hAnsi="Calibri"/>
                      <w:bCs/>
                      <w:sz w:val="18"/>
                      <w:szCs w:val="18"/>
                    </w:rPr>
                    <w:t>打磨、</w:t>
                  </w:r>
                  <w:r>
                    <w:rPr>
                      <w:rFonts w:hAnsi="Calibri"/>
                      <w:bCs/>
                      <w:sz w:val="18"/>
                      <w:szCs w:val="18"/>
                    </w:rPr>
                    <w:t>焊接</w:t>
                  </w:r>
                </w:p>
              </w:tc>
              <w:tc>
                <w:tcPr>
                  <w:tcW w:w="597" w:type="pct"/>
                  <w:vAlign w:val="center"/>
                </w:tcPr>
                <w:p>
                  <w:pPr>
                    <w:widowControl/>
                    <w:jc w:val="center"/>
                    <w:rPr>
                      <w:sz w:val="18"/>
                      <w:szCs w:val="18"/>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kern w:val="0"/>
                      <w:position w:val="2"/>
                      <w:sz w:val="18"/>
                      <w:szCs w:val="18"/>
                    </w:rPr>
                    <w:t>非甲烷总烃</w:t>
                  </w:r>
                </w:p>
              </w:tc>
              <w:tc>
                <w:tcPr>
                  <w:tcW w:w="751" w:type="pct"/>
                  <w:vAlign w:val="center"/>
                </w:tcPr>
                <w:p>
                  <w:pPr>
                    <w:autoSpaceDE w:val="0"/>
                    <w:autoSpaceDN w:val="0"/>
                    <w:adjustRightInd w:val="0"/>
                    <w:snapToGrid w:val="0"/>
                    <w:jc w:val="center"/>
                    <w:rPr>
                      <w:sz w:val="18"/>
                      <w:szCs w:val="18"/>
                    </w:rPr>
                  </w:pPr>
                  <w:r>
                    <w:rPr>
                      <w:sz w:val="18"/>
                      <w:szCs w:val="18"/>
                    </w:rPr>
                    <w:t>0.00272</w:t>
                  </w:r>
                </w:p>
              </w:tc>
              <w:tc>
                <w:tcPr>
                  <w:tcW w:w="685" w:type="pct"/>
                  <w:vAlign w:val="center"/>
                </w:tcPr>
                <w:p>
                  <w:pPr>
                    <w:autoSpaceDE w:val="0"/>
                    <w:autoSpaceDN w:val="0"/>
                    <w:adjustRightInd w:val="0"/>
                    <w:snapToGrid w:val="0"/>
                    <w:jc w:val="center"/>
                    <w:rPr>
                      <w:sz w:val="18"/>
                      <w:szCs w:val="18"/>
                    </w:rPr>
                  </w:pPr>
                  <w:r>
                    <w:rPr>
                      <w:sz w:val="18"/>
                      <w:szCs w:val="18"/>
                    </w:rPr>
                    <w:t>0.54</w:t>
                  </w:r>
                </w:p>
              </w:tc>
              <w:tc>
                <w:tcPr>
                  <w:tcW w:w="538" w:type="pct"/>
                  <w:vAlign w:val="center"/>
                </w:tcPr>
                <w:p>
                  <w:pPr>
                    <w:widowControl/>
                    <w:jc w:val="center"/>
                    <w:rPr>
                      <w:sz w:val="18"/>
                      <w:szCs w:val="18"/>
                      <w:lang w:eastAsia="zh-TW"/>
                    </w:rPr>
                  </w:pPr>
                  <w:r>
                    <w:rPr>
                      <w:sz w:val="18"/>
                      <w:szCs w:val="18"/>
                      <w:lang w:eastAsia="zh-TW"/>
                    </w:rPr>
                    <w:t>1</w:t>
                  </w:r>
                </w:p>
              </w:tc>
              <w:tc>
                <w:tcPr>
                  <w:tcW w:w="536" w:type="pct"/>
                  <w:vAlign w:val="center"/>
                </w:tcPr>
                <w:p>
                  <w:pPr>
                    <w:widowControl/>
                    <w:jc w:val="center"/>
                    <w:rPr>
                      <w:sz w:val="18"/>
                      <w:szCs w:val="18"/>
                      <w:lang w:eastAsia="zh-TW"/>
                    </w:rPr>
                  </w:pPr>
                  <w:r>
                    <w:rPr>
                      <w:sz w:val="18"/>
                      <w:szCs w:val="18"/>
                      <w:lang w:eastAsia="zh-TW"/>
                    </w:rPr>
                    <w:t>1</w:t>
                  </w:r>
                </w:p>
              </w:tc>
              <w:tc>
                <w:tcPr>
                  <w:tcW w:w="536" w:type="pct"/>
                  <w:vAlign w:val="center"/>
                </w:tcPr>
                <w:p>
                  <w:pPr>
                    <w:widowControl/>
                    <w:jc w:val="center"/>
                    <w:rPr>
                      <w:sz w:val="18"/>
                      <w:szCs w:val="18"/>
                      <w:lang w:eastAsia="zh-TW"/>
                    </w:rPr>
                  </w:pPr>
                  <w:r>
                    <w:rPr>
                      <w:sz w:val="18"/>
                      <w:szCs w:val="18"/>
                      <w:lang w:eastAsia="zh-TW"/>
                    </w:rPr>
                    <w:t>停机检修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jc w:val="center"/>
                    <w:rPr>
                      <w:sz w:val="18"/>
                      <w:szCs w:val="18"/>
                    </w:rPr>
                  </w:pPr>
                  <w:r>
                    <w:rPr>
                      <w:rFonts w:hint="eastAsia"/>
                      <w:sz w:val="18"/>
                      <w:szCs w:val="18"/>
                    </w:rPr>
                    <w:t>DA002</w:t>
                  </w:r>
                </w:p>
              </w:tc>
              <w:tc>
                <w:tcPr>
                  <w:tcW w:w="444" w:type="pct"/>
                  <w:vAlign w:val="center"/>
                </w:tcPr>
                <w:p>
                  <w:pPr>
                    <w:jc w:val="center"/>
                    <w:rPr>
                      <w:rFonts w:hAnsi="Calibri"/>
                      <w:bCs/>
                      <w:sz w:val="18"/>
                      <w:szCs w:val="18"/>
                    </w:rPr>
                  </w:pPr>
                  <w:r>
                    <w:rPr>
                      <w:rFonts w:hint="eastAsia" w:hAnsi="Calibri"/>
                      <w:bCs/>
                      <w:sz w:val="18"/>
                      <w:szCs w:val="18"/>
                    </w:rPr>
                    <w:t>注塑</w:t>
                  </w:r>
                </w:p>
              </w:tc>
              <w:tc>
                <w:tcPr>
                  <w:tcW w:w="597" w:type="pct"/>
                  <w:vAlign w:val="center"/>
                </w:tcPr>
                <w:p>
                  <w:pPr>
                    <w:jc w:val="center"/>
                    <w:rPr>
                      <w:sz w:val="18"/>
                      <w:szCs w:val="18"/>
                      <w:lang w:eastAsia="zh-TW"/>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rFonts w:hint="eastAsia"/>
                      <w:sz w:val="18"/>
                      <w:szCs w:val="18"/>
                    </w:rPr>
                    <w:t>V</w:t>
                  </w:r>
                  <w:r>
                    <w:rPr>
                      <w:sz w:val="18"/>
                      <w:szCs w:val="18"/>
                    </w:rPr>
                    <w:t>O</w:t>
                  </w:r>
                  <w:r>
                    <w:rPr>
                      <w:rFonts w:hint="eastAsia"/>
                      <w:sz w:val="18"/>
                      <w:szCs w:val="18"/>
                    </w:rPr>
                    <w:t>C</w:t>
                  </w:r>
                  <w:r>
                    <w:rPr>
                      <w:sz w:val="18"/>
                      <w:szCs w:val="18"/>
                    </w:rPr>
                    <w:t>s</w:t>
                  </w:r>
                </w:p>
              </w:tc>
              <w:tc>
                <w:tcPr>
                  <w:tcW w:w="751" w:type="pct"/>
                  <w:vAlign w:val="center"/>
                </w:tcPr>
                <w:p>
                  <w:pPr>
                    <w:autoSpaceDE w:val="0"/>
                    <w:autoSpaceDN w:val="0"/>
                    <w:adjustRightInd w:val="0"/>
                    <w:snapToGrid w:val="0"/>
                    <w:jc w:val="center"/>
                    <w:rPr>
                      <w:sz w:val="18"/>
                      <w:szCs w:val="18"/>
                    </w:rPr>
                  </w:pPr>
                  <w:r>
                    <w:rPr>
                      <w:sz w:val="18"/>
                      <w:szCs w:val="18"/>
                    </w:rPr>
                    <w:t>0.046</w:t>
                  </w:r>
                </w:p>
              </w:tc>
              <w:tc>
                <w:tcPr>
                  <w:tcW w:w="685" w:type="pct"/>
                  <w:vAlign w:val="center"/>
                </w:tcPr>
                <w:p>
                  <w:pPr>
                    <w:autoSpaceDE w:val="0"/>
                    <w:autoSpaceDN w:val="0"/>
                    <w:adjustRightInd w:val="0"/>
                    <w:snapToGrid w:val="0"/>
                    <w:jc w:val="center"/>
                    <w:rPr>
                      <w:sz w:val="18"/>
                      <w:szCs w:val="18"/>
                    </w:rPr>
                  </w:pPr>
                  <w:r>
                    <w:rPr>
                      <w:sz w:val="18"/>
                      <w:szCs w:val="18"/>
                    </w:rPr>
                    <w:t>1.31</w:t>
                  </w:r>
                </w:p>
              </w:tc>
              <w:tc>
                <w:tcPr>
                  <w:tcW w:w="538" w:type="pct"/>
                  <w:vAlign w:val="center"/>
                </w:tcPr>
                <w:p>
                  <w:pPr>
                    <w:widowControl/>
                    <w:jc w:val="center"/>
                    <w:rPr>
                      <w:sz w:val="18"/>
                      <w:szCs w:val="18"/>
                    </w:rPr>
                  </w:pPr>
                  <w:r>
                    <w:rPr>
                      <w:sz w:val="18"/>
                      <w:szCs w:val="18"/>
                    </w:rPr>
                    <w:t>1</w:t>
                  </w:r>
                </w:p>
              </w:tc>
              <w:tc>
                <w:tcPr>
                  <w:tcW w:w="536" w:type="pct"/>
                  <w:vAlign w:val="center"/>
                </w:tcPr>
                <w:p>
                  <w:pPr>
                    <w:widowControl/>
                    <w:jc w:val="center"/>
                    <w:rPr>
                      <w:sz w:val="18"/>
                      <w:szCs w:val="18"/>
                    </w:rPr>
                  </w:pPr>
                  <w:r>
                    <w:rPr>
                      <w:sz w:val="18"/>
                      <w:szCs w:val="18"/>
                    </w:rPr>
                    <w:t>1</w:t>
                  </w:r>
                </w:p>
              </w:tc>
              <w:tc>
                <w:tcPr>
                  <w:tcW w:w="536" w:type="pct"/>
                  <w:vAlign w:val="center"/>
                </w:tcPr>
                <w:p>
                  <w:pPr>
                    <w:jc w:val="center"/>
                    <w:rPr>
                      <w:sz w:val="18"/>
                      <w:szCs w:val="18"/>
                      <w:lang w:eastAsia="zh-TW"/>
                    </w:rPr>
                  </w:pPr>
                  <w:r>
                    <w:rPr>
                      <w:sz w:val="18"/>
                      <w:szCs w:val="18"/>
                      <w:lang w:eastAsia="zh-TW"/>
                    </w:rPr>
                    <w:t>停机检修</w:t>
                  </w:r>
                </w:p>
              </w:tc>
            </w:tr>
          </w:tbl>
          <w:p>
            <w:pPr>
              <w:widowControl/>
              <w:snapToGrid w:val="0"/>
              <w:spacing w:line="360" w:lineRule="auto"/>
              <w:ind w:firstLine="420" w:firstLineChars="200"/>
              <w:rPr>
                <w:b/>
                <w:bCs/>
                <w:szCs w:val="21"/>
              </w:rPr>
            </w:pPr>
            <w:r>
              <w:rPr>
                <w:kern w:val="0"/>
                <w:szCs w:val="21"/>
                <w:lang w:bidi="ar"/>
              </w:rPr>
              <w:t>由上表可知，非正常工况下，</w:t>
            </w:r>
            <w:r>
              <w:rPr>
                <w:szCs w:val="21"/>
              </w:rPr>
              <w:t>DA001</w:t>
            </w:r>
            <w:r>
              <w:rPr>
                <w:kern w:val="0"/>
                <w:szCs w:val="21"/>
                <w:lang w:bidi="ar"/>
              </w:rPr>
              <w:t>排气筒</w:t>
            </w:r>
            <w:r>
              <w:rPr>
                <w:rFonts w:hint="eastAsia"/>
                <w:kern w:val="0"/>
                <w:szCs w:val="21"/>
                <w:lang w:bidi="ar"/>
              </w:rPr>
              <w:t>非甲烷</w:t>
            </w:r>
            <w:r>
              <w:rPr>
                <w:kern w:val="0"/>
                <w:szCs w:val="21"/>
                <w:lang w:bidi="ar"/>
              </w:rPr>
              <w:t>总烃</w:t>
            </w:r>
            <w:r>
              <w:rPr>
                <w:rFonts w:hint="eastAsia"/>
                <w:kern w:val="0"/>
                <w:szCs w:val="21"/>
                <w:lang w:bidi="ar"/>
              </w:rPr>
              <w:t>和DA002排气筒V</w:t>
            </w:r>
            <w:r>
              <w:rPr>
                <w:kern w:val="0"/>
                <w:szCs w:val="21"/>
                <w:lang w:bidi="ar"/>
              </w:rPr>
              <w:t>OCs的排放浓度</w:t>
            </w:r>
            <w:r>
              <w:rPr>
                <w:rFonts w:hint="eastAsia"/>
                <w:kern w:val="0"/>
                <w:szCs w:val="21"/>
                <w:lang w:bidi="ar"/>
              </w:rPr>
              <w:t>均</w:t>
            </w:r>
            <w:r>
              <w:rPr>
                <w:kern w:val="0"/>
                <w:szCs w:val="21"/>
                <w:lang w:bidi="ar"/>
              </w:rPr>
              <w:t>未超标</w:t>
            </w:r>
            <w:r>
              <w:rPr>
                <w:rFonts w:hint="eastAsia"/>
                <w:kern w:val="0"/>
                <w:szCs w:val="21"/>
                <w:lang w:bidi="ar"/>
              </w:rPr>
              <w:t>，</w:t>
            </w:r>
            <w:r>
              <w:rPr>
                <w:kern w:val="0"/>
                <w:szCs w:val="21"/>
                <w:lang w:bidi="ar"/>
              </w:rPr>
              <w:t>但较正常工况显著增大。为防止生产废气非正常工况排放，企业必须加强废气处理设施的管理，定期检修，确保废气处理设施正常运行，在废气处理设备停止运行或出现故障时，产生废气的各工序也必须相应停止生产。</w:t>
            </w:r>
          </w:p>
          <w:p>
            <w:pPr>
              <w:snapToGrid w:val="0"/>
              <w:spacing w:line="360" w:lineRule="auto"/>
              <w:ind w:firstLine="422" w:firstLineChars="200"/>
              <w:rPr>
                <w:b/>
                <w:szCs w:val="21"/>
              </w:rPr>
            </w:pPr>
            <w:r>
              <w:rPr>
                <w:rFonts w:hint="eastAsia"/>
                <w:b/>
                <w:szCs w:val="21"/>
              </w:rPr>
              <w:t>（5）</w:t>
            </w:r>
            <w:r>
              <w:rPr>
                <w:b/>
                <w:szCs w:val="21"/>
              </w:rPr>
              <w:t>废气污染防治技术可行性分析</w:t>
            </w:r>
          </w:p>
          <w:p>
            <w:pPr>
              <w:widowControl/>
              <w:adjustRightInd w:val="0"/>
              <w:snapToGrid w:val="0"/>
              <w:spacing w:line="360" w:lineRule="auto"/>
              <w:ind w:firstLine="420" w:firstLineChars="200"/>
              <w:rPr>
                <w:szCs w:val="21"/>
              </w:rPr>
            </w:pPr>
            <w:r>
              <w:rPr>
                <w:szCs w:val="21"/>
              </w:rPr>
              <w:t>项目挤出废气采用</w:t>
            </w:r>
            <w:r>
              <w:rPr>
                <w:rFonts w:hint="eastAsia"/>
                <w:szCs w:val="21"/>
              </w:rPr>
              <w:t>“水喷淋+干式</w:t>
            </w:r>
            <w:r>
              <w:rPr>
                <w:szCs w:val="21"/>
              </w:rPr>
              <w:t>除雾器+两级活性炭吸附</w:t>
            </w:r>
            <w:r>
              <w:rPr>
                <w:rFonts w:hint="eastAsia"/>
                <w:szCs w:val="21"/>
              </w:rPr>
              <w:t>”</w:t>
            </w:r>
            <w:r>
              <w:rPr>
                <w:szCs w:val="21"/>
              </w:rPr>
              <w:t>装置处理，根据《排污许可证申请与核发技术规范 橡胶和塑料制品工业》（HJ1122-2020）中表A.2塑料制品工业排污单位废气污染防治可行技术参考表，非甲烷总烃采用吸附法处理为可行技术。</w:t>
            </w:r>
          </w:p>
          <w:p>
            <w:pPr>
              <w:widowControl/>
              <w:adjustRightInd w:val="0"/>
              <w:snapToGrid w:val="0"/>
              <w:spacing w:line="360" w:lineRule="auto"/>
              <w:ind w:firstLine="420" w:firstLineChars="200"/>
            </w:pPr>
            <w:r>
              <w:t>项目采用水性油墨，印刷烘干废气采用两级活性炭吸附装置处理，参照《印刷工业污染防治可行技术指南》（HJ1089—2020）中5.1.1原辅材料替代技术，本项目采用水性油墨（VOCs含量1%），属于可行的原辅材料替代技术，另外《印刷工业污染防治可行技术指南》（HJ1089—2020）中6.1.2 的规定，利用吸附剂（活性炭、活性碳纤维、分子筛等）吸附废气中的VOCs污染物，使之与废气分离，简称吸附技术，为可行技术。</w:t>
            </w:r>
          </w:p>
          <w:p>
            <w:pPr>
              <w:widowControl/>
              <w:adjustRightInd w:val="0"/>
              <w:snapToGrid w:val="0"/>
              <w:spacing w:line="360" w:lineRule="auto"/>
              <w:ind w:firstLine="420" w:firstLineChars="200"/>
            </w:pPr>
            <w:r>
              <w:rPr>
                <w:szCs w:val="21"/>
              </w:rPr>
              <w:t>项目</w:t>
            </w:r>
            <w:r>
              <w:rPr>
                <w:rFonts w:hint="eastAsia"/>
                <w:bCs/>
                <w:szCs w:val="21"/>
              </w:rPr>
              <w:t>水性</w:t>
            </w:r>
            <w:r>
              <w:rPr>
                <w:bCs/>
                <w:szCs w:val="21"/>
              </w:rPr>
              <w:t>胶</w:t>
            </w:r>
            <w:r>
              <w:rPr>
                <w:rFonts w:hint="eastAsia"/>
                <w:bCs/>
                <w:szCs w:val="21"/>
              </w:rPr>
              <w:t>水</w:t>
            </w:r>
            <w:r>
              <w:rPr>
                <w:bCs/>
                <w:szCs w:val="21"/>
              </w:rPr>
              <w:t>VOCs含量为</w:t>
            </w:r>
            <w:r>
              <w:rPr>
                <w:szCs w:val="21"/>
              </w:rPr>
              <w:t>27g/L</w:t>
            </w:r>
            <w:r>
              <w:rPr>
                <w:rFonts w:hint="eastAsia"/>
                <w:szCs w:val="21"/>
              </w:rPr>
              <w:t>，1.0-1.2t/m</w:t>
            </w:r>
            <w:r>
              <w:rPr>
                <w:rFonts w:hint="eastAsia"/>
                <w:szCs w:val="21"/>
                <w:vertAlign w:val="superscript"/>
              </w:rPr>
              <w:t>3</w:t>
            </w:r>
            <w:r>
              <w:rPr>
                <w:rFonts w:hint="eastAsia"/>
                <w:szCs w:val="21"/>
              </w:rPr>
              <w:t>，则</w:t>
            </w:r>
            <w:r>
              <w:rPr>
                <w:szCs w:val="21"/>
              </w:rPr>
              <w:t>其</w:t>
            </w:r>
            <w:r>
              <w:rPr>
                <w:rFonts w:hint="eastAsia"/>
                <w:szCs w:val="21"/>
              </w:rPr>
              <w:t>VOCs含量</w:t>
            </w:r>
            <w:r>
              <w:rPr>
                <w:szCs w:val="21"/>
              </w:rPr>
              <w:t>为</w:t>
            </w:r>
            <w:r>
              <w:rPr>
                <w:rFonts w:hint="eastAsia"/>
                <w:szCs w:val="21"/>
              </w:rPr>
              <w:t>2.</w:t>
            </w:r>
            <w:r>
              <w:rPr>
                <w:szCs w:val="21"/>
              </w:rPr>
              <w:t>25%~2.7%，本环评按</w:t>
            </w:r>
            <w:r>
              <w:rPr>
                <w:rFonts w:hint="eastAsia"/>
                <w:szCs w:val="21"/>
              </w:rPr>
              <w:t>2.7</w:t>
            </w:r>
            <w:r>
              <w:rPr>
                <w:szCs w:val="21"/>
              </w:rPr>
              <w:t>%计；</w:t>
            </w:r>
            <w:r>
              <w:rPr>
                <w:bCs/>
                <w:szCs w:val="21"/>
              </w:rPr>
              <w:t>热熔胶常温下为固态，固形物含量99.8%，不含有机溶剂，VOCs含量为0%。项目使用的</w:t>
            </w:r>
            <w:r>
              <w:rPr>
                <w:rFonts w:hint="eastAsia"/>
                <w:bCs/>
                <w:szCs w:val="21"/>
              </w:rPr>
              <w:t>水性</w:t>
            </w:r>
            <w:r>
              <w:rPr>
                <w:bCs/>
                <w:szCs w:val="21"/>
              </w:rPr>
              <w:t>胶水和热熔胶均属于VOCs含量</w:t>
            </w:r>
            <w:r>
              <w:rPr>
                <w:szCs w:val="21"/>
              </w:rPr>
              <w:t>低于10%的原辅材料，</w:t>
            </w:r>
            <w:r>
              <w:rPr>
                <w:kern w:val="0"/>
                <w:szCs w:val="21"/>
              </w:rPr>
              <w:t>根据《重点行业挥发性有机物综合治理方案》（环大气[2019]53号）》以及《</w:t>
            </w:r>
            <w:r>
              <w:rPr>
                <w:bCs/>
                <w:kern w:val="0"/>
                <w:szCs w:val="21"/>
              </w:rPr>
              <w:t>挥发性有机物无组织排放控制标准》（GB37822-2019）</w:t>
            </w:r>
            <w:r>
              <w:rPr>
                <w:kern w:val="0"/>
                <w:szCs w:val="21"/>
              </w:rPr>
              <w:t>的要求：使用的原辅材料VOCs含量（质量比）低于10%的工序，可不要求采取无组织排放收集措施。</w:t>
            </w:r>
            <w:r>
              <w:t>因此，项目</w:t>
            </w:r>
            <w:r>
              <w:rPr>
                <w:rFonts w:hint="eastAsia"/>
              </w:rPr>
              <w:t>贴合、</w:t>
            </w:r>
            <w:r>
              <w:t>植皮工序产生的少量有机废气采用集气罩收集后经两级活性炭吸附装置处理是可行的。</w:t>
            </w:r>
          </w:p>
          <w:p>
            <w:pPr>
              <w:snapToGrid w:val="0"/>
              <w:spacing w:line="360" w:lineRule="auto"/>
              <w:ind w:firstLine="422" w:firstLineChars="200"/>
              <w:rPr>
                <w:b/>
              </w:rPr>
            </w:pPr>
            <w:r>
              <w:rPr>
                <w:rFonts w:hint="eastAsia"/>
                <w:b/>
                <w:szCs w:val="21"/>
              </w:rPr>
              <w:t>（6）废气</w:t>
            </w:r>
            <w:r>
              <w:rPr>
                <w:b/>
                <w:szCs w:val="21"/>
              </w:rPr>
              <w:t>排放</w:t>
            </w:r>
            <w:r>
              <w:rPr>
                <w:b/>
              </w:rPr>
              <w:t>环境影响分析</w:t>
            </w:r>
          </w:p>
          <w:p>
            <w:pPr>
              <w:pStyle w:val="79"/>
              <w:snapToGrid w:val="0"/>
              <w:spacing w:line="360" w:lineRule="auto"/>
              <w:ind w:firstLine="420"/>
              <w:rPr>
                <w:bCs/>
                <w:kern w:val="2"/>
                <w:sz w:val="21"/>
              </w:rPr>
            </w:pPr>
            <w:r>
              <w:rPr>
                <w:bCs/>
                <w:kern w:val="2"/>
                <w:sz w:val="21"/>
              </w:rPr>
              <w:t>本项目评价区域环境质量现状良好，各</w:t>
            </w:r>
            <w:r>
              <w:rPr>
                <w:rFonts w:hint="eastAsia"/>
                <w:bCs/>
                <w:kern w:val="2"/>
                <w:sz w:val="21"/>
              </w:rPr>
              <w:t>六项</w:t>
            </w:r>
            <w:r>
              <w:rPr>
                <w:bCs/>
                <w:kern w:val="2"/>
                <w:sz w:val="21"/>
              </w:rPr>
              <w:t>基本污染物</w:t>
            </w:r>
            <w:r>
              <w:rPr>
                <w:rFonts w:hint="eastAsia"/>
                <w:bCs/>
                <w:kern w:val="2"/>
                <w:sz w:val="21"/>
              </w:rPr>
              <w:t>的</w:t>
            </w:r>
            <w:r>
              <w:rPr>
                <w:bCs/>
                <w:kern w:val="2"/>
                <w:sz w:val="21"/>
              </w:rPr>
              <w:t>环境质量现状均可达到《环境空气质量标准》（GB3095-2012）及</w:t>
            </w:r>
            <w:r>
              <w:rPr>
                <w:rFonts w:hint="eastAsia"/>
                <w:bCs/>
                <w:kern w:val="2"/>
                <w:sz w:val="21"/>
              </w:rPr>
              <w:t>2018年</w:t>
            </w:r>
            <w:r>
              <w:rPr>
                <w:bCs/>
                <w:kern w:val="2"/>
                <w:sz w:val="21"/>
              </w:rPr>
              <w:t>修改单</w:t>
            </w:r>
            <w:r>
              <w:rPr>
                <w:rFonts w:hint="eastAsia"/>
                <w:bCs/>
                <w:kern w:val="2"/>
                <w:sz w:val="21"/>
              </w:rPr>
              <w:t>中</w:t>
            </w:r>
            <w:r>
              <w:rPr>
                <w:bCs/>
                <w:kern w:val="2"/>
                <w:sz w:val="21"/>
              </w:rPr>
              <w:t>的二级标准，</w:t>
            </w:r>
            <w:r>
              <w:rPr>
                <w:rFonts w:hint="eastAsia"/>
                <w:bCs/>
                <w:kern w:val="2"/>
                <w:sz w:val="21"/>
              </w:rPr>
              <w:t>特征</w:t>
            </w:r>
            <w:r>
              <w:rPr>
                <w:bCs/>
                <w:kern w:val="2"/>
                <w:sz w:val="21"/>
              </w:rPr>
              <w:t>污染物总挥发性有机物（TVOC）</w:t>
            </w:r>
            <w:r>
              <w:rPr>
                <w:rFonts w:hint="eastAsia"/>
                <w:bCs/>
                <w:kern w:val="2"/>
                <w:sz w:val="21"/>
              </w:rPr>
              <w:t>8小时</w:t>
            </w:r>
            <w:r>
              <w:rPr>
                <w:bCs/>
                <w:kern w:val="2"/>
                <w:sz w:val="21"/>
              </w:rPr>
              <w:t>平均浓度满足《环境影响评价技术导则-大气环境》（HJ2.2-2018）附录D中其他污染物空气质量浓度参考限值</w:t>
            </w:r>
            <w:r>
              <w:rPr>
                <w:rFonts w:hint="eastAsia"/>
                <w:bCs/>
                <w:kern w:val="2"/>
                <w:sz w:val="21"/>
              </w:rPr>
              <w:t>的</w:t>
            </w:r>
            <w:r>
              <w:rPr>
                <w:bCs/>
                <w:kern w:val="2"/>
                <w:sz w:val="21"/>
              </w:rPr>
              <w:t>要求</w:t>
            </w:r>
            <w:r>
              <w:rPr>
                <w:rFonts w:hint="eastAsia"/>
                <w:bCs/>
                <w:kern w:val="2"/>
                <w:sz w:val="21"/>
              </w:rPr>
              <w:t>，</w:t>
            </w:r>
            <w:r>
              <w:rPr>
                <w:bCs/>
                <w:kern w:val="2"/>
                <w:sz w:val="21"/>
              </w:rPr>
              <w:t>区域内大气环境质量</w:t>
            </w:r>
            <w:r>
              <w:rPr>
                <w:rFonts w:hint="eastAsia"/>
                <w:bCs/>
                <w:kern w:val="2"/>
                <w:sz w:val="21"/>
              </w:rPr>
              <w:t>良好</w:t>
            </w:r>
            <w:r>
              <w:rPr>
                <w:bCs/>
                <w:kern w:val="2"/>
                <w:sz w:val="21"/>
              </w:rPr>
              <w:t>。</w:t>
            </w:r>
          </w:p>
          <w:p>
            <w:pPr>
              <w:spacing w:line="360" w:lineRule="auto"/>
              <w:ind w:firstLine="420" w:firstLineChars="200"/>
            </w:pPr>
            <w:r>
              <w:t>建设单位拟在</w:t>
            </w:r>
            <w:r>
              <w:rPr>
                <w:rFonts w:hint="eastAsia"/>
                <w:kern w:val="0"/>
                <w:szCs w:val="21"/>
              </w:rPr>
              <w:t>挤出</w:t>
            </w:r>
            <w:r>
              <w:rPr>
                <w:kern w:val="0"/>
                <w:szCs w:val="21"/>
              </w:rPr>
              <w:t>工序设置集气罩，</w:t>
            </w:r>
            <w:r>
              <w:t>将产生的</w:t>
            </w:r>
            <w:r>
              <w:rPr>
                <w:rFonts w:hint="eastAsia"/>
              </w:rPr>
              <w:t>非甲烷总烃</w:t>
            </w:r>
            <w:r>
              <w:t>收集后引至</w:t>
            </w:r>
            <w:r>
              <w:rPr>
                <w:rFonts w:hint="eastAsia"/>
              </w:rPr>
              <w:t>“水喷淋+干式</w:t>
            </w:r>
            <w:r>
              <w:t>除雾器+两级活性炭吸附</w:t>
            </w:r>
            <w:r>
              <w:rPr>
                <w:rFonts w:hint="eastAsia"/>
              </w:rPr>
              <w:t>”装置</w:t>
            </w:r>
            <w:r>
              <w:t>进行处理，处理达标</w:t>
            </w:r>
            <w:r>
              <w:rPr>
                <w:rFonts w:hint="eastAsia"/>
              </w:rPr>
              <w:t>后挤出废气</w:t>
            </w:r>
            <w:r>
              <w:t>经DA001排气筒排放</w:t>
            </w:r>
            <w:r>
              <w:rPr>
                <w:rFonts w:hint="eastAsia"/>
              </w:rPr>
              <w:t>，</w:t>
            </w:r>
            <w:r>
              <w:t>排放高度</w:t>
            </w:r>
            <w:r>
              <w:rPr>
                <w:rFonts w:hint="eastAsia"/>
              </w:rPr>
              <w:t>15米</w:t>
            </w:r>
            <w:r>
              <w:t>。</w:t>
            </w:r>
            <w:r>
              <w:rPr>
                <w:rFonts w:hint="eastAsia"/>
              </w:rPr>
              <w:t>经</w:t>
            </w:r>
            <w:r>
              <w:t>处理后，项目</w:t>
            </w:r>
            <w:r>
              <w:rPr>
                <w:rFonts w:hint="eastAsia"/>
              </w:rPr>
              <w:t>挤出</w:t>
            </w:r>
            <w:r>
              <w:t>废气</w:t>
            </w:r>
            <w:r>
              <w:rPr>
                <w:bCs/>
              </w:rPr>
              <w:t>非甲烷总烃</w:t>
            </w:r>
            <w:r>
              <w:rPr>
                <w:rFonts w:hint="eastAsia"/>
                <w:bCs/>
              </w:rPr>
              <w:t>有组织</w:t>
            </w:r>
            <w:r>
              <w:rPr>
                <w:bCs/>
              </w:rPr>
              <w:t>排放量为0.00035t/a，排放速率为0.00015kg/h，排放浓度为0.029mg/m</w:t>
            </w:r>
            <w:r>
              <w:rPr>
                <w:bCs/>
                <w:vertAlign w:val="superscript"/>
              </w:rPr>
              <w:t>3</w:t>
            </w:r>
            <w:r>
              <w:rPr>
                <w:bCs/>
              </w:rPr>
              <w:t>，</w:t>
            </w:r>
            <w:r>
              <w:rPr>
                <w:rFonts w:hint="eastAsia" w:ascii="宋体" w:hAnsi="宋体" w:cs="宋体"/>
                <w:bCs/>
              </w:rPr>
              <w:t>项</w:t>
            </w:r>
            <w:r>
              <w:rPr>
                <w:rFonts w:hint="eastAsia" w:cs="宋体"/>
                <w:bCs/>
              </w:rPr>
              <w:t>目PP片产品产量</w:t>
            </w:r>
            <w:r>
              <w:rPr>
                <w:rFonts w:cs="宋体"/>
                <w:bCs/>
              </w:rPr>
              <w:t>5</w:t>
            </w:r>
            <w:r>
              <w:rPr>
                <w:rFonts w:hint="eastAsia" w:cs="宋体"/>
                <w:bCs/>
              </w:rPr>
              <w:t>t</w:t>
            </w:r>
            <w:r>
              <w:rPr>
                <w:rFonts w:cs="宋体"/>
                <w:bCs/>
              </w:rPr>
              <w:t>/</w:t>
            </w:r>
            <w:r>
              <w:rPr>
                <w:rFonts w:hint="eastAsia" w:cs="宋体"/>
                <w:bCs/>
              </w:rPr>
              <w:t>a，</w:t>
            </w:r>
            <w:r>
              <w:rPr>
                <w:rFonts w:hint="eastAsia"/>
                <w:bCs/>
                <w:szCs w:val="21"/>
              </w:rPr>
              <w:t>则单位产品非甲烷总烃排放量为</w:t>
            </w:r>
            <w:r>
              <w:rPr>
                <w:bCs/>
                <w:szCs w:val="21"/>
              </w:rPr>
              <w:t>0.07</w:t>
            </w:r>
            <w:r>
              <w:rPr>
                <w:rFonts w:hint="eastAsia"/>
                <w:bCs/>
                <w:szCs w:val="21"/>
              </w:rPr>
              <w:t>kg</w:t>
            </w:r>
            <w:r>
              <w:rPr>
                <w:bCs/>
                <w:szCs w:val="21"/>
              </w:rPr>
              <w:t>/</w:t>
            </w:r>
            <w:r>
              <w:rPr>
                <w:rFonts w:hint="eastAsia"/>
                <w:bCs/>
                <w:szCs w:val="21"/>
              </w:rPr>
              <w:t>t产品，可达到</w:t>
            </w:r>
            <w:r>
              <w:rPr>
                <w:bCs/>
                <w:szCs w:val="21"/>
              </w:rPr>
              <w:t>《合成树脂工业污染物排放标准》（GB31572-2015）表5</w:t>
            </w:r>
            <w:r>
              <w:rPr>
                <w:rFonts w:hint="eastAsia"/>
                <w:bCs/>
                <w:szCs w:val="21"/>
              </w:rPr>
              <w:t>大气</w:t>
            </w:r>
            <w:r>
              <w:rPr>
                <w:bCs/>
                <w:szCs w:val="21"/>
              </w:rPr>
              <w:t>污染物特别排放限值</w:t>
            </w:r>
            <w:r>
              <w:rPr>
                <w:rFonts w:hint="eastAsia"/>
                <w:bCs/>
                <w:szCs w:val="21"/>
              </w:rPr>
              <w:t>的</w:t>
            </w:r>
            <w:r>
              <w:rPr>
                <w:bCs/>
                <w:szCs w:val="21"/>
              </w:rPr>
              <w:t>要求</w:t>
            </w:r>
            <w:r>
              <w:rPr>
                <w:rFonts w:hint="eastAsia"/>
                <w:bCs/>
                <w:szCs w:val="21"/>
              </w:rPr>
              <w:t>：非甲烷总烃排放浓度≤60mg/m</w:t>
            </w:r>
            <w:r>
              <w:rPr>
                <w:rFonts w:hint="eastAsia"/>
                <w:bCs/>
                <w:szCs w:val="21"/>
                <w:vertAlign w:val="superscript"/>
              </w:rPr>
              <w:t>3</w:t>
            </w:r>
            <w:r>
              <w:rPr>
                <w:rFonts w:hint="eastAsia"/>
                <w:bCs/>
                <w:szCs w:val="21"/>
              </w:rPr>
              <w:t>，单位产品非甲烷总烃排放量≤0</w:t>
            </w:r>
            <w:r>
              <w:rPr>
                <w:bCs/>
                <w:szCs w:val="21"/>
              </w:rPr>
              <w:t>.3</w:t>
            </w:r>
            <w:r>
              <w:rPr>
                <w:rFonts w:hint="eastAsia"/>
                <w:bCs/>
                <w:szCs w:val="21"/>
              </w:rPr>
              <w:t>kg</w:t>
            </w:r>
            <w:r>
              <w:rPr>
                <w:bCs/>
                <w:szCs w:val="21"/>
              </w:rPr>
              <w:t>/</w:t>
            </w:r>
            <w:r>
              <w:rPr>
                <w:rFonts w:hint="eastAsia"/>
                <w:bCs/>
                <w:szCs w:val="21"/>
              </w:rPr>
              <w:t>t产品，</w:t>
            </w:r>
            <w:r>
              <w:rPr>
                <w:rFonts w:hint="eastAsia" w:hAnsi="宋体"/>
                <w:bCs/>
                <w:szCs w:val="21"/>
              </w:rPr>
              <w:t>对周边大气环境影响不大。</w:t>
            </w:r>
            <w:r>
              <w:rPr>
                <w:rFonts w:hint="eastAsia"/>
                <w:szCs w:val="21"/>
              </w:rPr>
              <w:t>未收集</w:t>
            </w:r>
            <w:r>
              <w:rPr>
                <w:szCs w:val="21"/>
              </w:rPr>
              <w:t>的</w:t>
            </w:r>
            <w:r>
              <w:rPr>
                <w:rFonts w:hint="eastAsia"/>
                <w:bCs/>
              </w:rPr>
              <w:t>非甲烷总烃</w:t>
            </w:r>
            <w:r>
              <w:rPr>
                <w:szCs w:val="21"/>
              </w:rPr>
              <w:t>无组织排放，</w:t>
            </w:r>
            <w:r>
              <w:rPr>
                <w:rFonts w:hint="eastAsia"/>
                <w:bCs/>
              </w:rPr>
              <w:t>无组织</w:t>
            </w:r>
            <w:r>
              <w:rPr>
                <w:bCs/>
              </w:rPr>
              <w:t>排放量为0.0012t/a，排放速率为0.00048kg/h</w:t>
            </w:r>
            <w:r>
              <w:rPr>
                <w:rFonts w:hint="eastAsia"/>
                <w:bCs/>
              </w:rPr>
              <w:t>，</w:t>
            </w:r>
            <w:r>
              <w:rPr>
                <w:rFonts w:hAnsi="宋体"/>
                <w:bCs/>
                <w:szCs w:val="21"/>
              </w:rPr>
              <w:t>通过加强车间通风，可达到</w:t>
            </w:r>
            <w:r>
              <w:rPr>
                <w:bCs/>
                <w:szCs w:val="21"/>
              </w:rPr>
              <w:t>《合成树脂工业污染物排放标准》（GB31572-2015）表9</w:t>
            </w:r>
            <w:r>
              <w:rPr>
                <w:rFonts w:hint="eastAsia"/>
                <w:bCs/>
                <w:szCs w:val="21"/>
              </w:rPr>
              <w:t>企业</w:t>
            </w:r>
            <w:r>
              <w:rPr>
                <w:bCs/>
                <w:szCs w:val="21"/>
              </w:rPr>
              <w:t>边界大气污染物</w:t>
            </w:r>
            <w:r>
              <w:rPr>
                <w:rFonts w:hint="eastAsia"/>
                <w:bCs/>
                <w:szCs w:val="21"/>
              </w:rPr>
              <w:t>限值的要求</w:t>
            </w:r>
            <w:r>
              <w:rPr>
                <w:rFonts w:hAnsi="宋体"/>
                <w:bCs/>
                <w:szCs w:val="21"/>
              </w:rPr>
              <w:t>，不会对周围空气环境产生明显影响。</w:t>
            </w:r>
          </w:p>
          <w:p>
            <w:pPr>
              <w:spacing w:line="360" w:lineRule="auto"/>
              <w:ind w:firstLine="420" w:firstLineChars="200"/>
            </w:pPr>
            <w:r>
              <w:t>建设单位拟在</w:t>
            </w:r>
            <w:r>
              <w:rPr>
                <w:rFonts w:hint="eastAsia"/>
                <w:kern w:val="0"/>
                <w:szCs w:val="21"/>
              </w:rPr>
              <w:t>贴合、植皮、印刷、烘干</w:t>
            </w:r>
            <w:r>
              <w:rPr>
                <w:kern w:val="0"/>
                <w:szCs w:val="21"/>
              </w:rPr>
              <w:t>工序设置集气罩，</w:t>
            </w:r>
            <w:r>
              <w:t>将产生的</w:t>
            </w:r>
            <w:r>
              <w:rPr>
                <w:rFonts w:hint="eastAsia"/>
              </w:rPr>
              <w:t>有机废气</w:t>
            </w:r>
            <w:r>
              <w:t>收集后引至</w:t>
            </w:r>
            <w:r>
              <w:rPr>
                <w:rFonts w:hint="eastAsia"/>
              </w:rPr>
              <w:t>两级活性炭</w:t>
            </w:r>
            <w:r>
              <w:t>吸附装置</w:t>
            </w:r>
            <w:r>
              <w:rPr>
                <w:rFonts w:hint="eastAsia"/>
              </w:rPr>
              <w:t>处理</w:t>
            </w:r>
            <w:r>
              <w:t>后通过</w:t>
            </w:r>
            <w:r>
              <w:rPr>
                <w:rFonts w:hint="eastAsia"/>
              </w:rPr>
              <w:t>DA00</w:t>
            </w:r>
            <w:r>
              <w:t>2</w:t>
            </w:r>
            <w:r>
              <w:rPr>
                <w:rFonts w:hint="eastAsia"/>
              </w:rPr>
              <w:t>排气筒</w:t>
            </w:r>
            <w:r>
              <w:t>高空排放，排放高度</w:t>
            </w:r>
            <w:r>
              <w:rPr>
                <w:rFonts w:hint="eastAsia"/>
              </w:rPr>
              <w:t>15米</w:t>
            </w:r>
            <w:r>
              <w:t>。</w:t>
            </w:r>
            <w:r>
              <w:rPr>
                <w:rFonts w:hint="eastAsia"/>
              </w:rPr>
              <w:t>经</w:t>
            </w:r>
            <w:r>
              <w:t>处理后，项目</w:t>
            </w:r>
            <w:r>
              <w:rPr>
                <w:rFonts w:hint="eastAsia"/>
                <w:szCs w:val="21"/>
              </w:rPr>
              <w:t>贴合、植皮、印刷、烘干工序VOCs</w:t>
            </w:r>
            <w:r>
              <w:rPr>
                <w:rFonts w:hint="eastAsia"/>
                <w:bCs/>
              </w:rPr>
              <w:t>有组织</w:t>
            </w:r>
            <w:r>
              <w:rPr>
                <w:bCs/>
              </w:rPr>
              <w:t>排放量为0.0276t/a，排放速率为0.0115kg/h，排放浓度为0.33mg/m</w:t>
            </w:r>
            <w:r>
              <w:rPr>
                <w:bCs/>
                <w:vertAlign w:val="superscript"/>
              </w:rPr>
              <w:t>3</w:t>
            </w:r>
            <w:r>
              <w:rPr>
                <w:rFonts w:hint="eastAsia"/>
                <w:bCs/>
                <w:szCs w:val="21"/>
              </w:rPr>
              <w:t>，可达到</w:t>
            </w:r>
            <w:r>
              <w:rPr>
                <w:bCs/>
              </w:rPr>
              <w:t>广东省《固定污染源挥发性有机物综合排放标准》（DB44/2367-2022）表1</w:t>
            </w:r>
            <w:r>
              <w:rPr>
                <w:rFonts w:hint="eastAsia"/>
                <w:bCs/>
              </w:rPr>
              <w:t>挥发性有机物排放限值和</w:t>
            </w:r>
            <w:r>
              <w:rPr>
                <w:rFonts w:hint="eastAsia"/>
                <w:bCs/>
                <w:kern w:val="0"/>
                <w:szCs w:val="21"/>
              </w:rPr>
              <w:t>广东省《印刷行业挥发性有机化合物排放标准》（DB44/815-2010）表2中柔性版印刷Ⅱ时段标准的</w:t>
            </w:r>
            <w:r>
              <w:rPr>
                <w:bCs/>
                <w:kern w:val="0"/>
                <w:szCs w:val="21"/>
              </w:rPr>
              <w:t>较严值</w:t>
            </w:r>
            <w:r>
              <w:rPr>
                <w:rFonts w:hint="eastAsia"/>
                <w:bCs/>
                <w:szCs w:val="21"/>
              </w:rPr>
              <w:t>的要求：N</w:t>
            </w:r>
            <w:r>
              <w:rPr>
                <w:bCs/>
                <w:szCs w:val="21"/>
              </w:rPr>
              <w:t>MHC</w:t>
            </w:r>
            <w:r>
              <w:rPr>
                <w:rFonts w:hint="eastAsia"/>
                <w:bCs/>
                <w:szCs w:val="21"/>
              </w:rPr>
              <w:t>排放浓度≤</w:t>
            </w:r>
            <w:r>
              <w:rPr>
                <w:bCs/>
                <w:szCs w:val="21"/>
              </w:rPr>
              <w:t>8</w:t>
            </w:r>
            <w:r>
              <w:rPr>
                <w:rFonts w:hint="eastAsia"/>
                <w:bCs/>
                <w:szCs w:val="21"/>
              </w:rPr>
              <w:t>0mg/m</w:t>
            </w:r>
            <w:r>
              <w:rPr>
                <w:rFonts w:hint="eastAsia"/>
                <w:bCs/>
                <w:szCs w:val="21"/>
                <w:vertAlign w:val="superscript"/>
              </w:rPr>
              <w:t>3</w:t>
            </w:r>
            <w:r>
              <w:rPr>
                <w:rFonts w:hint="eastAsia"/>
                <w:bCs/>
                <w:szCs w:val="21"/>
              </w:rPr>
              <w:t>，T</w:t>
            </w:r>
            <w:r>
              <w:rPr>
                <w:bCs/>
                <w:szCs w:val="21"/>
              </w:rPr>
              <w:t>VOC</w:t>
            </w:r>
            <w:r>
              <w:rPr>
                <w:rFonts w:hint="eastAsia"/>
                <w:bCs/>
                <w:szCs w:val="21"/>
              </w:rPr>
              <w:t>排放浓度≤</w:t>
            </w:r>
            <w:r>
              <w:rPr>
                <w:bCs/>
                <w:szCs w:val="21"/>
              </w:rPr>
              <w:t>10</w:t>
            </w:r>
            <w:r>
              <w:rPr>
                <w:rFonts w:hint="eastAsia"/>
                <w:bCs/>
                <w:szCs w:val="21"/>
              </w:rPr>
              <w:t>0mg/m</w:t>
            </w:r>
            <w:r>
              <w:rPr>
                <w:rFonts w:hint="eastAsia"/>
                <w:bCs/>
                <w:szCs w:val="21"/>
                <w:vertAlign w:val="superscript"/>
              </w:rPr>
              <w:t>3</w:t>
            </w:r>
            <w:r>
              <w:rPr>
                <w:rFonts w:hint="eastAsia"/>
                <w:bCs/>
                <w:szCs w:val="21"/>
              </w:rPr>
              <w:t>，</w:t>
            </w:r>
            <w:r>
              <w:rPr>
                <w:rFonts w:hint="eastAsia" w:hAnsi="宋体"/>
                <w:bCs/>
                <w:szCs w:val="21"/>
              </w:rPr>
              <w:t>对周边大气环境影响不大。</w:t>
            </w:r>
            <w:r>
              <w:rPr>
                <w:rFonts w:hint="eastAsia"/>
                <w:szCs w:val="21"/>
              </w:rPr>
              <w:t>未收集</w:t>
            </w:r>
            <w:r>
              <w:rPr>
                <w:szCs w:val="21"/>
              </w:rPr>
              <w:t>的</w:t>
            </w:r>
            <w:r>
              <w:rPr>
                <w:rFonts w:hint="eastAsia"/>
                <w:szCs w:val="21"/>
              </w:rPr>
              <w:t>V</w:t>
            </w:r>
            <w:r>
              <w:rPr>
                <w:szCs w:val="21"/>
              </w:rPr>
              <w:t>OCs无组织排放，</w:t>
            </w:r>
            <w:r>
              <w:rPr>
                <w:rFonts w:hint="eastAsia"/>
                <w:bCs/>
              </w:rPr>
              <w:t>无组织</w:t>
            </w:r>
            <w:r>
              <w:rPr>
                <w:bCs/>
              </w:rPr>
              <w:t>排放量为0.092t/a，排放速率为0.0383kg/h</w:t>
            </w:r>
            <w:r>
              <w:rPr>
                <w:rFonts w:hint="eastAsia"/>
                <w:bCs/>
              </w:rPr>
              <w:t>，</w:t>
            </w:r>
            <w:r>
              <w:rPr>
                <w:rFonts w:hAnsi="宋体"/>
                <w:bCs/>
                <w:szCs w:val="21"/>
              </w:rPr>
              <w:t>通过加强车间通风，</w:t>
            </w:r>
            <w:r>
              <w:rPr>
                <w:rFonts w:hint="eastAsia"/>
                <w:bCs/>
              </w:rPr>
              <w:t>项目厂界VOCs可以</w:t>
            </w:r>
            <w:r>
              <w:rPr>
                <w:bCs/>
              </w:rPr>
              <w:t>满足</w:t>
            </w:r>
            <w:r>
              <w:rPr>
                <w:rFonts w:hint="eastAsia"/>
                <w:bCs/>
                <w:kern w:val="0"/>
                <w:szCs w:val="21"/>
              </w:rPr>
              <w:t>广东省《印刷行业挥发性有机化合物排放标准》（DB44/815-2010）表</w:t>
            </w:r>
            <w:r>
              <w:rPr>
                <w:bCs/>
                <w:kern w:val="0"/>
                <w:szCs w:val="21"/>
              </w:rPr>
              <w:t>3</w:t>
            </w:r>
            <w:r>
              <w:rPr>
                <w:rFonts w:hint="eastAsia"/>
                <w:bCs/>
                <w:kern w:val="0"/>
                <w:szCs w:val="21"/>
              </w:rPr>
              <w:t>无组织</w:t>
            </w:r>
            <w:r>
              <w:rPr>
                <w:bCs/>
                <w:kern w:val="0"/>
                <w:szCs w:val="21"/>
              </w:rPr>
              <w:t>排放监控点浓度限值</w:t>
            </w:r>
            <w:r>
              <w:rPr>
                <w:rFonts w:hint="eastAsia"/>
                <w:bCs/>
                <w:kern w:val="0"/>
                <w:szCs w:val="21"/>
              </w:rPr>
              <w:t>的</w:t>
            </w:r>
            <w:r>
              <w:rPr>
                <w:bCs/>
                <w:kern w:val="0"/>
                <w:szCs w:val="21"/>
              </w:rPr>
              <w:t>要求，项目厂区内</w:t>
            </w:r>
            <w:r>
              <w:rPr>
                <w:rFonts w:hint="eastAsia"/>
                <w:bCs/>
                <w:kern w:val="0"/>
                <w:szCs w:val="21"/>
              </w:rPr>
              <w:t>VOCs可以</w:t>
            </w:r>
            <w:r>
              <w:rPr>
                <w:bCs/>
                <w:kern w:val="0"/>
                <w:szCs w:val="21"/>
              </w:rPr>
              <w:t>满足</w:t>
            </w:r>
            <w:r>
              <w:rPr>
                <w:bCs/>
              </w:rPr>
              <w:t>广东省《固定污染源挥发性有机物综合排放标准》（DB44/2367-2022）表3</w:t>
            </w:r>
            <w:r>
              <w:rPr>
                <w:rFonts w:hint="eastAsia"/>
                <w:bCs/>
              </w:rPr>
              <w:t>厂区内 VOCs 无组织排放限值的</w:t>
            </w:r>
            <w:r>
              <w:rPr>
                <w:bCs/>
              </w:rPr>
              <w:t>要求</w:t>
            </w:r>
            <w:r>
              <w:rPr>
                <w:rFonts w:hAnsi="宋体"/>
                <w:bCs/>
                <w:szCs w:val="21"/>
              </w:rPr>
              <w:t>，不会对周围空气环境产生明显影响。</w:t>
            </w:r>
          </w:p>
          <w:p>
            <w:pPr>
              <w:pStyle w:val="79"/>
              <w:snapToGrid w:val="0"/>
              <w:spacing w:line="360" w:lineRule="auto"/>
              <w:ind w:firstLine="420"/>
              <w:rPr>
                <w:sz w:val="21"/>
                <w:szCs w:val="21"/>
              </w:rPr>
            </w:pPr>
            <w:r>
              <w:rPr>
                <w:rFonts w:hint="eastAsia"/>
                <w:bCs/>
                <w:kern w:val="2"/>
                <w:sz w:val="21"/>
              </w:rPr>
              <w:t>综上</w:t>
            </w:r>
            <w:r>
              <w:rPr>
                <w:bCs/>
                <w:kern w:val="2"/>
                <w:sz w:val="21"/>
              </w:rPr>
              <w:t>所述，项目位于环境空气质量达标区，采取的</w:t>
            </w:r>
            <w:r>
              <w:rPr>
                <w:rFonts w:hint="eastAsia"/>
                <w:bCs/>
                <w:kern w:val="2"/>
                <w:sz w:val="21"/>
              </w:rPr>
              <w:t>废气</w:t>
            </w:r>
            <w:r>
              <w:rPr>
                <w:bCs/>
                <w:kern w:val="2"/>
                <w:sz w:val="21"/>
              </w:rPr>
              <w:t>污染防治措施可行，大气污染物排放满足相关排放标准要求，</w:t>
            </w:r>
            <w:r>
              <w:rPr>
                <w:sz w:val="21"/>
                <w:szCs w:val="21"/>
              </w:rPr>
              <w:t>对</w:t>
            </w:r>
            <w:r>
              <w:rPr>
                <w:rFonts w:hint="eastAsia"/>
                <w:sz w:val="21"/>
                <w:szCs w:val="21"/>
              </w:rPr>
              <w:t>周边</w:t>
            </w:r>
            <w:r>
              <w:rPr>
                <w:sz w:val="21"/>
                <w:szCs w:val="21"/>
              </w:rPr>
              <w:t>大气环境影响不大。</w:t>
            </w:r>
          </w:p>
          <w:p>
            <w:pPr>
              <w:snapToGrid w:val="0"/>
              <w:spacing w:line="360" w:lineRule="auto"/>
              <w:ind w:firstLine="422" w:firstLineChars="200"/>
              <w:rPr>
                <w:b/>
                <w:szCs w:val="21"/>
              </w:rPr>
            </w:pPr>
            <w:r>
              <w:rPr>
                <w:rFonts w:hint="eastAsia"/>
                <w:b/>
                <w:szCs w:val="21"/>
              </w:rPr>
              <w:t>（7）</w:t>
            </w:r>
            <w:r>
              <w:rPr>
                <w:b/>
                <w:szCs w:val="21"/>
              </w:rPr>
              <w:t>卫生防护距离</w:t>
            </w:r>
          </w:p>
          <w:p>
            <w:pPr>
              <w:autoSpaceDE w:val="0"/>
              <w:autoSpaceDN w:val="0"/>
              <w:snapToGrid w:val="0"/>
              <w:spacing w:line="360" w:lineRule="auto"/>
              <w:ind w:firstLine="422" w:firstLineChars="200"/>
              <w:rPr>
                <w:b/>
                <w:bCs/>
                <w:szCs w:val="21"/>
              </w:rPr>
            </w:pPr>
            <w:r>
              <w:rPr>
                <w:rFonts w:hint="eastAsia"/>
                <w:b/>
                <w:bCs/>
                <w:szCs w:val="21"/>
              </w:rPr>
              <w:t>①</w:t>
            </w:r>
            <w:r>
              <w:rPr>
                <w:b/>
                <w:bCs/>
                <w:szCs w:val="21"/>
              </w:rPr>
              <w:t>主要特征大气有害物质</w:t>
            </w:r>
          </w:p>
          <w:p>
            <w:pPr>
              <w:adjustRightInd w:val="0"/>
              <w:snapToGrid w:val="0"/>
              <w:spacing w:line="360" w:lineRule="auto"/>
              <w:ind w:firstLine="420" w:firstLineChars="200"/>
              <w:textAlignment w:val="baseline"/>
              <w:rPr>
                <w:bCs/>
                <w:szCs w:val="21"/>
              </w:rPr>
            </w:pPr>
            <w:r>
              <w:t>根据《大气有害物质无组织排放卫生防护距离推导技术导则》（GB/T 39499-2020），根据目标行业企业的产品产量及其原辅材料、工艺特征、中间产物、产排污特点等具体情况，考虑对人体健康损害的毒性特点，选取特征大气有害物质，本</w:t>
            </w:r>
            <w:r>
              <w:rPr>
                <w:szCs w:val="21"/>
              </w:rPr>
              <w:t>项目无组织排放的废气主要有</w:t>
            </w:r>
            <w:r>
              <w:rPr>
                <w:rFonts w:hint="eastAsia"/>
                <w:szCs w:val="21"/>
              </w:rPr>
              <w:t>非甲烷</w:t>
            </w:r>
            <w:r>
              <w:rPr>
                <w:szCs w:val="21"/>
              </w:rPr>
              <w:t>总烃和</w:t>
            </w:r>
            <w:r>
              <w:rPr>
                <w:rFonts w:hint="eastAsia"/>
                <w:szCs w:val="21"/>
              </w:rPr>
              <w:t>VOCs</w:t>
            </w:r>
            <w:r>
              <w:rPr>
                <w:szCs w:val="21"/>
              </w:rPr>
              <w:t>，</w:t>
            </w:r>
            <w:r>
              <w:rPr>
                <w:rFonts w:hint="eastAsia"/>
                <w:szCs w:val="21"/>
              </w:rPr>
              <w:t>非甲烷总烃</w:t>
            </w:r>
            <w:r>
              <w:rPr>
                <w:bCs/>
                <w:szCs w:val="21"/>
              </w:rPr>
              <w:t>的环境标准限值参照执行《大气污染物综合排放标准详解》P244页的推荐值</w:t>
            </w:r>
            <w:r>
              <w:rPr>
                <w:rFonts w:hint="eastAsia"/>
                <w:bCs/>
                <w:szCs w:val="21"/>
              </w:rPr>
              <w:t>：2</w:t>
            </w:r>
            <w:r>
              <w:rPr>
                <w:bCs/>
                <w:szCs w:val="21"/>
              </w:rPr>
              <w:t xml:space="preserve"> </w:t>
            </w:r>
            <w:r>
              <w:rPr>
                <w:rFonts w:hint="eastAsia"/>
                <w:bCs/>
                <w:szCs w:val="21"/>
              </w:rPr>
              <w:t>mg/</w:t>
            </w:r>
            <w:r>
              <w:rPr>
                <w:bCs/>
                <w:szCs w:val="21"/>
              </w:rPr>
              <w:t>m</w:t>
            </w:r>
            <w:r>
              <w:rPr>
                <w:bCs/>
                <w:szCs w:val="21"/>
                <w:vertAlign w:val="superscript"/>
              </w:rPr>
              <w:t>3</w:t>
            </w:r>
            <w:r>
              <w:rPr>
                <w:bCs/>
                <w:szCs w:val="21"/>
              </w:rPr>
              <w:t>，TVOCs的环境标准限值取</w:t>
            </w:r>
            <w:r>
              <w:rPr>
                <w:szCs w:val="21"/>
              </w:rPr>
              <w:t>《环境影响评价技术导则-大气环境》（HJ2.2-2018）附录D</w:t>
            </w:r>
            <w:r>
              <w:rPr>
                <w:bCs/>
                <w:szCs w:val="21"/>
              </w:rPr>
              <w:t>中TVOC 8小时均值的2倍</w:t>
            </w:r>
            <w:r>
              <w:rPr>
                <w:rFonts w:hint="eastAsia"/>
                <w:bCs/>
                <w:szCs w:val="21"/>
              </w:rPr>
              <w:t>：</w:t>
            </w:r>
            <w:r>
              <w:rPr>
                <w:bCs/>
                <w:szCs w:val="21"/>
              </w:rPr>
              <w:t>1.2</w:t>
            </w:r>
            <w:r>
              <w:rPr>
                <w:rFonts w:hint="eastAsia"/>
                <w:bCs/>
                <w:szCs w:val="21"/>
              </w:rPr>
              <w:t xml:space="preserve"> mg/</w:t>
            </w:r>
            <w:r>
              <w:rPr>
                <w:bCs/>
                <w:szCs w:val="21"/>
              </w:rPr>
              <w:t>m</w:t>
            </w:r>
            <w:r>
              <w:rPr>
                <w:bCs/>
                <w:szCs w:val="21"/>
                <w:vertAlign w:val="superscript"/>
              </w:rPr>
              <w:t>3</w:t>
            </w:r>
            <w:r>
              <w:rPr>
                <w:rFonts w:hint="eastAsia"/>
                <w:bCs/>
                <w:szCs w:val="21"/>
              </w:rPr>
              <w:t>，</w:t>
            </w:r>
            <w:r>
              <w:rPr>
                <w:bCs/>
                <w:szCs w:val="21"/>
              </w:rPr>
              <w:t>本项目各污染物等标排放量如下表所示。</w:t>
            </w:r>
          </w:p>
          <w:p>
            <w:pPr>
              <w:numPr>
                <w:ilvl w:val="0"/>
                <w:numId w:val="2"/>
              </w:numPr>
              <w:adjustRightInd w:val="0"/>
              <w:snapToGrid w:val="0"/>
              <w:spacing w:line="360" w:lineRule="auto"/>
              <w:ind w:left="0"/>
              <w:jc w:val="center"/>
              <w:rPr>
                <w:b/>
                <w:bCs/>
                <w:szCs w:val="21"/>
              </w:rPr>
            </w:pPr>
            <w:r>
              <w:rPr>
                <w:b/>
                <w:bCs/>
                <w:szCs w:val="21"/>
              </w:rPr>
              <w:t>项目主要污染物等标排放量表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203"/>
              <w:gridCol w:w="1459"/>
              <w:gridCol w:w="1447"/>
              <w:gridCol w:w="1183"/>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污染物</w:t>
                  </w:r>
                </w:p>
              </w:tc>
              <w:tc>
                <w:tcPr>
                  <w:tcW w:w="715"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无组织排放量</w:t>
                  </w:r>
                  <w:r>
                    <w:rPr>
                      <w:rFonts w:ascii="Times New Roman" w:hAnsi="Times New Roman" w:cs="Times New Roman"/>
                      <w:b/>
                      <w:bCs/>
                    </w:rPr>
                    <w:t>Qc（kg/h）</w:t>
                  </w:r>
                </w:p>
              </w:tc>
              <w:tc>
                <w:tcPr>
                  <w:tcW w:w="867"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标准限值</w:t>
                  </w:r>
                  <w:r>
                    <w:rPr>
                      <w:rFonts w:ascii="Times New Roman" w:hAnsi="Times New Roman" w:cs="Times New Roman"/>
                      <w:b/>
                      <w:bCs/>
                    </w:rPr>
                    <w:t>Cm</w:t>
                  </w:r>
                </w:p>
                <w:p>
                  <w:pPr>
                    <w:pStyle w:val="99"/>
                    <w:adjustRightInd w:val="0"/>
                    <w:snapToGrid w:val="0"/>
                    <w:jc w:val="center"/>
                    <w:rPr>
                      <w:rFonts w:ascii="Times New Roman" w:hAnsi="Times New Roman" w:cs="Times New Roman"/>
                      <w:b/>
                      <w:bCs/>
                      <w:lang w:val="en-US"/>
                    </w:rPr>
                  </w:pPr>
                  <w:r>
                    <w:rPr>
                      <w:rFonts w:ascii="Times New Roman" w:hAnsi="Times New Roman" w:cs="Times New Roman"/>
                      <w:b/>
                      <w:bCs/>
                    </w:rPr>
                    <w:t>（mg/m³）</w:t>
                  </w:r>
                </w:p>
              </w:tc>
              <w:tc>
                <w:tcPr>
                  <w:tcW w:w="860"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等标排放量</w:t>
                  </w:r>
                  <w:r>
                    <w:rPr>
                      <w:rFonts w:ascii="Times New Roman" w:hAnsi="Times New Roman" w:cs="Times New Roman"/>
                      <w:b/>
                      <w:bCs/>
                    </w:rPr>
                    <w:t>Qc</w:t>
                  </w:r>
                  <w:r>
                    <w:rPr>
                      <w:rFonts w:ascii="Times New Roman" w:hAnsi="Times New Roman" w:cs="Times New Roman"/>
                      <w:b/>
                      <w:bCs/>
                      <w:lang w:val="en-US"/>
                    </w:rPr>
                    <w:t>/</w:t>
                  </w:r>
                  <w:r>
                    <w:rPr>
                      <w:rFonts w:ascii="Times New Roman" w:hAnsi="Times New Roman" w:cs="Times New Roman"/>
                      <w:b/>
                      <w:bCs/>
                    </w:rPr>
                    <w:t>Cm</w:t>
                  </w:r>
                </w:p>
                <w:p>
                  <w:pPr>
                    <w:pStyle w:val="99"/>
                    <w:adjustRightInd w:val="0"/>
                    <w:snapToGrid w:val="0"/>
                    <w:jc w:val="center"/>
                    <w:rPr>
                      <w:rFonts w:ascii="Times New Roman" w:hAnsi="Times New Roman" w:cs="Times New Roman"/>
                      <w:b/>
                      <w:bCs/>
                    </w:rPr>
                  </w:pPr>
                  <w:r>
                    <w:rPr>
                      <w:rFonts w:ascii="Times New Roman" w:hAnsi="Times New Roman" w:cs="Times New Roman"/>
                      <w:b/>
                      <w:bCs/>
                    </w:rPr>
                    <w:t>（m³/ h）</w:t>
                  </w:r>
                </w:p>
              </w:tc>
              <w:tc>
                <w:tcPr>
                  <w:tcW w:w="703" w:type="pct"/>
                  <w:vAlign w:val="center"/>
                </w:tcPr>
                <w:p>
                  <w:pPr>
                    <w:pStyle w:val="99"/>
                    <w:adjustRightInd w:val="0"/>
                    <w:snapToGrid w:val="0"/>
                    <w:jc w:val="center"/>
                    <w:rPr>
                      <w:rFonts w:ascii="Times New Roman" w:hAnsi="Times New Roman" w:cs="Times New Roman"/>
                      <w:b/>
                      <w:bCs/>
                      <w:lang w:val="en-US"/>
                    </w:rPr>
                  </w:pPr>
                  <w:r>
                    <w:rPr>
                      <w:rFonts w:ascii="Times New Roman" w:hAnsi="Times New Roman" w:cs="Times New Roman"/>
                      <w:b/>
                      <w:bCs/>
                      <w:lang w:val="en-US"/>
                    </w:rPr>
                    <w:t>等标排放量差值</w:t>
                  </w:r>
                </w:p>
              </w:tc>
              <w:tc>
                <w:tcPr>
                  <w:tcW w:w="1025" w:type="pct"/>
                  <w:vAlign w:val="center"/>
                </w:tcPr>
                <w:p>
                  <w:pPr>
                    <w:pStyle w:val="99"/>
                    <w:adjustRightInd w:val="0"/>
                    <w:snapToGrid w:val="0"/>
                    <w:jc w:val="center"/>
                    <w:rPr>
                      <w:rFonts w:ascii="Times New Roman" w:hAnsi="Times New Roman" w:cs="Times New Roman"/>
                      <w:b/>
                      <w:bCs/>
                      <w:lang w:val="en-US"/>
                    </w:rPr>
                  </w:pPr>
                  <w:r>
                    <w:rPr>
                      <w:rFonts w:ascii="Times New Roman" w:hAnsi="Times New Roman" w:cs="Times New Roman"/>
                      <w:b/>
                      <w:bCs/>
                      <w:lang w:val="en-US"/>
                    </w:rPr>
                    <w:t>项目主要特征大气有害物质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pc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非甲烷总烃</w:t>
                  </w:r>
                </w:p>
              </w:tc>
              <w:tc>
                <w:tcPr>
                  <w:tcW w:w="715"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0.00048</w:t>
                  </w:r>
                </w:p>
              </w:tc>
              <w:tc>
                <w:tcPr>
                  <w:tcW w:w="867"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2.0</w:t>
                  </w:r>
                </w:p>
              </w:tc>
              <w:tc>
                <w:tcPr>
                  <w:tcW w:w="860"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240</w:t>
                  </w:r>
                </w:p>
              </w:tc>
              <w:tc>
                <w:tcPr>
                  <w:tcW w:w="703" w:type="pct"/>
                  <w:vMerge w:val="restar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&gt;10%</w:t>
                  </w:r>
                </w:p>
              </w:tc>
              <w:tc>
                <w:tcPr>
                  <w:tcW w:w="1025" w:type="pct"/>
                  <w:vMerge w:val="restar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非甲烷</w:t>
                  </w:r>
                  <w:r>
                    <w:rPr>
                      <w:rFonts w:ascii="Times New Roman" w:hAnsi="Times New Roman" w:cs="Times New Roman"/>
                      <w:lang w:val="en-US"/>
                    </w:rPr>
                    <w:t>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TVOC</w:t>
                  </w:r>
                </w:p>
              </w:tc>
              <w:tc>
                <w:tcPr>
                  <w:tcW w:w="715"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0.0383</w:t>
                  </w:r>
                </w:p>
              </w:tc>
              <w:tc>
                <w:tcPr>
                  <w:tcW w:w="867"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1.2</w:t>
                  </w:r>
                </w:p>
              </w:tc>
              <w:tc>
                <w:tcPr>
                  <w:tcW w:w="860"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31916.7</w:t>
                  </w:r>
                </w:p>
              </w:tc>
              <w:tc>
                <w:tcPr>
                  <w:tcW w:w="703" w:type="pct"/>
                  <w:vMerge w:val="continue"/>
                  <w:vAlign w:val="center"/>
                </w:tcPr>
                <w:p>
                  <w:pPr>
                    <w:pStyle w:val="99"/>
                    <w:adjustRightInd w:val="0"/>
                    <w:snapToGrid w:val="0"/>
                    <w:jc w:val="center"/>
                    <w:rPr>
                      <w:rFonts w:ascii="Times New Roman" w:hAnsi="Times New Roman" w:cs="Times New Roman"/>
                      <w:lang w:val="en-US"/>
                    </w:rPr>
                  </w:pPr>
                </w:p>
              </w:tc>
              <w:tc>
                <w:tcPr>
                  <w:tcW w:w="1025" w:type="pct"/>
                  <w:vMerge w:val="continue"/>
                  <w:vAlign w:val="center"/>
                </w:tcPr>
                <w:p>
                  <w:pPr>
                    <w:pStyle w:val="99"/>
                    <w:adjustRightInd w:val="0"/>
                    <w:snapToGrid w:val="0"/>
                    <w:jc w:val="center"/>
                    <w:rPr>
                      <w:rFonts w:ascii="Times New Roman" w:hAnsi="Times New Roman" w:cs="Times New Roman"/>
                      <w:lang w:val="en-US"/>
                    </w:rPr>
                  </w:pPr>
                </w:p>
              </w:tc>
            </w:tr>
          </w:tbl>
          <w:p>
            <w:pPr>
              <w:adjustRightInd w:val="0"/>
              <w:snapToGrid w:val="0"/>
              <w:spacing w:line="360" w:lineRule="auto"/>
              <w:ind w:firstLine="420" w:firstLineChars="200"/>
              <w:textAlignment w:val="baseline"/>
            </w:pPr>
            <w:r>
              <w:t>本项目无组织排放存在两种污染物（</w:t>
            </w:r>
            <w:r>
              <w:rPr>
                <w:rFonts w:hint="eastAsia"/>
              </w:rPr>
              <w:t>非甲烷总烃</w:t>
            </w:r>
            <w:r>
              <w:t>、TVOC），基于单个污染物的等标排放量计算结果，项目有毒有害污染物的等标排放量相差大于10%，优先选择等标排放量最大的污染物作为企业无组织排放的主要特征大气有害物质。经计算，本项目主要特征大气有害物质为</w:t>
            </w:r>
            <w:r>
              <w:rPr>
                <w:rFonts w:hint="eastAsia"/>
              </w:rPr>
              <w:t>T</w:t>
            </w:r>
            <w:r>
              <w:t>VOC。</w:t>
            </w:r>
          </w:p>
          <w:p>
            <w:pPr>
              <w:adjustRightInd w:val="0"/>
              <w:snapToGrid w:val="0"/>
              <w:spacing w:line="360" w:lineRule="auto"/>
              <w:ind w:firstLine="422" w:firstLineChars="200"/>
              <w:textAlignment w:val="baseline"/>
              <w:rPr>
                <w:b/>
              </w:rPr>
            </w:pPr>
            <w:r>
              <w:rPr>
                <w:b/>
              </w:rPr>
              <w:t>（2）卫生防护距离初值计算</w:t>
            </w:r>
          </w:p>
          <w:p>
            <w:pPr>
              <w:autoSpaceDE w:val="0"/>
              <w:autoSpaceDN w:val="0"/>
              <w:adjustRightInd w:val="0"/>
              <w:spacing w:line="360" w:lineRule="auto"/>
              <w:ind w:firstLine="420" w:firstLineChars="200"/>
              <w:rPr>
                <w:szCs w:val="21"/>
              </w:rPr>
            </w:pPr>
            <w:r>
              <w:rPr>
                <w:szCs w:val="21"/>
              </w:rPr>
              <w:t>采用</w:t>
            </w:r>
            <w:r>
              <w:t>GB/T39499-2020</w:t>
            </w:r>
            <w:r>
              <w:rPr>
                <w:szCs w:val="21"/>
              </w:rPr>
              <w:t>推荐的估算方法进行计算，具体计算公式如下：</w:t>
            </w:r>
          </w:p>
          <w:p>
            <w:pPr>
              <w:pStyle w:val="85"/>
              <w:spacing w:line="360" w:lineRule="auto"/>
              <w:ind w:firstLine="200"/>
              <w:jc w:val="center"/>
              <w:rPr>
                <w:szCs w:val="21"/>
              </w:rPr>
            </w:pPr>
            <w:r>
              <w:drawing>
                <wp:inline distT="0" distB="0" distL="0" distR="0">
                  <wp:extent cx="2118360" cy="673735"/>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9"/>
                          <a:stretch>
                            <a:fillRect/>
                          </a:stretch>
                        </pic:blipFill>
                        <pic:spPr>
                          <a:xfrm>
                            <a:off x="0" y="0"/>
                            <a:ext cx="2121913" cy="675154"/>
                          </a:xfrm>
                          <a:prstGeom prst="rect">
                            <a:avLst/>
                          </a:prstGeom>
                        </pic:spPr>
                      </pic:pic>
                    </a:graphicData>
                  </a:graphic>
                </wp:inline>
              </w:drawing>
            </w:r>
          </w:p>
          <w:p>
            <w:pPr>
              <w:adjustRightInd w:val="0"/>
              <w:snapToGrid w:val="0"/>
              <w:spacing w:line="360" w:lineRule="auto"/>
              <w:ind w:firstLine="200"/>
              <w:rPr>
                <w:szCs w:val="21"/>
              </w:rPr>
            </w:pPr>
            <w:r>
              <w:rPr>
                <w:szCs w:val="21"/>
              </w:rPr>
              <w:t xml:space="preserve">    式中：</w:t>
            </w:r>
          </w:p>
          <w:p>
            <w:pPr>
              <w:adjustRightInd w:val="0"/>
              <w:snapToGrid w:val="0"/>
              <w:spacing w:line="360" w:lineRule="auto"/>
              <w:ind w:firstLine="420" w:firstLineChars="200"/>
              <w:rPr>
                <w:szCs w:val="21"/>
              </w:rPr>
            </w:pPr>
            <w:r>
              <w:rPr>
                <w:szCs w:val="21"/>
              </w:rPr>
              <w:t>Q</w:t>
            </w:r>
            <w:r>
              <w:rPr>
                <w:szCs w:val="21"/>
                <w:vertAlign w:val="subscript"/>
              </w:rPr>
              <w:t>c</w:t>
            </w:r>
            <w:r>
              <w:rPr>
                <w:szCs w:val="21"/>
              </w:rPr>
              <w:sym w:font="Symbol" w:char="F0BE"/>
            </w:r>
            <w:r>
              <w:rPr>
                <w:szCs w:val="21"/>
              </w:rPr>
              <w:sym w:font="Symbol" w:char="F0BE"/>
            </w:r>
            <w:r>
              <w:rPr>
                <w:szCs w:val="21"/>
              </w:rPr>
              <w:t>大气有害物质的无组织排放量，单位为千克每小时(kg/h)；</w:t>
            </w:r>
          </w:p>
          <w:p>
            <w:pPr>
              <w:adjustRightInd w:val="0"/>
              <w:snapToGrid w:val="0"/>
              <w:spacing w:line="360" w:lineRule="auto"/>
              <w:ind w:firstLine="420" w:firstLineChars="200"/>
              <w:rPr>
                <w:szCs w:val="21"/>
              </w:rPr>
            </w:pPr>
            <w:r>
              <w:rPr>
                <w:szCs w:val="21"/>
              </w:rPr>
              <w:t>C</w:t>
            </w:r>
            <w:r>
              <w:rPr>
                <w:szCs w:val="21"/>
                <w:vertAlign w:val="subscript"/>
              </w:rPr>
              <w:t>m</w:t>
            </w:r>
            <w:r>
              <w:rPr>
                <w:szCs w:val="21"/>
              </w:rPr>
              <w:sym w:font="Symbol" w:char="F0BE"/>
            </w:r>
            <w:r>
              <w:rPr>
                <w:szCs w:val="21"/>
              </w:rPr>
              <w:sym w:font="Symbol" w:char="F0BE"/>
            </w:r>
            <w:r>
              <w:rPr>
                <w:szCs w:val="21"/>
              </w:rPr>
              <w:t>大气有害物质环境空气质量的标准限值，单位为毫克每立方米(mg/m</w:t>
            </w:r>
            <w:r>
              <w:rPr>
                <w:szCs w:val="21"/>
                <w:vertAlign w:val="superscript"/>
              </w:rPr>
              <w:t>3</w:t>
            </w:r>
            <w:r>
              <w:rPr>
                <w:szCs w:val="21"/>
              </w:rPr>
              <w:t>)；</w:t>
            </w:r>
          </w:p>
          <w:p>
            <w:pPr>
              <w:adjustRightInd w:val="0"/>
              <w:snapToGrid w:val="0"/>
              <w:spacing w:line="360" w:lineRule="auto"/>
              <w:ind w:firstLine="420" w:firstLineChars="200"/>
              <w:rPr>
                <w:szCs w:val="21"/>
              </w:rPr>
            </w:pPr>
            <w:r>
              <w:rPr>
                <w:szCs w:val="21"/>
              </w:rPr>
              <w:t>L</w:t>
            </w:r>
            <w:r>
              <w:rPr>
                <w:szCs w:val="21"/>
              </w:rPr>
              <w:sym w:font="Symbol" w:char="F0BE"/>
            </w:r>
            <w:r>
              <w:rPr>
                <w:szCs w:val="21"/>
              </w:rPr>
              <w:sym w:font="Symbol" w:char="F0BE"/>
            </w:r>
            <w:r>
              <w:rPr>
                <w:szCs w:val="21"/>
              </w:rPr>
              <w:t>大气有害物质卫生防护距离初值，单位为米(m)；</w:t>
            </w:r>
          </w:p>
          <w:p>
            <w:pPr>
              <w:adjustRightInd w:val="0"/>
              <w:snapToGrid w:val="0"/>
              <w:spacing w:line="360" w:lineRule="auto"/>
              <w:ind w:firstLine="420" w:firstLineChars="200"/>
              <w:rPr>
                <w:szCs w:val="21"/>
              </w:rPr>
            </w:pPr>
            <w:r>
              <w:rPr>
                <w:szCs w:val="21"/>
              </w:rPr>
              <w:t>r</w:t>
            </w:r>
            <w:r>
              <w:rPr>
                <w:szCs w:val="21"/>
              </w:rPr>
              <w:sym w:font="Symbol" w:char="F0BE"/>
            </w:r>
            <w:r>
              <w:rPr>
                <w:szCs w:val="21"/>
              </w:rPr>
              <w:sym w:font="Symbol" w:char="F0BE"/>
            </w:r>
            <w:r>
              <w:rPr>
                <w:szCs w:val="21"/>
              </w:rPr>
              <w:t>大气有害物质无组织排放源所在生产单元的等效半径，单位为米(m)；</w:t>
            </w:r>
          </w:p>
          <w:p>
            <w:pPr>
              <w:adjustRightInd w:val="0"/>
              <w:snapToGrid w:val="0"/>
              <w:spacing w:line="360" w:lineRule="auto"/>
              <w:ind w:firstLine="420" w:firstLineChars="200"/>
              <w:rPr>
                <w:szCs w:val="21"/>
              </w:rPr>
            </w:pPr>
            <w:r>
              <w:rPr>
                <w:szCs w:val="21"/>
              </w:rPr>
              <w:t>A、B、C、D</w:t>
            </w:r>
            <w:r>
              <w:rPr>
                <w:szCs w:val="21"/>
              </w:rPr>
              <w:sym w:font="Symbol" w:char="F0BE"/>
            </w:r>
            <w:r>
              <w:rPr>
                <w:szCs w:val="21"/>
              </w:rPr>
              <w:sym w:font="Symbol" w:char="F0BE"/>
            </w:r>
            <w:r>
              <w:rPr>
                <w:szCs w:val="21"/>
              </w:rPr>
              <w:t>卫生防护距离初值计算系数，无因次，根据工业企业所在地区近5年平均风速及大气污染源构成类别从下表查取。</w:t>
            </w:r>
          </w:p>
          <w:p>
            <w:pPr>
              <w:numPr>
                <w:ilvl w:val="0"/>
                <w:numId w:val="2"/>
              </w:numPr>
              <w:adjustRightInd w:val="0"/>
              <w:snapToGrid w:val="0"/>
              <w:spacing w:line="360" w:lineRule="auto"/>
              <w:ind w:left="0"/>
              <w:jc w:val="center"/>
              <w:rPr>
                <w:b/>
                <w:szCs w:val="21"/>
              </w:rPr>
            </w:pPr>
            <w:r>
              <w:rPr>
                <w:b/>
                <w:szCs w:val="21"/>
              </w:rPr>
              <w:t>卫生防护距离初值计算系数</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48"/>
              <w:gridCol w:w="723"/>
              <w:gridCol w:w="724"/>
              <w:gridCol w:w="734"/>
              <w:gridCol w:w="724"/>
              <w:gridCol w:w="724"/>
              <w:gridCol w:w="734"/>
              <w:gridCol w:w="724"/>
              <w:gridCol w:w="72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b/>
                      <w:bCs/>
                    </w:rPr>
                  </w:pPr>
                  <w:r>
                    <w:rPr>
                      <w:rStyle w:val="47"/>
                      <w:rFonts w:ascii="Times New Roman" w:hAnsi="Times New Roman"/>
                      <w:b/>
                      <w:bCs/>
                      <w:color w:val="auto"/>
                    </w:rPr>
                    <w:t>卫生防护距离初值计算系数</w:t>
                  </w:r>
                </w:p>
              </w:tc>
              <w:tc>
                <w:tcPr>
                  <w:tcW w:w="683" w:type="pct"/>
                  <w:vMerge w:val="restart"/>
                  <w:vAlign w:val="center"/>
                </w:tcPr>
                <w:p>
                  <w:pPr>
                    <w:pStyle w:val="18"/>
                    <w:jc w:val="center"/>
                    <w:rPr>
                      <w:rStyle w:val="47"/>
                      <w:rFonts w:ascii="Times New Roman" w:hAnsi="Times New Roman"/>
                      <w:b/>
                      <w:bCs/>
                      <w:color w:val="auto"/>
                    </w:rPr>
                  </w:pPr>
                  <w:r>
                    <w:rPr>
                      <w:rStyle w:val="47"/>
                      <w:rFonts w:ascii="Times New Roman" w:hAnsi="Times New Roman"/>
                      <w:b/>
                      <w:bCs/>
                      <w:color w:val="auto"/>
                    </w:rPr>
                    <w:t>工业企业</w:t>
                  </w:r>
                </w:p>
                <w:p>
                  <w:pPr>
                    <w:pStyle w:val="18"/>
                    <w:jc w:val="center"/>
                    <w:rPr>
                      <w:rStyle w:val="47"/>
                      <w:rFonts w:ascii="Times New Roman" w:hAnsi="Times New Roman"/>
                      <w:b/>
                      <w:bCs/>
                      <w:color w:val="auto"/>
                    </w:rPr>
                  </w:pPr>
                  <w:r>
                    <w:rPr>
                      <w:rStyle w:val="47"/>
                      <w:rFonts w:ascii="Times New Roman" w:hAnsi="Times New Roman"/>
                      <w:b/>
                      <w:bCs/>
                      <w:color w:val="auto"/>
                    </w:rPr>
                    <w:t>所在地区</w:t>
                  </w:r>
                </w:p>
                <w:p>
                  <w:pPr>
                    <w:pStyle w:val="18"/>
                    <w:jc w:val="center"/>
                    <w:rPr>
                      <w:rStyle w:val="47"/>
                      <w:rFonts w:ascii="Times New Roman" w:hAnsi="Times New Roman"/>
                      <w:b/>
                      <w:bCs/>
                      <w:color w:val="auto"/>
                    </w:rPr>
                  </w:pPr>
                  <w:r>
                    <w:rPr>
                      <w:rStyle w:val="47"/>
                      <w:rFonts w:ascii="Times New Roman" w:hAnsi="Times New Roman"/>
                      <w:b/>
                      <w:bCs/>
                      <w:color w:val="auto"/>
                    </w:rPr>
                    <w:t>近5年平</w:t>
                  </w:r>
                </w:p>
                <w:p>
                  <w:pPr>
                    <w:pStyle w:val="18"/>
                    <w:jc w:val="center"/>
                    <w:rPr>
                      <w:rFonts w:ascii="Times New Roman" w:hAnsi="Times New Roman"/>
                      <w:b/>
                      <w:bCs/>
                    </w:rPr>
                  </w:pPr>
                  <w:r>
                    <w:rPr>
                      <w:rStyle w:val="47"/>
                      <w:rFonts w:ascii="Times New Roman" w:hAnsi="Times New Roman"/>
                      <w:b/>
                      <w:bCs/>
                      <w:color w:val="auto"/>
                    </w:rPr>
                    <w:t>均风速m/s</w:t>
                  </w:r>
                </w:p>
              </w:tc>
              <w:tc>
                <w:tcPr>
                  <w:tcW w:w="3891" w:type="pct"/>
                  <w:gridSpan w:val="9"/>
                  <w:vAlign w:val="center"/>
                </w:tcPr>
                <w:p>
                  <w:pPr>
                    <w:pStyle w:val="18"/>
                    <w:jc w:val="center"/>
                    <w:rPr>
                      <w:rFonts w:ascii="Times New Roman" w:hAnsi="Times New Roman"/>
                      <w:b/>
                      <w:bCs/>
                    </w:rPr>
                  </w:pPr>
                  <w:r>
                    <w:rPr>
                      <w:rStyle w:val="47"/>
                      <w:rFonts w:ascii="Times New Roman" w:hAnsi="Times New Roman"/>
                      <w:b/>
                      <w:bCs/>
                      <w:color w:val="auto"/>
                    </w:rPr>
                    <w:t>卫生防护距离L,m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1296" w:type="pct"/>
                  <w:gridSpan w:val="3"/>
                  <w:vAlign w:val="center"/>
                </w:tcPr>
                <w:p>
                  <w:pPr>
                    <w:pStyle w:val="18"/>
                    <w:jc w:val="center"/>
                    <w:rPr>
                      <w:rFonts w:ascii="Times New Roman" w:hAnsi="Times New Roman"/>
                    </w:rPr>
                  </w:pPr>
                  <w:r>
                    <w:rPr>
                      <w:rStyle w:val="47"/>
                      <w:rFonts w:ascii="Times New Roman" w:hAnsi="Times New Roman"/>
                      <w:color w:val="auto"/>
                    </w:rPr>
                    <w:t>L≤1000</w:t>
                  </w:r>
                </w:p>
              </w:tc>
              <w:tc>
                <w:tcPr>
                  <w:tcW w:w="1296" w:type="pct"/>
                  <w:gridSpan w:val="3"/>
                  <w:vAlign w:val="center"/>
                </w:tcPr>
                <w:p>
                  <w:pPr>
                    <w:pStyle w:val="18"/>
                    <w:jc w:val="center"/>
                    <w:rPr>
                      <w:rFonts w:ascii="Times New Roman" w:hAnsi="Times New Roman"/>
                    </w:rPr>
                  </w:pPr>
                  <w:r>
                    <w:rPr>
                      <w:rStyle w:val="47"/>
                      <w:rFonts w:ascii="Times New Roman" w:hAnsi="Times New Roman"/>
                      <w:color w:val="auto"/>
                    </w:rPr>
                    <w:t>1000＜L≤2000</w:t>
                  </w:r>
                </w:p>
              </w:tc>
              <w:tc>
                <w:tcPr>
                  <w:tcW w:w="1297" w:type="pct"/>
                  <w:gridSpan w:val="3"/>
                  <w:vAlign w:val="center"/>
                </w:tcPr>
                <w:p>
                  <w:pPr>
                    <w:pStyle w:val="18"/>
                    <w:jc w:val="center"/>
                    <w:rPr>
                      <w:rFonts w:ascii="Times New Roman" w:hAnsi="Times New Roman"/>
                    </w:rPr>
                  </w:pPr>
                  <w:r>
                    <w:rPr>
                      <w:rStyle w:val="47"/>
                      <w:rFonts w:ascii="Times New Roman" w:hAnsi="Times New Roman"/>
                      <w:color w:val="auto"/>
                    </w:rPr>
                    <w:t>L＞2000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3891" w:type="pct"/>
                  <w:gridSpan w:val="9"/>
                  <w:vAlign w:val="center"/>
                </w:tcPr>
                <w:p>
                  <w:pPr>
                    <w:pStyle w:val="18"/>
                    <w:jc w:val="center"/>
                    <w:rPr>
                      <w:rFonts w:ascii="Times New Roman" w:hAnsi="Times New Roman"/>
                    </w:rPr>
                  </w:pPr>
                  <w:r>
                    <w:rPr>
                      <w:rStyle w:val="47"/>
                      <w:rFonts w:ascii="Times New Roman" w:hAnsi="Times New Roman"/>
                      <w:color w:val="auto"/>
                    </w:rPr>
                    <w:t>工业企业大气污染源构成类型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0"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0"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1"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A</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430"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5"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5"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80</w:t>
                  </w:r>
                </w:p>
              </w:tc>
              <w:tc>
                <w:tcPr>
                  <w:tcW w:w="431" w:type="pct"/>
                  <w:vAlign w:val="center"/>
                </w:tcPr>
                <w:p>
                  <w:pPr>
                    <w:pStyle w:val="18"/>
                    <w:jc w:val="center"/>
                    <w:rPr>
                      <w:rFonts w:ascii="Times New Roman" w:hAnsi="Times New Roman"/>
                    </w:rPr>
                  </w:pPr>
                  <w:r>
                    <w:rPr>
                      <w:rFonts w:ascii="Times New Roman" w:hAnsi="Times New Roman"/>
                    </w:rPr>
                    <w:t>80</w:t>
                  </w:r>
                </w:p>
              </w:tc>
              <w:tc>
                <w:tcPr>
                  <w:tcW w:w="435" w:type="pct"/>
                  <w:vAlign w:val="center"/>
                </w:tcPr>
                <w:p>
                  <w:pPr>
                    <w:pStyle w:val="18"/>
                    <w:jc w:val="center"/>
                    <w:rPr>
                      <w:rFonts w:ascii="Times New Roman" w:hAnsi="Times New Roman"/>
                    </w:rPr>
                  </w:pPr>
                  <w:r>
                    <w:rPr>
                      <w:rFonts w:ascii="Times New Roman" w:hAnsi="Times New Roma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2～4</w:t>
                  </w:r>
                </w:p>
              </w:tc>
              <w:tc>
                <w:tcPr>
                  <w:tcW w:w="430" w:type="pct"/>
                  <w:vAlign w:val="center"/>
                </w:tcPr>
                <w:p>
                  <w:pPr>
                    <w:pStyle w:val="18"/>
                    <w:jc w:val="center"/>
                    <w:rPr>
                      <w:rFonts w:ascii="Times New Roman" w:hAnsi="Times New Roman"/>
                    </w:rPr>
                  </w:pPr>
                  <w:r>
                    <w:rPr>
                      <w:rFonts w:ascii="Times New Roman" w:hAnsi="Times New Roman"/>
                    </w:rPr>
                    <w:t>700</w:t>
                  </w:r>
                </w:p>
              </w:tc>
              <w:tc>
                <w:tcPr>
                  <w:tcW w:w="430" w:type="pct"/>
                  <w:vAlign w:val="center"/>
                </w:tcPr>
                <w:p>
                  <w:pPr>
                    <w:pStyle w:val="18"/>
                    <w:jc w:val="center"/>
                    <w:rPr>
                      <w:rFonts w:ascii="Times New Roman" w:hAnsi="Times New Roman"/>
                    </w:rPr>
                  </w:pPr>
                  <w:r>
                    <w:rPr>
                      <w:rFonts w:ascii="Times New Roman" w:hAnsi="Times New Roman"/>
                    </w:rPr>
                    <w:t>470</w:t>
                  </w:r>
                </w:p>
              </w:tc>
              <w:tc>
                <w:tcPr>
                  <w:tcW w:w="435" w:type="pct"/>
                  <w:vAlign w:val="center"/>
                </w:tcPr>
                <w:p>
                  <w:pPr>
                    <w:pStyle w:val="18"/>
                    <w:jc w:val="center"/>
                    <w:rPr>
                      <w:rFonts w:ascii="Times New Roman" w:hAnsi="Times New Roman"/>
                    </w:rPr>
                  </w:pPr>
                  <w:r>
                    <w:rPr>
                      <w:rFonts w:ascii="Times New Roman" w:hAnsi="Times New Roman"/>
                    </w:rPr>
                    <w:t>350</w:t>
                  </w:r>
                </w:p>
              </w:tc>
              <w:tc>
                <w:tcPr>
                  <w:tcW w:w="430" w:type="pct"/>
                  <w:vAlign w:val="center"/>
                </w:tcPr>
                <w:p>
                  <w:pPr>
                    <w:pStyle w:val="18"/>
                    <w:jc w:val="center"/>
                    <w:rPr>
                      <w:rFonts w:ascii="Times New Roman" w:hAnsi="Times New Roman"/>
                    </w:rPr>
                  </w:pPr>
                  <w:r>
                    <w:rPr>
                      <w:rFonts w:ascii="Times New Roman" w:hAnsi="Times New Roman"/>
                    </w:rPr>
                    <w:t>700</w:t>
                  </w:r>
                </w:p>
              </w:tc>
              <w:tc>
                <w:tcPr>
                  <w:tcW w:w="430" w:type="pct"/>
                  <w:vAlign w:val="center"/>
                </w:tcPr>
                <w:p>
                  <w:pPr>
                    <w:pStyle w:val="18"/>
                    <w:jc w:val="center"/>
                    <w:rPr>
                      <w:rFonts w:ascii="Times New Roman" w:hAnsi="Times New Roman"/>
                    </w:rPr>
                  </w:pPr>
                  <w:r>
                    <w:rPr>
                      <w:rFonts w:ascii="Times New Roman" w:hAnsi="Times New Roman"/>
                    </w:rPr>
                    <w:t>470</w:t>
                  </w:r>
                </w:p>
              </w:tc>
              <w:tc>
                <w:tcPr>
                  <w:tcW w:w="435" w:type="pct"/>
                  <w:vAlign w:val="center"/>
                </w:tcPr>
                <w:p>
                  <w:pPr>
                    <w:pStyle w:val="18"/>
                    <w:jc w:val="center"/>
                    <w:rPr>
                      <w:rFonts w:ascii="Times New Roman" w:hAnsi="Times New Roman"/>
                    </w:rPr>
                  </w:pPr>
                  <w:r>
                    <w:rPr>
                      <w:rFonts w:ascii="Times New Roman" w:hAnsi="Times New Roman"/>
                    </w:rPr>
                    <w:t>350</w:t>
                  </w:r>
                </w:p>
              </w:tc>
              <w:tc>
                <w:tcPr>
                  <w:tcW w:w="430" w:type="pct"/>
                  <w:vAlign w:val="center"/>
                </w:tcPr>
                <w:p>
                  <w:pPr>
                    <w:pStyle w:val="18"/>
                    <w:jc w:val="center"/>
                    <w:rPr>
                      <w:rFonts w:ascii="Times New Roman" w:hAnsi="Times New Roman"/>
                    </w:rPr>
                  </w:pPr>
                  <w:r>
                    <w:rPr>
                      <w:rFonts w:ascii="Times New Roman" w:hAnsi="Times New Roman"/>
                    </w:rPr>
                    <w:t>380</w:t>
                  </w:r>
                </w:p>
              </w:tc>
              <w:tc>
                <w:tcPr>
                  <w:tcW w:w="431" w:type="pct"/>
                  <w:vAlign w:val="center"/>
                </w:tcPr>
                <w:p>
                  <w:pPr>
                    <w:pStyle w:val="18"/>
                    <w:jc w:val="center"/>
                    <w:rPr>
                      <w:rFonts w:ascii="Times New Roman" w:hAnsi="Times New Roman"/>
                    </w:rPr>
                  </w:pPr>
                  <w:r>
                    <w:rPr>
                      <w:rFonts w:ascii="Times New Roman" w:hAnsi="Times New Roman"/>
                    </w:rPr>
                    <w:t>250</w:t>
                  </w:r>
                </w:p>
              </w:tc>
              <w:tc>
                <w:tcPr>
                  <w:tcW w:w="435" w:type="pct"/>
                  <w:vAlign w:val="center"/>
                </w:tcPr>
                <w:p>
                  <w:pPr>
                    <w:pStyle w:val="18"/>
                    <w:jc w:val="center"/>
                    <w:rPr>
                      <w:rFonts w:ascii="Times New Roman" w:hAnsi="Times New Roman"/>
                    </w:rPr>
                  </w:pPr>
                  <w:r>
                    <w:rPr>
                      <w:rFonts w:ascii="Times New Roman" w:hAnsi="Times New Roma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&gt;4</w:t>
                  </w:r>
                </w:p>
              </w:tc>
              <w:tc>
                <w:tcPr>
                  <w:tcW w:w="430" w:type="pct"/>
                  <w:vAlign w:val="center"/>
                </w:tcPr>
                <w:p>
                  <w:pPr>
                    <w:pStyle w:val="18"/>
                    <w:jc w:val="center"/>
                    <w:rPr>
                      <w:rFonts w:ascii="Times New Roman" w:hAnsi="Times New Roman"/>
                    </w:rPr>
                  </w:pPr>
                  <w:r>
                    <w:rPr>
                      <w:rFonts w:ascii="Times New Roman" w:hAnsi="Times New Roman"/>
                    </w:rPr>
                    <w:t>530</w:t>
                  </w:r>
                </w:p>
              </w:tc>
              <w:tc>
                <w:tcPr>
                  <w:tcW w:w="430" w:type="pct"/>
                  <w:vAlign w:val="center"/>
                </w:tcPr>
                <w:p>
                  <w:pPr>
                    <w:pStyle w:val="18"/>
                    <w:jc w:val="center"/>
                    <w:rPr>
                      <w:rFonts w:ascii="Times New Roman" w:hAnsi="Times New Roman"/>
                    </w:rPr>
                  </w:pPr>
                  <w:r>
                    <w:rPr>
                      <w:rFonts w:ascii="Times New Roman" w:hAnsi="Times New Roman"/>
                    </w:rPr>
                    <w:t>350</w:t>
                  </w:r>
                </w:p>
              </w:tc>
              <w:tc>
                <w:tcPr>
                  <w:tcW w:w="435" w:type="pct"/>
                  <w:vAlign w:val="center"/>
                </w:tcPr>
                <w:p>
                  <w:pPr>
                    <w:pStyle w:val="18"/>
                    <w:jc w:val="center"/>
                    <w:rPr>
                      <w:rFonts w:ascii="Times New Roman" w:hAnsi="Times New Roman"/>
                    </w:rPr>
                  </w:pPr>
                  <w:r>
                    <w:rPr>
                      <w:rFonts w:ascii="Times New Roman" w:hAnsi="Times New Roman"/>
                    </w:rPr>
                    <w:t>260</w:t>
                  </w:r>
                </w:p>
              </w:tc>
              <w:tc>
                <w:tcPr>
                  <w:tcW w:w="430" w:type="pct"/>
                  <w:vAlign w:val="center"/>
                </w:tcPr>
                <w:p>
                  <w:pPr>
                    <w:pStyle w:val="18"/>
                    <w:jc w:val="center"/>
                    <w:rPr>
                      <w:rFonts w:ascii="Times New Roman" w:hAnsi="Times New Roman"/>
                    </w:rPr>
                  </w:pPr>
                  <w:r>
                    <w:rPr>
                      <w:rFonts w:ascii="Times New Roman" w:hAnsi="Times New Roman"/>
                    </w:rPr>
                    <w:t>530</w:t>
                  </w:r>
                </w:p>
              </w:tc>
              <w:tc>
                <w:tcPr>
                  <w:tcW w:w="430" w:type="pct"/>
                  <w:vAlign w:val="center"/>
                </w:tcPr>
                <w:p>
                  <w:pPr>
                    <w:pStyle w:val="18"/>
                    <w:jc w:val="center"/>
                    <w:rPr>
                      <w:rFonts w:ascii="Times New Roman" w:hAnsi="Times New Roman"/>
                    </w:rPr>
                  </w:pPr>
                  <w:r>
                    <w:rPr>
                      <w:rFonts w:ascii="Times New Roman" w:hAnsi="Times New Roman"/>
                    </w:rPr>
                    <w:t>350</w:t>
                  </w:r>
                </w:p>
              </w:tc>
              <w:tc>
                <w:tcPr>
                  <w:tcW w:w="435" w:type="pct"/>
                  <w:vAlign w:val="center"/>
                </w:tcPr>
                <w:p>
                  <w:pPr>
                    <w:pStyle w:val="18"/>
                    <w:jc w:val="center"/>
                    <w:rPr>
                      <w:rFonts w:ascii="Times New Roman" w:hAnsi="Times New Roman"/>
                    </w:rPr>
                  </w:pPr>
                  <w:r>
                    <w:rPr>
                      <w:rFonts w:ascii="Times New Roman" w:hAnsi="Times New Roman"/>
                    </w:rPr>
                    <w:t>260</w:t>
                  </w:r>
                </w:p>
              </w:tc>
              <w:tc>
                <w:tcPr>
                  <w:tcW w:w="430" w:type="pct"/>
                  <w:vAlign w:val="center"/>
                </w:tcPr>
                <w:p>
                  <w:pPr>
                    <w:pStyle w:val="18"/>
                    <w:jc w:val="center"/>
                    <w:rPr>
                      <w:rFonts w:ascii="Times New Roman" w:hAnsi="Times New Roman"/>
                    </w:rPr>
                  </w:pPr>
                  <w:r>
                    <w:rPr>
                      <w:rFonts w:ascii="Times New Roman" w:hAnsi="Times New Roman"/>
                    </w:rPr>
                    <w:t>290</w:t>
                  </w:r>
                </w:p>
              </w:tc>
              <w:tc>
                <w:tcPr>
                  <w:tcW w:w="431" w:type="pct"/>
                  <w:vAlign w:val="center"/>
                </w:tcPr>
                <w:p>
                  <w:pPr>
                    <w:pStyle w:val="18"/>
                    <w:jc w:val="center"/>
                    <w:rPr>
                      <w:rFonts w:ascii="Times New Roman" w:hAnsi="Times New Roman"/>
                    </w:rPr>
                  </w:pPr>
                  <w:r>
                    <w:rPr>
                      <w:rFonts w:ascii="Times New Roman" w:hAnsi="Times New Roman"/>
                    </w:rPr>
                    <w:t>190</w:t>
                  </w:r>
                </w:p>
              </w:tc>
              <w:tc>
                <w:tcPr>
                  <w:tcW w:w="435" w:type="pct"/>
                  <w:vAlign w:val="center"/>
                </w:tcPr>
                <w:p>
                  <w:pPr>
                    <w:pStyle w:val="18"/>
                    <w:jc w:val="center"/>
                    <w:rPr>
                      <w:rFonts w:ascii="Times New Roman" w:hAnsi="Times New Roman"/>
                    </w:rPr>
                  </w:pPr>
                  <w:r>
                    <w:rPr>
                      <w:rFonts w:ascii="Times New Roman" w:hAnsi="Times New Roma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B</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0.01</w:t>
                  </w:r>
                </w:p>
              </w:tc>
              <w:tc>
                <w:tcPr>
                  <w:tcW w:w="1296" w:type="pct"/>
                  <w:gridSpan w:val="3"/>
                  <w:vAlign w:val="center"/>
                </w:tcPr>
                <w:p>
                  <w:pPr>
                    <w:pStyle w:val="18"/>
                    <w:jc w:val="center"/>
                    <w:rPr>
                      <w:rFonts w:ascii="Times New Roman" w:hAnsi="Times New Roman"/>
                    </w:rPr>
                  </w:pPr>
                  <w:r>
                    <w:rPr>
                      <w:rFonts w:ascii="Times New Roman" w:hAnsi="Times New Roman"/>
                    </w:rPr>
                    <w:t>0.015</w:t>
                  </w:r>
                </w:p>
              </w:tc>
              <w:tc>
                <w:tcPr>
                  <w:tcW w:w="1297" w:type="pct"/>
                  <w:gridSpan w:val="3"/>
                  <w:vAlign w:val="center"/>
                </w:tcPr>
                <w:p>
                  <w:pPr>
                    <w:pStyle w:val="18"/>
                    <w:jc w:val="center"/>
                    <w:rPr>
                      <w:rFonts w:ascii="Times New Roman" w:hAnsi="Times New Roman"/>
                    </w:rPr>
                  </w:pPr>
                  <w:r>
                    <w:rPr>
                      <w:rFonts w:ascii="Times New Roman" w:hAnsi="Times New Roma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0.021</w:t>
                  </w:r>
                </w:p>
              </w:tc>
              <w:tc>
                <w:tcPr>
                  <w:tcW w:w="1296" w:type="pct"/>
                  <w:gridSpan w:val="3"/>
                  <w:vAlign w:val="center"/>
                </w:tcPr>
                <w:p>
                  <w:pPr>
                    <w:pStyle w:val="18"/>
                    <w:jc w:val="center"/>
                    <w:rPr>
                      <w:rFonts w:ascii="Times New Roman" w:hAnsi="Times New Roman"/>
                    </w:rPr>
                  </w:pPr>
                  <w:r>
                    <w:rPr>
                      <w:rFonts w:ascii="Times New Roman" w:hAnsi="Times New Roman"/>
                    </w:rPr>
                    <w:t>0.036</w:t>
                  </w:r>
                </w:p>
              </w:tc>
              <w:tc>
                <w:tcPr>
                  <w:tcW w:w="1297" w:type="pct"/>
                  <w:gridSpan w:val="3"/>
                  <w:vAlign w:val="center"/>
                </w:tcPr>
                <w:p>
                  <w:pPr>
                    <w:pStyle w:val="18"/>
                    <w:jc w:val="center"/>
                    <w:rPr>
                      <w:rFonts w:ascii="Times New Roman" w:hAnsi="Times New Roman"/>
                    </w:rPr>
                  </w:pPr>
                  <w:r>
                    <w:rPr>
                      <w:rFonts w:ascii="Times New Roman" w:hAnsi="Times New Roma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C</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1.85</w:t>
                  </w:r>
                </w:p>
              </w:tc>
              <w:tc>
                <w:tcPr>
                  <w:tcW w:w="1296" w:type="pct"/>
                  <w:gridSpan w:val="3"/>
                  <w:vAlign w:val="center"/>
                </w:tcPr>
                <w:p>
                  <w:pPr>
                    <w:pStyle w:val="18"/>
                    <w:jc w:val="center"/>
                    <w:rPr>
                      <w:rFonts w:ascii="Times New Roman" w:hAnsi="Times New Roman"/>
                    </w:rPr>
                  </w:pPr>
                  <w:r>
                    <w:rPr>
                      <w:rFonts w:ascii="Times New Roman" w:hAnsi="Times New Roman"/>
                    </w:rPr>
                    <w:t>1.79</w:t>
                  </w:r>
                </w:p>
              </w:tc>
              <w:tc>
                <w:tcPr>
                  <w:tcW w:w="1297" w:type="pct"/>
                  <w:gridSpan w:val="3"/>
                  <w:vAlign w:val="center"/>
                </w:tcPr>
                <w:p>
                  <w:pPr>
                    <w:pStyle w:val="18"/>
                    <w:jc w:val="center"/>
                    <w:rPr>
                      <w:rFonts w:ascii="Times New Roman" w:hAnsi="Times New Roman"/>
                    </w:rPr>
                  </w:pPr>
                  <w:r>
                    <w:rPr>
                      <w:rFonts w:ascii="Times New Roman" w:hAnsi="Times New Roma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1.85</w:t>
                  </w:r>
                </w:p>
              </w:tc>
              <w:tc>
                <w:tcPr>
                  <w:tcW w:w="1296" w:type="pct"/>
                  <w:gridSpan w:val="3"/>
                  <w:vAlign w:val="center"/>
                </w:tcPr>
                <w:p>
                  <w:pPr>
                    <w:pStyle w:val="18"/>
                    <w:jc w:val="center"/>
                    <w:rPr>
                      <w:rFonts w:ascii="Times New Roman" w:hAnsi="Times New Roman"/>
                    </w:rPr>
                  </w:pPr>
                  <w:r>
                    <w:rPr>
                      <w:rFonts w:ascii="Times New Roman" w:hAnsi="Times New Roman"/>
                    </w:rPr>
                    <w:t>1.77</w:t>
                  </w:r>
                </w:p>
              </w:tc>
              <w:tc>
                <w:tcPr>
                  <w:tcW w:w="1297" w:type="pct"/>
                  <w:gridSpan w:val="3"/>
                  <w:vAlign w:val="center"/>
                </w:tcPr>
                <w:p>
                  <w:pPr>
                    <w:pStyle w:val="18"/>
                    <w:jc w:val="center"/>
                    <w:rPr>
                      <w:rFonts w:ascii="Times New Roman" w:hAnsi="Times New Roman"/>
                    </w:rPr>
                  </w:pPr>
                  <w:r>
                    <w:rPr>
                      <w:rFonts w:ascii="Times New Roman" w:hAnsi="Times New Roma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D</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0.78</w:t>
                  </w:r>
                </w:p>
              </w:tc>
              <w:tc>
                <w:tcPr>
                  <w:tcW w:w="1296" w:type="pct"/>
                  <w:gridSpan w:val="3"/>
                  <w:vAlign w:val="center"/>
                </w:tcPr>
                <w:p>
                  <w:pPr>
                    <w:pStyle w:val="18"/>
                    <w:jc w:val="center"/>
                    <w:rPr>
                      <w:rFonts w:ascii="Times New Roman" w:hAnsi="Times New Roman"/>
                    </w:rPr>
                  </w:pPr>
                  <w:r>
                    <w:rPr>
                      <w:rFonts w:ascii="Times New Roman" w:hAnsi="Times New Roman"/>
                    </w:rPr>
                    <w:t>0.78</w:t>
                  </w:r>
                </w:p>
              </w:tc>
              <w:tc>
                <w:tcPr>
                  <w:tcW w:w="1297" w:type="pct"/>
                  <w:gridSpan w:val="3"/>
                  <w:vAlign w:val="center"/>
                </w:tcPr>
                <w:p>
                  <w:pPr>
                    <w:pStyle w:val="18"/>
                    <w:jc w:val="center"/>
                    <w:rPr>
                      <w:rFonts w:ascii="Times New Roman" w:hAnsi="Times New Roman"/>
                    </w:rPr>
                  </w:pPr>
                  <w:r>
                    <w:rPr>
                      <w:rFonts w:ascii="Times New Roman" w:hAnsi="Times New Roman"/>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0.84</w:t>
                  </w:r>
                </w:p>
              </w:tc>
              <w:tc>
                <w:tcPr>
                  <w:tcW w:w="1296" w:type="pct"/>
                  <w:gridSpan w:val="3"/>
                  <w:vAlign w:val="center"/>
                </w:tcPr>
                <w:p>
                  <w:pPr>
                    <w:pStyle w:val="18"/>
                    <w:jc w:val="center"/>
                    <w:rPr>
                      <w:rFonts w:ascii="Times New Roman" w:hAnsi="Times New Roman"/>
                    </w:rPr>
                  </w:pPr>
                  <w:r>
                    <w:rPr>
                      <w:rFonts w:ascii="Times New Roman" w:hAnsi="Times New Roman"/>
                    </w:rPr>
                    <w:t>0.84</w:t>
                  </w:r>
                </w:p>
              </w:tc>
              <w:tc>
                <w:tcPr>
                  <w:tcW w:w="1297" w:type="pct"/>
                  <w:gridSpan w:val="3"/>
                  <w:vAlign w:val="center"/>
                </w:tcPr>
                <w:p>
                  <w:pPr>
                    <w:pStyle w:val="18"/>
                    <w:jc w:val="center"/>
                    <w:rPr>
                      <w:rFonts w:ascii="Times New Roman" w:hAnsi="Times New Roman"/>
                    </w:rPr>
                  </w:pPr>
                  <w:r>
                    <w:rPr>
                      <w:rFonts w:ascii="Times New Roman" w:hAnsi="Times New Roma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1"/>
                  <w:vAlign w:val="center"/>
                </w:tcPr>
                <w:p>
                  <w:pPr>
                    <w:autoSpaceDE w:val="0"/>
                    <w:autoSpaceDN w:val="0"/>
                    <w:adjustRightInd w:val="0"/>
                    <w:ind w:firstLine="420" w:firstLineChars="200"/>
                    <w:rPr>
                      <w:szCs w:val="21"/>
                    </w:rPr>
                  </w:pPr>
                  <w:r>
                    <w:rPr>
                      <w:szCs w:val="21"/>
                    </w:rPr>
                    <w:t>注：</w:t>
                  </w:r>
                  <w:r>
                    <w:rPr>
                      <w:rFonts w:hint="eastAsia" w:ascii="宋体" w:hAnsi="宋体" w:cs="宋体"/>
                      <w:szCs w:val="21"/>
                    </w:rPr>
                    <w:t>Ⅰ</w:t>
                  </w:r>
                  <w:r>
                    <w:rPr>
                      <w:szCs w:val="21"/>
                    </w:rPr>
                    <w:t>类：与无组织排放源共存的排放同种有害气体的排气筒的排放量，大于标准规定的允许排放量的三分之一者。</w:t>
                  </w:r>
                </w:p>
                <w:p>
                  <w:pPr>
                    <w:autoSpaceDE w:val="0"/>
                    <w:autoSpaceDN w:val="0"/>
                    <w:adjustRightInd w:val="0"/>
                    <w:ind w:firstLine="420" w:firstLineChars="200"/>
                    <w:rPr>
                      <w:szCs w:val="21"/>
                    </w:rPr>
                  </w:pPr>
                  <w:r>
                    <w:rPr>
                      <w:rFonts w:hint="eastAsia" w:ascii="宋体" w:hAnsi="宋体" w:cs="宋体"/>
                      <w:szCs w:val="21"/>
                    </w:rPr>
                    <w:t>Ⅱ</w:t>
                  </w:r>
                  <w:r>
                    <w:rPr>
                      <w:szCs w:val="21"/>
                    </w:rPr>
                    <w:t>类：与无组织排放源共存的排放同种有害气体的排气筒的排放量，小于标准规定的允许排放量的三分之一，或虽无排放同种大气污染物之排气筒共存但无组织排放的有害物质的容许浓度指标是按急性反应指标确定者。</w:t>
                  </w:r>
                </w:p>
                <w:p>
                  <w:pPr>
                    <w:autoSpaceDE w:val="0"/>
                    <w:autoSpaceDN w:val="0"/>
                    <w:adjustRightInd w:val="0"/>
                    <w:ind w:firstLine="420" w:firstLineChars="200"/>
                    <w:rPr>
                      <w:szCs w:val="21"/>
                    </w:rPr>
                  </w:pPr>
                  <w:r>
                    <w:rPr>
                      <w:rFonts w:hint="eastAsia" w:ascii="宋体" w:hAnsi="宋体" w:cs="宋体"/>
                      <w:szCs w:val="21"/>
                    </w:rPr>
                    <w:t>Ⅲ</w:t>
                  </w:r>
                  <w:r>
                    <w:rPr>
                      <w:szCs w:val="21"/>
                    </w:rPr>
                    <w:t>类：无排放同种有害物质的排气筒与无组织排放源共存，且无组织排放的有害物质的容许浓度是按慢性反应指标确定者。</w:t>
                  </w:r>
                </w:p>
              </w:tc>
            </w:tr>
          </w:tbl>
          <w:p>
            <w:pPr>
              <w:widowControl/>
              <w:adjustRightInd w:val="0"/>
              <w:snapToGrid w:val="0"/>
              <w:spacing w:line="360" w:lineRule="auto"/>
              <w:ind w:firstLine="420" w:firstLineChars="200"/>
              <w:rPr>
                <w:szCs w:val="21"/>
              </w:rPr>
            </w:pPr>
            <w:r>
              <w:rPr>
                <w:szCs w:val="21"/>
              </w:rPr>
              <w:t>本项目</w:t>
            </w:r>
            <w:r>
              <w:rPr>
                <w:rFonts w:hint="eastAsia"/>
                <w:szCs w:val="21"/>
              </w:rPr>
              <w:t>无组织排放</w:t>
            </w:r>
            <w:r>
              <w:rPr>
                <w:szCs w:val="21"/>
              </w:rPr>
              <w:t>单元的占地面积为2100m</w:t>
            </w:r>
            <w:r>
              <w:rPr>
                <w:szCs w:val="21"/>
                <w:vertAlign w:val="superscript"/>
              </w:rPr>
              <w:t>2</w:t>
            </w:r>
            <w:r>
              <w:rPr>
                <w:szCs w:val="21"/>
              </w:rPr>
              <w:t>，经计算得出等效半径（r）为25.85m，所在地区近5年平均风速为2.2m/s，卫生防护距离L</w:t>
            </w:r>
            <w:r>
              <w:rPr>
                <w:rFonts w:hint="eastAsia" w:ascii="宋体" w:hAnsi="宋体" w:cs="宋体"/>
                <w:szCs w:val="21"/>
              </w:rPr>
              <w:t>≦</w:t>
            </w:r>
            <w:r>
              <w:rPr>
                <w:szCs w:val="21"/>
              </w:rPr>
              <w:t>1000m，且大气污染源构成类型为</w:t>
            </w:r>
            <w:r>
              <w:rPr>
                <w:rFonts w:hint="eastAsia" w:ascii="宋体" w:hAnsi="宋体" w:cs="宋体"/>
                <w:szCs w:val="21"/>
              </w:rPr>
              <w:t>Ⅱ</w:t>
            </w:r>
            <w:r>
              <w:rPr>
                <w:szCs w:val="21"/>
              </w:rPr>
              <w:t>类，按上述卫生防护距离初值公式对本项目</w:t>
            </w:r>
            <w:r>
              <w:rPr>
                <w:rFonts w:hint="eastAsia"/>
                <w:szCs w:val="21"/>
              </w:rPr>
              <w:t>非甲烷</w:t>
            </w:r>
            <w:r>
              <w:rPr>
                <w:szCs w:val="21"/>
              </w:rPr>
              <w:t>总烃无组织排放的卫生防护距离初值进行计算，项目卫生防护距离初值计算参数取值及具体计算结果见下表。</w:t>
            </w:r>
          </w:p>
          <w:p>
            <w:pPr>
              <w:numPr>
                <w:ilvl w:val="0"/>
                <w:numId w:val="2"/>
              </w:numPr>
              <w:adjustRightInd w:val="0"/>
              <w:snapToGrid w:val="0"/>
              <w:spacing w:line="360" w:lineRule="auto"/>
              <w:ind w:left="0"/>
              <w:jc w:val="center"/>
              <w:rPr>
                <w:b/>
                <w:szCs w:val="21"/>
              </w:rPr>
            </w:pPr>
            <w:r>
              <w:rPr>
                <w:b/>
                <w:szCs w:val="21"/>
              </w:rPr>
              <w:t>本项目卫生防护距离计算参数表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48"/>
              <w:gridCol w:w="1949"/>
              <w:gridCol w:w="899"/>
              <w:gridCol w:w="1050"/>
              <w:gridCol w:w="899"/>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trPr>
              <w:tc>
                <w:tcPr>
                  <w:tcW w:w="714" w:type="pct"/>
                  <w:vMerge w:val="restart"/>
                  <w:vAlign w:val="center"/>
                </w:tcPr>
                <w:p>
                  <w:pPr>
                    <w:tabs>
                      <w:tab w:val="left" w:pos="0"/>
                    </w:tabs>
                    <w:jc w:val="center"/>
                    <w:rPr>
                      <w:b/>
                      <w:bCs/>
                      <w:szCs w:val="21"/>
                    </w:rPr>
                  </w:pPr>
                  <w:r>
                    <w:rPr>
                      <w:b/>
                      <w:bCs/>
                      <w:szCs w:val="21"/>
                    </w:rPr>
                    <w:t>计算系数</w:t>
                  </w:r>
                </w:p>
              </w:tc>
              <w:tc>
                <w:tcPr>
                  <w:tcW w:w="860" w:type="pct"/>
                  <w:vAlign w:val="center"/>
                </w:tcPr>
                <w:p>
                  <w:pPr>
                    <w:jc w:val="center"/>
                    <w:rPr>
                      <w:b/>
                      <w:szCs w:val="21"/>
                    </w:rPr>
                  </w:pPr>
                  <w:r>
                    <w:rPr>
                      <w:b/>
                      <w:szCs w:val="21"/>
                    </w:rPr>
                    <w:t>近5年平均风速</w:t>
                  </w:r>
                </w:p>
                <w:p>
                  <w:pPr>
                    <w:tabs>
                      <w:tab w:val="left" w:pos="0"/>
                    </w:tabs>
                    <w:jc w:val="center"/>
                    <w:rPr>
                      <w:b/>
                      <w:bCs/>
                      <w:szCs w:val="21"/>
                    </w:rPr>
                  </w:pPr>
                  <w:r>
                    <w:rPr>
                      <w:b/>
                      <w:szCs w:val="21"/>
                    </w:rPr>
                    <w:t>（m/s）</w:t>
                  </w:r>
                </w:p>
              </w:tc>
              <w:tc>
                <w:tcPr>
                  <w:tcW w:w="1158" w:type="pct"/>
                  <w:vAlign w:val="center"/>
                </w:tcPr>
                <w:p>
                  <w:pPr>
                    <w:tabs>
                      <w:tab w:val="left" w:pos="0"/>
                    </w:tabs>
                    <w:jc w:val="center"/>
                    <w:rPr>
                      <w:b/>
                      <w:bCs/>
                      <w:szCs w:val="21"/>
                    </w:rPr>
                  </w:pPr>
                  <w:r>
                    <w:rPr>
                      <w:b/>
                      <w:szCs w:val="21"/>
                    </w:rPr>
                    <w:t>工业企业大气污染源构成类别</w:t>
                  </w:r>
                </w:p>
              </w:tc>
              <w:tc>
                <w:tcPr>
                  <w:tcW w:w="534" w:type="pct"/>
                  <w:vAlign w:val="center"/>
                </w:tcPr>
                <w:p>
                  <w:pPr>
                    <w:tabs>
                      <w:tab w:val="left" w:pos="0"/>
                    </w:tabs>
                    <w:jc w:val="center"/>
                    <w:rPr>
                      <w:b/>
                      <w:bCs/>
                      <w:szCs w:val="21"/>
                    </w:rPr>
                  </w:pPr>
                  <w:r>
                    <w:rPr>
                      <w:b/>
                      <w:szCs w:val="21"/>
                    </w:rPr>
                    <w:t>A</w:t>
                  </w:r>
                </w:p>
              </w:tc>
              <w:tc>
                <w:tcPr>
                  <w:tcW w:w="624" w:type="pct"/>
                  <w:vAlign w:val="center"/>
                </w:tcPr>
                <w:p>
                  <w:pPr>
                    <w:tabs>
                      <w:tab w:val="left" w:pos="0"/>
                    </w:tabs>
                    <w:jc w:val="center"/>
                    <w:rPr>
                      <w:b/>
                      <w:bCs/>
                      <w:szCs w:val="21"/>
                    </w:rPr>
                  </w:pPr>
                  <w:r>
                    <w:rPr>
                      <w:b/>
                      <w:szCs w:val="21"/>
                    </w:rPr>
                    <w:t>B</w:t>
                  </w:r>
                </w:p>
              </w:tc>
              <w:tc>
                <w:tcPr>
                  <w:tcW w:w="534" w:type="pct"/>
                  <w:vAlign w:val="center"/>
                </w:tcPr>
                <w:p>
                  <w:pPr>
                    <w:tabs>
                      <w:tab w:val="left" w:pos="0"/>
                    </w:tabs>
                    <w:jc w:val="center"/>
                    <w:rPr>
                      <w:b/>
                      <w:bCs/>
                      <w:szCs w:val="21"/>
                    </w:rPr>
                  </w:pPr>
                  <w:r>
                    <w:rPr>
                      <w:b/>
                      <w:szCs w:val="21"/>
                    </w:rPr>
                    <w:t>C</w:t>
                  </w:r>
                </w:p>
              </w:tc>
              <w:tc>
                <w:tcPr>
                  <w:tcW w:w="576" w:type="pct"/>
                  <w:vAlign w:val="center"/>
                </w:tcPr>
                <w:p>
                  <w:pPr>
                    <w:tabs>
                      <w:tab w:val="left" w:pos="0"/>
                    </w:tabs>
                    <w:jc w:val="center"/>
                    <w:rPr>
                      <w:b/>
                      <w:bCs/>
                      <w:szCs w:val="21"/>
                    </w:rPr>
                  </w:pPr>
                  <w:r>
                    <w:rPr>
                      <w:b/>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vAlign w:val="center"/>
                </w:tcPr>
                <w:p>
                  <w:pPr>
                    <w:tabs>
                      <w:tab w:val="left" w:pos="0"/>
                    </w:tabs>
                    <w:jc w:val="center"/>
                    <w:rPr>
                      <w:b/>
                      <w:bCs/>
                      <w:szCs w:val="21"/>
                    </w:rPr>
                  </w:pPr>
                </w:p>
              </w:tc>
              <w:tc>
                <w:tcPr>
                  <w:tcW w:w="860" w:type="pct"/>
                  <w:vAlign w:val="center"/>
                </w:tcPr>
                <w:p>
                  <w:pPr>
                    <w:tabs>
                      <w:tab w:val="left" w:pos="0"/>
                    </w:tabs>
                    <w:jc w:val="center"/>
                    <w:rPr>
                      <w:b/>
                      <w:bCs/>
                      <w:szCs w:val="21"/>
                    </w:rPr>
                  </w:pPr>
                  <w:r>
                    <w:rPr>
                      <w:szCs w:val="21"/>
                    </w:rPr>
                    <w:t>2.2</w:t>
                  </w:r>
                </w:p>
              </w:tc>
              <w:tc>
                <w:tcPr>
                  <w:tcW w:w="1158" w:type="pct"/>
                  <w:vAlign w:val="center"/>
                </w:tcPr>
                <w:p>
                  <w:pPr>
                    <w:tabs>
                      <w:tab w:val="left" w:pos="0"/>
                    </w:tabs>
                    <w:jc w:val="center"/>
                    <w:rPr>
                      <w:b/>
                      <w:bCs/>
                      <w:szCs w:val="21"/>
                    </w:rPr>
                  </w:pPr>
                  <w:r>
                    <w:rPr>
                      <w:rFonts w:hint="eastAsia" w:ascii="宋体" w:hAnsi="宋体" w:cs="宋体"/>
                      <w:szCs w:val="21"/>
                    </w:rPr>
                    <w:t>Ⅱ</w:t>
                  </w:r>
                </w:p>
              </w:tc>
              <w:tc>
                <w:tcPr>
                  <w:tcW w:w="534" w:type="pct"/>
                  <w:vAlign w:val="center"/>
                </w:tcPr>
                <w:p>
                  <w:pPr>
                    <w:tabs>
                      <w:tab w:val="left" w:pos="0"/>
                    </w:tabs>
                    <w:jc w:val="center"/>
                    <w:rPr>
                      <w:b/>
                      <w:bCs/>
                      <w:szCs w:val="21"/>
                    </w:rPr>
                  </w:pPr>
                  <w:r>
                    <w:rPr>
                      <w:szCs w:val="21"/>
                    </w:rPr>
                    <w:t>470</w:t>
                  </w:r>
                </w:p>
              </w:tc>
              <w:tc>
                <w:tcPr>
                  <w:tcW w:w="624" w:type="pct"/>
                  <w:vAlign w:val="center"/>
                </w:tcPr>
                <w:p>
                  <w:pPr>
                    <w:tabs>
                      <w:tab w:val="left" w:pos="0"/>
                    </w:tabs>
                    <w:jc w:val="center"/>
                    <w:rPr>
                      <w:b/>
                      <w:bCs/>
                      <w:szCs w:val="21"/>
                    </w:rPr>
                  </w:pPr>
                  <w:r>
                    <w:rPr>
                      <w:szCs w:val="21"/>
                    </w:rPr>
                    <w:t>0.021</w:t>
                  </w:r>
                </w:p>
              </w:tc>
              <w:tc>
                <w:tcPr>
                  <w:tcW w:w="534" w:type="pct"/>
                  <w:vAlign w:val="center"/>
                </w:tcPr>
                <w:p>
                  <w:pPr>
                    <w:tabs>
                      <w:tab w:val="left" w:pos="0"/>
                    </w:tabs>
                    <w:jc w:val="center"/>
                    <w:rPr>
                      <w:b/>
                      <w:bCs/>
                      <w:szCs w:val="21"/>
                    </w:rPr>
                  </w:pPr>
                  <w:r>
                    <w:rPr>
                      <w:szCs w:val="21"/>
                    </w:rPr>
                    <w:t>1.85</w:t>
                  </w:r>
                </w:p>
              </w:tc>
              <w:tc>
                <w:tcPr>
                  <w:tcW w:w="576" w:type="pct"/>
                  <w:vAlign w:val="center"/>
                </w:tcPr>
                <w:p>
                  <w:pPr>
                    <w:tabs>
                      <w:tab w:val="left" w:pos="0"/>
                    </w:tabs>
                    <w:jc w:val="center"/>
                    <w:rPr>
                      <w:b/>
                      <w:bCs/>
                      <w:szCs w:val="21"/>
                    </w:rPr>
                  </w:pPr>
                  <w:r>
                    <w:rPr>
                      <w:szCs w:val="21"/>
                    </w:rPr>
                    <w:t>0.84</w:t>
                  </w:r>
                </w:p>
              </w:tc>
            </w:tr>
          </w:tbl>
          <w:p>
            <w:pPr>
              <w:numPr>
                <w:ilvl w:val="0"/>
                <w:numId w:val="2"/>
              </w:numPr>
              <w:adjustRightInd w:val="0"/>
              <w:snapToGrid w:val="0"/>
              <w:spacing w:line="360" w:lineRule="auto"/>
              <w:ind w:left="0"/>
              <w:jc w:val="center"/>
              <w:rPr>
                <w:b/>
                <w:szCs w:val="21"/>
              </w:rPr>
            </w:pPr>
            <w:r>
              <w:rPr>
                <w:b/>
                <w:szCs w:val="21"/>
              </w:rPr>
              <w:t>本项目卫生防护距离计算初值</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342"/>
              <w:gridCol w:w="1207"/>
              <w:gridCol w:w="1352"/>
              <w:gridCol w:w="165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pct"/>
                  <w:vAlign w:val="center"/>
                </w:tcPr>
                <w:p>
                  <w:pPr>
                    <w:jc w:val="center"/>
                    <w:rPr>
                      <w:b/>
                      <w:szCs w:val="21"/>
                    </w:rPr>
                  </w:pPr>
                  <w:r>
                    <w:rPr>
                      <w:b/>
                      <w:szCs w:val="21"/>
                    </w:rPr>
                    <w:t>污染源</w:t>
                  </w:r>
                </w:p>
              </w:tc>
              <w:tc>
                <w:tcPr>
                  <w:tcW w:w="797" w:type="pct"/>
                  <w:vAlign w:val="center"/>
                </w:tcPr>
                <w:p>
                  <w:pPr>
                    <w:jc w:val="center"/>
                    <w:rPr>
                      <w:b/>
                      <w:szCs w:val="21"/>
                    </w:rPr>
                  </w:pPr>
                  <w:r>
                    <w:rPr>
                      <w:b/>
                      <w:szCs w:val="21"/>
                    </w:rPr>
                    <w:t>污染物</w:t>
                  </w:r>
                </w:p>
              </w:tc>
              <w:tc>
                <w:tcPr>
                  <w:tcW w:w="717" w:type="pct"/>
                  <w:vAlign w:val="center"/>
                </w:tcPr>
                <w:p>
                  <w:pPr>
                    <w:jc w:val="center"/>
                    <w:rPr>
                      <w:b/>
                      <w:szCs w:val="21"/>
                    </w:rPr>
                  </w:pPr>
                  <w:r>
                    <w:rPr>
                      <w:b/>
                      <w:szCs w:val="21"/>
                    </w:rPr>
                    <w:t>污染物源强（kg/h）</w:t>
                  </w:r>
                </w:p>
              </w:tc>
              <w:tc>
                <w:tcPr>
                  <w:tcW w:w="803" w:type="pct"/>
                  <w:vAlign w:val="center"/>
                </w:tcPr>
                <w:p>
                  <w:pPr>
                    <w:jc w:val="center"/>
                    <w:rPr>
                      <w:b/>
                      <w:szCs w:val="21"/>
                    </w:rPr>
                  </w:pPr>
                  <w:r>
                    <w:rPr>
                      <w:b/>
                      <w:szCs w:val="21"/>
                    </w:rPr>
                    <w:t>评价标准（mg/m</w:t>
                  </w:r>
                  <w:r>
                    <w:rPr>
                      <w:b/>
                      <w:szCs w:val="21"/>
                      <w:vertAlign w:val="superscript"/>
                    </w:rPr>
                    <w:t>3</w:t>
                  </w:r>
                  <w:r>
                    <w:rPr>
                      <w:b/>
                      <w:szCs w:val="21"/>
                    </w:rPr>
                    <w:t>）</w:t>
                  </w:r>
                </w:p>
              </w:tc>
              <w:tc>
                <w:tcPr>
                  <w:tcW w:w="981" w:type="pct"/>
                  <w:vAlign w:val="center"/>
                </w:tcPr>
                <w:p>
                  <w:pPr>
                    <w:jc w:val="center"/>
                    <w:rPr>
                      <w:b/>
                      <w:szCs w:val="21"/>
                    </w:rPr>
                  </w:pPr>
                  <w:r>
                    <w:rPr>
                      <w:b/>
                      <w:szCs w:val="21"/>
                    </w:rPr>
                    <w:t>等效半径（m）</w:t>
                  </w:r>
                </w:p>
              </w:tc>
              <w:tc>
                <w:tcPr>
                  <w:tcW w:w="1017" w:type="pct"/>
                  <w:vAlign w:val="center"/>
                </w:tcPr>
                <w:p>
                  <w:pPr>
                    <w:jc w:val="center"/>
                    <w:rPr>
                      <w:b/>
                      <w:szCs w:val="21"/>
                    </w:rPr>
                  </w:pPr>
                  <w:r>
                    <w:rPr>
                      <w:b/>
                      <w:szCs w:val="21"/>
                    </w:rPr>
                    <w:t>计算结果（m）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pct"/>
                  <w:vAlign w:val="center"/>
                </w:tcPr>
                <w:p>
                  <w:pPr>
                    <w:jc w:val="center"/>
                    <w:rPr>
                      <w:szCs w:val="21"/>
                    </w:rPr>
                  </w:pPr>
                  <w:r>
                    <w:rPr>
                      <w:szCs w:val="21"/>
                    </w:rPr>
                    <w:t>生产车间</w:t>
                  </w:r>
                </w:p>
              </w:tc>
              <w:tc>
                <w:tcPr>
                  <w:tcW w:w="797" w:type="pct"/>
                  <w:vAlign w:val="center"/>
                </w:tcPr>
                <w:p>
                  <w:pPr>
                    <w:jc w:val="center"/>
                    <w:rPr>
                      <w:szCs w:val="21"/>
                    </w:rPr>
                  </w:pPr>
                  <w:r>
                    <w:rPr>
                      <w:rFonts w:hint="eastAsia"/>
                      <w:szCs w:val="21"/>
                    </w:rPr>
                    <w:t>T</w:t>
                  </w:r>
                  <w:r>
                    <w:rPr>
                      <w:szCs w:val="21"/>
                    </w:rPr>
                    <w:t>VOC</w:t>
                  </w:r>
                </w:p>
              </w:tc>
              <w:tc>
                <w:tcPr>
                  <w:tcW w:w="717" w:type="pct"/>
                  <w:vAlign w:val="center"/>
                </w:tcPr>
                <w:p>
                  <w:pPr>
                    <w:jc w:val="center"/>
                    <w:rPr>
                      <w:szCs w:val="21"/>
                    </w:rPr>
                  </w:pPr>
                  <w:r>
                    <w:rPr>
                      <w:szCs w:val="21"/>
                    </w:rPr>
                    <w:t>0.0383</w:t>
                  </w:r>
                </w:p>
              </w:tc>
              <w:tc>
                <w:tcPr>
                  <w:tcW w:w="803" w:type="pct"/>
                  <w:vAlign w:val="center"/>
                </w:tcPr>
                <w:p>
                  <w:pPr>
                    <w:jc w:val="center"/>
                    <w:rPr>
                      <w:szCs w:val="21"/>
                    </w:rPr>
                  </w:pPr>
                  <w:r>
                    <w:rPr>
                      <w:szCs w:val="21"/>
                    </w:rPr>
                    <w:t>1.2</w:t>
                  </w:r>
                </w:p>
              </w:tc>
              <w:tc>
                <w:tcPr>
                  <w:tcW w:w="981" w:type="pct"/>
                  <w:vAlign w:val="center"/>
                </w:tcPr>
                <w:p>
                  <w:pPr>
                    <w:jc w:val="center"/>
                    <w:rPr>
                      <w:szCs w:val="21"/>
                    </w:rPr>
                  </w:pPr>
                  <w:r>
                    <w:rPr>
                      <w:szCs w:val="21"/>
                    </w:rPr>
                    <w:t>25.85</w:t>
                  </w:r>
                </w:p>
              </w:tc>
              <w:tc>
                <w:tcPr>
                  <w:tcW w:w="1017" w:type="pct"/>
                  <w:vAlign w:val="center"/>
                </w:tcPr>
                <w:p>
                  <w:pPr>
                    <w:jc w:val="center"/>
                    <w:rPr>
                      <w:szCs w:val="21"/>
                    </w:rPr>
                  </w:pPr>
                  <w:r>
                    <w:rPr>
                      <w:szCs w:val="21"/>
                    </w:rPr>
                    <w:t>1.194</w:t>
                  </w:r>
                </w:p>
              </w:tc>
            </w:tr>
          </w:tbl>
          <w:p>
            <w:pPr>
              <w:adjustRightInd w:val="0"/>
              <w:snapToGrid w:val="0"/>
              <w:spacing w:line="360" w:lineRule="auto"/>
              <w:ind w:firstLine="422" w:firstLineChars="200"/>
              <w:rPr>
                <w:b/>
                <w:bCs/>
                <w:szCs w:val="21"/>
              </w:rPr>
            </w:pPr>
            <w:r>
              <w:rPr>
                <w:b/>
                <w:bCs/>
                <w:szCs w:val="21"/>
              </w:rPr>
              <w:t>（3）卫生防护距离终值的确定</w:t>
            </w:r>
          </w:p>
          <w:p>
            <w:pPr>
              <w:spacing w:line="360" w:lineRule="auto"/>
              <w:ind w:firstLine="420" w:firstLineChars="200"/>
              <w:rPr>
                <w:bCs/>
                <w:szCs w:val="21"/>
              </w:rPr>
            </w:pPr>
            <w:r>
              <w:rPr>
                <w:rFonts w:hint="eastAsia"/>
                <w:szCs w:val="21"/>
              </w:rPr>
              <w:t>本项目</w:t>
            </w:r>
            <w:r>
              <w:rPr>
                <w:szCs w:val="21"/>
              </w:rPr>
              <w:t>卫生防护距离计算初值为1.194</w:t>
            </w:r>
            <w:r>
              <w:rPr>
                <w:rFonts w:hint="eastAsia"/>
                <w:szCs w:val="21"/>
              </w:rPr>
              <w:t>米</w:t>
            </w:r>
            <w:r>
              <w:rPr>
                <w:szCs w:val="21"/>
              </w:rPr>
              <w:t>，根据《大气有害物质无组织排放卫生防护距离推导技术导则》（GB/T39499-2020）</w:t>
            </w:r>
            <w:r>
              <w:rPr>
                <w:rFonts w:hint="eastAsia"/>
                <w:szCs w:val="21"/>
              </w:rPr>
              <w:t>6.1.1的</w:t>
            </w:r>
            <w:r>
              <w:rPr>
                <w:szCs w:val="21"/>
              </w:rPr>
              <w:t>规定</w:t>
            </w:r>
            <w:r>
              <w:rPr>
                <w:rFonts w:hint="eastAsia"/>
                <w:szCs w:val="21"/>
              </w:rPr>
              <w:t>：</w:t>
            </w:r>
            <w:r>
              <w:rPr>
                <w:szCs w:val="21"/>
              </w:rPr>
              <w:t>卫生防护距离初值</w:t>
            </w:r>
            <w:r>
              <w:rPr>
                <w:rFonts w:hint="eastAsia"/>
                <w:szCs w:val="21"/>
              </w:rPr>
              <w:t>小于50m时</w:t>
            </w:r>
            <w:r>
              <w:rPr>
                <w:szCs w:val="21"/>
              </w:rPr>
              <w:t>，级差为</w:t>
            </w:r>
            <w:r>
              <w:rPr>
                <w:rFonts w:hint="eastAsia"/>
                <w:szCs w:val="21"/>
              </w:rPr>
              <w:t>50m，</w:t>
            </w:r>
            <w:r>
              <w:rPr>
                <w:szCs w:val="21"/>
              </w:rPr>
              <w:t>如计算初值</w:t>
            </w:r>
            <w:r>
              <w:rPr>
                <w:rFonts w:hint="eastAsia"/>
                <w:szCs w:val="21"/>
              </w:rPr>
              <w:t>小于</w:t>
            </w:r>
            <w:r>
              <w:rPr>
                <w:szCs w:val="21"/>
              </w:rPr>
              <w:t>50m，卫生防护距离终值取50m，因此本项目</w:t>
            </w:r>
            <w:r>
              <w:rPr>
                <w:bCs/>
                <w:szCs w:val="21"/>
              </w:rPr>
              <w:t>卫生防护距离为50米。</w:t>
            </w:r>
          </w:p>
          <w:p>
            <w:pPr>
              <w:pStyle w:val="79"/>
              <w:spacing w:line="360" w:lineRule="auto"/>
              <w:ind w:firstLine="420"/>
              <w:rPr>
                <w:bCs/>
                <w:kern w:val="2"/>
                <w:sz w:val="21"/>
                <w:szCs w:val="21"/>
              </w:rPr>
            </w:pPr>
            <w:r>
              <w:rPr>
                <w:sz w:val="21"/>
                <w:szCs w:val="21"/>
              </w:rPr>
              <w:t>根据现场踏勘，本项目</w:t>
            </w:r>
            <w:r>
              <w:rPr>
                <w:rFonts w:hint="eastAsia"/>
                <w:sz w:val="21"/>
                <w:szCs w:val="21"/>
              </w:rPr>
              <w:t>综合</w:t>
            </w:r>
            <w:r>
              <w:rPr>
                <w:sz w:val="21"/>
                <w:szCs w:val="21"/>
              </w:rPr>
              <w:t>车间与最近的敏感点</w:t>
            </w:r>
            <w:r>
              <w:rPr>
                <w:rFonts w:hint="eastAsia"/>
                <w:sz w:val="21"/>
                <w:szCs w:val="21"/>
              </w:rPr>
              <w:t>东侧</w:t>
            </w:r>
            <w:r>
              <w:rPr>
                <w:sz w:val="21"/>
                <w:szCs w:val="21"/>
              </w:rPr>
              <w:t>的</w:t>
            </w:r>
            <w:r>
              <w:rPr>
                <w:rFonts w:hint="eastAsia"/>
                <w:sz w:val="21"/>
                <w:szCs w:val="21"/>
              </w:rPr>
              <w:t>居民楼</w:t>
            </w:r>
            <w:r>
              <w:rPr>
                <w:sz w:val="21"/>
                <w:szCs w:val="21"/>
              </w:rPr>
              <w:t>约97米，符合卫生防护距离要求</w:t>
            </w:r>
            <w:r>
              <w:rPr>
                <w:bCs/>
                <w:sz w:val="21"/>
                <w:szCs w:val="21"/>
              </w:rPr>
              <w:t>。本项目卫生防护距离包络线图见</w:t>
            </w:r>
            <w:r>
              <w:rPr>
                <w:sz w:val="21"/>
                <w:szCs w:val="21"/>
              </w:rPr>
              <w:t>附图6</w:t>
            </w:r>
            <w:r>
              <w:rPr>
                <w:bCs/>
                <w:sz w:val="21"/>
                <w:szCs w:val="21"/>
              </w:rPr>
              <w:t>。</w:t>
            </w:r>
          </w:p>
          <w:p>
            <w:pPr>
              <w:snapToGrid w:val="0"/>
              <w:spacing w:line="360" w:lineRule="auto"/>
              <w:ind w:firstLine="422" w:firstLineChars="200"/>
              <w:rPr>
                <w:b/>
                <w:szCs w:val="21"/>
              </w:rPr>
            </w:pPr>
            <w:r>
              <w:rPr>
                <w:rFonts w:hint="eastAsia"/>
                <w:b/>
                <w:szCs w:val="21"/>
              </w:rPr>
              <w:t>2</w:t>
            </w:r>
            <w:r>
              <w:rPr>
                <w:b/>
                <w:szCs w:val="21"/>
              </w:rPr>
              <w:t>、废水</w:t>
            </w:r>
          </w:p>
          <w:p>
            <w:pPr>
              <w:widowControl/>
              <w:spacing w:line="360" w:lineRule="auto"/>
              <w:ind w:firstLine="422" w:firstLineChars="200"/>
              <w:rPr>
                <w:b/>
                <w:bCs/>
                <w:szCs w:val="21"/>
              </w:rPr>
            </w:pPr>
            <w:r>
              <w:rPr>
                <w:b/>
                <w:bCs/>
                <w:szCs w:val="21"/>
              </w:rPr>
              <w:t>（1）废水源强</w:t>
            </w:r>
          </w:p>
          <w:p>
            <w:pPr>
              <w:widowControl/>
              <w:adjustRightInd w:val="0"/>
              <w:snapToGrid w:val="0"/>
              <w:spacing w:line="360" w:lineRule="auto"/>
              <w:ind w:firstLine="420" w:firstLineChars="200"/>
              <w:rPr>
                <w:bCs/>
                <w:kern w:val="0"/>
                <w:szCs w:val="21"/>
              </w:rPr>
            </w:pPr>
            <w:r>
              <w:rPr>
                <w:bCs/>
                <w:kern w:val="0"/>
                <w:szCs w:val="21"/>
              </w:rPr>
              <w:t>项目</w:t>
            </w:r>
            <w:r>
              <w:rPr>
                <w:rFonts w:hint="eastAsia"/>
                <w:bCs/>
                <w:kern w:val="0"/>
                <w:szCs w:val="21"/>
              </w:rPr>
              <w:t>间接冷却水</w:t>
            </w:r>
            <w:r>
              <w:rPr>
                <w:bCs/>
                <w:kern w:val="0"/>
                <w:szCs w:val="21"/>
              </w:rPr>
              <w:t>循环使用</w:t>
            </w:r>
            <w:r>
              <w:t>，不外排</w:t>
            </w:r>
            <w:r>
              <w:rPr>
                <w:rFonts w:hint="eastAsia"/>
              </w:rPr>
              <w:t>，</w:t>
            </w:r>
            <w:r>
              <w:rPr>
                <w:rFonts w:hint="eastAsia"/>
                <w:szCs w:val="21"/>
              </w:rPr>
              <w:t>补充蒸发损耗约</w:t>
            </w:r>
            <w:r>
              <w:rPr>
                <w:szCs w:val="21"/>
              </w:rPr>
              <w:t>1.2</w:t>
            </w:r>
            <w:r>
              <w:rPr>
                <w:rFonts w:hint="eastAsia"/>
                <w:szCs w:val="21"/>
              </w:rPr>
              <w:t>t/d（</w:t>
            </w:r>
            <w:r>
              <w:rPr>
                <w:szCs w:val="21"/>
              </w:rPr>
              <w:t>360</w:t>
            </w:r>
            <w:r>
              <w:rPr>
                <w:rFonts w:hint="eastAsia"/>
                <w:szCs w:val="21"/>
              </w:rPr>
              <w:t>t/a）</w:t>
            </w:r>
            <w:r>
              <w:rPr>
                <w:rFonts w:hint="eastAsia"/>
                <w:bCs/>
                <w:kern w:val="0"/>
                <w:szCs w:val="21"/>
              </w:rPr>
              <w:t>；</w:t>
            </w:r>
            <w:r>
              <w:rPr>
                <w:rFonts w:hint="eastAsia"/>
              </w:rPr>
              <w:t>喷淋塔用水循环使用，不外排，喷淋塔沉渣定期打捞交由专业公司处理</w:t>
            </w:r>
            <w:r>
              <w:rPr>
                <w:szCs w:val="21"/>
              </w:rPr>
              <w:t>。</w:t>
            </w:r>
          </w:p>
          <w:p>
            <w:pPr>
              <w:spacing w:line="360" w:lineRule="auto"/>
              <w:ind w:firstLine="420" w:firstLineChars="200"/>
              <w:rPr>
                <w:szCs w:val="21"/>
              </w:rPr>
            </w:pPr>
            <w:r>
              <w:rPr>
                <w:szCs w:val="21"/>
              </w:rPr>
              <w:t>项目主要外排废水为员工生活污水，项目员工</w:t>
            </w:r>
            <w:r>
              <w:t>100人，</w:t>
            </w:r>
            <w:r>
              <w:rPr>
                <w:rFonts w:hint="eastAsia"/>
              </w:rPr>
              <w:t>均不在项目</w:t>
            </w:r>
            <w:r>
              <w:t>内食宿，</w:t>
            </w:r>
            <w:r>
              <w:rPr>
                <w:kern w:val="0"/>
                <w:szCs w:val="21"/>
              </w:rPr>
              <w:t>参照《用水定额 第3部分：生活》（DB44/T1461.3-2021），国家机构（92）-国家行政机构（922）-办公楼-</w:t>
            </w:r>
            <w:r>
              <w:rPr>
                <w:rFonts w:hint="eastAsia"/>
                <w:kern w:val="0"/>
                <w:szCs w:val="21"/>
              </w:rPr>
              <w:t>无</w:t>
            </w:r>
            <w:r>
              <w:rPr>
                <w:kern w:val="0"/>
                <w:szCs w:val="21"/>
              </w:rPr>
              <w:t>食堂和浴室用水定额为10m</w:t>
            </w:r>
            <w:r>
              <w:rPr>
                <w:kern w:val="0"/>
                <w:szCs w:val="21"/>
                <w:vertAlign w:val="superscript"/>
              </w:rPr>
              <w:t>3</w:t>
            </w:r>
            <w:r>
              <w:rPr>
                <w:kern w:val="0"/>
                <w:szCs w:val="21"/>
              </w:rPr>
              <w:t>/人•a，则项目年用生活用水量为1000m</w:t>
            </w:r>
            <w:r>
              <w:rPr>
                <w:kern w:val="0"/>
                <w:szCs w:val="21"/>
                <w:vertAlign w:val="superscript"/>
              </w:rPr>
              <w:t>3</w:t>
            </w:r>
            <w:r>
              <w:rPr>
                <w:kern w:val="0"/>
                <w:szCs w:val="21"/>
              </w:rPr>
              <w:t>/a</w:t>
            </w:r>
            <w:r>
              <w:rPr>
                <w:rFonts w:hint="eastAsia"/>
                <w:szCs w:val="21"/>
              </w:rPr>
              <w:t>，</w:t>
            </w:r>
            <w:r>
              <w:rPr>
                <w:szCs w:val="21"/>
              </w:rPr>
              <w:t>排污系数取0.8，则排放总量800m</w:t>
            </w:r>
            <w:r>
              <w:rPr>
                <w:szCs w:val="21"/>
                <w:vertAlign w:val="superscript"/>
              </w:rPr>
              <w:t>3</w:t>
            </w:r>
            <w:r>
              <w:rPr>
                <w:szCs w:val="21"/>
              </w:rPr>
              <w:t>/a，主要污染因子为COD</w:t>
            </w:r>
            <w:r>
              <w:rPr>
                <w:szCs w:val="21"/>
                <w:vertAlign w:val="subscript"/>
              </w:rPr>
              <w:t>Cr</w:t>
            </w:r>
            <w:r>
              <w:rPr>
                <w:szCs w:val="21"/>
              </w:rPr>
              <w:t>、BOD</w:t>
            </w:r>
            <w:r>
              <w:rPr>
                <w:szCs w:val="21"/>
                <w:vertAlign w:val="subscript"/>
              </w:rPr>
              <w:t>5</w:t>
            </w:r>
            <w:r>
              <w:rPr>
                <w:szCs w:val="21"/>
              </w:rPr>
              <w:t>、SS、总磷、总氮和氨氮，生活污水经三级化粪池预处理后，经市政污水管网排入</w:t>
            </w:r>
            <w:r>
              <w:t>杨侨镇生活污水处理厂</w:t>
            </w:r>
            <w:r>
              <w:rPr>
                <w:szCs w:val="21"/>
              </w:rPr>
              <w:t>处理达标后排入</w:t>
            </w:r>
            <w:r>
              <w:rPr>
                <w:rFonts w:hint="eastAsia"/>
                <w:szCs w:val="21"/>
              </w:rPr>
              <w:t>南蛇沥</w:t>
            </w:r>
            <w:r>
              <w:rPr>
                <w:szCs w:val="21"/>
              </w:rPr>
              <w:t>排渠</w:t>
            </w:r>
            <w:r>
              <w:rPr>
                <w:rFonts w:hint="eastAsia" w:hAnsi="宋体"/>
              </w:rPr>
              <w:t>，</w:t>
            </w:r>
            <w:r>
              <w:t>然后汇入</w:t>
            </w:r>
            <w:r>
              <w:rPr>
                <w:rFonts w:hint="eastAsia"/>
              </w:rPr>
              <w:t>公庄河</w:t>
            </w:r>
            <w:r>
              <w:rPr>
                <w:rFonts w:hint="eastAsia"/>
                <w:szCs w:val="21"/>
              </w:rPr>
              <w:t>，</w:t>
            </w:r>
            <w:r>
              <w:rPr>
                <w:szCs w:val="21"/>
              </w:rPr>
              <w:t>杨侨镇生活污水处理厂</w:t>
            </w:r>
            <w:r>
              <w:rPr>
                <w:bCs/>
                <w:szCs w:val="21"/>
              </w:rPr>
              <w:t>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标准与广东省《水污染物排放限值》较严值的标准</w:t>
            </w:r>
            <w:r>
              <w:rPr>
                <w:rFonts w:hint="eastAsia"/>
                <w:bCs/>
                <w:szCs w:val="21"/>
              </w:rPr>
              <w:t>。</w:t>
            </w:r>
          </w:p>
          <w:p>
            <w:pPr>
              <w:adjustRightInd w:val="0"/>
              <w:snapToGrid w:val="0"/>
              <w:spacing w:line="360" w:lineRule="auto"/>
              <w:ind w:firstLine="420" w:firstLineChars="200"/>
              <w:rPr>
                <w:szCs w:val="21"/>
              </w:rPr>
            </w:pPr>
            <w:r>
              <w:t>参照《排放源统计调查产排污核算方法和系数手册》（生态环境部公告 2021年 第24号）其中的《</w:t>
            </w:r>
            <w:r>
              <w:rPr>
                <w:szCs w:val="21"/>
              </w:rPr>
              <w:t>生活污染源产排污系数手册</w:t>
            </w:r>
            <w:r>
              <w:t>》</w:t>
            </w:r>
            <w:r>
              <w:rPr>
                <w:szCs w:val="21"/>
              </w:rPr>
              <w:t>，项目废水污染物源强核算见下表。</w:t>
            </w:r>
          </w:p>
          <w:p>
            <w:pPr>
              <w:numPr>
                <w:ilvl w:val="0"/>
                <w:numId w:val="2"/>
              </w:numPr>
              <w:adjustRightInd w:val="0"/>
              <w:snapToGrid w:val="0"/>
              <w:spacing w:line="360" w:lineRule="auto"/>
              <w:ind w:left="0"/>
              <w:jc w:val="center"/>
              <w:rPr>
                <w:b/>
              </w:rPr>
            </w:pPr>
            <w:r>
              <w:rPr>
                <w:b/>
                <w:szCs w:val="21"/>
                <w:lang w:bidi="ar"/>
              </w:rPr>
              <w:t>项目污水产排一览表</w:t>
            </w:r>
          </w:p>
          <w:tbl>
            <w:tblPr>
              <w:tblStyle w:val="2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420"/>
              <w:gridCol w:w="780"/>
              <w:gridCol w:w="898"/>
              <w:gridCol w:w="938"/>
              <w:gridCol w:w="825"/>
              <w:gridCol w:w="592"/>
              <w:gridCol w:w="437"/>
              <w:gridCol w:w="437"/>
              <w:gridCol w:w="720"/>
              <w:gridCol w:w="93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产排污环节</w:t>
                  </w:r>
                </w:p>
              </w:tc>
              <w:tc>
                <w:tcPr>
                  <w:tcW w:w="250"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类别</w:t>
                  </w:r>
                </w:p>
              </w:tc>
              <w:tc>
                <w:tcPr>
                  <w:tcW w:w="464"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污染物种类</w:t>
                  </w:r>
                </w:p>
              </w:tc>
              <w:tc>
                <w:tcPr>
                  <w:tcW w:w="1583" w:type="pct"/>
                  <w:gridSpan w:val="3"/>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污染物产生</w:t>
                  </w:r>
                </w:p>
              </w:tc>
              <w:tc>
                <w:tcPr>
                  <w:tcW w:w="612" w:type="pct"/>
                  <w:gridSpan w:val="2"/>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治理措施</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排放形式</w:t>
                  </w:r>
                </w:p>
              </w:tc>
              <w:tc>
                <w:tcPr>
                  <w:tcW w:w="1478" w:type="pct"/>
                  <w:gridSpan w:val="3"/>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34"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废水产生量（</w:t>
                  </w:r>
                  <w:r>
                    <w:rPr>
                      <w:b/>
                      <w:bCs/>
                      <w:sz w:val="18"/>
                      <w:szCs w:val="18"/>
                      <w:lang w:bidi="ar"/>
                    </w:rPr>
                    <w:t>t/a</w:t>
                  </w:r>
                  <w:r>
                    <w:rPr>
                      <w:b/>
                      <w:bCs/>
                      <w:sz w:val="18"/>
                      <w:szCs w:val="18"/>
                      <w:lang w:eastAsia="zh-TW" w:bidi="ar"/>
                    </w:rPr>
                    <w:t>）</w:t>
                  </w:r>
                </w:p>
              </w:tc>
              <w:tc>
                <w:tcPr>
                  <w:tcW w:w="55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产生浓度（</w:t>
                  </w:r>
                  <w:r>
                    <w:rPr>
                      <w:b/>
                      <w:bCs/>
                      <w:sz w:val="18"/>
                      <w:szCs w:val="18"/>
                      <w:lang w:bidi="ar"/>
                    </w:rPr>
                    <w:t>mg/L</w:t>
                  </w:r>
                  <w:r>
                    <w:rPr>
                      <w:b/>
                      <w:bCs/>
                      <w:sz w:val="18"/>
                      <w:szCs w:val="18"/>
                      <w:lang w:eastAsia="zh-TW" w:bidi="ar"/>
                    </w:rPr>
                    <w:t>）</w:t>
                  </w:r>
                </w:p>
              </w:tc>
              <w:tc>
                <w:tcPr>
                  <w:tcW w:w="491"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产生量（</w:t>
                  </w:r>
                  <w:r>
                    <w:rPr>
                      <w:b/>
                      <w:bCs/>
                      <w:sz w:val="18"/>
                      <w:szCs w:val="18"/>
                      <w:lang w:bidi="ar"/>
                    </w:rPr>
                    <w:t>t/a</w:t>
                  </w:r>
                  <w:r>
                    <w:rPr>
                      <w:b/>
                      <w:bCs/>
                      <w:sz w:val="18"/>
                      <w:szCs w:val="18"/>
                      <w:lang w:eastAsia="zh-TW" w:bidi="ar"/>
                    </w:rPr>
                    <w:t>）</w:t>
                  </w:r>
                </w:p>
              </w:tc>
              <w:tc>
                <w:tcPr>
                  <w:tcW w:w="352"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工艺</w:t>
                  </w:r>
                </w:p>
              </w:tc>
              <w:tc>
                <w:tcPr>
                  <w:tcW w:w="260"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是否为可行技术</w:t>
                  </w: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废水排放量（</w:t>
                  </w:r>
                  <w:r>
                    <w:rPr>
                      <w:b/>
                      <w:bCs/>
                      <w:sz w:val="18"/>
                      <w:szCs w:val="18"/>
                      <w:lang w:bidi="ar"/>
                    </w:rPr>
                    <w:t>t/a</w:t>
                  </w:r>
                  <w:r>
                    <w:rPr>
                      <w:b/>
                      <w:bCs/>
                      <w:sz w:val="18"/>
                      <w:szCs w:val="18"/>
                      <w:lang w:eastAsia="zh-TW" w:bidi="ar"/>
                    </w:rPr>
                    <w:t>）</w:t>
                  </w:r>
                </w:p>
              </w:tc>
              <w:tc>
                <w:tcPr>
                  <w:tcW w:w="55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排放浓度（</w:t>
                  </w:r>
                  <w:r>
                    <w:rPr>
                      <w:b/>
                      <w:bCs/>
                      <w:sz w:val="18"/>
                      <w:szCs w:val="18"/>
                      <w:lang w:bidi="ar"/>
                    </w:rPr>
                    <w:t>mg/L</w:t>
                  </w:r>
                  <w:r>
                    <w:rPr>
                      <w:b/>
                      <w:bCs/>
                      <w:sz w:val="18"/>
                      <w:szCs w:val="18"/>
                      <w:lang w:eastAsia="zh-TW" w:bidi="ar"/>
                    </w:rPr>
                    <w:t>）</w:t>
                  </w:r>
                </w:p>
              </w:tc>
              <w:tc>
                <w:tcPr>
                  <w:tcW w:w="492"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排放量（</w:t>
                  </w:r>
                  <w:r>
                    <w:rPr>
                      <w:b/>
                      <w:bCs/>
                      <w:sz w:val="18"/>
                      <w:szCs w:val="18"/>
                      <w:lang w:bidi="ar"/>
                    </w:rPr>
                    <w:t>t/a</w:t>
                  </w:r>
                  <w:r>
                    <w:rPr>
                      <w:b/>
                      <w:bCs/>
                      <w:sz w:val="18"/>
                      <w:szCs w:val="18"/>
                      <w:lang w:eastAsia="zh-TW"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员工工作</w:t>
                  </w:r>
                  <w:r>
                    <w:rPr>
                      <w:rFonts w:hint="eastAsia"/>
                      <w:sz w:val="18"/>
                      <w:szCs w:val="18"/>
                      <w:lang w:bidi="ar"/>
                    </w:rPr>
                    <w:t>生活</w:t>
                  </w:r>
                </w:p>
              </w:tc>
              <w:tc>
                <w:tcPr>
                  <w:tcW w:w="250"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生活污水</w:t>
                  </w: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COD</w:t>
                  </w:r>
                  <w:r>
                    <w:rPr>
                      <w:sz w:val="18"/>
                      <w:szCs w:val="18"/>
                      <w:vertAlign w:val="subscript"/>
                      <w:lang w:bidi="ar"/>
                    </w:rPr>
                    <w:t>Cr</w:t>
                  </w:r>
                </w:p>
              </w:tc>
              <w:tc>
                <w:tcPr>
                  <w:tcW w:w="534"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800</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285</w:t>
                  </w:r>
                </w:p>
              </w:tc>
              <w:tc>
                <w:tcPr>
                  <w:tcW w:w="491" w:type="pct"/>
                  <w:tcBorders>
                    <w:top w:val="nil"/>
                    <w:left w:val="nil"/>
                    <w:bottom w:val="single" w:color="000000" w:sz="8" w:space="0"/>
                    <w:right w:val="single" w:color="000000" w:sz="8" w:space="0"/>
                  </w:tcBorders>
                  <w:shd w:val="clear" w:color="auto" w:fill="auto"/>
                  <w:vAlign w:val="center"/>
                </w:tcPr>
                <w:p>
                  <w:pPr>
                    <w:widowControl/>
                    <w:jc w:val="center"/>
                    <w:rPr>
                      <w:kern w:val="0"/>
                      <w:sz w:val="18"/>
                      <w:szCs w:val="18"/>
                    </w:rPr>
                  </w:pPr>
                  <w:r>
                    <w:rPr>
                      <w:sz w:val="18"/>
                      <w:szCs w:val="18"/>
                    </w:rPr>
                    <w:t xml:space="preserve">0.228 </w:t>
                  </w:r>
                </w:p>
              </w:tc>
              <w:tc>
                <w:tcPr>
                  <w:tcW w:w="352"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三级化粪池</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是</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间接排放</w:t>
                  </w:r>
                </w:p>
              </w:tc>
              <w:tc>
                <w:tcPr>
                  <w:tcW w:w="428"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800</w:t>
                  </w: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40</w:t>
                  </w:r>
                </w:p>
              </w:tc>
              <w:tc>
                <w:tcPr>
                  <w:tcW w:w="492" w:type="pct"/>
                  <w:tcBorders>
                    <w:top w:val="nil"/>
                    <w:left w:val="nil"/>
                    <w:bottom w:val="single" w:color="000000" w:sz="8" w:space="0"/>
                    <w:right w:val="single" w:color="000000" w:sz="8" w:space="0"/>
                  </w:tcBorders>
                  <w:shd w:val="clear" w:color="auto" w:fill="auto"/>
                  <w:vAlign w:val="center"/>
                </w:tcPr>
                <w:p>
                  <w:pPr>
                    <w:widowControl/>
                    <w:jc w:val="center"/>
                    <w:rPr>
                      <w:kern w:val="0"/>
                      <w:sz w:val="18"/>
                      <w:szCs w:val="18"/>
                    </w:rPr>
                  </w:pPr>
                  <w:r>
                    <w:rPr>
                      <w:sz w:val="18"/>
                      <w:szCs w:val="18"/>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BOD</w:t>
                  </w:r>
                  <w:r>
                    <w:rPr>
                      <w:sz w:val="18"/>
                      <w:szCs w:val="18"/>
                      <w:vertAlign w:val="subscript"/>
                      <w:lang w:bidi="ar"/>
                    </w:rPr>
                    <w:t>5</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160</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0.128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10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SS</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150</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0.120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10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NH</w:t>
                  </w:r>
                  <w:r>
                    <w:rPr>
                      <w:sz w:val="18"/>
                      <w:szCs w:val="18"/>
                      <w:vertAlign w:val="subscript"/>
                      <w:lang w:bidi="ar"/>
                    </w:rPr>
                    <w:t>3</w:t>
                  </w:r>
                  <w:r>
                    <w:rPr>
                      <w:sz w:val="18"/>
                      <w:szCs w:val="18"/>
                      <w:lang w:bidi="ar"/>
                    </w:rPr>
                    <w:t>-N</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28</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0.022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2.0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TN</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40</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0.0320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15</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3"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TP</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4</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0.0032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0.4</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0.00032 </w:t>
                  </w:r>
                </w:p>
              </w:tc>
            </w:tr>
          </w:tbl>
          <w:p>
            <w:pPr>
              <w:widowControl/>
              <w:spacing w:line="360" w:lineRule="auto"/>
              <w:ind w:firstLine="422" w:firstLineChars="200"/>
              <w:rPr>
                <w:b/>
                <w:bCs/>
                <w:szCs w:val="21"/>
              </w:rPr>
            </w:pPr>
            <w:r>
              <w:rPr>
                <w:b/>
                <w:bCs/>
                <w:szCs w:val="21"/>
              </w:rPr>
              <w:t>（2）排放口情况</w:t>
            </w:r>
          </w:p>
          <w:p>
            <w:pPr>
              <w:widowControl/>
              <w:adjustRightInd w:val="0"/>
              <w:snapToGrid w:val="0"/>
              <w:spacing w:line="360" w:lineRule="auto"/>
              <w:ind w:firstLine="420" w:firstLineChars="200"/>
              <w:rPr>
                <w:szCs w:val="21"/>
              </w:rPr>
            </w:pPr>
            <w:r>
              <w:t>项目</w:t>
            </w:r>
            <w:r>
              <w:rPr>
                <w:szCs w:val="21"/>
                <w:lang w:eastAsia="zh-TW"/>
              </w:rPr>
              <w:t>主要外排废水为员工生活污水，</w:t>
            </w:r>
            <w:r>
              <w:rPr>
                <w:szCs w:val="21"/>
              </w:rPr>
              <w:t>属于间接排放，项目间接排放口基本情况如下表所示。</w:t>
            </w:r>
          </w:p>
          <w:p>
            <w:pPr>
              <w:numPr>
                <w:ilvl w:val="0"/>
                <w:numId w:val="2"/>
              </w:numPr>
              <w:adjustRightInd w:val="0"/>
              <w:snapToGrid w:val="0"/>
              <w:spacing w:line="360" w:lineRule="auto"/>
              <w:ind w:left="0"/>
              <w:jc w:val="center"/>
              <w:rPr>
                <w:b/>
                <w:szCs w:val="21"/>
              </w:rPr>
            </w:pPr>
            <w:r>
              <w:rPr>
                <w:b/>
                <w:szCs w:val="21"/>
              </w:rPr>
              <w:t>废水间接排放口基本情况表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7"/>
              <w:gridCol w:w="786"/>
              <w:gridCol w:w="1322"/>
              <w:gridCol w:w="825"/>
              <w:gridCol w:w="625"/>
              <w:gridCol w:w="1192"/>
              <w:gridCol w:w="648"/>
              <w:gridCol w:w="699"/>
              <w:gridCol w:w="734"/>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restart"/>
                  <w:vAlign w:val="center"/>
                </w:tcPr>
                <w:p>
                  <w:pPr>
                    <w:widowControl/>
                    <w:adjustRightInd w:val="0"/>
                    <w:snapToGrid w:val="0"/>
                    <w:jc w:val="center"/>
                    <w:rPr>
                      <w:b/>
                      <w:sz w:val="18"/>
                      <w:szCs w:val="18"/>
                    </w:rPr>
                  </w:pPr>
                  <w:r>
                    <w:rPr>
                      <w:b/>
                      <w:sz w:val="18"/>
                      <w:szCs w:val="18"/>
                    </w:rPr>
                    <w:t>序号</w:t>
                  </w:r>
                </w:p>
              </w:tc>
              <w:tc>
                <w:tcPr>
                  <w:tcW w:w="445" w:type="pct"/>
                  <w:vMerge w:val="restart"/>
                  <w:vAlign w:val="center"/>
                </w:tcPr>
                <w:p>
                  <w:pPr>
                    <w:widowControl/>
                    <w:adjustRightInd w:val="0"/>
                    <w:snapToGrid w:val="0"/>
                    <w:jc w:val="center"/>
                    <w:rPr>
                      <w:b/>
                      <w:sz w:val="18"/>
                      <w:szCs w:val="18"/>
                    </w:rPr>
                  </w:pPr>
                  <w:r>
                    <w:rPr>
                      <w:b/>
                      <w:sz w:val="18"/>
                      <w:szCs w:val="18"/>
                    </w:rPr>
                    <w:t>排放口编号</w:t>
                  </w:r>
                </w:p>
              </w:tc>
              <w:tc>
                <w:tcPr>
                  <w:tcW w:w="789" w:type="pct"/>
                  <w:vMerge w:val="restart"/>
                  <w:vAlign w:val="center"/>
                </w:tcPr>
                <w:p>
                  <w:pPr>
                    <w:widowControl/>
                    <w:adjustRightInd w:val="0"/>
                    <w:snapToGrid w:val="0"/>
                    <w:jc w:val="center"/>
                    <w:rPr>
                      <w:b/>
                      <w:sz w:val="18"/>
                      <w:szCs w:val="18"/>
                    </w:rPr>
                  </w:pPr>
                  <w:r>
                    <w:rPr>
                      <w:b/>
                      <w:sz w:val="18"/>
                      <w:szCs w:val="18"/>
                    </w:rPr>
                    <w:t>排放口</w:t>
                  </w:r>
                </w:p>
                <w:p>
                  <w:pPr>
                    <w:widowControl/>
                    <w:adjustRightInd w:val="0"/>
                    <w:snapToGrid w:val="0"/>
                    <w:jc w:val="center"/>
                    <w:rPr>
                      <w:b/>
                      <w:sz w:val="18"/>
                      <w:szCs w:val="18"/>
                    </w:rPr>
                  </w:pPr>
                  <w:r>
                    <w:rPr>
                      <w:b/>
                      <w:sz w:val="18"/>
                      <w:szCs w:val="18"/>
                    </w:rPr>
                    <w:t>地理坐标</w:t>
                  </w:r>
                </w:p>
              </w:tc>
              <w:tc>
                <w:tcPr>
                  <w:tcW w:w="493" w:type="pct"/>
                  <w:vMerge w:val="restart"/>
                  <w:vAlign w:val="center"/>
                </w:tcPr>
                <w:p>
                  <w:pPr>
                    <w:widowControl/>
                    <w:adjustRightInd w:val="0"/>
                    <w:snapToGrid w:val="0"/>
                    <w:jc w:val="center"/>
                    <w:rPr>
                      <w:b/>
                      <w:sz w:val="18"/>
                      <w:szCs w:val="18"/>
                    </w:rPr>
                  </w:pPr>
                  <w:r>
                    <w:rPr>
                      <w:b/>
                      <w:sz w:val="18"/>
                      <w:szCs w:val="18"/>
                    </w:rPr>
                    <w:t>废水排放量（万t/a）</w:t>
                  </w:r>
                </w:p>
              </w:tc>
              <w:tc>
                <w:tcPr>
                  <w:tcW w:w="374" w:type="pct"/>
                  <w:vMerge w:val="restart"/>
                  <w:vAlign w:val="center"/>
                </w:tcPr>
                <w:p>
                  <w:pPr>
                    <w:widowControl/>
                    <w:adjustRightInd w:val="0"/>
                    <w:snapToGrid w:val="0"/>
                    <w:jc w:val="center"/>
                    <w:rPr>
                      <w:b/>
                      <w:sz w:val="18"/>
                      <w:szCs w:val="18"/>
                    </w:rPr>
                  </w:pPr>
                  <w:r>
                    <w:rPr>
                      <w:b/>
                      <w:sz w:val="18"/>
                      <w:szCs w:val="18"/>
                    </w:rPr>
                    <w:t>排放去向</w:t>
                  </w:r>
                </w:p>
              </w:tc>
              <w:tc>
                <w:tcPr>
                  <w:tcW w:w="711" w:type="pct"/>
                  <w:vMerge w:val="restart"/>
                  <w:vAlign w:val="center"/>
                </w:tcPr>
                <w:p>
                  <w:pPr>
                    <w:widowControl/>
                    <w:adjustRightInd w:val="0"/>
                    <w:snapToGrid w:val="0"/>
                    <w:jc w:val="center"/>
                    <w:rPr>
                      <w:b/>
                      <w:sz w:val="18"/>
                      <w:szCs w:val="18"/>
                    </w:rPr>
                  </w:pPr>
                  <w:r>
                    <w:rPr>
                      <w:b/>
                      <w:sz w:val="18"/>
                      <w:szCs w:val="18"/>
                    </w:rPr>
                    <w:t>排放规律</w:t>
                  </w:r>
                </w:p>
              </w:tc>
              <w:tc>
                <w:tcPr>
                  <w:tcW w:w="388" w:type="pct"/>
                  <w:vMerge w:val="restart"/>
                  <w:vAlign w:val="center"/>
                </w:tcPr>
                <w:p>
                  <w:pPr>
                    <w:widowControl/>
                    <w:adjustRightInd w:val="0"/>
                    <w:snapToGrid w:val="0"/>
                    <w:jc w:val="center"/>
                    <w:rPr>
                      <w:b/>
                      <w:sz w:val="18"/>
                      <w:szCs w:val="18"/>
                    </w:rPr>
                  </w:pPr>
                  <w:r>
                    <w:rPr>
                      <w:b/>
                      <w:sz w:val="18"/>
                      <w:szCs w:val="18"/>
                    </w:rPr>
                    <w:t>间歇排放时段</w:t>
                  </w:r>
                </w:p>
              </w:tc>
              <w:tc>
                <w:tcPr>
                  <w:tcW w:w="1566" w:type="pct"/>
                  <w:gridSpan w:val="3"/>
                  <w:vAlign w:val="center"/>
                </w:tcPr>
                <w:p>
                  <w:pPr>
                    <w:widowControl/>
                    <w:adjustRightInd w:val="0"/>
                    <w:snapToGrid w:val="0"/>
                    <w:jc w:val="center"/>
                    <w:rPr>
                      <w:b/>
                      <w:sz w:val="18"/>
                      <w:szCs w:val="18"/>
                    </w:rPr>
                  </w:pPr>
                  <w:r>
                    <w:rPr>
                      <w:b/>
                      <w:sz w:val="18"/>
                      <w:szCs w:val="18"/>
                    </w:rPr>
                    <w:t>受纳污水处理设施信息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b/>
                      <w:sz w:val="18"/>
                      <w:szCs w:val="18"/>
                    </w:rPr>
                  </w:pPr>
                </w:p>
              </w:tc>
              <w:tc>
                <w:tcPr>
                  <w:tcW w:w="445" w:type="pct"/>
                  <w:vMerge w:val="continue"/>
                  <w:vAlign w:val="center"/>
                </w:tcPr>
                <w:p>
                  <w:pPr>
                    <w:widowControl/>
                    <w:adjustRightInd w:val="0"/>
                    <w:snapToGrid w:val="0"/>
                    <w:jc w:val="center"/>
                    <w:rPr>
                      <w:b/>
                      <w:sz w:val="18"/>
                      <w:szCs w:val="18"/>
                    </w:rPr>
                  </w:pPr>
                </w:p>
              </w:tc>
              <w:tc>
                <w:tcPr>
                  <w:tcW w:w="789" w:type="pct"/>
                  <w:vMerge w:val="continue"/>
                  <w:vAlign w:val="center"/>
                </w:tcPr>
                <w:p>
                  <w:pPr>
                    <w:widowControl/>
                    <w:adjustRightInd w:val="0"/>
                    <w:snapToGrid w:val="0"/>
                    <w:jc w:val="center"/>
                    <w:rPr>
                      <w:b/>
                      <w:sz w:val="18"/>
                      <w:szCs w:val="18"/>
                    </w:rPr>
                  </w:pPr>
                </w:p>
              </w:tc>
              <w:tc>
                <w:tcPr>
                  <w:tcW w:w="493" w:type="pct"/>
                  <w:vMerge w:val="continue"/>
                  <w:vAlign w:val="center"/>
                </w:tcPr>
                <w:p>
                  <w:pPr>
                    <w:widowControl/>
                    <w:adjustRightInd w:val="0"/>
                    <w:snapToGrid w:val="0"/>
                    <w:jc w:val="center"/>
                    <w:rPr>
                      <w:b/>
                      <w:sz w:val="18"/>
                      <w:szCs w:val="18"/>
                    </w:rPr>
                  </w:pPr>
                </w:p>
              </w:tc>
              <w:tc>
                <w:tcPr>
                  <w:tcW w:w="374" w:type="pct"/>
                  <w:vMerge w:val="continue"/>
                  <w:vAlign w:val="center"/>
                </w:tcPr>
                <w:p>
                  <w:pPr>
                    <w:widowControl/>
                    <w:adjustRightInd w:val="0"/>
                    <w:snapToGrid w:val="0"/>
                    <w:jc w:val="center"/>
                    <w:rPr>
                      <w:b/>
                      <w:sz w:val="18"/>
                      <w:szCs w:val="18"/>
                    </w:rPr>
                  </w:pPr>
                </w:p>
              </w:tc>
              <w:tc>
                <w:tcPr>
                  <w:tcW w:w="711" w:type="pct"/>
                  <w:vMerge w:val="continue"/>
                  <w:vAlign w:val="center"/>
                </w:tcPr>
                <w:p>
                  <w:pPr>
                    <w:widowControl/>
                    <w:adjustRightInd w:val="0"/>
                    <w:snapToGrid w:val="0"/>
                    <w:jc w:val="center"/>
                    <w:rPr>
                      <w:b/>
                      <w:sz w:val="18"/>
                      <w:szCs w:val="18"/>
                    </w:rPr>
                  </w:pPr>
                </w:p>
              </w:tc>
              <w:tc>
                <w:tcPr>
                  <w:tcW w:w="388" w:type="pct"/>
                  <w:vMerge w:val="continue"/>
                  <w:vAlign w:val="center"/>
                </w:tcPr>
                <w:p>
                  <w:pPr>
                    <w:widowControl/>
                    <w:adjustRightInd w:val="0"/>
                    <w:snapToGrid w:val="0"/>
                    <w:jc w:val="center"/>
                    <w:rPr>
                      <w:b/>
                      <w:sz w:val="18"/>
                      <w:szCs w:val="18"/>
                    </w:rPr>
                  </w:pPr>
                </w:p>
              </w:tc>
              <w:tc>
                <w:tcPr>
                  <w:tcW w:w="418" w:type="pct"/>
                  <w:vAlign w:val="center"/>
                </w:tcPr>
                <w:p>
                  <w:pPr>
                    <w:widowControl/>
                    <w:adjustRightInd w:val="0"/>
                    <w:snapToGrid w:val="0"/>
                    <w:jc w:val="center"/>
                    <w:rPr>
                      <w:b/>
                      <w:sz w:val="18"/>
                      <w:szCs w:val="18"/>
                    </w:rPr>
                  </w:pPr>
                  <w:r>
                    <w:rPr>
                      <w:b/>
                      <w:sz w:val="18"/>
                      <w:szCs w:val="18"/>
                    </w:rPr>
                    <w:t>名称</w:t>
                  </w:r>
                </w:p>
              </w:tc>
              <w:tc>
                <w:tcPr>
                  <w:tcW w:w="439" w:type="pct"/>
                  <w:vAlign w:val="center"/>
                </w:tcPr>
                <w:p>
                  <w:pPr>
                    <w:widowControl/>
                    <w:adjustRightInd w:val="0"/>
                    <w:snapToGrid w:val="0"/>
                    <w:jc w:val="center"/>
                    <w:rPr>
                      <w:b/>
                      <w:sz w:val="18"/>
                      <w:szCs w:val="18"/>
                    </w:rPr>
                  </w:pPr>
                  <w:r>
                    <w:rPr>
                      <w:b/>
                      <w:sz w:val="18"/>
                      <w:szCs w:val="18"/>
                    </w:rPr>
                    <w:t>污染物种类</w:t>
                  </w:r>
                </w:p>
              </w:tc>
              <w:tc>
                <w:tcPr>
                  <w:tcW w:w="709" w:type="pct"/>
                  <w:vAlign w:val="center"/>
                </w:tcPr>
                <w:p>
                  <w:pPr>
                    <w:widowControl/>
                    <w:adjustRightInd w:val="0"/>
                    <w:snapToGrid w:val="0"/>
                    <w:jc w:val="center"/>
                    <w:rPr>
                      <w:b/>
                      <w:sz w:val="18"/>
                      <w:szCs w:val="18"/>
                    </w:rPr>
                  </w:pPr>
                  <w:r>
                    <w:rPr>
                      <w:b/>
                      <w:sz w:val="18"/>
                      <w:szCs w:val="18"/>
                    </w:rPr>
                    <w:t>国建或地方污染物排放标准浓度限值（mg/L）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restart"/>
                  <w:vAlign w:val="center"/>
                </w:tcPr>
                <w:p>
                  <w:pPr>
                    <w:widowControl/>
                    <w:adjustRightInd w:val="0"/>
                    <w:snapToGrid w:val="0"/>
                    <w:jc w:val="center"/>
                    <w:rPr>
                      <w:sz w:val="18"/>
                      <w:szCs w:val="18"/>
                    </w:rPr>
                  </w:pPr>
                  <w:r>
                    <w:rPr>
                      <w:sz w:val="18"/>
                      <w:szCs w:val="18"/>
                    </w:rPr>
                    <w:t>1</w:t>
                  </w:r>
                </w:p>
              </w:tc>
              <w:tc>
                <w:tcPr>
                  <w:tcW w:w="445" w:type="pct"/>
                  <w:vMerge w:val="restart"/>
                  <w:vAlign w:val="center"/>
                </w:tcPr>
                <w:p>
                  <w:pPr>
                    <w:widowControl/>
                    <w:adjustRightInd w:val="0"/>
                    <w:snapToGrid w:val="0"/>
                    <w:jc w:val="center"/>
                    <w:rPr>
                      <w:sz w:val="18"/>
                      <w:szCs w:val="18"/>
                    </w:rPr>
                  </w:pPr>
                  <w:r>
                    <w:rPr>
                      <w:sz w:val="18"/>
                      <w:szCs w:val="18"/>
                    </w:rPr>
                    <w:t>DW001</w:t>
                  </w:r>
                </w:p>
              </w:tc>
              <w:tc>
                <w:tcPr>
                  <w:tcW w:w="789" w:type="pct"/>
                  <w:vMerge w:val="restart"/>
                  <w:vAlign w:val="center"/>
                </w:tcPr>
                <w:p>
                  <w:pPr>
                    <w:widowControl/>
                    <w:adjustRightInd w:val="0"/>
                    <w:snapToGrid w:val="0"/>
                    <w:jc w:val="center"/>
                    <w:rPr>
                      <w:kern w:val="18"/>
                      <w:sz w:val="18"/>
                      <w:szCs w:val="18"/>
                    </w:rPr>
                  </w:pPr>
                  <w:r>
                    <w:rPr>
                      <w:sz w:val="18"/>
                      <w:szCs w:val="18"/>
                    </w:rPr>
                    <w:t>E 114.43337</w:t>
                  </w:r>
                  <w:r>
                    <w:rPr>
                      <w:kern w:val="18"/>
                      <w:sz w:val="18"/>
                      <w:szCs w:val="18"/>
                    </w:rPr>
                    <w:t>°</w:t>
                  </w:r>
                </w:p>
                <w:p>
                  <w:pPr>
                    <w:widowControl/>
                    <w:adjustRightInd w:val="0"/>
                    <w:snapToGrid w:val="0"/>
                    <w:jc w:val="center"/>
                    <w:rPr>
                      <w:sz w:val="18"/>
                      <w:szCs w:val="18"/>
                    </w:rPr>
                  </w:pPr>
                  <w:r>
                    <w:rPr>
                      <w:sz w:val="18"/>
                      <w:szCs w:val="18"/>
                    </w:rPr>
                    <w:t>N 23.40725°</w:t>
                  </w:r>
                </w:p>
              </w:tc>
              <w:tc>
                <w:tcPr>
                  <w:tcW w:w="493" w:type="pct"/>
                  <w:vMerge w:val="restart"/>
                  <w:vAlign w:val="center"/>
                </w:tcPr>
                <w:p>
                  <w:pPr>
                    <w:widowControl/>
                    <w:adjustRightInd w:val="0"/>
                    <w:snapToGrid w:val="0"/>
                    <w:jc w:val="center"/>
                    <w:rPr>
                      <w:sz w:val="18"/>
                      <w:szCs w:val="18"/>
                    </w:rPr>
                  </w:pPr>
                  <w:r>
                    <w:rPr>
                      <w:sz w:val="18"/>
                      <w:szCs w:val="18"/>
                    </w:rPr>
                    <w:t>0.08</w:t>
                  </w:r>
                </w:p>
              </w:tc>
              <w:tc>
                <w:tcPr>
                  <w:tcW w:w="374" w:type="pct"/>
                  <w:vMerge w:val="restart"/>
                  <w:vAlign w:val="center"/>
                </w:tcPr>
                <w:p>
                  <w:pPr>
                    <w:widowControl/>
                    <w:adjustRightInd w:val="0"/>
                    <w:snapToGrid w:val="0"/>
                    <w:jc w:val="center"/>
                    <w:rPr>
                      <w:sz w:val="18"/>
                      <w:szCs w:val="18"/>
                    </w:rPr>
                  </w:pPr>
                  <w:r>
                    <w:rPr>
                      <w:sz w:val="18"/>
                      <w:szCs w:val="18"/>
                    </w:rPr>
                    <w:t>进入城镇污水处理厂</w:t>
                  </w:r>
                </w:p>
              </w:tc>
              <w:tc>
                <w:tcPr>
                  <w:tcW w:w="711" w:type="pct"/>
                  <w:vMerge w:val="restart"/>
                  <w:vAlign w:val="center"/>
                </w:tcPr>
                <w:p>
                  <w:pPr>
                    <w:widowControl/>
                    <w:adjustRightInd w:val="0"/>
                    <w:snapToGrid w:val="0"/>
                    <w:jc w:val="center"/>
                    <w:rPr>
                      <w:sz w:val="18"/>
                      <w:szCs w:val="18"/>
                    </w:rPr>
                  </w:pPr>
                  <w:r>
                    <w:rPr>
                      <w:sz w:val="18"/>
                      <w:szCs w:val="18"/>
                    </w:rPr>
                    <w:t>间断排放，排放期间流量不稳定且无规律，但不属于冲击型排放</w:t>
                  </w:r>
                </w:p>
              </w:tc>
              <w:tc>
                <w:tcPr>
                  <w:tcW w:w="388" w:type="pct"/>
                  <w:vMerge w:val="restart"/>
                  <w:vAlign w:val="center"/>
                </w:tcPr>
                <w:p>
                  <w:pPr>
                    <w:widowControl/>
                    <w:adjustRightInd w:val="0"/>
                    <w:snapToGrid w:val="0"/>
                    <w:jc w:val="center"/>
                    <w:rPr>
                      <w:sz w:val="18"/>
                      <w:szCs w:val="18"/>
                    </w:rPr>
                  </w:pPr>
                  <w:r>
                    <w:rPr>
                      <w:sz w:val="18"/>
                      <w:szCs w:val="18"/>
                    </w:rPr>
                    <w:t>无固定时段</w:t>
                  </w:r>
                </w:p>
              </w:tc>
              <w:tc>
                <w:tcPr>
                  <w:tcW w:w="418" w:type="pct"/>
                  <w:vMerge w:val="restart"/>
                  <w:vAlign w:val="center"/>
                </w:tcPr>
                <w:p>
                  <w:pPr>
                    <w:widowControl/>
                    <w:adjustRightInd w:val="0"/>
                    <w:snapToGrid w:val="0"/>
                    <w:jc w:val="center"/>
                    <w:rPr>
                      <w:sz w:val="18"/>
                      <w:szCs w:val="18"/>
                    </w:rPr>
                  </w:pPr>
                  <w:r>
                    <w:rPr>
                      <w:sz w:val="18"/>
                      <w:szCs w:val="18"/>
                    </w:rPr>
                    <w:t>杨侨镇生活污水处理厂</w:t>
                  </w:r>
                </w:p>
              </w:tc>
              <w:tc>
                <w:tcPr>
                  <w:tcW w:w="439" w:type="pct"/>
                  <w:vAlign w:val="center"/>
                </w:tcPr>
                <w:p>
                  <w:pPr>
                    <w:widowControl/>
                    <w:adjustRightInd w:val="0"/>
                    <w:snapToGrid w:val="0"/>
                    <w:jc w:val="center"/>
                    <w:rPr>
                      <w:sz w:val="18"/>
                      <w:szCs w:val="18"/>
                    </w:rPr>
                  </w:pPr>
                  <w:r>
                    <w:rPr>
                      <w:sz w:val="18"/>
                      <w:szCs w:val="18"/>
                    </w:rPr>
                    <w:t>SS</w:t>
                  </w:r>
                </w:p>
              </w:tc>
              <w:tc>
                <w:tcPr>
                  <w:tcW w:w="709" w:type="pct"/>
                  <w:vAlign w:val="center"/>
                </w:tcPr>
                <w:p>
                  <w:pPr>
                    <w:widowControl/>
                    <w:adjustRightInd w:val="0"/>
                    <w:snapToGrid w:val="0"/>
                    <w:jc w:val="center"/>
                    <w:rPr>
                      <w:sz w:val="18"/>
                      <w:szCs w:val="18"/>
                    </w:rPr>
                  </w:pPr>
                  <w:r>
                    <w:rPr>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BOD</w:t>
                  </w:r>
                  <w:r>
                    <w:rPr>
                      <w:sz w:val="18"/>
                      <w:szCs w:val="18"/>
                      <w:vertAlign w:val="subscript"/>
                    </w:rPr>
                    <w:t>5</w:t>
                  </w:r>
                </w:p>
              </w:tc>
              <w:tc>
                <w:tcPr>
                  <w:tcW w:w="709" w:type="pct"/>
                  <w:vAlign w:val="center"/>
                </w:tcPr>
                <w:p>
                  <w:pPr>
                    <w:widowControl/>
                    <w:adjustRightInd w:val="0"/>
                    <w:snapToGrid w:val="0"/>
                    <w:jc w:val="center"/>
                    <w:rPr>
                      <w:sz w:val="18"/>
                      <w:szCs w:val="18"/>
                    </w:rPr>
                  </w:pPr>
                  <w:r>
                    <w:rPr>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COD</w:t>
                  </w:r>
                  <w:r>
                    <w:rPr>
                      <w:sz w:val="18"/>
                      <w:szCs w:val="18"/>
                      <w:vertAlign w:val="subscript"/>
                    </w:rPr>
                    <w:t>Cr</w:t>
                  </w:r>
                </w:p>
              </w:tc>
              <w:tc>
                <w:tcPr>
                  <w:tcW w:w="709" w:type="pct"/>
                  <w:vAlign w:val="center"/>
                </w:tcPr>
                <w:p>
                  <w:pPr>
                    <w:widowControl/>
                    <w:adjustRightInd w:val="0"/>
                    <w:snapToGrid w:val="0"/>
                    <w:jc w:val="center"/>
                    <w:rPr>
                      <w:sz w:val="18"/>
                      <w:szCs w:val="18"/>
                    </w:rPr>
                  </w:pPr>
                  <w:r>
                    <w:rPr>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TN</w:t>
                  </w:r>
                </w:p>
              </w:tc>
              <w:tc>
                <w:tcPr>
                  <w:tcW w:w="709" w:type="pct"/>
                  <w:vAlign w:val="center"/>
                </w:tcPr>
                <w:p>
                  <w:pPr>
                    <w:widowControl/>
                    <w:adjustRightInd w:val="0"/>
                    <w:snapToGrid w:val="0"/>
                    <w:jc w:val="center"/>
                    <w:rPr>
                      <w:sz w:val="18"/>
                      <w:szCs w:val="18"/>
                    </w:rPr>
                  </w:pPr>
                  <w:r>
                    <w:rPr>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TP</w:t>
                  </w:r>
                </w:p>
              </w:tc>
              <w:tc>
                <w:tcPr>
                  <w:tcW w:w="709" w:type="pct"/>
                  <w:vAlign w:val="center"/>
                </w:tcPr>
                <w:p>
                  <w:pPr>
                    <w:widowControl/>
                    <w:adjustRightInd w:val="0"/>
                    <w:snapToGrid w:val="0"/>
                    <w:jc w:val="center"/>
                    <w:rPr>
                      <w:sz w:val="18"/>
                      <w:szCs w:val="18"/>
                    </w:rPr>
                  </w:pPr>
                  <w:r>
                    <w:rPr>
                      <w:sz w:val="18"/>
                      <w:szCs w:val="18"/>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氨氮</w:t>
                  </w:r>
                </w:p>
              </w:tc>
              <w:tc>
                <w:tcPr>
                  <w:tcW w:w="709" w:type="pct"/>
                  <w:vAlign w:val="center"/>
                </w:tcPr>
                <w:p>
                  <w:pPr>
                    <w:widowControl/>
                    <w:adjustRightInd w:val="0"/>
                    <w:snapToGrid w:val="0"/>
                    <w:jc w:val="center"/>
                    <w:rPr>
                      <w:sz w:val="18"/>
                      <w:szCs w:val="18"/>
                    </w:rPr>
                  </w:pPr>
                  <w:r>
                    <w:rPr>
                      <w:sz w:val="18"/>
                      <w:szCs w:val="18"/>
                    </w:rPr>
                    <w:t>2.0</w:t>
                  </w:r>
                </w:p>
              </w:tc>
            </w:tr>
          </w:tbl>
          <w:p>
            <w:pPr>
              <w:autoSpaceDE w:val="0"/>
              <w:autoSpaceDN w:val="0"/>
              <w:adjustRightInd w:val="0"/>
              <w:spacing w:line="360" w:lineRule="auto"/>
              <w:ind w:firstLine="422" w:firstLineChars="200"/>
              <w:jc w:val="left"/>
              <w:textAlignment w:val="baseline"/>
              <w:rPr>
                <w:b/>
                <w:szCs w:val="21"/>
              </w:rPr>
            </w:pPr>
            <w:r>
              <w:rPr>
                <w:b/>
                <w:szCs w:val="21"/>
              </w:rPr>
              <w:t>（3）监测</w:t>
            </w:r>
            <w:r>
              <w:rPr>
                <w:rFonts w:hint="eastAsia"/>
                <w:b/>
                <w:szCs w:val="21"/>
              </w:rPr>
              <w:t>要求</w:t>
            </w:r>
          </w:p>
          <w:p>
            <w:pPr>
              <w:snapToGrid w:val="0"/>
              <w:spacing w:line="360" w:lineRule="auto"/>
              <w:ind w:firstLine="420" w:firstLineChars="200"/>
              <w:rPr>
                <w:szCs w:val="21"/>
              </w:rPr>
            </w:pPr>
            <w:r>
              <w:rPr>
                <w:bCs/>
              </w:rPr>
              <w:t>根据《排污许可证申请与核发技术规范 橡胶和塑料制品工业》（HJ1122-2020）</w:t>
            </w:r>
            <w:r>
              <w:rPr>
                <w:bCs/>
                <w:szCs w:val="21"/>
                <w:lang w:bidi="ar"/>
              </w:rPr>
              <w:t>4.4.3.3，单独排入公共污水处理系统的生活污水无需开展自行监测。</w:t>
            </w:r>
          </w:p>
          <w:p>
            <w:pPr>
              <w:autoSpaceDE w:val="0"/>
              <w:autoSpaceDN w:val="0"/>
              <w:adjustRightInd w:val="0"/>
              <w:spacing w:line="360" w:lineRule="auto"/>
              <w:ind w:firstLine="422" w:firstLineChars="200"/>
              <w:jc w:val="left"/>
              <w:textAlignment w:val="baseline"/>
              <w:rPr>
                <w:b/>
                <w:szCs w:val="21"/>
              </w:rPr>
            </w:pPr>
            <w:r>
              <w:rPr>
                <w:b/>
                <w:szCs w:val="21"/>
              </w:rPr>
              <w:t>（4）</w:t>
            </w:r>
            <w:r>
              <w:rPr>
                <w:rFonts w:hint="eastAsia"/>
                <w:b/>
                <w:szCs w:val="21"/>
              </w:rPr>
              <w:t>废水污染防治措施可行性分析</w:t>
            </w:r>
            <w:r>
              <w:rPr>
                <w:b/>
                <w:szCs w:val="21"/>
              </w:rPr>
              <w:t>析</w:t>
            </w:r>
          </w:p>
          <w:p>
            <w:pPr>
              <w:widowControl/>
              <w:adjustRightInd w:val="0"/>
              <w:snapToGrid w:val="0"/>
              <w:spacing w:line="360" w:lineRule="auto"/>
              <w:ind w:firstLine="420" w:firstLineChars="200"/>
              <w:rPr>
                <w:szCs w:val="21"/>
              </w:rPr>
            </w:pPr>
            <w:r>
              <w:rPr>
                <w:szCs w:val="21"/>
              </w:rPr>
              <w:t>项目生活污水来自厂区日常运行，属于典型的城市生活用水，主要污染物成分为SS、BOD</w:t>
            </w:r>
            <w:r>
              <w:rPr>
                <w:szCs w:val="21"/>
                <w:vertAlign w:val="subscript"/>
              </w:rPr>
              <w:t>5</w:t>
            </w:r>
            <w:r>
              <w:rPr>
                <w:szCs w:val="21"/>
              </w:rPr>
              <w:t>、COD</w:t>
            </w:r>
            <w:r>
              <w:rPr>
                <w:szCs w:val="21"/>
                <w:vertAlign w:val="subscript"/>
              </w:rPr>
              <w:t>Cr</w:t>
            </w:r>
            <w:r>
              <w:rPr>
                <w:szCs w:val="21"/>
              </w:rPr>
              <w:t>、氨氮、总氮、总磷等，参考惠州市其他类似污水的处理效果，普通生活污水经常规三级化粪池预处理后出水水质能满足</w:t>
            </w:r>
            <w:r>
              <w:rPr>
                <w:bCs/>
                <w:szCs w:val="21"/>
              </w:rPr>
              <w:t>杨侨镇生活污水处理厂</w:t>
            </w:r>
            <w:r>
              <w:rPr>
                <w:szCs w:val="21"/>
              </w:rPr>
              <w:t>的接管要求。</w:t>
            </w:r>
          </w:p>
          <w:p>
            <w:pPr>
              <w:snapToGrid w:val="0"/>
              <w:spacing w:line="360" w:lineRule="auto"/>
              <w:ind w:firstLine="420" w:firstLineChars="200"/>
              <w:rPr>
                <w:spacing w:val="-1"/>
                <w:position w:val="-1"/>
                <w:szCs w:val="21"/>
              </w:rPr>
            </w:pPr>
            <w:r>
              <w:rPr>
                <w:szCs w:val="21"/>
              </w:rPr>
              <w:t>博罗县杨侨镇生活污水处理厂</w:t>
            </w:r>
            <w:r>
              <w:rPr>
                <w:spacing w:val="-1"/>
                <w:position w:val="-1"/>
                <w:szCs w:val="21"/>
              </w:rPr>
              <w:t>选址于博罗县杨侨镇石岗岭办事处东风队，于2017年建设，</w:t>
            </w:r>
            <w:r>
              <w:rPr>
                <w:szCs w:val="21"/>
              </w:rPr>
              <w:t>博罗县杨侨镇生活污水处理厂</w:t>
            </w:r>
            <w:r>
              <w:rPr>
                <w:spacing w:val="-1"/>
                <w:position w:val="-1"/>
                <w:szCs w:val="21"/>
              </w:rPr>
              <w:t>采用较为先进的污水处理工艺， 其设计规模为1万立方米/日，先期日处理规模达到0.5万立方米/日，纳污范围包括镇城建成区及石岗岭石山队村小组。</w:t>
            </w:r>
            <w:r>
              <w:rPr>
                <w:rFonts w:hint="eastAsia"/>
                <w:spacing w:val="-1"/>
                <w:position w:val="-1"/>
                <w:szCs w:val="21"/>
              </w:rPr>
              <w:t>采用“A2O</w:t>
            </w:r>
            <w:r>
              <w:rPr>
                <w:spacing w:val="-1"/>
                <w:position w:val="-1"/>
                <w:szCs w:val="21"/>
              </w:rPr>
              <w:t>+</w:t>
            </w:r>
            <w:r>
              <w:rPr>
                <w:rFonts w:hint="eastAsia"/>
                <w:spacing w:val="-1"/>
                <w:position w:val="-1"/>
                <w:szCs w:val="21"/>
              </w:rPr>
              <w:t>人工</w:t>
            </w:r>
            <w:r>
              <w:rPr>
                <w:spacing w:val="-1"/>
                <w:position w:val="-1"/>
                <w:szCs w:val="21"/>
              </w:rPr>
              <w:t>湿地</w:t>
            </w:r>
            <w:r>
              <w:rPr>
                <w:rFonts w:hint="eastAsia"/>
                <w:spacing w:val="-1"/>
                <w:position w:val="-1"/>
                <w:szCs w:val="21"/>
              </w:rPr>
              <w:t>”处理</w:t>
            </w:r>
            <w:r>
              <w:rPr>
                <w:spacing w:val="-1"/>
                <w:position w:val="-1"/>
                <w:szCs w:val="21"/>
              </w:rPr>
              <w:t>工艺，经处理</w:t>
            </w:r>
            <w:r>
              <w:rPr>
                <w:rFonts w:hint="eastAsia"/>
                <w:spacing w:val="-1"/>
                <w:position w:val="-1"/>
                <w:szCs w:val="21"/>
              </w:rPr>
              <w:t>后尾水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标准与广东省《水污染物排放限值》第二时段一级</w:t>
            </w:r>
            <w:r>
              <w:rPr>
                <w:szCs w:val="21"/>
              </w:rPr>
              <w:t>标准中的</w:t>
            </w:r>
            <w:r>
              <w:rPr>
                <w:rFonts w:hint="eastAsia"/>
                <w:szCs w:val="21"/>
              </w:rPr>
              <w:t>较严值，</w:t>
            </w:r>
            <w:r>
              <w:rPr>
                <w:rFonts w:hint="eastAsia"/>
                <w:spacing w:val="-1"/>
                <w:position w:val="-1"/>
                <w:szCs w:val="21"/>
              </w:rPr>
              <w:t>尾水</w:t>
            </w:r>
            <w:r>
              <w:rPr>
                <w:spacing w:val="-1"/>
                <w:position w:val="-1"/>
                <w:szCs w:val="21"/>
              </w:rPr>
              <w:t>排入南蛇沥</w:t>
            </w:r>
            <w:r>
              <w:rPr>
                <w:rFonts w:hint="eastAsia"/>
                <w:spacing w:val="-1"/>
                <w:position w:val="-1"/>
                <w:szCs w:val="21"/>
              </w:rPr>
              <w:t>排渠</w:t>
            </w:r>
            <w:r>
              <w:rPr>
                <w:spacing w:val="-1"/>
                <w:position w:val="-1"/>
                <w:szCs w:val="21"/>
              </w:rPr>
              <w:t>，</w:t>
            </w:r>
            <w:r>
              <w:rPr>
                <w:rFonts w:hint="eastAsia"/>
                <w:spacing w:val="-1"/>
                <w:position w:val="-1"/>
                <w:szCs w:val="21"/>
              </w:rPr>
              <w:t>然后</w:t>
            </w:r>
            <w:r>
              <w:rPr>
                <w:spacing w:val="-1"/>
                <w:position w:val="-1"/>
                <w:szCs w:val="21"/>
              </w:rPr>
              <w:t>汇入公庄河。</w:t>
            </w:r>
          </w:p>
          <w:p>
            <w:pPr>
              <w:pStyle w:val="79"/>
              <w:adjustRightInd w:val="0"/>
              <w:snapToGrid w:val="0"/>
              <w:spacing w:line="360" w:lineRule="auto"/>
              <w:ind w:firstLine="420"/>
              <w:rPr>
                <w:bCs/>
                <w:kern w:val="2"/>
                <w:sz w:val="21"/>
                <w:szCs w:val="21"/>
              </w:rPr>
            </w:pPr>
            <w:r>
              <w:rPr>
                <w:bCs/>
                <w:kern w:val="2"/>
                <w:sz w:val="21"/>
                <w:szCs w:val="21"/>
              </w:rPr>
              <w:t>项目所在区域属于</w:t>
            </w:r>
            <w:r>
              <w:rPr>
                <w:bCs/>
                <w:sz w:val="21"/>
                <w:szCs w:val="21"/>
              </w:rPr>
              <w:t>杨侨镇生活污水处理厂</w:t>
            </w:r>
            <w:r>
              <w:rPr>
                <w:bCs/>
                <w:kern w:val="2"/>
                <w:sz w:val="21"/>
                <w:szCs w:val="21"/>
              </w:rPr>
              <w:t>纳污范围，并已完成与</w:t>
            </w:r>
            <w:r>
              <w:rPr>
                <w:bCs/>
                <w:sz w:val="21"/>
                <w:szCs w:val="21"/>
              </w:rPr>
              <w:t>杨侨镇生活污水处理厂</w:t>
            </w:r>
            <w:r>
              <w:rPr>
                <w:bCs/>
                <w:kern w:val="2"/>
                <w:sz w:val="21"/>
                <w:szCs w:val="21"/>
              </w:rPr>
              <w:t>纳污管网接驳工作。项目生活污水排放量为2.67t/d，</w:t>
            </w:r>
            <w:r>
              <w:rPr>
                <w:bCs/>
                <w:sz w:val="21"/>
                <w:szCs w:val="21"/>
              </w:rPr>
              <w:t>杨侨镇生活污水处理厂</w:t>
            </w:r>
            <w:r>
              <w:rPr>
                <w:rFonts w:hint="eastAsia"/>
                <w:bCs/>
                <w:sz w:val="21"/>
                <w:szCs w:val="21"/>
              </w:rPr>
              <w:t>总</w:t>
            </w:r>
            <w:r>
              <w:rPr>
                <w:bCs/>
                <w:kern w:val="2"/>
                <w:sz w:val="21"/>
                <w:szCs w:val="21"/>
              </w:rPr>
              <w:t>日处理污水量为5000吨，</w:t>
            </w:r>
            <w:r>
              <w:rPr>
                <w:rFonts w:hint="eastAsia"/>
                <w:bCs/>
                <w:kern w:val="2"/>
                <w:sz w:val="21"/>
                <w:szCs w:val="21"/>
              </w:rPr>
              <w:t>剩余处理量</w:t>
            </w:r>
            <w:r>
              <w:rPr>
                <w:bCs/>
                <w:kern w:val="2"/>
                <w:sz w:val="21"/>
                <w:szCs w:val="21"/>
              </w:rPr>
              <w:t>约1</w:t>
            </w:r>
            <w:r>
              <w:rPr>
                <w:rFonts w:hint="eastAsia"/>
                <w:bCs/>
                <w:kern w:val="2"/>
                <w:sz w:val="21"/>
                <w:szCs w:val="21"/>
              </w:rPr>
              <w:t>000</w:t>
            </w:r>
            <w:r>
              <w:rPr>
                <w:bCs/>
                <w:kern w:val="2"/>
                <w:sz w:val="21"/>
                <w:szCs w:val="21"/>
              </w:rPr>
              <w:t>吨，则项目污水排放量占其剩余处理量的0.27%，说明项目生活污水经预处理后通过市政污水管网排入</w:t>
            </w:r>
            <w:r>
              <w:rPr>
                <w:bCs/>
                <w:sz w:val="21"/>
                <w:szCs w:val="21"/>
              </w:rPr>
              <w:t>杨侨镇生活污水处理厂</w:t>
            </w:r>
            <w:r>
              <w:rPr>
                <w:bCs/>
                <w:kern w:val="2"/>
                <w:sz w:val="21"/>
                <w:szCs w:val="21"/>
              </w:rPr>
              <w:t>的方案是可行的。</w:t>
            </w:r>
          </w:p>
          <w:p>
            <w:pPr>
              <w:pStyle w:val="79"/>
              <w:adjustRightInd w:val="0"/>
              <w:snapToGrid w:val="0"/>
              <w:spacing w:line="360" w:lineRule="auto"/>
              <w:ind w:firstLine="420"/>
              <w:rPr>
                <w:bCs/>
                <w:kern w:val="2"/>
                <w:sz w:val="21"/>
                <w:szCs w:val="21"/>
              </w:rPr>
            </w:pPr>
            <w:r>
              <w:rPr>
                <w:rFonts w:hint="eastAsia"/>
                <w:bCs/>
                <w:kern w:val="2"/>
                <w:sz w:val="21"/>
                <w:szCs w:val="21"/>
              </w:rPr>
              <w:t>综上所述，项目生活污水经化粪池预处理后进入杨侨镇生活污水处理厂处理后集中排放。项目废水的排放满足相应的废水排放要求，对地表水体造成的环境影响不大，其地表水环境影响是可接受的。</w:t>
            </w:r>
          </w:p>
          <w:p>
            <w:pPr>
              <w:snapToGrid w:val="0"/>
              <w:spacing w:line="360" w:lineRule="auto"/>
              <w:ind w:firstLine="422" w:firstLineChars="200"/>
              <w:rPr>
                <w:b/>
                <w:szCs w:val="21"/>
              </w:rPr>
            </w:pPr>
            <w:r>
              <w:rPr>
                <w:rFonts w:hint="eastAsia"/>
                <w:b/>
                <w:szCs w:val="21"/>
              </w:rPr>
              <w:t>3</w:t>
            </w:r>
            <w:r>
              <w:rPr>
                <w:b/>
                <w:szCs w:val="21"/>
              </w:rPr>
              <w:t>、噪声</w:t>
            </w:r>
          </w:p>
          <w:p>
            <w:pPr>
              <w:spacing w:line="360" w:lineRule="auto"/>
              <w:ind w:firstLine="422" w:firstLineChars="200"/>
              <w:rPr>
                <w:b/>
                <w:bCs/>
                <w:szCs w:val="21"/>
              </w:rPr>
            </w:pPr>
            <w:r>
              <w:rPr>
                <w:rFonts w:hint="eastAsia"/>
                <w:b/>
                <w:bCs/>
                <w:szCs w:val="21"/>
              </w:rPr>
              <w:t>（1）</w:t>
            </w:r>
            <w:r>
              <w:rPr>
                <w:b/>
                <w:bCs/>
                <w:szCs w:val="21"/>
              </w:rPr>
              <w:t>源强分析</w:t>
            </w:r>
          </w:p>
          <w:p>
            <w:pPr>
              <w:spacing w:line="360" w:lineRule="auto"/>
              <w:ind w:firstLine="420" w:firstLineChars="200"/>
              <w:rPr>
                <w:bCs/>
                <w:szCs w:val="21"/>
              </w:rPr>
            </w:pPr>
            <w:r>
              <w:rPr>
                <w:szCs w:val="21"/>
              </w:rPr>
              <w:t>项目噪声主要由生产设备作业运转时产生，</w:t>
            </w:r>
            <w:r>
              <w:rPr>
                <w:kern w:val="0"/>
                <w:szCs w:val="21"/>
              </w:rPr>
              <w:t>生产设备</w:t>
            </w:r>
            <w:r>
              <w:rPr>
                <w:bCs/>
                <w:szCs w:val="21"/>
              </w:rPr>
              <w:t>采取减噪、隔声措施后源强一般降低10-30dB（A）以上，本项目预测降噪值取值为20dB（A），噪声源强见下表：</w:t>
            </w:r>
          </w:p>
          <w:p>
            <w:pPr>
              <w:numPr>
                <w:ilvl w:val="0"/>
                <w:numId w:val="2"/>
              </w:numPr>
              <w:adjustRightInd w:val="0"/>
              <w:snapToGrid w:val="0"/>
              <w:spacing w:line="360" w:lineRule="auto"/>
              <w:ind w:left="0"/>
              <w:jc w:val="center"/>
              <w:rPr>
                <w:bCs/>
                <w:szCs w:val="21"/>
              </w:rPr>
            </w:pPr>
            <w:r>
              <w:rPr>
                <w:b/>
                <w:szCs w:val="21"/>
              </w:rPr>
              <w:t>项目</w:t>
            </w:r>
            <w:r>
              <w:rPr>
                <w:b/>
                <w:kern w:val="0"/>
                <w:szCs w:val="21"/>
              </w:rPr>
              <w:t>主要噪声源强一览表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531"/>
              <w:gridCol w:w="851"/>
              <w:gridCol w:w="1286"/>
              <w:gridCol w:w="1383"/>
              <w:gridCol w:w="966"/>
              <w:gridCol w:w="116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9" w:type="pct"/>
                  <w:vAlign w:val="center"/>
                </w:tcPr>
                <w:p>
                  <w:pPr>
                    <w:adjustRightInd w:val="0"/>
                    <w:snapToGrid w:val="0"/>
                    <w:jc w:val="center"/>
                    <w:rPr>
                      <w:b/>
                      <w:bCs/>
                      <w:kern w:val="0"/>
                      <w:szCs w:val="21"/>
                    </w:rPr>
                  </w:pPr>
                  <w:r>
                    <w:rPr>
                      <w:b/>
                      <w:bCs/>
                      <w:kern w:val="0"/>
                      <w:szCs w:val="21"/>
                    </w:rPr>
                    <w:t>序号</w:t>
                  </w:r>
                </w:p>
              </w:tc>
              <w:tc>
                <w:tcPr>
                  <w:tcW w:w="910" w:type="pct"/>
                  <w:vAlign w:val="center"/>
                </w:tcPr>
                <w:p>
                  <w:pPr>
                    <w:adjustRightInd w:val="0"/>
                    <w:snapToGrid w:val="0"/>
                    <w:jc w:val="center"/>
                  </w:pPr>
                  <w:r>
                    <w:rPr>
                      <w:b/>
                      <w:bCs/>
                      <w:kern w:val="0"/>
                      <w:szCs w:val="21"/>
                    </w:rPr>
                    <w:t>生产设施名称</w:t>
                  </w:r>
                </w:p>
              </w:tc>
              <w:tc>
                <w:tcPr>
                  <w:tcW w:w="506" w:type="pct"/>
                  <w:vAlign w:val="center"/>
                </w:tcPr>
                <w:p>
                  <w:pPr>
                    <w:jc w:val="center"/>
                  </w:pPr>
                  <w:r>
                    <w:rPr>
                      <w:b/>
                      <w:szCs w:val="21"/>
                    </w:rPr>
                    <w:t>数量</w:t>
                  </w:r>
                </w:p>
              </w:tc>
              <w:tc>
                <w:tcPr>
                  <w:tcW w:w="764" w:type="pct"/>
                  <w:vAlign w:val="center"/>
                </w:tcPr>
                <w:p>
                  <w:pPr>
                    <w:jc w:val="center"/>
                    <w:rPr>
                      <w:b/>
                      <w:bCs/>
                      <w:szCs w:val="21"/>
                    </w:rPr>
                  </w:pPr>
                  <w:r>
                    <w:rPr>
                      <w:b/>
                      <w:bCs/>
                      <w:kern w:val="0"/>
                      <w:szCs w:val="21"/>
                    </w:rPr>
                    <w:t>单台设备噪声级别（1m处）</w:t>
                  </w:r>
                  <w:r>
                    <w:rPr>
                      <w:b/>
                      <w:bCs/>
                    </w:rPr>
                    <w:t>dB（A）</w:t>
                  </w:r>
                </w:p>
              </w:tc>
              <w:tc>
                <w:tcPr>
                  <w:tcW w:w="822" w:type="pct"/>
                  <w:vAlign w:val="center"/>
                </w:tcPr>
                <w:p>
                  <w:pPr>
                    <w:jc w:val="center"/>
                    <w:rPr>
                      <w:b/>
                      <w:bCs/>
                      <w:szCs w:val="21"/>
                    </w:rPr>
                  </w:pPr>
                  <w:r>
                    <w:rPr>
                      <w:b/>
                      <w:bCs/>
                    </w:rPr>
                    <w:t>叠加设备噪声级dB（A）</w:t>
                  </w:r>
                </w:p>
              </w:tc>
              <w:tc>
                <w:tcPr>
                  <w:tcW w:w="574" w:type="pct"/>
                  <w:vAlign w:val="center"/>
                </w:tcPr>
                <w:p>
                  <w:pPr>
                    <w:jc w:val="center"/>
                    <w:rPr>
                      <w:b/>
                      <w:bCs/>
                      <w:szCs w:val="21"/>
                    </w:rPr>
                  </w:pPr>
                  <w:r>
                    <w:rPr>
                      <w:b/>
                      <w:bCs/>
                      <w:szCs w:val="21"/>
                    </w:rPr>
                    <w:t>降噪</w:t>
                  </w:r>
                </w:p>
                <w:p>
                  <w:pPr>
                    <w:jc w:val="center"/>
                    <w:rPr>
                      <w:b/>
                      <w:bCs/>
                      <w:szCs w:val="21"/>
                    </w:rPr>
                  </w:pPr>
                  <w:r>
                    <w:rPr>
                      <w:b/>
                      <w:bCs/>
                      <w:szCs w:val="21"/>
                    </w:rPr>
                    <w:t>措施</w:t>
                  </w:r>
                </w:p>
              </w:tc>
              <w:tc>
                <w:tcPr>
                  <w:tcW w:w="691" w:type="pct"/>
                  <w:vAlign w:val="center"/>
                </w:tcPr>
                <w:p>
                  <w:pPr>
                    <w:jc w:val="center"/>
                    <w:rPr>
                      <w:b/>
                      <w:bCs/>
                      <w:szCs w:val="21"/>
                    </w:rPr>
                  </w:pPr>
                  <w:r>
                    <w:rPr>
                      <w:b/>
                      <w:bCs/>
                      <w:szCs w:val="21"/>
                    </w:rPr>
                    <w:t>采取措施后设备噪声源强</w:t>
                  </w:r>
                  <w:r>
                    <w:rPr>
                      <w:b/>
                      <w:bCs/>
                    </w:rPr>
                    <w:t>dB（A）</w:t>
                  </w:r>
                </w:p>
              </w:tc>
              <w:tc>
                <w:tcPr>
                  <w:tcW w:w="464" w:type="pct"/>
                  <w:vAlign w:val="center"/>
                </w:tcPr>
                <w:p>
                  <w:pPr>
                    <w:jc w:val="center"/>
                    <w:rPr>
                      <w:b/>
                      <w:szCs w:val="21"/>
                    </w:rPr>
                  </w:pPr>
                  <w:r>
                    <w:rPr>
                      <w:rFonts w:hint="eastAsia"/>
                      <w:b/>
                      <w:szCs w:val="21"/>
                    </w:rPr>
                    <w:t>工作</w:t>
                  </w:r>
                  <w:r>
                    <w:rPr>
                      <w:b/>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szCs w:val="21"/>
                    </w:rPr>
                    <w:t>1</w:t>
                  </w:r>
                </w:p>
              </w:tc>
              <w:tc>
                <w:tcPr>
                  <w:tcW w:w="910" w:type="pct"/>
                  <w:vAlign w:val="center"/>
                </w:tcPr>
                <w:p>
                  <w:pPr>
                    <w:adjustRightInd w:val="0"/>
                    <w:snapToGrid w:val="0"/>
                    <w:jc w:val="center"/>
                    <w:rPr>
                      <w:bCs/>
                      <w:szCs w:val="21"/>
                    </w:rPr>
                  </w:pPr>
                  <w:r>
                    <w:rPr>
                      <w:rFonts w:hint="eastAsia"/>
                      <w:bCs/>
                      <w:szCs w:val="21"/>
                    </w:rPr>
                    <w:t>气压覆膜机</w:t>
                  </w:r>
                </w:p>
              </w:tc>
              <w:tc>
                <w:tcPr>
                  <w:tcW w:w="506" w:type="pct"/>
                  <w:vAlign w:val="center"/>
                </w:tcPr>
                <w:p>
                  <w:pPr>
                    <w:adjustRightInd w:val="0"/>
                    <w:snapToGrid w:val="0"/>
                    <w:jc w:val="center"/>
                    <w:rPr>
                      <w:szCs w:val="21"/>
                    </w:rPr>
                  </w:pPr>
                  <w:r>
                    <w:rPr>
                      <w:rFonts w:hint="eastAsia"/>
                      <w:szCs w:val="21"/>
                    </w:rPr>
                    <w:t>1台</w:t>
                  </w:r>
                </w:p>
              </w:tc>
              <w:tc>
                <w:tcPr>
                  <w:tcW w:w="764" w:type="pct"/>
                  <w:vAlign w:val="center"/>
                </w:tcPr>
                <w:p>
                  <w:pPr>
                    <w:jc w:val="center"/>
                    <w:rPr>
                      <w:szCs w:val="21"/>
                    </w:rPr>
                  </w:pPr>
                  <w:r>
                    <w:rPr>
                      <w:szCs w:val="21"/>
                    </w:rPr>
                    <w:t>65</w:t>
                  </w:r>
                </w:p>
              </w:tc>
              <w:tc>
                <w:tcPr>
                  <w:tcW w:w="822" w:type="pct"/>
                  <w:vAlign w:val="center"/>
                </w:tcPr>
                <w:p>
                  <w:pPr>
                    <w:widowControl/>
                    <w:jc w:val="center"/>
                    <w:rPr>
                      <w:kern w:val="0"/>
                      <w:szCs w:val="21"/>
                    </w:rPr>
                  </w:pPr>
                  <w:r>
                    <w:rPr>
                      <w:szCs w:val="21"/>
                    </w:rPr>
                    <w:t xml:space="preserve">65.00 </w:t>
                  </w:r>
                </w:p>
              </w:tc>
              <w:tc>
                <w:tcPr>
                  <w:tcW w:w="574" w:type="pct"/>
                  <w:vMerge w:val="restart"/>
                  <w:vAlign w:val="center"/>
                </w:tcPr>
                <w:p>
                  <w:pPr>
                    <w:widowControl/>
                    <w:jc w:val="center"/>
                    <w:rPr>
                      <w:szCs w:val="21"/>
                    </w:rPr>
                  </w:pPr>
                  <w:r>
                    <w:t>选用低噪声设备、合理布局、隔声减振，削减量20dB（A）</w:t>
                  </w:r>
                </w:p>
              </w:tc>
              <w:tc>
                <w:tcPr>
                  <w:tcW w:w="691" w:type="pct"/>
                  <w:vAlign w:val="center"/>
                </w:tcPr>
                <w:p>
                  <w:pPr>
                    <w:widowControl/>
                    <w:jc w:val="center"/>
                    <w:rPr>
                      <w:kern w:val="0"/>
                      <w:szCs w:val="21"/>
                    </w:rPr>
                  </w:pPr>
                  <w:r>
                    <w:rPr>
                      <w:szCs w:val="21"/>
                    </w:rPr>
                    <w:t xml:space="preserve">45.00 </w:t>
                  </w:r>
                </w:p>
              </w:tc>
              <w:tc>
                <w:tcPr>
                  <w:tcW w:w="464" w:type="pct"/>
                  <w:vMerge w:val="restart"/>
                  <w:vAlign w:val="center"/>
                </w:tcPr>
                <w:p>
                  <w:pPr>
                    <w:widowControl/>
                    <w:jc w:val="center"/>
                    <w:rPr>
                      <w:szCs w:val="21"/>
                    </w:rPr>
                  </w:pPr>
                  <w:r>
                    <w:rPr>
                      <w:rFonts w:hint="eastAsia"/>
                      <w:szCs w:val="21"/>
                    </w:rPr>
                    <w:t>昼间8h/d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szCs w:val="21"/>
                    </w:rPr>
                    <w:t>2</w:t>
                  </w:r>
                </w:p>
              </w:tc>
              <w:tc>
                <w:tcPr>
                  <w:tcW w:w="910" w:type="pct"/>
                  <w:vAlign w:val="center"/>
                </w:tcPr>
                <w:p>
                  <w:pPr>
                    <w:adjustRightInd w:val="0"/>
                    <w:snapToGrid w:val="0"/>
                    <w:jc w:val="center"/>
                    <w:rPr>
                      <w:bCs/>
                      <w:szCs w:val="21"/>
                    </w:rPr>
                  </w:pPr>
                  <w:r>
                    <w:rPr>
                      <w:rFonts w:hint="eastAsia"/>
                      <w:bCs/>
                      <w:szCs w:val="21"/>
                    </w:rPr>
                    <w:t>独立贴合机</w:t>
                  </w:r>
                </w:p>
              </w:tc>
              <w:tc>
                <w:tcPr>
                  <w:tcW w:w="506" w:type="pct"/>
                  <w:vAlign w:val="center"/>
                </w:tcPr>
                <w:p>
                  <w:pPr>
                    <w:adjustRightInd w:val="0"/>
                    <w:snapToGrid w:val="0"/>
                    <w:jc w:val="center"/>
                    <w:rPr>
                      <w:szCs w:val="21"/>
                    </w:rPr>
                  </w:pPr>
                  <w:r>
                    <w:rPr>
                      <w:szCs w:val="21"/>
                    </w:rPr>
                    <w:t>5</w:t>
                  </w:r>
                  <w:r>
                    <w:rPr>
                      <w:rFonts w:hint="eastAsia"/>
                      <w:szCs w:val="21"/>
                    </w:rPr>
                    <w:t>台</w:t>
                  </w:r>
                </w:p>
              </w:tc>
              <w:tc>
                <w:tcPr>
                  <w:tcW w:w="764" w:type="pct"/>
                  <w:vAlign w:val="center"/>
                </w:tcPr>
                <w:p>
                  <w:pPr>
                    <w:jc w:val="center"/>
                    <w:rPr>
                      <w:szCs w:val="21"/>
                    </w:rPr>
                  </w:pPr>
                  <w:r>
                    <w:rPr>
                      <w:szCs w:val="21"/>
                    </w:rPr>
                    <w:t>65</w:t>
                  </w:r>
                </w:p>
              </w:tc>
              <w:tc>
                <w:tcPr>
                  <w:tcW w:w="822" w:type="pct"/>
                  <w:vAlign w:val="center"/>
                </w:tcPr>
                <w:p>
                  <w:pPr>
                    <w:jc w:val="center"/>
                    <w:rPr>
                      <w:szCs w:val="21"/>
                    </w:rPr>
                  </w:pPr>
                  <w:r>
                    <w:rPr>
                      <w:szCs w:val="21"/>
                    </w:rPr>
                    <w:t xml:space="preserve">71.99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51.99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szCs w:val="21"/>
                    </w:rPr>
                    <w:t>3</w:t>
                  </w:r>
                </w:p>
              </w:tc>
              <w:tc>
                <w:tcPr>
                  <w:tcW w:w="910" w:type="pct"/>
                  <w:vAlign w:val="center"/>
                </w:tcPr>
                <w:p>
                  <w:pPr>
                    <w:adjustRightInd w:val="0"/>
                    <w:snapToGrid w:val="0"/>
                    <w:jc w:val="center"/>
                    <w:rPr>
                      <w:bCs/>
                      <w:szCs w:val="21"/>
                    </w:rPr>
                  </w:pPr>
                  <w:r>
                    <w:rPr>
                      <w:rFonts w:hint="eastAsia"/>
                      <w:bCs/>
                      <w:szCs w:val="21"/>
                    </w:rPr>
                    <w:t>联合贴合机</w:t>
                  </w:r>
                </w:p>
              </w:tc>
              <w:tc>
                <w:tcPr>
                  <w:tcW w:w="506" w:type="pct"/>
                  <w:vAlign w:val="center"/>
                </w:tcPr>
                <w:p>
                  <w:pPr>
                    <w:adjustRightInd w:val="0"/>
                    <w:snapToGrid w:val="0"/>
                    <w:jc w:val="center"/>
                    <w:rPr>
                      <w:szCs w:val="21"/>
                    </w:rPr>
                  </w:pPr>
                  <w:r>
                    <w:rPr>
                      <w:rFonts w:hint="eastAsia"/>
                      <w:szCs w:val="21"/>
                    </w:rPr>
                    <w:t>4组</w:t>
                  </w:r>
                </w:p>
              </w:tc>
              <w:tc>
                <w:tcPr>
                  <w:tcW w:w="764" w:type="pct"/>
                  <w:vAlign w:val="center"/>
                </w:tcPr>
                <w:p>
                  <w:pPr>
                    <w:jc w:val="center"/>
                    <w:rPr>
                      <w:szCs w:val="21"/>
                    </w:rPr>
                  </w:pPr>
                  <w:r>
                    <w:rPr>
                      <w:szCs w:val="21"/>
                    </w:rPr>
                    <w:t>70</w:t>
                  </w:r>
                </w:p>
              </w:tc>
              <w:tc>
                <w:tcPr>
                  <w:tcW w:w="822" w:type="pct"/>
                  <w:vAlign w:val="center"/>
                </w:tcPr>
                <w:p>
                  <w:pPr>
                    <w:jc w:val="center"/>
                    <w:rPr>
                      <w:szCs w:val="21"/>
                    </w:rPr>
                  </w:pPr>
                  <w:r>
                    <w:rPr>
                      <w:szCs w:val="21"/>
                    </w:rPr>
                    <w:t xml:space="preserve">76.02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56.02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szCs w:val="21"/>
                    </w:rPr>
                    <w:t>4</w:t>
                  </w:r>
                </w:p>
              </w:tc>
              <w:tc>
                <w:tcPr>
                  <w:tcW w:w="910" w:type="pct"/>
                  <w:vAlign w:val="center"/>
                </w:tcPr>
                <w:p>
                  <w:pPr>
                    <w:adjustRightInd w:val="0"/>
                    <w:snapToGrid w:val="0"/>
                    <w:jc w:val="center"/>
                    <w:rPr>
                      <w:bCs/>
                      <w:szCs w:val="21"/>
                    </w:rPr>
                  </w:pPr>
                  <w:r>
                    <w:rPr>
                      <w:rFonts w:hint="eastAsia"/>
                      <w:bCs/>
                      <w:szCs w:val="21"/>
                    </w:rPr>
                    <w:t>覆膜贴合机</w:t>
                  </w:r>
                </w:p>
              </w:tc>
              <w:tc>
                <w:tcPr>
                  <w:tcW w:w="506" w:type="pct"/>
                  <w:vAlign w:val="center"/>
                </w:tcPr>
                <w:p>
                  <w:pPr>
                    <w:adjustRightInd w:val="0"/>
                    <w:snapToGrid w:val="0"/>
                    <w:jc w:val="center"/>
                    <w:rPr>
                      <w:szCs w:val="21"/>
                    </w:rPr>
                  </w:pPr>
                  <w:r>
                    <w:rPr>
                      <w:szCs w:val="21"/>
                    </w:rPr>
                    <w:t>1</w:t>
                  </w:r>
                  <w:r>
                    <w:rPr>
                      <w:rFonts w:hint="eastAsia"/>
                      <w:szCs w:val="21"/>
                    </w:rPr>
                    <w:t>台</w:t>
                  </w:r>
                </w:p>
              </w:tc>
              <w:tc>
                <w:tcPr>
                  <w:tcW w:w="764" w:type="pct"/>
                  <w:vAlign w:val="center"/>
                </w:tcPr>
                <w:p>
                  <w:pPr>
                    <w:jc w:val="center"/>
                    <w:rPr>
                      <w:szCs w:val="21"/>
                    </w:rPr>
                  </w:pPr>
                  <w:r>
                    <w:rPr>
                      <w:szCs w:val="21"/>
                    </w:rPr>
                    <w:t>70</w:t>
                  </w:r>
                </w:p>
              </w:tc>
              <w:tc>
                <w:tcPr>
                  <w:tcW w:w="822" w:type="pct"/>
                  <w:vAlign w:val="center"/>
                </w:tcPr>
                <w:p>
                  <w:pPr>
                    <w:jc w:val="center"/>
                    <w:rPr>
                      <w:szCs w:val="21"/>
                    </w:rPr>
                  </w:pPr>
                  <w:r>
                    <w:rPr>
                      <w:szCs w:val="21"/>
                    </w:rPr>
                    <w:t xml:space="preserve">70.00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50.00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szCs w:val="21"/>
                    </w:rPr>
                    <w:t>5</w:t>
                  </w:r>
                </w:p>
              </w:tc>
              <w:tc>
                <w:tcPr>
                  <w:tcW w:w="910" w:type="pct"/>
                  <w:vAlign w:val="center"/>
                </w:tcPr>
                <w:p>
                  <w:pPr>
                    <w:adjustRightInd w:val="0"/>
                    <w:snapToGrid w:val="0"/>
                    <w:jc w:val="center"/>
                    <w:rPr>
                      <w:bCs/>
                      <w:szCs w:val="21"/>
                    </w:rPr>
                  </w:pPr>
                  <w:r>
                    <w:rPr>
                      <w:rFonts w:hint="eastAsia"/>
                      <w:bCs/>
                      <w:szCs w:val="21"/>
                    </w:rPr>
                    <w:t>上胶贴合机</w:t>
                  </w:r>
                </w:p>
              </w:tc>
              <w:tc>
                <w:tcPr>
                  <w:tcW w:w="506" w:type="pct"/>
                  <w:vAlign w:val="center"/>
                </w:tcPr>
                <w:p>
                  <w:pPr>
                    <w:adjustRightInd w:val="0"/>
                    <w:snapToGrid w:val="0"/>
                    <w:jc w:val="center"/>
                    <w:rPr>
                      <w:szCs w:val="21"/>
                    </w:rPr>
                  </w:pPr>
                  <w:r>
                    <w:rPr>
                      <w:rFonts w:hint="eastAsia"/>
                      <w:szCs w:val="21"/>
                    </w:rPr>
                    <w:t>1台</w:t>
                  </w:r>
                </w:p>
              </w:tc>
              <w:tc>
                <w:tcPr>
                  <w:tcW w:w="764" w:type="pct"/>
                  <w:vAlign w:val="center"/>
                </w:tcPr>
                <w:p>
                  <w:pPr>
                    <w:jc w:val="center"/>
                    <w:rPr>
                      <w:szCs w:val="21"/>
                    </w:rPr>
                  </w:pPr>
                  <w:r>
                    <w:rPr>
                      <w:szCs w:val="21"/>
                    </w:rPr>
                    <w:t>70</w:t>
                  </w:r>
                </w:p>
              </w:tc>
              <w:tc>
                <w:tcPr>
                  <w:tcW w:w="822" w:type="pct"/>
                  <w:vAlign w:val="center"/>
                </w:tcPr>
                <w:p>
                  <w:pPr>
                    <w:jc w:val="center"/>
                    <w:rPr>
                      <w:szCs w:val="21"/>
                    </w:rPr>
                  </w:pPr>
                  <w:r>
                    <w:rPr>
                      <w:szCs w:val="21"/>
                    </w:rPr>
                    <w:t xml:space="preserve">70.00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50.00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6</w:t>
                  </w:r>
                </w:p>
              </w:tc>
              <w:tc>
                <w:tcPr>
                  <w:tcW w:w="910" w:type="pct"/>
                  <w:vAlign w:val="center"/>
                </w:tcPr>
                <w:p>
                  <w:pPr>
                    <w:adjustRightInd w:val="0"/>
                    <w:snapToGrid w:val="0"/>
                    <w:jc w:val="center"/>
                    <w:rPr>
                      <w:szCs w:val="21"/>
                    </w:rPr>
                  </w:pPr>
                  <w:r>
                    <w:rPr>
                      <w:rFonts w:hint="eastAsia"/>
                      <w:bCs/>
                      <w:szCs w:val="21"/>
                    </w:rPr>
                    <w:t>大油压冲床</w:t>
                  </w:r>
                </w:p>
              </w:tc>
              <w:tc>
                <w:tcPr>
                  <w:tcW w:w="506" w:type="pct"/>
                  <w:vAlign w:val="center"/>
                </w:tcPr>
                <w:p>
                  <w:pPr>
                    <w:adjustRightInd w:val="0"/>
                    <w:snapToGrid w:val="0"/>
                    <w:jc w:val="center"/>
                    <w:rPr>
                      <w:szCs w:val="21"/>
                    </w:rPr>
                  </w:pPr>
                  <w:r>
                    <w:rPr>
                      <w:szCs w:val="21"/>
                    </w:rPr>
                    <w:t>2</w:t>
                  </w:r>
                  <w:r>
                    <w:rPr>
                      <w:kern w:val="0"/>
                      <w:szCs w:val="21"/>
                    </w:rPr>
                    <w:t>台</w:t>
                  </w:r>
                </w:p>
              </w:tc>
              <w:tc>
                <w:tcPr>
                  <w:tcW w:w="764" w:type="pct"/>
                  <w:vAlign w:val="center"/>
                </w:tcPr>
                <w:p>
                  <w:pPr>
                    <w:jc w:val="center"/>
                    <w:rPr>
                      <w:szCs w:val="21"/>
                    </w:rPr>
                  </w:pPr>
                  <w:r>
                    <w:rPr>
                      <w:szCs w:val="21"/>
                    </w:rPr>
                    <w:t>78</w:t>
                  </w:r>
                </w:p>
              </w:tc>
              <w:tc>
                <w:tcPr>
                  <w:tcW w:w="822" w:type="pct"/>
                  <w:vAlign w:val="center"/>
                </w:tcPr>
                <w:p>
                  <w:pPr>
                    <w:jc w:val="center"/>
                    <w:rPr>
                      <w:szCs w:val="21"/>
                    </w:rPr>
                  </w:pPr>
                  <w:r>
                    <w:rPr>
                      <w:szCs w:val="21"/>
                    </w:rPr>
                    <w:t xml:space="preserve">81.01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61.01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7</w:t>
                  </w:r>
                </w:p>
              </w:tc>
              <w:tc>
                <w:tcPr>
                  <w:tcW w:w="910" w:type="pct"/>
                  <w:vAlign w:val="center"/>
                </w:tcPr>
                <w:p>
                  <w:pPr>
                    <w:adjustRightInd w:val="0"/>
                    <w:snapToGrid w:val="0"/>
                    <w:jc w:val="center"/>
                    <w:rPr>
                      <w:szCs w:val="21"/>
                    </w:rPr>
                  </w:pPr>
                  <w:r>
                    <w:rPr>
                      <w:rFonts w:hint="eastAsia"/>
                      <w:bCs/>
                      <w:szCs w:val="21"/>
                    </w:rPr>
                    <w:t>小油压冲床</w:t>
                  </w:r>
                </w:p>
              </w:tc>
              <w:tc>
                <w:tcPr>
                  <w:tcW w:w="506" w:type="pct"/>
                  <w:vAlign w:val="center"/>
                </w:tcPr>
                <w:p>
                  <w:pPr>
                    <w:adjustRightInd w:val="0"/>
                    <w:snapToGrid w:val="0"/>
                    <w:jc w:val="center"/>
                    <w:rPr>
                      <w:szCs w:val="21"/>
                    </w:rPr>
                  </w:pPr>
                  <w:r>
                    <w:rPr>
                      <w:kern w:val="1"/>
                      <w:szCs w:val="21"/>
                    </w:rPr>
                    <w:t>2台</w:t>
                  </w:r>
                </w:p>
              </w:tc>
              <w:tc>
                <w:tcPr>
                  <w:tcW w:w="764" w:type="pct"/>
                  <w:vAlign w:val="center"/>
                </w:tcPr>
                <w:p>
                  <w:pPr>
                    <w:jc w:val="center"/>
                    <w:rPr>
                      <w:szCs w:val="21"/>
                    </w:rPr>
                  </w:pPr>
                  <w:r>
                    <w:rPr>
                      <w:szCs w:val="21"/>
                    </w:rPr>
                    <w:t>7</w:t>
                  </w:r>
                  <w:r>
                    <w:rPr>
                      <w:rFonts w:hint="eastAsia"/>
                      <w:szCs w:val="21"/>
                    </w:rPr>
                    <w:t>5</w:t>
                  </w:r>
                </w:p>
              </w:tc>
              <w:tc>
                <w:tcPr>
                  <w:tcW w:w="822" w:type="pct"/>
                  <w:vAlign w:val="center"/>
                </w:tcPr>
                <w:p>
                  <w:pPr>
                    <w:jc w:val="center"/>
                    <w:rPr>
                      <w:szCs w:val="21"/>
                    </w:rPr>
                  </w:pPr>
                  <w:r>
                    <w:rPr>
                      <w:szCs w:val="21"/>
                    </w:rPr>
                    <w:t xml:space="preserve">78.01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58.01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8</w:t>
                  </w:r>
                </w:p>
              </w:tc>
              <w:tc>
                <w:tcPr>
                  <w:tcW w:w="910" w:type="pct"/>
                  <w:vAlign w:val="center"/>
                </w:tcPr>
                <w:p>
                  <w:pPr>
                    <w:adjustRightInd w:val="0"/>
                    <w:snapToGrid w:val="0"/>
                    <w:jc w:val="center"/>
                    <w:rPr>
                      <w:bCs/>
                      <w:szCs w:val="21"/>
                    </w:rPr>
                  </w:pPr>
                  <w:r>
                    <w:rPr>
                      <w:rFonts w:hint="eastAsia"/>
                      <w:bCs/>
                      <w:szCs w:val="21"/>
                    </w:rPr>
                    <w:t>切角机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szCs w:val="21"/>
                    </w:rPr>
                    <w:t>65</w:t>
                  </w:r>
                </w:p>
              </w:tc>
              <w:tc>
                <w:tcPr>
                  <w:tcW w:w="822" w:type="pct"/>
                  <w:vAlign w:val="center"/>
                </w:tcPr>
                <w:p>
                  <w:pPr>
                    <w:jc w:val="center"/>
                    <w:rPr>
                      <w:szCs w:val="21"/>
                    </w:rPr>
                  </w:pPr>
                  <w:r>
                    <w:rPr>
                      <w:szCs w:val="21"/>
                    </w:rPr>
                    <w:t xml:space="preserve">65.00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45.00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9</w:t>
                  </w:r>
                </w:p>
              </w:tc>
              <w:tc>
                <w:tcPr>
                  <w:tcW w:w="910" w:type="pct"/>
                  <w:vAlign w:val="center"/>
                </w:tcPr>
                <w:p>
                  <w:pPr>
                    <w:adjustRightInd w:val="0"/>
                    <w:snapToGrid w:val="0"/>
                    <w:jc w:val="center"/>
                    <w:rPr>
                      <w:bCs/>
                      <w:szCs w:val="21"/>
                    </w:rPr>
                  </w:pPr>
                  <w:r>
                    <w:rPr>
                      <w:rFonts w:hint="eastAsia"/>
                      <w:bCs/>
                      <w:szCs w:val="21"/>
                    </w:rPr>
                    <w:t>切</w:t>
                  </w:r>
                  <w:r>
                    <w:rPr>
                      <w:bCs/>
                      <w:szCs w:val="21"/>
                    </w:rPr>
                    <w:t>底机</w:t>
                  </w:r>
                </w:p>
              </w:tc>
              <w:tc>
                <w:tcPr>
                  <w:tcW w:w="506" w:type="pct"/>
                  <w:vAlign w:val="center"/>
                </w:tcPr>
                <w:p>
                  <w:pPr>
                    <w:adjustRightInd w:val="0"/>
                    <w:snapToGrid w:val="0"/>
                    <w:jc w:val="center"/>
                    <w:rPr>
                      <w:kern w:val="1"/>
                      <w:szCs w:val="21"/>
                    </w:rPr>
                  </w:pPr>
                  <w:r>
                    <w:rPr>
                      <w:rFonts w:hint="eastAsia"/>
                      <w:kern w:val="1"/>
                      <w:szCs w:val="21"/>
                    </w:rPr>
                    <w:t>2台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68.01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48.01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10</w:t>
                  </w:r>
                </w:p>
              </w:tc>
              <w:tc>
                <w:tcPr>
                  <w:tcW w:w="910" w:type="pct"/>
                  <w:vAlign w:val="center"/>
                </w:tcPr>
                <w:p>
                  <w:pPr>
                    <w:adjustRightInd w:val="0"/>
                    <w:snapToGrid w:val="0"/>
                    <w:jc w:val="center"/>
                    <w:rPr>
                      <w:szCs w:val="21"/>
                    </w:rPr>
                  </w:pPr>
                  <w:r>
                    <w:rPr>
                      <w:rFonts w:hint="eastAsia"/>
                      <w:bCs/>
                      <w:szCs w:val="21"/>
                    </w:rPr>
                    <w:t>平式平切机</w:t>
                  </w:r>
                </w:p>
              </w:tc>
              <w:tc>
                <w:tcPr>
                  <w:tcW w:w="506" w:type="pct"/>
                  <w:vAlign w:val="center"/>
                </w:tcPr>
                <w:p>
                  <w:pPr>
                    <w:adjustRightInd w:val="0"/>
                    <w:snapToGrid w:val="0"/>
                    <w:jc w:val="center"/>
                    <w:rPr>
                      <w:szCs w:val="21"/>
                    </w:rPr>
                  </w:pPr>
                  <w:r>
                    <w:rPr>
                      <w:szCs w:val="21"/>
                    </w:rPr>
                    <w:t>3台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74.77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54.77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11</w:t>
                  </w:r>
                </w:p>
              </w:tc>
              <w:tc>
                <w:tcPr>
                  <w:tcW w:w="910" w:type="pct"/>
                  <w:vAlign w:val="center"/>
                </w:tcPr>
                <w:p>
                  <w:pPr>
                    <w:adjustRightInd w:val="0"/>
                    <w:snapToGrid w:val="0"/>
                    <w:jc w:val="center"/>
                    <w:rPr>
                      <w:szCs w:val="21"/>
                    </w:rPr>
                  </w:pPr>
                  <w:r>
                    <w:rPr>
                      <w:rFonts w:hint="eastAsia"/>
                      <w:bCs/>
                      <w:szCs w:val="21"/>
                    </w:rPr>
                    <w:t>立式平切机</w:t>
                  </w:r>
                </w:p>
              </w:tc>
              <w:tc>
                <w:tcPr>
                  <w:tcW w:w="506" w:type="pct"/>
                  <w:vAlign w:val="center"/>
                </w:tcPr>
                <w:p>
                  <w:pPr>
                    <w:adjustRightInd w:val="0"/>
                    <w:snapToGrid w:val="0"/>
                    <w:jc w:val="center"/>
                    <w:rPr>
                      <w:szCs w:val="21"/>
                    </w:rPr>
                  </w:pPr>
                  <w:r>
                    <w:rPr>
                      <w:kern w:val="1"/>
                      <w:szCs w:val="21"/>
                    </w:rPr>
                    <w:t>2台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73.01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53.01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12</w:t>
                  </w:r>
                </w:p>
              </w:tc>
              <w:tc>
                <w:tcPr>
                  <w:tcW w:w="910" w:type="pct"/>
                  <w:vAlign w:val="center"/>
                </w:tcPr>
                <w:p>
                  <w:pPr>
                    <w:adjustRightInd w:val="0"/>
                    <w:snapToGrid w:val="0"/>
                    <w:jc w:val="center"/>
                    <w:rPr>
                      <w:bCs/>
                      <w:szCs w:val="21"/>
                    </w:rPr>
                  </w:pPr>
                  <w:r>
                    <w:rPr>
                      <w:rFonts w:hint="eastAsia"/>
                      <w:bCs/>
                      <w:szCs w:val="21"/>
                    </w:rPr>
                    <w:t>手动</w:t>
                  </w:r>
                  <w:r>
                    <w:rPr>
                      <w:bCs/>
                      <w:szCs w:val="21"/>
                    </w:rPr>
                    <w:t>仿形机</w:t>
                  </w:r>
                </w:p>
              </w:tc>
              <w:tc>
                <w:tcPr>
                  <w:tcW w:w="506" w:type="pct"/>
                  <w:vAlign w:val="center"/>
                </w:tcPr>
                <w:p>
                  <w:pPr>
                    <w:adjustRightInd w:val="0"/>
                    <w:snapToGrid w:val="0"/>
                    <w:jc w:val="center"/>
                    <w:rPr>
                      <w:kern w:val="1"/>
                      <w:szCs w:val="21"/>
                    </w:rPr>
                  </w:pPr>
                  <w:r>
                    <w:rPr>
                      <w:rFonts w:hint="eastAsia"/>
                      <w:kern w:val="1"/>
                      <w:szCs w:val="21"/>
                    </w:rPr>
                    <w:t>8台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79.03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59.03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13</w:t>
                  </w:r>
                </w:p>
              </w:tc>
              <w:tc>
                <w:tcPr>
                  <w:tcW w:w="910" w:type="pct"/>
                  <w:vAlign w:val="center"/>
                </w:tcPr>
                <w:p>
                  <w:pPr>
                    <w:adjustRightInd w:val="0"/>
                    <w:snapToGrid w:val="0"/>
                    <w:jc w:val="center"/>
                    <w:rPr>
                      <w:bCs/>
                      <w:szCs w:val="21"/>
                    </w:rPr>
                  </w:pPr>
                  <w:r>
                    <w:rPr>
                      <w:rFonts w:hint="eastAsia"/>
                      <w:bCs/>
                      <w:szCs w:val="21"/>
                    </w:rPr>
                    <w:t>自动</w:t>
                  </w:r>
                  <w:r>
                    <w:rPr>
                      <w:bCs/>
                      <w:szCs w:val="21"/>
                    </w:rPr>
                    <w:t>仿形机</w:t>
                  </w:r>
                </w:p>
              </w:tc>
              <w:tc>
                <w:tcPr>
                  <w:tcW w:w="506" w:type="pct"/>
                  <w:vAlign w:val="center"/>
                </w:tcPr>
                <w:p>
                  <w:pPr>
                    <w:adjustRightInd w:val="0"/>
                    <w:snapToGrid w:val="0"/>
                    <w:jc w:val="center"/>
                    <w:rPr>
                      <w:kern w:val="1"/>
                      <w:szCs w:val="21"/>
                    </w:rPr>
                  </w:pPr>
                  <w:r>
                    <w:rPr>
                      <w:rFonts w:hint="eastAsia"/>
                      <w:kern w:val="1"/>
                      <w:szCs w:val="21"/>
                    </w:rPr>
                    <w:t>5台</w:t>
                  </w:r>
                </w:p>
              </w:tc>
              <w:tc>
                <w:tcPr>
                  <w:tcW w:w="764" w:type="pct"/>
                  <w:vAlign w:val="center"/>
                </w:tcPr>
                <w:p>
                  <w:pPr>
                    <w:jc w:val="center"/>
                    <w:rPr>
                      <w:szCs w:val="21"/>
                    </w:rPr>
                  </w:pPr>
                  <w:r>
                    <w:rPr>
                      <w:rFonts w:hint="eastAsia"/>
                      <w:szCs w:val="21"/>
                    </w:rPr>
                    <w:t>73</w:t>
                  </w:r>
                </w:p>
              </w:tc>
              <w:tc>
                <w:tcPr>
                  <w:tcW w:w="822" w:type="pct"/>
                  <w:vAlign w:val="center"/>
                </w:tcPr>
                <w:p>
                  <w:pPr>
                    <w:jc w:val="center"/>
                    <w:rPr>
                      <w:szCs w:val="21"/>
                    </w:rPr>
                  </w:pPr>
                  <w:r>
                    <w:rPr>
                      <w:szCs w:val="21"/>
                    </w:rPr>
                    <w:t xml:space="preserve">79.99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59.99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14</w:t>
                  </w:r>
                </w:p>
              </w:tc>
              <w:tc>
                <w:tcPr>
                  <w:tcW w:w="910" w:type="pct"/>
                  <w:vAlign w:val="center"/>
                </w:tcPr>
                <w:p>
                  <w:pPr>
                    <w:adjustRightInd w:val="0"/>
                    <w:snapToGrid w:val="0"/>
                    <w:jc w:val="center"/>
                    <w:rPr>
                      <w:bCs/>
                      <w:szCs w:val="21"/>
                    </w:rPr>
                  </w:pPr>
                  <w:r>
                    <w:rPr>
                      <w:rFonts w:hint="eastAsia"/>
                      <w:bCs/>
                      <w:szCs w:val="21"/>
                    </w:rPr>
                    <w:t>印刷机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szCs w:val="21"/>
                    </w:rPr>
                    <w:t>65</w:t>
                  </w:r>
                </w:p>
              </w:tc>
              <w:tc>
                <w:tcPr>
                  <w:tcW w:w="822" w:type="pct"/>
                  <w:vAlign w:val="center"/>
                </w:tcPr>
                <w:p>
                  <w:pPr>
                    <w:widowControl/>
                    <w:jc w:val="center"/>
                    <w:rPr>
                      <w:kern w:val="0"/>
                      <w:szCs w:val="21"/>
                    </w:rPr>
                  </w:pPr>
                  <w:r>
                    <w:rPr>
                      <w:szCs w:val="21"/>
                    </w:rPr>
                    <w:t xml:space="preserve">65.00 </w:t>
                  </w:r>
                </w:p>
              </w:tc>
              <w:tc>
                <w:tcPr>
                  <w:tcW w:w="574" w:type="pct"/>
                  <w:vMerge w:val="continue"/>
                  <w:vAlign w:val="center"/>
                </w:tcPr>
                <w:p>
                  <w:pPr>
                    <w:widowControl/>
                    <w:jc w:val="center"/>
                    <w:rPr>
                      <w:szCs w:val="21"/>
                    </w:rPr>
                  </w:pPr>
                </w:p>
              </w:tc>
              <w:tc>
                <w:tcPr>
                  <w:tcW w:w="691" w:type="pct"/>
                  <w:vAlign w:val="center"/>
                </w:tcPr>
                <w:p>
                  <w:pPr>
                    <w:widowControl/>
                    <w:jc w:val="center"/>
                    <w:rPr>
                      <w:kern w:val="0"/>
                      <w:szCs w:val="21"/>
                    </w:rPr>
                  </w:pPr>
                  <w:r>
                    <w:rPr>
                      <w:szCs w:val="21"/>
                    </w:rPr>
                    <w:t xml:space="preserve">45.00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15</w:t>
                  </w:r>
                </w:p>
              </w:tc>
              <w:tc>
                <w:tcPr>
                  <w:tcW w:w="910" w:type="pct"/>
                  <w:vAlign w:val="center"/>
                </w:tcPr>
                <w:p>
                  <w:pPr>
                    <w:adjustRightInd w:val="0"/>
                    <w:snapToGrid w:val="0"/>
                    <w:jc w:val="center"/>
                    <w:rPr>
                      <w:bCs/>
                      <w:szCs w:val="21"/>
                    </w:rPr>
                  </w:pPr>
                  <w:r>
                    <w:rPr>
                      <w:bCs/>
                      <w:szCs w:val="21"/>
                    </w:rPr>
                    <w:t>烘干机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65.00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45.00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16</w:t>
                  </w:r>
                </w:p>
              </w:tc>
              <w:tc>
                <w:tcPr>
                  <w:tcW w:w="910" w:type="pct"/>
                  <w:vAlign w:val="center"/>
                </w:tcPr>
                <w:p>
                  <w:pPr>
                    <w:adjustRightInd w:val="0"/>
                    <w:snapToGrid w:val="0"/>
                    <w:jc w:val="center"/>
                    <w:rPr>
                      <w:bCs/>
                      <w:szCs w:val="21"/>
                    </w:rPr>
                  </w:pPr>
                  <w:r>
                    <w:rPr>
                      <w:rFonts w:hint="eastAsia"/>
                      <w:bCs/>
                      <w:szCs w:val="21"/>
                    </w:rPr>
                    <w:t>激光</w:t>
                  </w:r>
                  <w:r>
                    <w:rPr>
                      <w:bCs/>
                      <w:szCs w:val="21"/>
                    </w:rPr>
                    <w:t>切割机</w:t>
                  </w:r>
                </w:p>
              </w:tc>
              <w:tc>
                <w:tcPr>
                  <w:tcW w:w="506" w:type="pct"/>
                  <w:vAlign w:val="center"/>
                </w:tcPr>
                <w:p>
                  <w:pPr>
                    <w:adjustRightInd w:val="0"/>
                    <w:snapToGrid w:val="0"/>
                    <w:jc w:val="center"/>
                    <w:rPr>
                      <w:kern w:val="1"/>
                      <w:szCs w:val="21"/>
                    </w:rPr>
                  </w:pPr>
                  <w:r>
                    <w:rPr>
                      <w:kern w:val="1"/>
                      <w:szCs w:val="21"/>
                    </w:rPr>
                    <w:t>5</w:t>
                  </w:r>
                  <w:r>
                    <w:rPr>
                      <w:rFonts w:hint="eastAsia"/>
                      <w:kern w:val="1"/>
                      <w:szCs w:val="21"/>
                    </w:rPr>
                    <w:t>台</w:t>
                  </w:r>
                </w:p>
              </w:tc>
              <w:tc>
                <w:tcPr>
                  <w:tcW w:w="764" w:type="pct"/>
                  <w:vAlign w:val="center"/>
                </w:tcPr>
                <w:p>
                  <w:pPr>
                    <w:jc w:val="center"/>
                    <w:rPr>
                      <w:szCs w:val="21"/>
                    </w:rPr>
                  </w:pPr>
                  <w:r>
                    <w:rPr>
                      <w:rFonts w:hint="eastAsia"/>
                      <w:szCs w:val="21"/>
                    </w:rPr>
                    <w:t>76</w:t>
                  </w:r>
                </w:p>
              </w:tc>
              <w:tc>
                <w:tcPr>
                  <w:tcW w:w="822" w:type="pct"/>
                  <w:vAlign w:val="center"/>
                </w:tcPr>
                <w:p>
                  <w:pPr>
                    <w:jc w:val="center"/>
                    <w:rPr>
                      <w:szCs w:val="21"/>
                    </w:rPr>
                  </w:pPr>
                  <w:r>
                    <w:rPr>
                      <w:szCs w:val="21"/>
                    </w:rPr>
                    <w:t xml:space="preserve">82.99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62.99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17</w:t>
                  </w:r>
                </w:p>
              </w:tc>
              <w:tc>
                <w:tcPr>
                  <w:tcW w:w="910" w:type="pct"/>
                  <w:vAlign w:val="center"/>
                </w:tcPr>
                <w:p>
                  <w:pPr>
                    <w:adjustRightInd w:val="0"/>
                    <w:snapToGrid w:val="0"/>
                    <w:jc w:val="center"/>
                    <w:rPr>
                      <w:bCs/>
                      <w:szCs w:val="21"/>
                    </w:rPr>
                  </w:pPr>
                  <w:r>
                    <w:rPr>
                      <w:rFonts w:hint="eastAsia"/>
                      <w:bCs/>
                      <w:szCs w:val="21"/>
                    </w:rPr>
                    <w:t>分条机</w:t>
                  </w:r>
                </w:p>
              </w:tc>
              <w:tc>
                <w:tcPr>
                  <w:tcW w:w="506" w:type="pct"/>
                  <w:vAlign w:val="center"/>
                </w:tcPr>
                <w:p>
                  <w:pPr>
                    <w:adjustRightInd w:val="0"/>
                    <w:snapToGrid w:val="0"/>
                    <w:jc w:val="center"/>
                    <w:rPr>
                      <w:kern w:val="1"/>
                      <w:szCs w:val="21"/>
                    </w:rPr>
                  </w:pPr>
                  <w:r>
                    <w:rPr>
                      <w:rFonts w:hint="eastAsia"/>
                      <w:kern w:val="1"/>
                      <w:szCs w:val="21"/>
                    </w:rPr>
                    <w:t>2台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73.01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53.01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18</w:t>
                  </w:r>
                </w:p>
              </w:tc>
              <w:tc>
                <w:tcPr>
                  <w:tcW w:w="910" w:type="pct"/>
                  <w:vAlign w:val="center"/>
                </w:tcPr>
                <w:p>
                  <w:pPr>
                    <w:adjustRightInd w:val="0"/>
                    <w:snapToGrid w:val="0"/>
                    <w:jc w:val="center"/>
                    <w:rPr>
                      <w:bCs/>
                      <w:szCs w:val="21"/>
                    </w:rPr>
                  </w:pPr>
                  <w:r>
                    <w:rPr>
                      <w:rFonts w:hint="eastAsia"/>
                      <w:bCs/>
                      <w:szCs w:val="21"/>
                    </w:rPr>
                    <w:t>气动</w:t>
                  </w:r>
                  <w:r>
                    <w:rPr>
                      <w:bCs/>
                      <w:szCs w:val="21"/>
                    </w:rPr>
                    <w:t>切平机</w:t>
                  </w:r>
                </w:p>
              </w:tc>
              <w:tc>
                <w:tcPr>
                  <w:tcW w:w="506" w:type="pct"/>
                  <w:vAlign w:val="center"/>
                </w:tcPr>
                <w:p>
                  <w:pPr>
                    <w:adjustRightInd w:val="0"/>
                    <w:snapToGrid w:val="0"/>
                    <w:jc w:val="center"/>
                    <w:rPr>
                      <w:kern w:val="1"/>
                      <w:szCs w:val="21"/>
                    </w:rPr>
                  </w:pPr>
                  <w:r>
                    <w:rPr>
                      <w:rFonts w:hint="eastAsia"/>
                      <w:kern w:val="1"/>
                      <w:szCs w:val="21"/>
                    </w:rPr>
                    <w:t>7台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78.45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58.45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19</w:t>
                  </w:r>
                </w:p>
              </w:tc>
              <w:tc>
                <w:tcPr>
                  <w:tcW w:w="910" w:type="pct"/>
                  <w:vAlign w:val="center"/>
                </w:tcPr>
                <w:p>
                  <w:pPr>
                    <w:adjustRightInd w:val="0"/>
                    <w:snapToGrid w:val="0"/>
                    <w:jc w:val="center"/>
                    <w:rPr>
                      <w:bCs/>
                      <w:szCs w:val="21"/>
                    </w:rPr>
                  </w:pPr>
                  <w:r>
                    <w:rPr>
                      <w:rFonts w:hint="eastAsia"/>
                      <w:bCs/>
                      <w:szCs w:val="21"/>
                    </w:rPr>
                    <w:t>接驳机</w:t>
                  </w:r>
                </w:p>
              </w:tc>
              <w:tc>
                <w:tcPr>
                  <w:tcW w:w="506" w:type="pct"/>
                  <w:vAlign w:val="center"/>
                </w:tcPr>
                <w:p>
                  <w:pPr>
                    <w:adjustRightInd w:val="0"/>
                    <w:snapToGrid w:val="0"/>
                    <w:jc w:val="center"/>
                    <w:rPr>
                      <w:kern w:val="1"/>
                      <w:szCs w:val="21"/>
                    </w:rPr>
                  </w:pPr>
                  <w:r>
                    <w:rPr>
                      <w:rFonts w:hint="eastAsia"/>
                      <w:kern w:val="1"/>
                      <w:szCs w:val="21"/>
                    </w:rPr>
                    <w:t>12台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75.79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55.79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20</w:t>
                  </w:r>
                </w:p>
              </w:tc>
              <w:tc>
                <w:tcPr>
                  <w:tcW w:w="910" w:type="pct"/>
                  <w:vAlign w:val="center"/>
                </w:tcPr>
                <w:p>
                  <w:pPr>
                    <w:adjustRightInd w:val="0"/>
                    <w:snapToGrid w:val="0"/>
                    <w:jc w:val="center"/>
                    <w:rPr>
                      <w:bCs/>
                      <w:szCs w:val="21"/>
                    </w:rPr>
                  </w:pPr>
                  <w:r>
                    <w:rPr>
                      <w:rFonts w:hint="eastAsia"/>
                      <w:bCs/>
                      <w:szCs w:val="21"/>
                    </w:rPr>
                    <w:t>模切</w:t>
                  </w:r>
                  <w:r>
                    <w:rPr>
                      <w:bCs/>
                      <w:szCs w:val="21"/>
                    </w:rPr>
                    <w:t>冲床</w:t>
                  </w:r>
                </w:p>
              </w:tc>
              <w:tc>
                <w:tcPr>
                  <w:tcW w:w="506" w:type="pct"/>
                  <w:vAlign w:val="center"/>
                </w:tcPr>
                <w:p>
                  <w:pPr>
                    <w:adjustRightInd w:val="0"/>
                    <w:snapToGrid w:val="0"/>
                    <w:jc w:val="center"/>
                    <w:rPr>
                      <w:kern w:val="1"/>
                      <w:szCs w:val="21"/>
                    </w:rPr>
                  </w:pPr>
                  <w:r>
                    <w:rPr>
                      <w:rFonts w:hint="eastAsia"/>
                      <w:kern w:val="1"/>
                      <w:szCs w:val="21"/>
                    </w:rPr>
                    <w:t>2</w:t>
                  </w:r>
                  <w:r>
                    <w:rPr>
                      <w:kern w:val="1"/>
                      <w:szCs w:val="21"/>
                    </w:rPr>
                    <w:t>0</w:t>
                  </w:r>
                  <w:r>
                    <w:rPr>
                      <w:rFonts w:hint="eastAsia"/>
                      <w:kern w:val="1"/>
                      <w:szCs w:val="21"/>
                    </w:rPr>
                    <w:t>台</w:t>
                  </w:r>
                </w:p>
              </w:tc>
              <w:tc>
                <w:tcPr>
                  <w:tcW w:w="764" w:type="pct"/>
                  <w:vAlign w:val="center"/>
                </w:tcPr>
                <w:p>
                  <w:pPr>
                    <w:jc w:val="center"/>
                    <w:rPr>
                      <w:szCs w:val="21"/>
                    </w:rPr>
                  </w:pPr>
                  <w:r>
                    <w:rPr>
                      <w:rFonts w:hint="eastAsia"/>
                      <w:szCs w:val="21"/>
                    </w:rPr>
                    <w:t>7</w:t>
                  </w:r>
                  <w:r>
                    <w:rPr>
                      <w:szCs w:val="21"/>
                    </w:rPr>
                    <w:t>0</w:t>
                  </w:r>
                </w:p>
              </w:tc>
              <w:tc>
                <w:tcPr>
                  <w:tcW w:w="822" w:type="pct"/>
                  <w:vAlign w:val="center"/>
                </w:tcPr>
                <w:p>
                  <w:pPr>
                    <w:jc w:val="center"/>
                    <w:rPr>
                      <w:szCs w:val="21"/>
                    </w:rPr>
                  </w:pPr>
                  <w:r>
                    <w:rPr>
                      <w:szCs w:val="21"/>
                    </w:rPr>
                    <w:t xml:space="preserve">83.01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63.01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21</w:t>
                  </w:r>
                </w:p>
              </w:tc>
              <w:tc>
                <w:tcPr>
                  <w:tcW w:w="910" w:type="pct"/>
                  <w:vAlign w:val="center"/>
                </w:tcPr>
                <w:p>
                  <w:pPr>
                    <w:adjustRightInd w:val="0"/>
                    <w:snapToGrid w:val="0"/>
                    <w:jc w:val="center"/>
                    <w:rPr>
                      <w:bCs/>
                      <w:szCs w:val="21"/>
                    </w:rPr>
                  </w:pPr>
                  <w:r>
                    <w:rPr>
                      <w:rFonts w:hint="eastAsia"/>
                      <w:bCs/>
                      <w:szCs w:val="21"/>
                    </w:rPr>
                    <w:t>分段机</w:t>
                  </w:r>
                </w:p>
              </w:tc>
              <w:tc>
                <w:tcPr>
                  <w:tcW w:w="506" w:type="pct"/>
                  <w:vAlign w:val="center"/>
                </w:tcPr>
                <w:p>
                  <w:pPr>
                    <w:adjustRightInd w:val="0"/>
                    <w:snapToGrid w:val="0"/>
                    <w:jc w:val="center"/>
                    <w:rPr>
                      <w:kern w:val="1"/>
                      <w:szCs w:val="21"/>
                    </w:rPr>
                  </w:pPr>
                  <w:r>
                    <w:rPr>
                      <w:rFonts w:hint="eastAsia"/>
                      <w:kern w:val="1"/>
                      <w:szCs w:val="21"/>
                    </w:rPr>
                    <w:t>7台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73.45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53.45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22</w:t>
                  </w:r>
                </w:p>
              </w:tc>
              <w:tc>
                <w:tcPr>
                  <w:tcW w:w="910" w:type="pct"/>
                  <w:vAlign w:val="center"/>
                </w:tcPr>
                <w:p>
                  <w:pPr>
                    <w:adjustRightInd w:val="0"/>
                    <w:snapToGrid w:val="0"/>
                    <w:jc w:val="center"/>
                    <w:rPr>
                      <w:bCs/>
                      <w:szCs w:val="21"/>
                    </w:rPr>
                  </w:pPr>
                  <w:r>
                    <w:rPr>
                      <w:rFonts w:hint="eastAsia"/>
                      <w:bCs/>
                      <w:szCs w:val="21"/>
                    </w:rPr>
                    <w:t>植皮机</w:t>
                  </w:r>
                </w:p>
              </w:tc>
              <w:tc>
                <w:tcPr>
                  <w:tcW w:w="506" w:type="pct"/>
                  <w:vAlign w:val="center"/>
                </w:tcPr>
                <w:p>
                  <w:pPr>
                    <w:adjustRightInd w:val="0"/>
                    <w:snapToGrid w:val="0"/>
                    <w:jc w:val="center"/>
                    <w:rPr>
                      <w:kern w:val="1"/>
                      <w:szCs w:val="21"/>
                    </w:rPr>
                  </w:pPr>
                  <w:r>
                    <w:rPr>
                      <w:rFonts w:hint="eastAsia"/>
                      <w:kern w:val="1"/>
                      <w:szCs w:val="21"/>
                    </w:rPr>
                    <w:t>10台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80.00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60.00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23</w:t>
                  </w:r>
                </w:p>
              </w:tc>
              <w:tc>
                <w:tcPr>
                  <w:tcW w:w="910" w:type="pct"/>
                  <w:vAlign w:val="center"/>
                </w:tcPr>
                <w:p>
                  <w:pPr>
                    <w:adjustRightInd w:val="0"/>
                    <w:snapToGrid w:val="0"/>
                    <w:jc w:val="center"/>
                    <w:rPr>
                      <w:bCs/>
                      <w:szCs w:val="21"/>
                    </w:rPr>
                  </w:pPr>
                  <w:r>
                    <w:rPr>
                      <w:rFonts w:hint="eastAsia"/>
                      <w:bCs/>
                      <w:szCs w:val="21"/>
                    </w:rPr>
                    <w:t>植毛机</w:t>
                  </w:r>
                </w:p>
              </w:tc>
              <w:tc>
                <w:tcPr>
                  <w:tcW w:w="506" w:type="pct"/>
                  <w:vAlign w:val="center"/>
                </w:tcPr>
                <w:p>
                  <w:pPr>
                    <w:adjustRightInd w:val="0"/>
                    <w:snapToGrid w:val="0"/>
                    <w:jc w:val="center"/>
                    <w:rPr>
                      <w:kern w:val="1"/>
                      <w:szCs w:val="21"/>
                    </w:rPr>
                  </w:pPr>
                  <w:r>
                    <w:rPr>
                      <w:rFonts w:hint="eastAsia"/>
                      <w:kern w:val="1"/>
                      <w:szCs w:val="21"/>
                    </w:rPr>
                    <w:t>15台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81.76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61.76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24</w:t>
                  </w:r>
                </w:p>
              </w:tc>
              <w:tc>
                <w:tcPr>
                  <w:tcW w:w="910" w:type="pct"/>
                  <w:vAlign w:val="center"/>
                </w:tcPr>
                <w:p>
                  <w:pPr>
                    <w:adjustRightInd w:val="0"/>
                    <w:snapToGrid w:val="0"/>
                    <w:jc w:val="center"/>
                    <w:rPr>
                      <w:bCs/>
                      <w:szCs w:val="21"/>
                    </w:rPr>
                  </w:pPr>
                  <w:r>
                    <w:rPr>
                      <w:rFonts w:hint="eastAsia"/>
                      <w:bCs/>
                      <w:szCs w:val="21"/>
                    </w:rPr>
                    <w:t>飞毛机</w:t>
                  </w:r>
                </w:p>
              </w:tc>
              <w:tc>
                <w:tcPr>
                  <w:tcW w:w="506" w:type="pct"/>
                  <w:vAlign w:val="center"/>
                </w:tcPr>
                <w:p>
                  <w:pPr>
                    <w:adjustRightInd w:val="0"/>
                    <w:snapToGrid w:val="0"/>
                    <w:jc w:val="center"/>
                    <w:rPr>
                      <w:kern w:val="1"/>
                      <w:szCs w:val="21"/>
                    </w:rPr>
                  </w:pPr>
                  <w:r>
                    <w:rPr>
                      <w:rFonts w:hint="eastAsia"/>
                      <w:kern w:val="1"/>
                      <w:szCs w:val="21"/>
                    </w:rPr>
                    <w:t>8台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79.03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59.03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25</w:t>
                  </w:r>
                </w:p>
              </w:tc>
              <w:tc>
                <w:tcPr>
                  <w:tcW w:w="910" w:type="pct"/>
                  <w:vAlign w:val="center"/>
                </w:tcPr>
                <w:p>
                  <w:pPr>
                    <w:adjustRightInd w:val="0"/>
                    <w:snapToGrid w:val="0"/>
                    <w:jc w:val="center"/>
                    <w:rPr>
                      <w:bCs/>
                      <w:szCs w:val="21"/>
                    </w:rPr>
                  </w:pPr>
                  <w:r>
                    <w:rPr>
                      <w:rFonts w:hint="eastAsia"/>
                      <w:bCs/>
                      <w:szCs w:val="21"/>
                    </w:rPr>
                    <w:t>点胶机</w:t>
                  </w:r>
                </w:p>
              </w:tc>
              <w:tc>
                <w:tcPr>
                  <w:tcW w:w="506" w:type="pct"/>
                  <w:vAlign w:val="center"/>
                </w:tcPr>
                <w:p>
                  <w:pPr>
                    <w:adjustRightInd w:val="0"/>
                    <w:snapToGrid w:val="0"/>
                    <w:jc w:val="center"/>
                    <w:rPr>
                      <w:kern w:val="1"/>
                      <w:szCs w:val="21"/>
                    </w:rPr>
                  </w:pPr>
                  <w:r>
                    <w:rPr>
                      <w:rFonts w:hint="eastAsia"/>
                      <w:kern w:val="1"/>
                      <w:szCs w:val="21"/>
                    </w:rPr>
                    <w:t>4台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71.02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51.02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26</w:t>
                  </w:r>
                </w:p>
              </w:tc>
              <w:tc>
                <w:tcPr>
                  <w:tcW w:w="910" w:type="pct"/>
                  <w:vAlign w:val="center"/>
                </w:tcPr>
                <w:p>
                  <w:pPr>
                    <w:adjustRightInd w:val="0"/>
                    <w:snapToGrid w:val="0"/>
                    <w:jc w:val="center"/>
                    <w:rPr>
                      <w:bCs/>
                      <w:szCs w:val="21"/>
                    </w:rPr>
                  </w:pPr>
                  <w:r>
                    <w:rPr>
                      <w:rFonts w:hint="eastAsia"/>
                      <w:bCs/>
                      <w:szCs w:val="21"/>
                    </w:rPr>
                    <w:t>过胶机</w:t>
                  </w:r>
                </w:p>
              </w:tc>
              <w:tc>
                <w:tcPr>
                  <w:tcW w:w="506" w:type="pct"/>
                  <w:vAlign w:val="center"/>
                </w:tcPr>
                <w:p>
                  <w:pPr>
                    <w:adjustRightInd w:val="0"/>
                    <w:snapToGrid w:val="0"/>
                    <w:jc w:val="center"/>
                    <w:rPr>
                      <w:kern w:val="1"/>
                      <w:szCs w:val="21"/>
                    </w:rPr>
                  </w:pPr>
                  <w:r>
                    <w:rPr>
                      <w:rFonts w:hint="eastAsia"/>
                      <w:kern w:val="1"/>
                      <w:szCs w:val="21"/>
                    </w:rPr>
                    <w:t>6台</w:t>
                  </w:r>
                </w:p>
              </w:tc>
              <w:tc>
                <w:tcPr>
                  <w:tcW w:w="764" w:type="pct"/>
                  <w:vAlign w:val="center"/>
                </w:tcPr>
                <w:p>
                  <w:pPr>
                    <w:jc w:val="center"/>
                    <w:rPr>
                      <w:szCs w:val="21"/>
                    </w:rPr>
                  </w:pPr>
                  <w:r>
                    <w:rPr>
                      <w:rFonts w:hint="eastAsia"/>
                      <w:szCs w:val="21"/>
                    </w:rPr>
                    <w:t>65</w:t>
                  </w:r>
                </w:p>
              </w:tc>
              <w:tc>
                <w:tcPr>
                  <w:tcW w:w="822" w:type="pct"/>
                  <w:vAlign w:val="center"/>
                </w:tcPr>
                <w:p>
                  <w:pPr>
                    <w:jc w:val="center"/>
                    <w:rPr>
                      <w:szCs w:val="21"/>
                    </w:rPr>
                  </w:pPr>
                  <w:r>
                    <w:rPr>
                      <w:szCs w:val="21"/>
                    </w:rPr>
                    <w:t xml:space="preserve">72.78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52.78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27</w:t>
                  </w:r>
                </w:p>
              </w:tc>
              <w:tc>
                <w:tcPr>
                  <w:tcW w:w="910" w:type="pct"/>
                  <w:vAlign w:val="center"/>
                </w:tcPr>
                <w:p>
                  <w:pPr>
                    <w:adjustRightInd w:val="0"/>
                    <w:snapToGrid w:val="0"/>
                    <w:jc w:val="center"/>
                    <w:rPr>
                      <w:bCs/>
                      <w:szCs w:val="21"/>
                    </w:rPr>
                  </w:pPr>
                  <w:r>
                    <w:rPr>
                      <w:rFonts w:hint="eastAsia"/>
                      <w:bCs/>
                      <w:szCs w:val="21"/>
                    </w:rPr>
                    <w:t>激光</w:t>
                  </w:r>
                  <w:r>
                    <w:rPr>
                      <w:bCs/>
                      <w:szCs w:val="21"/>
                    </w:rPr>
                    <w:t>切割机</w:t>
                  </w:r>
                </w:p>
              </w:tc>
              <w:tc>
                <w:tcPr>
                  <w:tcW w:w="506" w:type="pct"/>
                  <w:vAlign w:val="center"/>
                </w:tcPr>
                <w:p>
                  <w:pPr>
                    <w:adjustRightInd w:val="0"/>
                    <w:snapToGrid w:val="0"/>
                    <w:jc w:val="center"/>
                    <w:rPr>
                      <w:kern w:val="1"/>
                      <w:szCs w:val="21"/>
                    </w:rPr>
                  </w:pPr>
                  <w:r>
                    <w:rPr>
                      <w:kern w:val="1"/>
                      <w:szCs w:val="21"/>
                    </w:rPr>
                    <w:t>5</w:t>
                  </w:r>
                  <w:r>
                    <w:rPr>
                      <w:rFonts w:hint="eastAsia"/>
                      <w:kern w:val="1"/>
                      <w:szCs w:val="21"/>
                    </w:rPr>
                    <w:t>台</w:t>
                  </w:r>
                </w:p>
              </w:tc>
              <w:tc>
                <w:tcPr>
                  <w:tcW w:w="764" w:type="pct"/>
                  <w:vAlign w:val="center"/>
                </w:tcPr>
                <w:p>
                  <w:pPr>
                    <w:jc w:val="center"/>
                    <w:rPr>
                      <w:szCs w:val="21"/>
                    </w:rPr>
                  </w:pPr>
                  <w:r>
                    <w:rPr>
                      <w:rFonts w:hint="eastAsia"/>
                      <w:szCs w:val="21"/>
                    </w:rPr>
                    <w:t>75</w:t>
                  </w:r>
                </w:p>
              </w:tc>
              <w:tc>
                <w:tcPr>
                  <w:tcW w:w="822" w:type="pct"/>
                  <w:vAlign w:val="center"/>
                </w:tcPr>
                <w:p>
                  <w:pPr>
                    <w:jc w:val="center"/>
                    <w:rPr>
                      <w:szCs w:val="21"/>
                    </w:rPr>
                  </w:pPr>
                  <w:r>
                    <w:rPr>
                      <w:szCs w:val="21"/>
                    </w:rPr>
                    <w:t xml:space="preserve">81.99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61.99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28</w:t>
                  </w:r>
                </w:p>
              </w:tc>
              <w:tc>
                <w:tcPr>
                  <w:tcW w:w="910" w:type="pct"/>
                  <w:vAlign w:val="center"/>
                </w:tcPr>
                <w:p>
                  <w:pPr>
                    <w:jc w:val="center"/>
                    <w:rPr>
                      <w:bCs/>
                      <w:szCs w:val="21"/>
                    </w:rPr>
                  </w:pPr>
                  <w:r>
                    <w:rPr>
                      <w:rFonts w:hint="eastAsia"/>
                      <w:bCs/>
                      <w:szCs w:val="21"/>
                    </w:rPr>
                    <w:t>开槽机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75</w:t>
                  </w:r>
                </w:p>
              </w:tc>
              <w:tc>
                <w:tcPr>
                  <w:tcW w:w="822" w:type="pct"/>
                  <w:vAlign w:val="center"/>
                </w:tcPr>
                <w:p>
                  <w:pPr>
                    <w:jc w:val="center"/>
                    <w:rPr>
                      <w:szCs w:val="21"/>
                    </w:rPr>
                  </w:pPr>
                  <w:r>
                    <w:rPr>
                      <w:szCs w:val="21"/>
                    </w:rPr>
                    <w:t xml:space="preserve">75.00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29</w:t>
                  </w:r>
                </w:p>
              </w:tc>
              <w:tc>
                <w:tcPr>
                  <w:tcW w:w="910" w:type="pct"/>
                  <w:vAlign w:val="center"/>
                </w:tcPr>
                <w:p>
                  <w:pPr>
                    <w:jc w:val="center"/>
                    <w:rPr>
                      <w:bCs/>
                      <w:szCs w:val="21"/>
                    </w:rPr>
                  </w:pPr>
                  <w:r>
                    <w:rPr>
                      <w:rFonts w:hint="eastAsia"/>
                      <w:bCs/>
                      <w:szCs w:val="21"/>
                    </w:rPr>
                    <w:t>雕刻机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75</w:t>
                  </w:r>
                </w:p>
              </w:tc>
              <w:tc>
                <w:tcPr>
                  <w:tcW w:w="822" w:type="pct"/>
                  <w:vAlign w:val="center"/>
                </w:tcPr>
                <w:p>
                  <w:pPr>
                    <w:jc w:val="center"/>
                    <w:rPr>
                      <w:szCs w:val="21"/>
                    </w:rPr>
                  </w:pPr>
                  <w:r>
                    <w:rPr>
                      <w:szCs w:val="21"/>
                    </w:rPr>
                    <w:t xml:space="preserve">75.00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30</w:t>
                  </w:r>
                </w:p>
              </w:tc>
              <w:tc>
                <w:tcPr>
                  <w:tcW w:w="910" w:type="pct"/>
                  <w:vAlign w:val="center"/>
                </w:tcPr>
                <w:p>
                  <w:pPr>
                    <w:adjustRightInd w:val="0"/>
                    <w:snapToGrid w:val="0"/>
                    <w:jc w:val="center"/>
                    <w:rPr>
                      <w:szCs w:val="21"/>
                    </w:rPr>
                  </w:pPr>
                  <w:r>
                    <w:rPr>
                      <w:rFonts w:hint="eastAsia"/>
                      <w:bCs/>
                      <w:szCs w:val="21"/>
                    </w:rPr>
                    <w:t>波浪机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75</w:t>
                  </w:r>
                </w:p>
              </w:tc>
              <w:tc>
                <w:tcPr>
                  <w:tcW w:w="822" w:type="pct"/>
                  <w:vAlign w:val="center"/>
                </w:tcPr>
                <w:p>
                  <w:pPr>
                    <w:jc w:val="center"/>
                    <w:rPr>
                      <w:szCs w:val="21"/>
                    </w:rPr>
                  </w:pPr>
                  <w:r>
                    <w:rPr>
                      <w:szCs w:val="21"/>
                    </w:rPr>
                    <w:t xml:space="preserve">75.00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55.00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31</w:t>
                  </w:r>
                </w:p>
              </w:tc>
              <w:tc>
                <w:tcPr>
                  <w:tcW w:w="910" w:type="pct"/>
                  <w:vAlign w:val="center"/>
                </w:tcPr>
                <w:p>
                  <w:pPr>
                    <w:adjustRightInd w:val="0"/>
                    <w:snapToGrid w:val="0"/>
                    <w:jc w:val="center"/>
                    <w:rPr>
                      <w:bCs/>
                      <w:szCs w:val="21"/>
                    </w:rPr>
                  </w:pPr>
                  <w:r>
                    <w:rPr>
                      <w:rFonts w:hint="eastAsia"/>
                      <w:bCs/>
                      <w:szCs w:val="21"/>
                    </w:rPr>
                    <w:t>PP片</w:t>
                  </w:r>
                  <w:r>
                    <w:rPr>
                      <w:bCs/>
                      <w:szCs w:val="21"/>
                    </w:rPr>
                    <w:t>生产线</w:t>
                  </w:r>
                </w:p>
              </w:tc>
              <w:tc>
                <w:tcPr>
                  <w:tcW w:w="506" w:type="pct"/>
                  <w:vAlign w:val="center"/>
                </w:tcPr>
                <w:p>
                  <w:pPr>
                    <w:adjustRightInd w:val="0"/>
                    <w:snapToGrid w:val="0"/>
                    <w:jc w:val="center"/>
                    <w:rPr>
                      <w:kern w:val="1"/>
                      <w:szCs w:val="21"/>
                    </w:rPr>
                  </w:pPr>
                  <w:r>
                    <w:rPr>
                      <w:rFonts w:hint="eastAsia"/>
                      <w:kern w:val="1"/>
                      <w:szCs w:val="21"/>
                    </w:rPr>
                    <w:t>1条</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70.00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50.00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32</w:t>
                  </w:r>
                </w:p>
              </w:tc>
              <w:tc>
                <w:tcPr>
                  <w:tcW w:w="910" w:type="pct"/>
                  <w:vAlign w:val="center"/>
                </w:tcPr>
                <w:p>
                  <w:pPr>
                    <w:adjustRightInd w:val="0"/>
                    <w:snapToGrid w:val="0"/>
                    <w:jc w:val="center"/>
                    <w:rPr>
                      <w:bCs/>
                      <w:szCs w:val="21"/>
                    </w:rPr>
                  </w:pPr>
                  <w:r>
                    <w:rPr>
                      <w:rFonts w:hint="eastAsia"/>
                      <w:bCs/>
                      <w:szCs w:val="21"/>
                    </w:rPr>
                    <w:t>冷却塔</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78</w:t>
                  </w:r>
                </w:p>
              </w:tc>
              <w:tc>
                <w:tcPr>
                  <w:tcW w:w="822" w:type="pct"/>
                  <w:vAlign w:val="center"/>
                </w:tcPr>
                <w:p>
                  <w:pPr>
                    <w:jc w:val="center"/>
                    <w:rPr>
                      <w:szCs w:val="21"/>
                    </w:rPr>
                  </w:pPr>
                  <w:r>
                    <w:rPr>
                      <w:szCs w:val="21"/>
                    </w:rPr>
                    <w:t xml:space="preserve">78.00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58.00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33</w:t>
                  </w:r>
                </w:p>
              </w:tc>
              <w:tc>
                <w:tcPr>
                  <w:tcW w:w="910" w:type="pct"/>
                  <w:vAlign w:val="center"/>
                </w:tcPr>
                <w:p>
                  <w:pPr>
                    <w:adjustRightInd w:val="0"/>
                    <w:snapToGrid w:val="0"/>
                    <w:jc w:val="center"/>
                    <w:rPr>
                      <w:bCs/>
                      <w:szCs w:val="21"/>
                    </w:rPr>
                  </w:pPr>
                  <w:r>
                    <w:rPr>
                      <w:rFonts w:hint="eastAsia"/>
                      <w:bCs/>
                      <w:szCs w:val="21"/>
                    </w:rPr>
                    <w:t>边角料</w:t>
                  </w:r>
                  <w:r>
                    <w:rPr>
                      <w:bCs/>
                      <w:szCs w:val="21"/>
                    </w:rPr>
                    <w:t>打包机</w:t>
                  </w:r>
                </w:p>
              </w:tc>
              <w:tc>
                <w:tcPr>
                  <w:tcW w:w="506" w:type="pct"/>
                  <w:vAlign w:val="center"/>
                </w:tcPr>
                <w:p>
                  <w:pPr>
                    <w:adjustRightInd w:val="0"/>
                    <w:snapToGrid w:val="0"/>
                    <w:jc w:val="center"/>
                    <w:rPr>
                      <w:kern w:val="1"/>
                      <w:szCs w:val="21"/>
                    </w:rPr>
                  </w:pPr>
                  <w:r>
                    <w:rPr>
                      <w:rFonts w:hint="eastAsia"/>
                      <w:kern w:val="1"/>
                      <w:szCs w:val="21"/>
                    </w:rPr>
                    <w:t>1台</w:t>
                  </w:r>
                </w:p>
              </w:tc>
              <w:tc>
                <w:tcPr>
                  <w:tcW w:w="764" w:type="pct"/>
                  <w:vAlign w:val="center"/>
                </w:tcPr>
                <w:p>
                  <w:pPr>
                    <w:jc w:val="center"/>
                    <w:rPr>
                      <w:szCs w:val="21"/>
                    </w:rPr>
                  </w:pPr>
                  <w:r>
                    <w:rPr>
                      <w:rFonts w:hint="eastAsia"/>
                      <w:szCs w:val="21"/>
                    </w:rPr>
                    <w:t>70</w:t>
                  </w:r>
                </w:p>
              </w:tc>
              <w:tc>
                <w:tcPr>
                  <w:tcW w:w="822" w:type="pct"/>
                  <w:vAlign w:val="center"/>
                </w:tcPr>
                <w:p>
                  <w:pPr>
                    <w:jc w:val="center"/>
                    <w:rPr>
                      <w:szCs w:val="21"/>
                    </w:rPr>
                  </w:pPr>
                  <w:r>
                    <w:rPr>
                      <w:szCs w:val="21"/>
                    </w:rPr>
                    <w:t xml:space="preserve">70.00 </w:t>
                  </w:r>
                </w:p>
              </w:tc>
              <w:tc>
                <w:tcPr>
                  <w:tcW w:w="574" w:type="pct"/>
                  <w:vMerge w:val="continue"/>
                  <w:vAlign w:val="center"/>
                </w:tcPr>
                <w:p>
                  <w:pPr>
                    <w:widowControl/>
                    <w:jc w:val="center"/>
                    <w:rPr>
                      <w:szCs w:val="21"/>
                    </w:rPr>
                  </w:pPr>
                </w:p>
              </w:tc>
              <w:tc>
                <w:tcPr>
                  <w:tcW w:w="691" w:type="pct"/>
                  <w:vAlign w:val="center"/>
                </w:tcPr>
                <w:p>
                  <w:pPr>
                    <w:jc w:val="center"/>
                    <w:rPr>
                      <w:szCs w:val="21"/>
                    </w:rPr>
                  </w:pPr>
                  <w:r>
                    <w:rPr>
                      <w:szCs w:val="21"/>
                    </w:rPr>
                    <w:t xml:space="preserve">50.00 </w:t>
                  </w:r>
                </w:p>
              </w:tc>
              <w:tc>
                <w:tcPr>
                  <w:tcW w:w="464" w:type="pct"/>
                  <w:vMerge w:val="continue"/>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 w:type="pct"/>
                  <w:vAlign w:val="center"/>
                </w:tcPr>
                <w:p>
                  <w:pPr>
                    <w:widowControl/>
                    <w:jc w:val="center"/>
                    <w:rPr>
                      <w:szCs w:val="21"/>
                    </w:rPr>
                  </w:pPr>
                  <w:r>
                    <w:rPr>
                      <w:rFonts w:hint="eastAsia"/>
                      <w:szCs w:val="21"/>
                    </w:rPr>
                    <w:t>34</w:t>
                  </w:r>
                </w:p>
              </w:tc>
              <w:tc>
                <w:tcPr>
                  <w:tcW w:w="910" w:type="pct"/>
                  <w:vAlign w:val="center"/>
                </w:tcPr>
                <w:p>
                  <w:pPr>
                    <w:adjustRightInd w:val="0"/>
                    <w:snapToGrid w:val="0"/>
                    <w:jc w:val="center"/>
                    <w:rPr>
                      <w:bCs/>
                      <w:szCs w:val="21"/>
                    </w:rPr>
                  </w:pPr>
                  <w:r>
                    <w:rPr>
                      <w:rFonts w:hint="eastAsia"/>
                      <w:bCs/>
                      <w:szCs w:val="21"/>
                    </w:rPr>
                    <w:t>台钻</w:t>
                  </w:r>
                </w:p>
              </w:tc>
              <w:tc>
                <w:tcPr>
                  <w:tcW w:w="506" w:type="pct"/>
                  <w:vAlign w:val="center"/>
                </w:tcPr>
                <w:p>
                  <w:pPr>
                    <w:adjustRightInd w:val="0"/>
                    <w:snapToGrid w:val="0"/>
                    <w:jc w:val="center"/>
                    <w:rPr>
                      <w:kern w:val="1"/>
                      <w:szCs w:val="21"/>
                    </w:rPr>
                  </w:pPr>
                  <w:r>
                    <w:rPr>
                      <w:rFonts w:hint="eastAsia"/>
                      <w:kern w:val="1"/>
                      <w:szCs w:val="21"/>
                    </w:rPr>
                    <w:t>3台</w:t>
                  </w:r>
                </w:p>
              </w:tc>
              <w:tc>
                <w:tcPr>
                  <w:tcW w:w="764" w:type="pct"/>
                  <w:vAlign w:val="center"/>
                </w:tcPr>
                <w:p>
                  <w:pPr>
                    <w:jc w:val="center"/>
                    <w:rPr>
                      <w:szCs w:val="21"/>
                    </w:rPr>
                  </w:pPr>
                  <w:r>
                    <w:rPr>
                      <w:rFonts w:hint="eastAsia"/>
                      <w:szCs w:val="21"/>
                    </w:rPr>
                    <w:t>7</w:t>
                  </w:r>
                  <w:r>
                    <w:rPr>
                      <w:szCs w:val="21"/>
                    </w:rPr>
                    <w:t>5</w:t>
                  </w:r>
                </w:p>
              </w:tc>
              <w:tc>
                <w:tcPr>
                  <w:tcW w:w="822" w:type="pct"/>
                  <w:vAlign w:val="center"/>
                </w:tcPr>
                <w:p>
                  <w:pPr>
                    <w:widowControl/>
                    <w:jc w:val="center"/>
                    <w:rPr>
                      <w:kern w:val="0"/>
                      <w:szCs w:val="21"/>
                    </w:rPr>
                  </w:pPr>
                  <w:r>
                    <w:rPr>
                      <w:szCs w:val="21"/>
                    </w:rPr>
                    <w:t xml:space="preserve">79.77 </w:t>
                  </w:r>
                </w:p>
              </w:tc>
              <w:tc>
                <w:tcPr>
                  <w:tcW w:w="574" w:type="pct"/>
                  <w:vMerge w:val="continue"/>
                  <w:vAlign w:val="center"/>
                </w:tcPr>
                <w:p>
                  <w:pPr>
                    <w:widowControl/>
                    <w:jc w:val="center"/>
                    <w:rPr>
                      <w:szCs w:val="21"/>
                    </w:rPr>
                  </w:pPr>
                </w:p>
              </w:tc>
              <w:tc>
                <w:tcPr>
                  <w:tcW w:w="691" w:type="pct"/>
                  <w:vAlign w:val="center"/>
                </w:tcPr>
                <w:p>
                  <w:pPr>
                    <w:widowControl/>
                    <w:jc w:val="center"/>
                    <w:rPr>
                      <w:szCs w:val="21"/>
                    </w:rPr>
                  </w:pPr>
                  <w:r>
                    <w:rPr>
                      <w:rFonts w:hint="eastAsia"/>
                      <w:szCs w:val="21"/>
                    </w:rPr>
                    <w:t>59.77</w:t>
                  </w:r>
                </w:p>
              </w:tc>
              <w:tc>
                <w:tcPr>
                  <w:tcW w:w="464" w:type="pct"/>
                  <w:vMerge w:val="continue"/>
                  <w:vAlign w:val="center"/>
                </w:tcPr>
                <w:p>
                  <w:pPr>
                    <w:widowControl/>
                    <w:jc w:val="center"/>
                    <w:rPr>
                      <w:szCs w:val="21"/>
                    </w:rPr>
                  </w:pPr>
                </w:p>
              </w:tc>
            </w:tr>
          </w:tbl>
          <w:p>
            <w:pPr>
              <w:spacing w:line="360" w:lineRule="auto"/>
              <w:ind w:firstLine="422" w:firstLineChars="200"/>
              <w:rPr>
                <w:b/>
                <w:bCs/>
                <w:szCs w:val="21"/>
              </w:rPr>
            </w:pPr>
            <w:r>
              <w:rPr>
                <w:rFonts w:hint="eastAsia"/>
                <w:b/>
                <w:bCs/>
                <w:szCs w:val="21"/>
              </w:rPr>
              <w:t>（2）</w:t>
            </w:r>
            <w:r>
              <w:rPr>
                <w:b/>
                <w:bCs/>
                <w:szCs w:val="21"/>
              </w:rPr>
              <w:t>噪声防治措施</w:t>
            </w:r>
          </w:p>
          <w:p>
            <w:pPr>
              <w:spacing w:line="360" w:lineRule="auto"/>
              <w:ind w:firstLine="420" w:firstLineChars="200"/>
              <w:rPr>
                <w:bCs/>
                <w:szCs w:val="21"/>
              </w:rPr>
            </w:pPr>
            <w:r>
              <w:rPr>
                <w:bCs/>
                <w:szCs w:val="21"/>
              </w:rPr>
              <w:t>为减少机械噪声对周围环境的影响，确保项目噪声达标排放，建议建设单位对噪声源采取以下措施：</w:t>
            </w:r>
          </w:p>
          <w:p>
            <w:pPr>
              <w:widowControl/>
              <w:spacing w:line="360" w:lineRule="auto"/>
              <w:ind w:firstLine="420" w:firstLineChars="200"/>
              <w:rPr>
                <w:szCs w:val="21"/>
              </w:rPr>
            </w:pPr>
            <w:r>
              <w:rPr>
                <w:rFonts w:hint="eastAsia" w:ascii="宋体" w:hAnsi="宋体" w:cs="宋体"/>
                <w:szCs w:val="21"/>
              </w:rPr>
              <w:t>①</w:t>
            </w:r>
            <w:r>
              <w:rPr>
                <w:szCs w:val="21"/>
              </w:rPr>
              <w:t>维持设备处于良好的运转状态，减少因零部件磨损产生的噪声；</w:t>
            </w:r>
          </w:p>
          <w:p>
            <w:pPr>
              <w:widowControl/>
              <w:spacing w:line="360" w:lineRule="auto"/>
              <w:ind w:firstLine="420" w:firstLineChars="200"/>
              <w:rPr>
                <w:szCs w:val="21"/>
              </w:rPr>
            </w:pPr>
            <w:r>
              <w:rPr>
                <w:rFonts w:hint="eastAsia" w:ascii="宋体" w:hAnsi="宋体" w:cs="宋体"/>
                <w:szCs w:val="21"/>
              </w:rPr>
              <w:t>②</w:t>
            </w:r>
            <w:r>
              <w:rPr>
                <w:szCs w:val="21"/>
              </w:rPr>
              <w:t>合理布设生产车间，使强噪声设备远离车间边界，这样可通过车间阻挡噪声传播，尽量把车间的噪声影响限制在厂区范围内，降低噪声对外界的影响；</w:t>
            </w:r>
          </w:p>
          <w:p>
            <w:pPr>
              <w:widowControl/>
              <w:spacing w:line="360" w:lineRule="auto"/>
              <w:ind w:firstLine="420" w:firstLineChars="200"/>
              <w:rPr>
                <w:szCs w:val="21"/>
              </w:rPr>
            </w:pPr>
            <w:r>
              <w:rPr>
                <w:rFonts w:hint="eastAsia" w:ascii="宋体" w:hAnsi="宋体" w:cs="宋体"/>
                <w:szCs w:val="21"/>
              </w:rPr>
              <w:t>③</w:t>
            </w:r>
            <w:r>
              <w:rPr>
                <w:szCs w:val="21"/>
              </w:rPr>
              <w:t>强噪声设备底座设置防振装置，并设置适当的隔声屏障；</w:t>
            </w:r>
          </w:p>
          <w:p>
            <w:pPr>
              <w:widowControl/>
              <w:spacing w:line="360" w:lineRule="auto"/>
              <w:ind w:firstLine="420" w:firstLineChars="200"/>
              <w:rPr>
                <w:szCs w:val="21"/>
              </w:rPr>
            </w:pPr>
            <w:r>
              <w:rPr>
                <w:rFonts w:hint="eastAsia" w:ascii="宋体" w:hAnsi="宋体" w:cs="宋体"/>
                <w:szCs w:val="21"/>
              </w:rPr>
              <w:t>④</w:t>
            </w:r>
            <w:r>
              <w:rPr>
                <w:szCs w:val="21"/>
              </w:rPr>
              <w:t>加强作业管理，减少非正常噪声。生产时门窗紧闭，通过强制机械排风来加强车间通风换气，以减少噪声外传。</w:t>
            </w:r>
          </w:p>
          <w:p>
            <w:pPr>
              <w:widowControl/>
              <w:adjustRightInd w:val="0"/>
              <w:snapToGrid w:val="0"/>
              <w:spacing w:line="360" w:lineRule="auto"/>
              <w:ind w:firstLine="420" w:firstLineChars="200"/>
              <w:rPr>
                <w:szCs w:val="21"/>
              </w:rPr>
            </w:pPr>
            <w:r>
              <w:rPr>
                <w:szCs w:val="21"/>
              </w:rPr>
              <w:t>以上隔声、减振措施可使上述设备的噪声源强下降15～25dB（A）。</w:t>
            </w:r>
          </w:p>
          <w:p>
            <w:pPr>
              <w:spacing w:line="360" w:lineRule="auto"/>
              <w:ind w:firstLine="422" w:firstLineChars="200"/>
              <w:rPr>
                <w:b/>
                <w:bCs/>
                <w:szCs w:val="21"/>
              </w:rPr>
            </w:pPr>
            <w:r>
              <w:rPr>
                <w:rFonts w:hint="eastAsia"/>
                <w:b/>
                <w:bCs/>
                <w:szCs w:val="21"/>
              </w:rPr>
              <w:t>（3）声环境</w:t>
            </w:r>
            <w:r>
              <w:rPr>
                <w:b/>
                <w:bCs/>
                <w:szCs w:val="21"/>
              </w:rPr>
              <w:t>影响分析</w:t>
            </w:r>
          </w:p>
          <w:p>
            <w:pPr>
              <w:widowControl/>
              <w:adjustRightInd w:val="0"/>
              <w:snapToGrid w:val="0"/>
              <w:spacing w:line="360" w:lineRule="auto"/>
              <w:ind w:firstLine="420" w:firstLineChars="200"/>
              <w:rPr>
                <w:szCs w:val="21"/>
              </w:rPr>
            </w:pPr>
            <w:r>
              <w:rPr>
                <w:szCs w:val="21"/>
              </w:rPr>
              <w:t>固定声源的噪声向周围传播过程中，会发生反射、折射、衍射、吸收等现象。因此，随传播距离的增加而产生的衰减量并不按简单的几何规律计算。根据《环境影响评价技术导则-声环境》（HJ2.4-2021）对室内声源的预测方法，声源位于室内，室内声源可采用等效室外声源声功率级法进行计算。</w:t>
            </w:r>
          </w:p>
          <w:p>
            <w:pPr>
              <w:widowControl/>
              <w:adjustRightInd w:val="0"/>
              <w:snapToGrid w:val="0"/>
              <w:spacing w:line="360" w:lineRule="auto"/>
              <w:ind w:firstLine="525" w:firstLineChars="250"/>
              <w:rPr>
                <w:szCs w:val="21"/>
              </w:rPr>
            </w:pPr>
            <w:r>
              <w:rPr>
                <w:szCs w:val="21"/>
              </w:rPr>
              <w:t>（1）预测模型</w:t>
            </w:r>
          </w:p>
          <w:p>
            <w:pPr>
              <w:widowControl/>
              <w:adjustRightInd w:val="0"/>
              <w:snapToGrid w:val="0"/>
              <w:spacing w:line="360" w:lineRule="auto"/>
              <w:ind w:firstLine="525" w:firstLineChars="250"/>
              <w:rPr>
                <w:szCs w:val="21"/>
              </w:rPr>
            </w:pPr>
            <w:r>
              <w:rPr>
                <w:szCs w:val="21"/>
              </w:rPr>
              <w:t>①计算某一室内声源靠近围护结构处产生的倍频带声压级：</w:t>
            </w:r>
          </w:p>
          <w:p>
            <w:pPr>
              <w:widowControl/>
              <w:spacing w:line="360" w:lineRule="auto"/>
              <w:jc w:val="center"/>
              <w:rPr>
                <w:bCs/>
                <w:szCs w:val="21"/>
              </w:rPr>
            </w:pPr>
            <w:r>
              <w:rPr>
                <w:bCs/>
                <w:szCs w:val="21"/>
              </w:rPr>
              <w:object>
                <v:shape id="_x0000_i1025" o:spt="75" type="#_x0000_t75" style="height:27pt;width:120pt;" o:ole="t" filled="f" coordsize="21600,21600">
                  <v:path/>
                  <v:fill on="f" focussize="0,0"/>
                  <v:stroke/>
                  <v:imagedata r:id="rId11" o:title=""/>
                  <o:lock v:ext="edit" aspectratio="t"/>
                  <w10:wrap type="none"/>
                  <w10:anchorlock/>
                </v:shape>
                <o:OLEObject Type="Embed" ProgID="Equation.3" ShapeID="_x0000_i1025" DrawAspect="Content" ObjectID="_1468075725" r:id="rId10">
                  <o:LockedField>false</o:LockedField>
                </o:OLEObject>
              </w:object>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Q——指向性因数：通常对无指向性声源，当声源放在房间中心时，Q=1；当放在一面墙的中心时，Q=2；当放在两面墙夹角时，Q=4；当放在三面墙夹角处时，Q=8。</w:t>
            </w:r>
          </w:p>
          <w:p>
            <w:pPr>
              <w:widowControl/>
              <w:spacing w:line="360" w:lineRule="auto"/>
              <w:ind w:firstLine="525" w:firstLineChars="250"/>
              <w:rPr>
                <w:szCs w:val="21"/>
              </w:rPr>
            </w:pPr>
            <w:r>
              <w:rPr>
                <w:szCs w:val="21"/>
              </w:rPr>
              <w:t>R——房间常数：R=Sa/(1-a)，S为房间内表面面积，m</w:t>
            </w:r>
            <w:r>
              <w:rPr>
                <w:szCs w:val="21"/>
                <w:vertAlign w:val="superscript"/>
              </w:rPr>
              <w:t>2</w:t>
            </w:r>
            <w:r>
              <w:rPr>
                <w:szCs w:val="21"/>
              </w:rPr>
              <w:t>；a为平均吸声系数。</w:t>
            </w:r>
          </w:p>
          <w:p>
            <w:pPr>
              <w:widowControl/>
              <w:spacing w:line="360" w:lineRule="auto"/>
              <w:ind w:firstLine="525" w:firstLineChars="250"/>
              <w:rPr>
                <w:szCs w:val="21"/>
              </w:rPr>
            </w:pPr>
            <w:r>
              <w:rPr>
                <w:szCs w:val="21"/>
              </w:rPr>
              <w:t>r——声源到靠近围护结构某点处的距离，m。</w:t>
            </w:r>
          </w:p>
          <w:p>
            <w:pPr>
              <w:widowControl/>
              <w:spacing w:line="360" w:lineRule="auto"/>
              <w:ind w:firstLine="525" w:firstLineChars="250"/>
              <w:rPr>
                <w:szCs w:val="21"/>
              </w:rPr>
            </w:pPr>
            <w:r>
              <w:rPr>
                <w:szCs w:val="21"/>
              </w:rPr>
              <w:t>②计算出所有室内声源在围护结构处产生的i倍频带叠加声压级：</w:t>
            </w:r>
          </w:p>
          <w:p>
            <w:pPr>
              <w:widowControl/>
              <w:spacing w:line="360" w:lineRule="auto"/>
              <w:jc w:val="center"/>
              <w:rPr>
                <w:bCs/>
                <w:szCs w:val="21"/>
              </w:rPr>
            </w:pPr>
            <w:r>
              <w:rPr>
                <w:bCs/>
                <w:szCs w:val="21"/>
              </w:rPr>
              <w:drawing>
                <wp:inline distT="0" distB="0" distL="0" distR="0">
                  <wp:extent cx="1645920" cy="472440"/>
                  <wp:effectExtent l="0" t="0" r="0" b="381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45920" cy="47244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L</w:t>
            </w:r>
            <w:r>
              <w:rPr>
                <w:szCs w:val="21"/>
                <w:vertAlign w:val="subscript"/>
              </w:rPr>
              <w:t>P1i</w:t>
            </w:r>
            <w:r>
              <w:rPr>
                <w:szCs w:val="21"/>
              </w:rPr>
              <w:t>(T)——靠近围护结构处室内N个声源i倍频带的叠加声压级，dB；</w:t>
            </w:r>
          </w:p>
          <w:p>
            <w:pPr>
              <w:widowControl/>
              <w:spacing w:line="360" w:lineRule="auto"/>
              <w:ind w:firstLine="525" w:firstLineChars="250"/>
              <w:rPr>
                <w:szCs w:val="21"/>
              </w:rPr>
            </w:pPr>
            <w:r>
              <w:rPr>
                <w:szCs w:val="21"/>
              </w:rPr>
              <w:t>L</w:t>
            </w:r>
            <w:r>
              <w:rPr>
                <w:szCs w:val="21"/>
                <w:vertAlign w:val="subscript"/>
              </w:rPr>
              <w:t>P1ij</w:t>
            </w:r>
            <w:r>
              <w:rPr>
                <w:szCs w:val="21"/>
              </w:rPr>
              <w:t>——室内j声源i倍频带的声压级，dB；</w:t>
            </w:r>
          </w:p>
          <w:p>
            <w:pPr>
              <w:widowControl/>
              <w:spacing w:line="360" w:lineRule="auto"/>
              <w:ind w:firstLine="525" w:firstLineChars="250"/>
              <w:rPr>
                <w:szCs w:val="21"/>
              </w:rPr>
            </w:pPr>
            <w:r>
              <w:rPr>
                <w:szCs w:val="21"/>
              </w:rPr>
              <w:t>③在室内近似为扩散声场地，按下式计算出靠近室外围护结构处的声压级：</w:t>
            </w:r>
          </w:p>
          <w:p>
            <w:pPr>
              <w:widowControl/>
              <w:spacing w:line="360" w:lineRule="auto"/>
              <w:jc w:val="center"/>
              <w:rPr>
                <w:bCs/>
                <w:szCs w:val="21"/>
              </w:rPr>
            </w:pPr>
            <w:r>
              <w:rPr>
                <w:bCs/>
                <w:position w:val="-16"/>
                <w:szCs w:val="21"/>
              </w:rPr>
              <w:drawing>
                <wp:inline distT="0" distB="0" distL="0" distR="0">
                  <wp:extent cx="1760220" cy="259080"/>
                  <wp:effectExtent l="0" t="0" r="0" b="762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60220" cy="25908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L</w:t>
            </w:r>
            <w:r>
              <w:rPr>
                <w:szCs w:val="21"/>
                <w:vertAlign w:val="subscript"/>
              </w:rPr>
              <w:t>P2i</w:t>
            </w:r>
            <w:r>
              <w:rPr>
                <w:szCs w:val="21"/>
              </w:rPr>
              <w:t>(T)——靠近围护结构处室外N个声源i倍频带的叠加声压级，dB；</w:t>
            </w:r>
          </w:p>
          <w:p>
            <w:pPr>
              <w:widowControl/>
              <w:spacing w:line="360" w:lineRule="auto"/>
              <w:ind w:firstLine="525" w:firstLineChars="250"/>
              <w:rPr>
                <w:szCs w:val="21"/>
              </w:rPr>
            </w:pPr>
            <w:r>
              <w:rPr>
                <w:szCs w:val="21"/>
              </w:rPr>
              <w:t>TL</w:t>
            </w:r>
            <w:r>
              <w:rPr>
                <w:szCs w:val="21"/>
                <w:vertAlign w:val="subscript"/>
              </w:rPr>
              <w:t>i</w:t>
            </w:r>
            <w:r>
              <w:rPr>
                <w:szCs w:val="21"/>
              </w:rPr>
              <w:t>——围护结构i倍频带的隔声量，dB；</w:t>
            </w:r>
          </w:p>
          <w:p>
            <w:pPr>
              <w:widowControl/>
              <w:spacing w:line="360" w:lineRule="auto"/>
              <w:ind w:firstLine="525" w:firstLineChars="250"/>
              <w:rPr>
                <w:szCs w:val="21"/>
              </w:rPr>
            </w:pPr>
            <w:r>
              <w:rPr>
                <w:szCs w:val="21"/>
              </w:rPr>
              <w:t>④将室外声源的声压级和透过面积换算成等效的室外声源，计算出中心位置位于透声面积（S）处的等效声源的倍频带声功率级。</w:t>
            </w:r>
          </w:p>
          <w:p>
            <w:pPr>
              <w:widowControl/>
              <w:spacing w:line="360" w:lineRule="auto"/>
              <w:jc w:val="center"/>
              <w:rPr>
                <w:bCs/>
                <w:szCs w:val="21"/>
              </w:rPr>
            </w:pPr>
            <w:r>
              <w:rPr>
                <w:bCs/>
                <w:position w:val="-12"/>
                <w:szCs w:val="21"/>
              </w:rPr>
              <w:drawing>
                <wp:inline distT="0" distB="0" distL="0" distR="0">
                  <wp:extent cx="1303020" cy="228600"/>
                  <wp:effectExtent l="0" t="0" r="0" b="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03020" cy="228600"/>
                          </a:xfrm>
                          <a:prstGeom prst="rect">
                            <a:avLst/>
                          </a:prstGeom>
                          <a:noFill/>
                          <a:ln>
                            <a:noFill/>
                          </a:ln>
                        </pic:spPr>
                      </pic:pic>
                    </a:graphicData>
                  </a:graphic>
                </wp:inline>
              </w:drawing>
            </w:r>
          </w:p>
          <w:p>
            <w:pPr>
              <w:widowControl/>
              <w:spacing w:line="360" w:lineRule="auto"/>
              <w:ind w:firstLine="525" w:firstLineChars="250"/>
              <w:rPr>
                <w:szCs w:val="21"/>
              </w:rPr>
            </w:pPr>
            <w:r>
              <w:rPr>
                <w:szCs w:val="21"/>
              </w:rPr>
              <w:t>⑤按室外声源预测方法计算预测点处的A声级。</w:t>
            </w:r>
          </w:p>
          <w:p>
            <w:pPr>
              <w:widowControl/>
              <w:spacing w:line="360" w:lineRule="auto"/>
              <w:ind w:firstLine="525" w:firstLineChars="250"/>
              <w:rPr>
                <w:szCs w:val="21"/>
              </w:rPr>
            </w:pPr>
            <w:r>
              <w:rPr>
                <w:szCs w:val="21"/>
              </w:rPr>
              <w:t>设第i个室外声源在预测点产生的A声级为L</w:t>
            </w:r>
            <w:r>
              <w:rPr>
                <w:szCs w:val="21"/>
                <w:vertAlign w:val="subscript"/>
              </w:rPr>
              <w:t>Ai</w:t>
            </w:r>
            <w:r>
              <w:rPr>
                <w:szCs w:val="21"/>
              </w:rPr>
              <w:t>，在T时间内该声源工作时间为t</w:t>
            </w:r>
            <w:r>
              <w:rPr>
                <w:szCs w:val="21"/>
                <w:vertAlign w:val="subscript"/>
              </w:rPr>
              <w:t>i</w:t>
            </w:r>
            <w:r>
              <w:rPr>
                <w:szCs w:val="21"/>
              </w:rPr>
              <w:t>；第j个等效室外声源在预测点产生的A声级为L</w:t>
            </w:r>
            <w:r>
              <w:rPr>
                <w:szCs w:val="21"/>
                <w:vertAlign w:val="subscript"/>
              </w:rPr>
              <w:t>Aj</w:t>
            </w:r>
            <w:r>
              <w:rPr>
                <w:szCs w:val="21"/>
              </w:rPr>
              <w:t>，在T时间内该声源工作时间为t</w:t>
            </w:r>
            <w:r>
              <w:rPr>
                <w:szCs w:val="21"/>
                <w:vertAlign w:val="subscript"/>
              </w:rPr>
              <w:t>j</w:t>
            </w:r>
            <w:r>
              <w:rPr>
                <w:szCs w:val="21"/>
              </w:rPr>
              <w:t>，则拟建工程声源对预测点产生的贡献值（L</w:t>
            </w:r>
            <w:r>
              <w:rPr>
                <w:szCs w:val="21"/>
                <w:vertAlign w:val="subscript"/>
              </w:rPr>
              <w:t>eqg</w:t>
            </w:r>
            <w:r>
              <w:rPr>
                <w:szCs w:val="21"/>
              </w:rPr>
              <w:t>）为：</w:t>
            </w:r>
          </w:p>
          <w:p>
            <w:pPr>
              <w:widowControl/>
              <w:spacing w:line="360" w:lineRule="auto"/>
              <w:jc w:val="center"/>
              <w:rPr>
                <w:bCs/>
                <w:szCs w:val="21"/>
              </w:rPr>
            </w:pPr>
            <w:r>
              <w:rPr>
                <w:bCs/>
                <w:szCs w:val="21"/>
              </w:rPr>
              <w:drawing>
                <wp:inline distT="0" distB="0" distL="0" distR="0">
                  <wp:extent cx="2674620" cy="518160"/>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74620" cy="5181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t</w:t>
            </w:r>
            <w:r>
              <w:rPr>
                <w:szCs w:val="21"/>
                <w:vertAlign w:val="subscript"/>
              </w:rPr>
              <w:t>j</w:t>
            </w:r>
            <w:r>
              <w:rPr>
                <w:szCs w:val="21"/>
              </w:rPr>
              <w:t>——在T时间内j声源工作时间，s；</w:t>
            </w:r>
          </w:p>
          <w:p>
            <w:pPr>
              <w:widowControl/>
              <w:spacing w:line="360" w:lineRule="auto"/>
              <w:ind w:firstLine="525" w:firstLineChars="250"/>
              <w:rPr>
                <w:szCs w:val="21"/>
              </w:rPr>
            </w:pPr>
            <w:r>
              <w:rPr>
                <w:szCs w:val="21"/>
              </w:rPr>
              <w:t>t</w:t>
            </w:r>
            <w:r>
              <w:rPr>
                <w:szCs w:val="21"/>
                <w:vertAlign w:val="subscript"/>
              </w:rPr>
              <w:t>i</w:t>
            </w:r>
            <w:r>
              <w:rPr>
                <w:szCs w:val="21"/>
              </w:rPr>
              <w:t>——在T时间内i声源工作时间，s；</w:t>
            </w:r>
          </w:p>
          <w:p>
            <w:pPr>
              <w:widowControl/>
              <w:spacing w:line="360" w:lineRule="auto"/>
              <w:ind w:firstLine="525" w:firstLineChars="250"/>
              <w:rPr>
                <w:szCs w:val="21"/>
              </w:rPr>
            </w:pPr>
            <w:r>
              <w:rPr>
                <w:szCs w:val="21"/>
              </w:rPr>
              <w:t>T——用于计算等效声级的时间，s；</w:t>
            </w:r>
          </w:p>
          <w:p>
            <w:pPr>
              <w:widowControl/>
              <w:spacing w:line="360" w:lineRule="auto"/>
              <w:ind w:firstLine="525" w:firstLineChars="250"/>
              <w:rPr>
                <w:szCs w:val="21"/>
              </w:rPr>
            </w:pPr>
            <w:r>
              <w:rPr>
                <w:szCs w:val="21"/>
              </w:rPr>
              <w:t>N——室外声源个数；</w:t>
            </w:r>
          </w:p>
          <w:p>
            <w:pPr>
              <w:widowControl/>
              <w:spacing w:line="360" w:lineRule="auto"/>
              <w:ind w:firstLine="525" w:firstLineChars="250"/>
              <w:rPr>
                <w:szCs w:val="21"/>
              </w:rPr>
            </w:pPr>
            <w:r>
              <w:rPr>
                <w:szCs w:val="21"/>
              </w:rPr>
              <w:t>M——等效室外声源个数；</w:t>
            </w:r>
          </w:p>
          <w:p>
            <w:pPr>
              <w:widowControl/>
              <w:spacing w:line="360" w:lineRule="auto"/>
              <w:ind w:firstLine="525" w:firstLineChars="250"/>
              <w:rPr>
                <w:szCs w:val="21"/>
              </w:rPr>
            </w:pPr>
            <w:r>
              <w:rPr>
                <w:szCs w:val="21"/>
              </w:rPr>
              <w:t>⑥预测点的预测等效声级（Leq）计算：</w:t>
            </w:r>
          </w:p>
          <w:p>
            <w:pPr>
              <w:widowControl/>
              <w:spacing w:line="360" w:lineRule="auto"/>
              <w:jc w:val="center"/>
              <w:rPr>
                <w:bCs/>
                <w:szCs w:val="21"/>
              </w:rPr>
            </w:pPr>
            <w:r>
              <w:rPr>
                <w:bCs/>
                <w:szCs w:val="21"/>
              </w:rPr>
              <w:drawing>
                <wp:inline distT="0" distB="0" distL="0" distR="0">
                  <wp:extent cx="1874520" cy="28956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74520" cy="2895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式中：L</w:t>
            </w:r>
            <w:r>
              <w:rPr>
                <w:szCs w:val="21"/>
                <w:vertAlign w:val="subscript"/>
              </w:rPr>
              <w:t>eq</w:t>
            </w:r>
            <w:r>
              <w:rPr>
                <w:szCs w:val="21"/>
              </w:rPr>
              <w:t>——建设项目声源在预测点的等效声级贡献量，dB(A)；</w:t>
            </w:r>
          </w:p>
          <w:p>
            <w:pPr>
              <w:widowControl/>
              <w:spacing w:line="360" w:lineRule="auto"/>
              <w:ind w:firstLine="525" w:firstLineChars="250"/>
              <w:rPr>
                <w:szCs w:val="21"/>
              </w:rPr>
            </w:pPr>
            <w:r>
              <w:rPr>
                <w:szCs w:val="21"/>
              </w:rPr>
              <w:t>L</w:t>
            </w:r>
            <w:r>
              <w:rPr>
                <w:szCs w:val="21"/>
                <w:vertAlign w:val="subscript"/>
              </w:rPr>
              <w:t>eqb</w:t>
            </w:r>
            <w:r>
              <w:rPr>
                <w:szCs w:val="21"/>
              </w:rPr>
              <w:t>——预测点背景值，dB(A)；</w:t>
            </w:r>
          </w:p>
          <w:p>
            <w:pPr>
              <w:widowControl/>
              <w:spacing w:line="360" w:lineRule="auto"/>
              <w:ind w:firstLine="525" w:firstLineChars="250"/>
              <w:rPr>
                <w:szCs w:val="21"/>
              </w:rPr>
            </w:pPr>
            <w:r>
              <w:rPr>
                <w:szCs w:val="21"/>
              </w:rPr>
              <w:fldChar w:fldCharType="begin"/>
            </w:r>
            <w:r>
              <w:rPr>
                <w:szCs w:val="21"/>
              </w:rPr>
              <w:instrText xml:space="preserve"> = 7 \* GB3 </w:instrText>
            </w:r>
            <w:r>
              <w:rPr>
                <w:szCs w:val="21"/>
              </w:rPr>
              <w:fldChar w:fldCharType="separate"/>
            </w:r>
            <w:r>
              <w:rPr>
                <w:szCs w:val="21"/>
              </w:rPr>
              <w:t>⑦</w:t>
            </w:r>
            <w:r>
              <w:rPr>
                <w:szCs w:val="21"/>
              </w:rPr>
              <w:fldChar w:fldCharType="end"/>
            </w:r>
            <w:r>
              <w:rPr>
                <w:szCs w:val="21"/>
              </w:rPr>
              <w:t>预测值计算采用点声源的半自由声场几何发散衰减公式：</w:t>
            </w:r>
          </w:p>
          <w:p>
            <w:pPr>
              <w:widowControl/>
              <w:spacing w:line="360" w:lineRule="auto"/>
              <w:ind w:firstLine="63" w:firstLineChars="30"/>
              <w:jc w:val="center"/>
              <w:rPr>
                <w:szCs w:val="21"/>
              </w:rPr>
            </w:pPr>
            <w:r>
              <w:rPr>
                <w:position w:val="-24"/>
                <w:szCs w:val="21"/>
              </w:rPr>
              <w:drawing>
                <wp:inline distT="0" distB="0" distL="0" distR="0">
                  <wp:extent cx="2004060" cy="36576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04060" cy="3657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式中：L</w:t>
            </w:r>
            <w:r>
              <w:rPr>
                <w:szCs w:val="21"/>
                <w:vertAlign w:val="subscript"/>
              </w:rPr>
              <w:t>oct(r)</w:t>
            </w:r>
            <w:r>
              <w:rPr>
                <w:szCs w:val="21"/>
              </w:rPr>
              <w:t>—点声源在预测点产生的倍频带声压级；</w:t>
            </w:r>
          </w:p>
          <w:p>
            <w:pPr>
              <w:widowControl/>
              <w:spacing w:line="360" w:lineRule="auto"/>
              <w:ind w:firstLine="525" w:firstLineChars="250"/>
              <w:rPr>
                <w:szCs w:val="21"/>
              </w:rPr>
            </w:pPr>
            <w:r>
              <w:rPr>
                <w:szCs w:val="21"/>
              </w:rPr>
              <w:t>L</w:t>
            </w:r>
            <w:r>
              <w:rPr>
                <w:szCs w:val="21"/>
                <w:vertAlign w:val="subscript"/>
              </w:rPr>
              <w:t>oct(r0)</w:t>
            </w:r>
            <w:r>
              <w:rPr>
                <w:szCs w:val="21"/>
              </w:rPr>
              <w:t>—参考位置r</w:t>
            </w:r>
            <w:r>
              <w:rPr>
                <w:szCs w:val="21"/>
                <w:vertAlign w:val="subscript"/>
              </w:rPr>
              <w:t>0</w:t>
            </w:r>
            <w:r>
              <w:rPr>
                <w:szCs w:val="21"/>
              </w:rPr>
              <w:t>处的倍频带声压级；</w:t>
            </w:r>
          </w:p>
          <w:p>
            <w:pPr>
              <w:widowControl/>
              <w:spacing w:line="360" w:lineRule="auto"/>
              <w:ind w:firstLine="525" w:firstLineChars="250"/>
              <w:rPr>
                <w:szCs w:val="21"/>
              </w:rPr>
            </w:pPr>
            <w:r>
              <w:rPr>
                <w:szCs w:val="21"/>
              </w:rPr>
              <w:t>r—预测点距声源的距离，m；</w:t>
            </w:r>
          </w:p>
          <w:p>
            <w:pPr>
              <w:widowControl/>
              <w:spacing w:line="360" w:lineRule="auto"/>
              <w:ind w:firstLine="525" w:firstLineChars="250"/>
              <w:rPr>
                <w:szCs w:val="21"/>
              </w:rPr>
            </w:pPr>
            <w:r>
              <w:rPr>
                <w:szCs w:val="21"/>
              </w:rPr>
              <w:t>r</w:t>
            </w:r>
            <w:r>
              <w:rPr>
                <w:szCs w:val="21"/>
                <w:vertAlign w:val="subscript"/>
              </w:rPr>
              <w:t>0</w:t>
            </w:r>
            <w:r>
              <w:rPr>
                <w:szCs w:val="21"/>
              </w:rPr>
              <w:t>—参考位置距声源的距离，m；r</w:t>
            </w:r>
            <w:r>
              <w:rPr>
                <w:szCs w:val="21"/>
                <w:vertAlign w:val="subscript"/>
              </w:rPr>
              <w:t>0</w:t>
            </w:r>
            <w:r>
              <w:rPr>
                <w:szCs w:val="21"/>
              </w:rPr>
              <w:t>=1</w:t>
            </w:r>
          </w:p>
          <w:p>
            <w:pPr>
              <w:widowControl/>
              <w:spacing w:line="360" w:lineRule="auto"/>
              <w:ind w:firstLine="525" w:firstLineChars="250"/>
              <w:rPr>
                <w:szCs w:val="21"/>
              </w:rPr>
            </w:pPr>
            <w:r>
              <w:rPr>
                <w:szCs w:val="21"/>
              </w:rPr>
              <w:t>综上分析，上式可简化为：</w:t>
            </w:r>
          </w:p>
          <w:p>
            <w:pPr>
              <w:widowControl/>
              <w:spacing w:line="360" w:lineRule="auto"/>
              <w:jc w:val="center"/>
              <w:rPr>
                <w:szCs w:val="21"/>
              </w:rPr>
            </w:pPr>
            <w:r>
              <w:rPr>
                <w:position w:val="-14"/>
                <w:szCs w:val="21"/>
              </w:rPr>
              <w:drawing>
                <wp:inline distT="0" distB="0" distL="0" distR="0">
                  <wp:extent cx="1874520" cy="259080"/>
                  <wp:effectExtent l="0" t="0" r="0" b="762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74520" cy="259080"/>
                          </a:xfrm>
                          <a:prstGeom prst="rect">
                            <a:avLst/>
                          </a:prstGeom>
                          <a:noFill/>
                          <a:ln>
                            <a:noFill/>
                          </a:ln>
                        </pic:spPr>
                      </pic:pic>
                    </a:graphicData>
                  </a:graphic>
                </wp:inline>
              </w:drawing>
            </w:r>
          </w:p>
          <w:p>
            <w:pPr>
              <w:widowControl/>
              <w:spacing w:line="360" w:lineRule="auto"/>
              <w:ind w:firstLine="420" w:firstLineChars="200"/>
              <w:rPr>
                <w:szCs w:val="21"/>
              </w:rPr>
            </w:pPr>
            <w:r>
              <w:rPr>
                <w:szCs w:val="21"/>
              </w:rPr>
              <w:t>通过上述预测模式，在采取措施后预测出项目声源在项目边界的噪声值，计算结果下表。</w:t>
            </w:r>
          </w:p>
          <w:p>
            <w:pPr>
              <w:widowControl/>
              <w:numPr>
                <w:ilvl w:val="0"/>
                <w:numId w:val="2"/>
              </w:numPr>
              <w:spacing w:line="360" w:lineRule="auto"/>
              <w:ind w:left="0"/>
              <w:jc w:val="center"/>
              <w:rPr>
                <w:b/>
                <w:szCs w:val="21"/>
              </w:rPr>
            </w:pPr>
            <w:r>
              <w:rPr>
                <w:b/>
                <w:szCs w:val="21"/>
              </w:rPr>
              <w:t>采取措施后项目声源在厂界</w:t>
            </w:r>
            <w:r>
              <w:rPr>
                <w:rFonts w:hint="eastAsia"/>
                <w:b/>
                <w:szCs w:val="21"/>
              </w:rPr>
              <w:t>和</w:t>
            </w:r>
            <w:r>
              <w:rPr>
                <w:b/>
                <w:szCs w:val="21"/>
              </w:rPr>
              <w:t>敏感点处的贡献值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68"/>
              <w:gridCol w:w="1079"/>
              <w:gridCol w:w="872"/>
              <w:gridCol w:w="815"/>
              <w:gridCol w:w="788"/>
              <w:gridCol w:w="842"/>
              <w:gridCol w:w="710"/>
              <w:gridCol w:w="749"/>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814" w:type="pct"/>
                  <w:vMerge w:val="restart"/>
                  <w:vAlign w:val="center"/>
                </w:tcPr>
                <w:p>
                  <w:pPr>
                    <w:widowControl/>
                    <w:adjustRightInd w:val="0"/>
                    <w:snapToGrid w:val="0"/>
                    <w:jc w:val="center"/>
                    <w:rPr>
                      <w:b/>
                      <w:spacing w:val="-2"/>
                      <w:sz w:val="18"/>
                      <w:szCs w:val="18"/>
                    </w:rPr>
                  </w:pPr>
                  <w:r>
                    <w:rPr>
                      <w:b/>
                      <w:spacing w:val="-2"/>
                      <w:sz w:val="18"/>
                      <w:szCs w:val="18"/>
                    </w:rPr>
                    <w:t>边界</w:t>
                  </w:r>
                </w:p>
              </w:tc>
              <w:tc>
                <w:tcPr>
                  <w:tcW w:w="694" w:type="pct"/>
                  <w:vMerge w:val="restart"/>
                  <w:vAlign w:val="center"/>
                </w:tcPr>
                <w:p>
                  <w:pPr>
                    <w:widowControl/>
                    <w:adjustRightInd w:val="0"/>
                    <w:snapToGrid w:val="0"/>
                    <w:jc w:val="center"/>
                    <w:rPr>
                      <w:b/>
                      <w:spacing w:val="-2"/>
                      <w:sz w:val="18"/>
                      <w:szCs w:val="18"/>
                    </w:rPr>
                  </w:pPr>
                  <w:r>
                    <w:rPr>
                      <w:b/>
                      <w:spacing w:val="-2"/>
                      <w:sz w:val="18"/>
                      <w:szCs w:val="18"/>
                    </w:rPr>
                    <w:t>与</w:t>
                  </w:r>
                  <w:r>
                    <w:rPr>
                      <w:rFonts w:hint="eastAsia"/>
                      <w:b/>
                      <w:spacing w:val="-2"/>
                      <w:sz w:val="18"/>
                      <w:szCs w:val="18"/>
                    </w:rPr>
                    <w:t>项目</w:t>
                  </w:r>
                  <w:r>
                    <w:rPr>
                      <w:b/>
                      <w:spacing w:val="-2"/>
                      <w:sz w:val="18"/>
                      <w:szCs w:val="18"/>
                    </w:rPr>
                    <w:t>边界距离/m</w:t>
                  </w:r>
                </w:p>
              </w:tc>
              <w:tc>
                <w:tcPr>
                  <w:tcW w:w="641" w:type="pct"/>
                  <w:vMerge w:val="restart"/>
                  <w:vAlign w:val="center"/>
                </w:tcPr>
                <w:p>
                  <w:pPr>
                    <w:widowControl/>
                    <w:adjustRightInd w:val="0"/>
                    <w:snapToGrid w:val="0"/>
                    <w:jc w:val="center"/>
                    <w:rPr>
                      <w:b/>
                      <w:spacing w:val="-2"/>
                      <w:sz w:val="18"/>
                      <w:szCs w:val="18"/>
                    </w:rPr>
                  </w:pPr>
                  <w:r>
                    <w:rPr>
                      <w:b/>
                      <w:spacing w:val="-2"/>
                      <w:sz w:val="18"/>
                      <w:szCs w:val="18"/>
                    </w:rPr>
                    <w:t>车间噪声贡献/dB(A)</w:t>
                  </w:r>
                </w:p>
              </w:tc>
              <w:tc>
                <w:tcPr>
                  <w:tcW w:w="1002" w:type="pct"/>
                  <w:gridSpan w:val="2"/>
                  <w:vAlign w:val="center"/>
                </w:tcPr>
                <w:p>
                  <w:pPr>
                    <w:widowControl/>
                    <w:adjustRightInd w:val="0"/>
                    <w:snapToGrid w:val="0"/>
                    <w:jc w:val="center"/>
                    <w:rPr>
                      <w:b/>
                      <w:spacing w:val="-2"/>
                      <w:sz w:val="18"/>
                      <w:szCs w:val="18"/>
                    </w:rPr>
                  </w:pPr>
                  <w:r>
                    <w:rPr>
                      <w:b/>
                      <w:spacing w:val="-2"/>
                      <w:sz w:val="18"/>
                      <w:szCs w:val="18"/>
                    </w:rPr>
                    <w:t>现状噪声值/dB(A)</w:t>
                  </w:r>
                </w:p>
              </w:tc>
              <w:tc>
                <w:tcPr>
                  <w:tcW w:w="968" w:type="pct"/>
                  <w:gridSpan w:val="2"/>
                  <w:vAlign w:val="center"/>
                </w:tcPr>
                <w:p>
                  <w:pPr>
                    <w:widowControl/>
                    <w:adjustRightInd w:val="0"/>
                    <w:snapToGrid w:val="0"/>
                    <w:jc w:val="center"/>
                    <w:rPr>
                      <w:b/>
                      <w:spacing w:val="-2"/>
                      <w:sz w:val="18"/>
                      <w:szCs w:val="18"/>
                    </w:rPr>
                  </w:pPr>
                  <w:r>
                    <w:rPr>
                      <w:b/>
                      <w:spacing w:val="-2"/>
                      <w:sz w:val="18"/>
                      <w:szCs w:val="18"/>
                    </w:rPr>
                    <w:t>预测值/dB(A)</w:t>
                  </w:r>
                </w:p>
              </w:tc>
              <w:tc>
                <w:tcPr>
                  <w:tcW w:w="867" w:type="pct"/>
                  <w:gridSpan w:val="2"/>
                  <w:vAlign w:val="center"/>
                </w:tcPr>
                <w:p>
                  <w:pPr>
                    <w:widowControl/>
                    <w:adjustRightInd w:val="0"/>
                    <w:snapToGrid w:val="0"/>
                    <w:jc w:val="center"/>
                    <w:rPr>
                      <w:b/>
                      <w:spacing w:val="-2"/>
                      <w:sz w:val="18"/>
                      <w:szCs w:val="18"/>
                    </w:rPr>
                  </w:pPr>
                  <w:r>
                    <w:rPr>
                      <w:b/>
                      <w:spacing w:val="-2"/>
                      <w:sz w:val="18"/>
                      <w:szCs w:val="18"/>
                    </w:rPr>
                    <w:t>执行标准/dB(A)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pct"/>
                <w:trHeight w:val="340" w:hRule="atLeast"/>
                <w:jc w:val="center"/>
              </w:trPr>
              <w:tc>
                <w:tcPr>
                  <w:tcW w:w="814" w:type="pct"/>
                  <w:vMerge w:val="continue"/>
                  <w:vAlign w:val="center"/>
                </w:tcPr>
                <w:p>
                  <w:pPr>
                    <w:rPr>
                      <w:sz w:val="18"/>
                      <w:szCs w:val="18"/>
                    </w:rPr>
                  </w:pPr>
                </w:p>
              </w:tc>
              <w:tc>
                <w:tcPr>
                  <w:tcW w:w="694" w:type="pct"/>
                  <w:vMerge w:val="continue"/>
                  <w:vAlign w:val="center"/>
                </w:tcPr>
                <w:p>
                  <w:pPr>
                    <w:rPr>
                      <w:sz w:val="18"/>
                      <w:szCs w:val="18"/>
                    </w:rPr>
                  </w:pPr>
                </w:p>
              </w:tc>
              <w:tc>
                <w:tcPr>
                  <w:tcW w:w="641" w:type="pct"/>
                  <w:vMerge w:val="continue"/>
                  <w:vAlign w:val="center"/>
                </w:tcPr>
                <w:p>
                  <w:pPr>
                    <w:rPr>
                      <w:sz w:val="18"/>
                      <w:szCs w:val="18"/>
                    </w:rPr>
                  </w:pPr>
                </w:p>
              </w:tc>
              <w:tc>
                <w:tcPr>
                  <w:tcW w:w="518" w:type="pct"/>
                  <w:vAlign w:val="center"/>
                </w:tcPr>
                <w:p>
                  <w:pPr>
                    <w:widowControl/>
                    <w:adjustRightInd w:val="0"/>
                    <w:snapToGrid w:val="0"/>
                    <w:jc w:val="center"/>
                    <w:rPr>
                      <w:b/>
                      <w:spacing w:val="-2"/>
                      <w:sz w:val="18"/>
                      <w:szCs w:val="18"/>
                    </w:rPr>
                  </w:pPr>
                  <w:r>
                    <w:rPr>
                      <w:b/>
                      <w:spacing w:val="-2"/>
                      <w:sz w:val="18"/>
                      <w:szCs w:val="18"/>
                    </w:rPr>
                    <w:t>昼间</w:t>
                  </w:r>
                </w:p>
              </w:tc>
              <w:tc>
                <w:tcPr>
                  <w:tcW w:w="484" w:type="pct"/>
                  <w:vAlign w:val="center"/>
                </w:tcPr>
                <w:p>
                  <w:pPr>
                    <w:widowControl/>
                    <w:adjustRightInd w:val="0"/>
                    <w:snapToGrid w:val="0"/>
                    <w:jc w:val="center"/>
                    <w:rPr>
                      <w:b/>
                      <w:spacing w:val="-2"/>
                      <w:sz w:val="18"/>
                      <w:szCs w:val="18"/>
                    </w:rPr>
                  </w:pPr>
                  <w:r>
                    <w:rPr>
                      <w:b/>
                      <w:spacing w:val="-2"/>
                      <w:sz w:val="18"/>
                      <w:szCs w:val="18"/>
                    </w:rPr>
                    <w:t>夜间</w:t>
                  </w:r>
                </w:p>
              </w:tc>
              <w:tc>
                <w:tcPr>
                  <w:tcW w:w="468" w:type="pct"/>
                  <w:vAlign w:val="center"/>
                </w:tcPr>
                <w:p>
                  <w:pPr>
                    <w:widowControl/>
                    <w:adjustRightInd w:val="0"/>
                    <w:snapToGrid w:val="0"/>
                    <w:jc w:val="center"/>
                    <w:rPr>
                      <w:b/>
                      <w:spacing w:val="-2"/>
                      <w:sz w:val="18"/>
                      <w:szCs w:val="18"/>
                    </w:rPr>
                  </w:pPr>
                  <w:r>
                    <w:rPr>
                      <w:b/>
                      <w:spacing w:val="-2"/>
                      <w:sz w:val="18"/>
                      <w:szCs w:val="18"/>
                    </w:rPr>
                    <w:t>昼间</w:t>
                  </w:r>
                </w:p>
              </w:tc>
              <w:tc>
                <w:tcPr>
                  <w:tcW w:w="500" w:type="pct"/>
                  <w:vAlign w:val="center"/>
                </w:tcPr>
                <w:p>
                  <w:pPr>
                    <w:widowControl/>
                    <w:adjustRightInd w:val="0"/>
                    <w:snapToGrid w:val="0"/>
                    <w:jc w:val="center"/>
                    <w:rPr>
                      <w:b/>
                      <w:spacing w:val="-2"/>
                      <w:sz w:val="18"/>
                      <w:szCs w:val="18"/>
                    </w:rPr>
                  </w:pPr>
                  <w:r>
                    <w:rPr>
                      <w:b/>
                      <w:spacing w:val="-2"/>
                      <w:sz w:val="18"/>
                      <w:szCs w:val="18"/>
                    </w:rPr>
                    <w:t>夜间</w:t>
                  </w:r>
                </w:p>
              </w:tc>
              <w:tc>
                <w:tcPr>
                  <w:tcW w:w="422" w:type="pct"/>
                  <w:vAlign w:val="center"/>
                </w:tcPr>
                <w:p>
                  <w:pPr>
                    <w:widowControl/>
                    <w:adjustRightInd w:val="0"/>
                    <w:snapToGrid w:val="0"/>
                    <w:jc w:val="center"/>
                    <w:rPr>
                      <w:b/>
                      <w:spacing w:val="-2"/>
                      <w:sz w:val="18"/>
                      <w:szCs w:val="18"/>
                    </w:rPr>
                  </w:pPr>
                  <w:r>
                    <w:rPr>
                      <w:b/>
                      <w:spacing w:val="-2"/>
                      <w:sz w:val="18"/>
                      <w:szCs w:val="18"/>
                    </w:rPr>
                    <w:t>昼间</w:t>
                  </w:r>
                </w:p>
              </w:tc>
              <w:tc>
                <w:tcPr>
                  <w:tcW w:w="445" w:type="pct"/>
                  <w:vAlign w:val="center"/>
                </w:tcPr>
                <w:p>
                  <w:pPr>
                    <w:widowControl/>
                    <w:adjustRightInd w:val="0"/>
                    <w:snapToGrid w:val="0"/>
                    <w:jc w:val="center"/>
                    <w:rPr>
                      <w:b/>
                      <w:spacing w:val="-2"/>
                      <w:sz w:val="18"/>
                      <w:szCs w:val="18"/>
                    </w:rPr>
                  </w:pPr>
                  <w:r>
                    <w:rPr>
                      <w:b/>
                      <w:spacing w:val="-2"/>
                      <w:sz w:val="18"/>
                      <w:szCs w:val="18"/>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pct"/>
                  <w:vAlign w:val="center"/>
                </w:tcPr>
                <w:p>
                  <w:pPr>
                    <w:widowControl/>
                    <w:adjustRightInd w:val="0"/>
                    <w:snapToGrid w:val="0"/>
                    <w:jc w:val="center"/>
                    <w:rPr>
                      <w:spacing w:val="-2"/>
                      <w:sz w:val="18"/>
                      <w:szCs w:val="18"/>
                    </w:rPr>
                  </w:pPr>
                  <w:r>
                    <w:rPr>
                      <w:spacing w:val="-2"/>
                      <w:sz w:val="18"/>
                      <w:szCs w:val="18"/>
                    </w:rPr>
                    <w:t>东边界</w:t>
                  </w:r>
                </w:p>
              </w:tc>
              <w:tc>
                <w:tcPr>
                  <w:tcW w:w="694" w:type="pct"/>
                  <w:vAlign w:val="center"/>
                </w:tcPr>
                <w:p>
                  <w:pPr>
                    <w:widowControl/>
                    <w:adjustRightInd w:val="0"/>
                    <w:snapToGrid w:val="0"/>
                    <w:jc w:val="center"/>
                    <w:rPr>
                      <w:spacing w:val="-2"/>
                      <w:sz w:val="18"/>
                      <w:szCs w:val="18"/>
                    </w:rPr>
                  </w:pPr>
                  <w:r>
                    <w:rPr>
                      <w:spacing w:val="-2"/>
                      <w:sz w:val="18"/>
                      <w:szCs w:val="18"/>
                    </w:rPr>
                    <w:t>1</w:t>
                  </w:r>
                </w:p>
              </w:tc>
              <w:tc>
                <w:tcPr>
                  <w:tcW w:w="641" w:type="pct"/>
                  <w:vAlign w:val="center"/>
                </w:tcPr>
                <w:p>
                  <w:pPr>
                    <w:widowControl/>
                    <w:adjustRightInd w:val="0"/>
                    <w:snapToGrid w:val="0"/>
                    <w:jc w:val="center"/>
                    <w:rPr>
                      <w:spacing w:val="-2"/>
                      <w:sz w:val="18"/>
                      <w:szCs w:val="18"/>
                    </w:rPr>
                  </w:pPr>
                  <w:r>
                    <w:rPr>
                      <w:spacing w:val="-2"/>
                      <w:sz w:val="18"/>
                      <w:szCs w:val="18"/>
                    </w:rPr>
                    <w:t>45.36</w:t>
                  </w:r>
                </w:p>
              </w:tc>
              <w:tc>
                <w:tcPr>
                  <w:tcW w:w="518" w:type="pct"/>
                  <w:vAlign w:val="center"/>
                </w:tcPr>
                <w:p>
                  <w:pPr>
                    <w:widowControl/>
                    <w:adjustRightInd w:val="0"/>
                    <w:snapToGrid w:val="0"/>
                    <w:jc w:val="center"/>
                    <w:rPr>
                      <w:spacing w:val="-2"/>
                      <w:sz w:val="18"/>
                      <w:szCs w:val="18"/>
                    </w:rPr>
                  </w:pPr>
                  <w:r>
                    <w:rPr>
                      <w:spacing w:val="-2"/>
                      <w:sz w:val="18"/>
                      <w:szCs w:val="18"/>
                    </w:rPr>
                    <w:t>/</w:t>
                  </w:r>
                </w:p>
              </w:tc>
              <w:tc>
                <w:tcPr>
                  <w:tcW w:w="484" w:type="pct"/>
                  <w:vAlign w:val="center"/>
                </w:tcPr>
                <w:p>
                  <w:pPr>
                    <w:widowControl/>
                    <w:adjustRightInd w:val="0"/>
                    <w:snapToGrid w:val="0"/>
                    <w:jc w:val="center"/>
                    <w:rPr>
                      <w:spacing w:val="-2"/>
                      <w:sz w:val="18"/>
                      <w:szCs w:val="18"/>
                    </w:rPr>
                  </w:pPr>
                  <w:r>
                    <w:rPr>
                      <w:spacing w:val="-2"/>
                      <w:sz w:val="18"/>
                      <w:szCs w:val="18"/>
                    </w:rPr>
                    <w:t>/</w:t>
                  </w:r>
                </w:p>
              </w:tc>
              <w:tc>
                <w:tcPr>
                  <w:tcW w:w="468" w:type="pct"/>
                  <w:vAlign w:val="center"/>
                </w:tcPr>
                <w:p>
                  <w:pPr>
                    <w:widowControl/>
                    <w:adjustRightInd w:val="0"/>
                    <w:snapToGrid w:val="0"/>
                    <w:jc w:val="center"/>
                    <w:rPr>
                      <w:spacing w:val="-2"/>
                      <w:sz w:val="18"/>
                      <w:szCs w:val="18"/>
                    </w:rPr>
                  </w:pPr>
                  <w:r>
                    <w:rPr>
                      <w:spacing w:val="-2"/>
                      <w:sz w:val="18"/>
                      <w:szCs w:val="18"/>
                    </w:rPr>
                    <w:t>/</w:t>
                  </w:r>
                </w:p>
              </w:tc>
              <w:tc>
                <w:tcPr>
                  <w:tcW w:w="500" w:type="pct"/>
                  <w:vAlign w:val="center"/>
                </w:tcPr>
                <w:p>
                  <w:pPr>
                    <w:widowControl/>
                    <w:adjustRightInd w:val="0"/>
                    <w:snapToGrid w:val="0"/>
                    <w:jc w:val="center"/>
                    <w:rPr>
                      <w:spacing w:val="-2"/>
                      <w:sz w:val="18"/>
                      <w:szCs w:val="18"/>
                    </w:rPr>
                  </w:pPr>
                  <w:r>
                    <w:rPr>
                      <w:spacing w:val="-2"/>
                      <w:sz w:val="18"/>
                      <w:szCs w:val="18"/>
                    </w:rPr>
                    <w:t>/</w:t>
                  </w:r>
                </w:p>
              </w:tc>
              <w:tc>
                <w:tcPr>
                  <w:tcW w:w="422" w:type="pct"/>
                  <w:vAlign w:val="center"/>
                </w:tcPr>
                <w:p>
                  <w:pPr>
                    <w:widowControl/>
                    <w:adjustRightInd w:val="0"/>
                    <w:snapToGrid w:val="0"/>
                    <w:jc w:val="center"/>
                    <w:rPr>
                      <w:spacing w:val="-2"/>
                      <w:sz w:val="18"/>
                      <w:szCs w:val="18"/>
                    </w:rPr>
                  </w:pPr>
                  <w:r>
                    <w:rPr>
                      <w:spacing w:val="-2"/>
                      <w:sz w:val="18"/>
                      <w:szCs w:val="18"/>
                    </w:rPr>
                    <w:t>60</w:t>
                  </w:r>
                </w:p>
              </w:tc>
              <w:tc>
                <w:tcPr>
                  <w:tcW w:w="458" w:type="pct"/>
                  <w:gridSpan w:val="2"/>
                  <w:vAlign w:val="center"/>
                </w:tcPr>
                <w:p>
                  <w:pPr>
                    <w:widowControl/>
                    <w:adjustRightInd w:val="0"/>
                    <w:snapToGrid w:val="0"/>
                    <w:jc w:val="center"/>
                    <w:rPr>
                      <w:spacing w:val="-2"/>
                      <w:sz w:val="18"/>
                      <w:szCs w:val="18"/>
                    </w:rPr>
                  </w:pPr>
                  <w:r>
                    <w:rPr>
                      <w:spacing w:val="-2"/>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pct"/>
                  <w:vAlign w:val="center"/>
                </w:tcPr>
                <w:p>
                  <w:pPr>
                    <w:widowControl/>
                    <w:adjustRightInd w:val="0"/>
                    <w:snapToGrid w:val="0"/>
                    <w:jc w:val="center"/>
                    <w:rPr>
                      <w:spacing w:val="-2"/>
                      <w:sz w:val="18"/>
                      <w:szCs w:val="18"/>
                    </w:rPr>
                  </w:pPr>
                  <w:r>
                    <w:rPr>
                      <w:spacing w:val="-2"/>
                      <w:sz w:val="18"/>
                      <w:szCs w:val="18"/>
                    </w:rPr>
                    <w:t>南边界</w:t>
                  </w:r>
                </w:p>
              </w:tc>
              <w:tc>
                <w:tcPr>
                  <w:tcW w:w="694" w:type="pct"/>
                  <w:vAlign w:val="center"/>
                </w:tcPr>
                <w:p>
                  <w:pPr>
                    <w:widowControl/>
                    <w:adjustRightInd w:val="0"/>
                    <w:snapToGrid w:val="0"/>
                    <w:jc w:val="center"/>
                    <w:rPr>
                      <w:spacing w:val="-2"/>
                      <w:sz w:val="18"/>
                      <w:szCs w:val="18"/>
                    </w:rPr>
                  </w:pPr>
                  <w:r>
                    <w:rPr>
                      <w:spacing w:val="-2"/>
                      <w:sz w:val="18"/>
                      <w:szCs w:val="18"/>
                    </w:rPr>
                    <w:t>1</w:t>
                  </w:r>
                </w:p>
              </w:tc>
              <w:tc>
                <w:tcPr>
                  <w:tcW w:w="641" w:type="pct"/>
                  <w:vAlign w:val="center"/>
                </w:tcPr>
                <w:p>
                  <w:pPr>
                    <w:widowControl/>
                    <w:adjustRightInd w:val="0"/>
                    <w:snapToGrid w:val="0"/>
                    <w:jc w:val="center"/>
                    <w:rPr>
                      <w:spacing w:val="-2"/>
                      <w:sz w:val="18"/>
                      <w:szCs w:val="18"/>
                    </w:rPr>
                  </w:pPr>
                  <w:r>
                    <w:rPr>
                      <w:spacing w:val="-2"/>
                      <w:sz w:val="18"/>
                      <w:szCs w:val="18"/>
                    </w:rPr>
                    <w:t>46.14</w:t>
                  </w:r>
                </w:p>
              </w:tc>
              <w:tc>
                <w:tcPr>
                  <w:tcW w:w="518" w:type="pct"/>
                  <w:vAlign w:val="center"/>
                </w:tcPr>
                <w:p>
                  <w:pPr>
                    <w:widowControl/>
                    <w:adjustRightInd w:val="0"/>
                    <w:snapToGrid w:val="0"/>
                    <w:jc w:val="center"/>
                    <w:rPr>
                      <w:spacing w:val="-2"/>
                      <w:sz w:val="18"/>
                      <w:szCs w:val="18"/>
                    </w:rPr>
                  </w:pPr>
                  <w:r>
                    <w:rPr>
                      <w:spacing w:val="-2"/>
                      <w:sz w:val="18"/>
                      <w:szCs w:val="18"/>
                    </w:rPr>
                    <w:t>/</w:t>
                  </w:r>
                </w:p>
              </w:tc>
              <w:tc>
                <w:tcPr>
                  <w:tcW w:w="484" w:type="pct"/>
                  <w:vAlign w:val="center"/>
                </w:tcPr>
                <w:p>
                  <w:pPr>
                    <w:widowControl/>
                    <w:adjustRightInd w:val="0"/>
                    <w:snapToGrid w:val="0"/>
                    <w:jc w:val="center"/>
                    <w:rPr>
                      <w:spacing w:val="-2"/>
                      <w:sz w:val="18"/>
                      <w:szCs w:val="18"/>
                    </w:rPr>
                  </w:pPr>
                  <w:r>
                    <w:rPr>
                      <w:spacing w:val="-2"/>
                      <w:sz w:val="18"/>
                      <w:szCs w:val="18"/>
                    </w:rPr>
                    <w:t>/</w:t>
                  </w:r>
                </w:p>
              </w:tc>
              <w:tc>
                <w:tcPr>
                  <w:tcW w:w="468" w:type="pct"/>
                  <w:vAlign w:val="center"/>
                </w:tcPr>
                <w:p>
                  <w:pPr>
                    <w:widowControl/>
                    <w:adjustRightInd w:val="0"/>
                    <w:snapToGrid w:val="0"/>
                    <w:jc w:val="center"/>
                    <w:rPr>
                      <w:spacing w:val="-2"/>
                      <w:sz w:val="18"/>
                      <w:szCs w:val="18"/>
                    </w:rPr>
                  </w:pPr>
                  <w:r>
                    <w:rPr>
                      <w:spacing w:val="-2"/>
                      <w:sz w:val="18"/>
                      <w:szCs w:val="18"/>
                    </w:rPr>
                    <w:t>/</w:t>
                  </w:r>
                </w:p>
              </w:tc>
              <w:tc>
                <w:tcPr>
                  <w:tcW w:w="500" w:type="pct"/>
                  <w:vAlign w:val="center"/>
                </w:tcPr>
                <w:p>
                  <w:pPr>
                    <w:widowControl/>
                    <w:adjustRightInd w:val="0"/>
                    <w:snapToGrid w:val="0"/>
                    <w:jc w:val="center"/>
                    <w:rPr>
                      <w:spacing w:val="-2"/>
                      <w:sz w:val="18"/>
                      <w:szCs w:val="18"/>
                    </w:rPr>
                  </w:pPr>
                  <w:r>
                    <w:rPr>
                      <w:spacing w:val="-2"/>
                      <w:sz w:val="18"/>
                      <w:szCs w:val="18"/>
                    </w:rPr>
                    <w:t>/</w:t>
                  </w:r>
                </w:p>
              </w:tc>
              <w:tc>
                <w:tcPr>
                  <w:tcW w:w="422" w:type="pct"/>
                  <w:vAlign w:val="center"/>
                </w:tcPr>
                <w:p>
                  <w:pPr>
                    <w:widowControl/>
                    <w:adjustRightInd w:val="0"/>
                    <w:snapToGrid w:val="0"/>
                    <w:jc w:val="center"/>
                    <w:rPr>
                      <w:spacing w:val="-2"/>
                      <w:sz w:val="18"/>
                      <w:szCs w:val="18"/>
                    </w:rPr>
                  </w:pPr>
                  <w:r>
                    <w:rPr>
                      <w:spacing w:val="-2"/>
                      <w:sz w:val="18"/>
                      <w:szCs w:val="18"/>
                    </w:rPr>
                    <w:t>60</w:t>
                  </w:r>
                </w:p>
              </w:tc>
              <w:tc>
                <w:tcPr>
                  <w:tcW w:w="458" w:type="pct"/>
                  <w:gridSpan w:val="2"/>
                  <w:vAlign w:val="center"/>
                </w:tcPr>
                <w:p>
                  <w:pPr>
                    <w:widowControl/>
                    <w:adjustRightInd w:val="0"/>
                    <w:snapToGrid w:val="0"/>
                    <w:jc w:val="center"/>
                    <w:rPr>
                      <w:spacing w:val="-2"/>
                      <w:sz w:val="18"/>
                      <w:szCs w:val="18"/>
                    </w:rPr>
                  </w:pPr>
                  <w:r>
                    <w:rPr>
                      <w:spacing w:val="-2"/>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pct"/>
                  <w:vAlign w:val="center"/>
                </w:tcPr>
                <w:p>
                  <w:pPr>
                    <w:widowControl/>
                    <w:adjustRightInd w:val="0"/>
                    <w:snapToGrid w:val="0"/>
                    <w:jc w:val="center"/>
                    <w:rPr>
                      <w:spacing w:val="-2"/>
                      <w:sz w:val="18"/>
                      <w:szCs w:val="18"/>
                    </w:rPr>
                  </w:pPr>
                  <w:r>
                    <w:rPr>
                      <w:spacing w:val="-2"/>
                      <w:sz w:val="18"/>
                      <w:szCs w:val="18"/>
                    </w:rPr>
                    <w:t>西边界</w:t>
                  </w:r>
                </w:p>
              </w:tc>
              <w:tc>
                <w:tcPr>
                  <w:tcW w:w="694" w:type="pct"/>
                  <w:vAlign w:val="center"/>
                </w:tcPr>
                <w:p>
                  <w:pPr>
                    <w:widowControl/>
                    <w:adjustRightInd w:val="0"/>
                    <w:snapToGrid w:val="0"/>
                    <w:jc w:val="center"/>
                    <w:rPr>
                      <w:spacing w:val="-2"/>
                      <w:sz w:val="18"/>
                      <w:szCs w:val="18"/>
                    </w:rPr>
                  </w:pPr>
                  <w:r>
                    <w:rPr>
                      <w:spacing w:val="-2"/>
                      <w:sz w:val="18"/>
                      <w:szCs w:val="18"/>
                    </w:rPr>
                    <w:t>1</w:t>
                  </w:r>
                </w:p>
              </w:tc>
              <w:tc>
                <w:tcPr>
                  <w:tcW w:w="641" w:type="pct"/>
                  <w:vAlign w:val="center"/>
                </w:tcPr>
                <w:p>
                  <w:pPr>
                    <w:widowControl/>
                    <w:adjustRightInd w:val="0"/>
                    <w:snapToGrid w:val="0"/>
                    <w:jc w:val="center"/>
                    <w:rPr>
                      <w:spacing w:val="-2"/>
                      <w:sz w:val="18"/>
                      <w:szCs w:val="18"/>
                    </w:rPr>
                  </w:pPr>
                  <w:r>
                    <w:rPr>
                      <w:spacing w:val="-2"/>
                      <w:sz w:val="18"/>
                      <w:szCs w:val="18"/>
                    </w:rPr>
                    <w:t>46.36</w:t>
                  </w:r>
                </w:p>
              </w:tc>
              <w:tc>
                <w:tcPr>
                  <w:tcW w:w="518" w:type="pct"/>
                  <w:vAlign w:val="center"/>
                </w:tcPr>
                <w:p>
                  <w:pPr>
                    <w:widowControl/>
                    <w:adjustRightInd w:val="0"/>
                    <w:snapToGrid w:val="0"/>
                    <w:jc w:val="center"/>
                    <w:rPr>
                      <w:spacing w:val="-2"/>
                      <w:sz w:val="18"/>
                      <w:szCs w:val="18"/>
                    </w:rPr>
                  </w:pPr>
                  <w:r>
                    <w:rPr>
                      <w:spacing w:val="-2"/>
                      <w:sz w:val="18"/>
                      <w:szCs w:val="18"/>
                    </w:rPr>
                    <w:t>/</w:t>
                  </w:r>
                </w:p>
              </w:tc>
              <w:tc>
                <w:tcPr>
                  <w:tcW w:w="484" w:type="pct"/>
                  <w:vAlign w:val="center"/>
                </w:tcPr>
                <w:p>
                  <w:pPr>
                    <w:widowControl/>
                    <w:adjustRightInd w:val="0"/>
                    <w:snapToGrid w:val="0"/>
                    <w:jc w:val="center"/>
                    <w:rPr>
                      <w:spacing w:val="-2"/>
                      <w:sz w:val="18"/>
                      <w:szCs w:val="18"/>
                    </w:rPr>
                  </w:pPr>
                  <w:r>
                    <w:rPr>
                      <w:spacing w:val="-2"/>
                      <w:sz w:val="18"/>
                      <w:szCs w:val="18"/>
                    </w:rPr>
                    <w:t>/</w:t>
                  </w:r>
                </w:p>
              </w:tc>
              <w:tc>
                <w:tcPr>
                  <w:tcW w:w="468" w:type="pct"/>
                  <w:vAlign w:val="center"/>
                </w:tcPr>
                <w:p>
                  <w:pPr>
                    <w:widowControl/>
                    <w:adjustRightInd w:val="0"/>
                    <w:snapToGrid w:val="0"/>
                    <w:jc w:val="center"/>
                    <w:rPr>
                      <w:spacing w:val="-2"/>
                      <w:sz w:val="18"/>
                      <w:szCs w:val="18"/>
                    </w:rPr>
                  </w:pPr>
                  <w:r>
                    <w:rPr>
                      <w:spacing w:val="-2"/>
                      <w:sz w:val="18"/>
                      <w:szCs w:val="18"/>
                    </w:rPr>
                    <w:t>/</w:t>
                  </w:r>
                </w:p>
              </w:tc>
              <w:tc>
                <w:tcPr>
                  <w:tcW w:w="500" w:type="pct"/>
                  <w:vAlign w:val="center"/>
                </w:tcPr>
                <w:p>
                  <w:pPr>
                    <w:widowControl/>
                    <w:adjustRightInd w:val="0"/>
                    <w:snapToGrid w:val="0"/>
                    <w:jc w:val="center"/>
                    <w:rPr>
                      <w:spacing w:val="-2"/>
                      <w:sz w:val="18"/>
                      <w:szCs w:val="18"/>
                    </w:rPr>
                  </w:pPr>
                  <w:r>
                    <w:rPr>
                      <w:spacing w:val="-2"/>
                      <w:sz w:val="18"/>
                      <w:szCs w:val="18"/>
                    </w:rPr>
                    <w:t>/</w:t>
                  </w:r>
                </w:p>
              </w:tc>
              <w:tc>
                <w:tcPr>
                  <w:tcW w:w="422" w:type="pct"/>
                  <w:vAlign w:val="center"/>
                </w:tcPr>
                <w:p>
                  <w:pPr>
                    <w:widowControl/>
                    <w:adjustRightInd w:val="0"/>
                    <w:snapToGrid w:val="0"/>
                    <w:jc w:val="center"/>
                    <w:rPr>
                      <w:spacing w:val="-2"/>
                      <w:sz w:val="18"/>
                      <w:szCs w:val="18"/>
                    </w:rPr>
                  </w:pPr>
                  <w:r>
                    <w:rPr>
                      <w:spacing w:val="-2"/>
                      <w:sz w:val="18"/>
                      <w:szCs w:val="18"/>
                    </w:rPr>
                    <w:t>60</w:t>
                  </w:r>
                </w:p>
              </w:tc>
              <w:tc>
                <w:tcPr>
                  <w:tcW w:w="458" w:type="pct"/>
                  <w:gridSpan w:val="2"/>
                  <w:vAlign w:val="center"/>
                </w:tcPr>
                <w:p>
                  <w:pPr>
                    <w:widowControl/>
                    <w:adjustRightInd w:val="0"/>
                    <w:snapToGrid w:val="0"/>
                    <w:jc w:val="center"/>
                    <w:rPr>
                      <w:spacing w:val="-2"/>
                      <w:sz w:val="18"/>
                      <w:szCs w:val="18"/>
                    </w:rPr>
                  </w:pPr>
                  <w:r>
                    <w:rPr>
                      <w:spacing w:val="-2"/>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pct"/>
                  <w:vAlign w:val="center"/>
                </w:tcPr>
                <w:p>
                  <w:pPr>
                    <w:widowControl/>
                    <w:adjustRightInd w:val="0"/>
                    <w:snapToGrid w:val="0"/>
                    <w:jc w:val="center"/>
                    <w:rPr>
                      <w:spacing w:val="-2"/>
                      <w:sz w:val="18"/>
                      <w:szCs w:val="18"/>
                    </w:rPr>
                  </w:pPr>
                  <w:r>
                    <w:rPr>
                      <w:spacing w:val="-2"/>
                      <w:sz w:val="18"/>
                      <w:szCs w:val="18"/>
                    </w:rPr>
                    <w:t>北边界</w:t>
                  </w:r>
                </w:p>
              </w:tc>
              <w:tc>
                <w:tcPr>
                  <w:tcW w:w="694" w:type="pct"/>
                  <w:vAlign w:val="center"/>
                </w:tcPr>
                <w:p>
                  <w:pPr>
                    <w:widowControl/>
                    <w:adjustRightInd w:val="0"/>
                    <w:snapToGrid w:val="0"/>
                    <w:jc w:val="center"/>
                    <w:rPr>
                      <w:spacing w:val="-2"/>
                      <w:sz w:val="18"/>
                      <w:szCs w:val="18"/>
                    </w:rPr>
                  </w:pPr>
                  <w:r>
                    <w:rPr>
                      <w:spacing w:val="-2"/>
                      <w:sz w:val="18"/>
                      <w:szCs w:val="18"/>
                    </w:rPr>
                    <w:t>1</w:t>
                  </w:r>
                </w:p>
              </w:tc>
              <w:tc>
                <w:tcPr>
                  <w:tcW w:w="641" w:type="pct"/>
                  <w:vAlign w:val="center"/>
                </w:tcPr>
                <w:p>
                  <w:pPr>
                    <w:widowControl/>
                    <w:adjustRightInd w:val="0"/>
                    <w:snapToGrid w:val="0"/>
                    <w:jc w:val="center"/>
                    <w:rPr>
                      <w:spacing w:val="-2"/>
                      <w:sz w:val="18"/>
                      <w:szCs w:val="18"/>
                    </w:rPr>
                  </w:pPr>
                  <w:r>
                    <w:rPr>
                      <w:spacing w:val="-2"/>
                      <w:sz w:val="18"/>
                      <w:szCs w:val="18"/>
                    </w:rPr>
                    <w:t>44.97</w:t>
                  </w:r>
                </w:p>
              </w:tc>
              <w:tc>
                <w:tcPr>
                  <w:tcW w:w="518" w:type="pct"/>
                  <w:vAlign w:val="center"/>
                </w:tcPr>
                <w:p>
                  <w:pPr>
                    <w:widowControl/>
                    <w:adjustRightInd w:val="0"/>
                    <w:snapToGrid w:val="0"/>
                    <w:jc w:val="center"/>
                    <w:rPr>
                      <w:spacing w:val="-2"/>
                      <w:sz w:val="18"/>
                      <w:szCs w:val="18"/>
                    </w:rPr>
                  </w:pPr>
                  <w:r>
                    <w:rPr>
                      <w:spacing w:val="-2"/>
                      <w:sz w:val="18"/>
                      <w:szCs w:val="18"/>
                    </w:rPr>
                    <w:t>/</w:t>
                  </w:r>
                </w:p>
              </w:tc>
              <w:tc>
                <w:tcPr>
                  <w:tcW w:w="484" w:type="pct"/>
                  <w:vAlign w:val="center"/>
                </w:tcPr>
                <w:p>
                  <w:pPr>
                    <w:widowControl/>
                    <w:adjustRightInd w:val="0"/>
                    <w:snapToGrid w:val="0"/>
                    <w:jc w:val="center"/>
                    <w:rPr>
                      <w:spacing w:val="-2"/>
                      <w:sz w:val="18"/>
                      <w:szCs w:val="18"/>
                    </w:rPr>
                  </w:pPr>
                  <w:r>
                    <w:rPr>
                      <w:spacing w:val="-2"/>
                      <w:sz w:val="18"/>
                      <w:szCs w:val="18"/>
                    </w:rPr>
                    <w:t>/</w:t>
                  </w:r>
                </w:p>
              </w:tc>
              <w:tc>
                <w:tcPr>
                  <w:tcW w:w="468" w:type="pct"/>
                  <w:vAlign w:val="center"/>
                </w:tcPr>
                <w:p>
                  <w:pPr>
                    <w:widowControl/>
                    <w:adjustRightInd w:val="0"/>
                    <w:snapToGrid w:val="0"/>
                    <w:jc w:val="center"/>
                    <w:rPr>
                      <w:spacing w:val="-2"/>
                      <w:sz w:val="18"/>
                      <w:szCs w:val="18"/>
                    </w:rPr>
                  </w:pPr>
                  <w:r>
                    <w:rPr>
                      <w:spacing w:val="-2"/>
                      <w:sz w:val="18"/>
                      <w:szCs w:val="18"/>
                    </w:rPr>
                    <w:t>/</w:t>
                  </w:r>
                </w:p>
              </w:tc>
              <w:tc>
                <w:tcPr>
                  <w:tcW w:w="500" w:type="pct"/>
                  <w:vAlign w:val="center"/>
                </w:tcPr>
                <w:p>
                  <w:pPr>
                    <w:widowControl/>
                    <w:adjustRightInd w:val="0"/>
                    <w:snapToGrid w:val="0"/>
                    <w:jc w:val="center"/>
                    <w:rPr>
                      <w:spacing w:val="-2"/>
                      <w:sz w:val="18"/>
                      <w:szCs w:val="18"/>
                    </w:rPr>
                  </w:pPr>
                  <w:r>
                    <w:rPr>
                      <w:spacing w:val="-2"/>
                      <w:sz w:val="18"/>
                      <w:szCs w:val="18"/>
                    </w:rPr>
                    <w:t>/</w:t>
                  </w:r>
                </w:p>
              </w:tc>
              <w:tc>
                <w:tcPr>
                  <w:tcW w:w="422" w:type="pct"/>
                  <w:vAlign w:val="center"/>
                </w:tcPr>
                <w:p>
                  <w:pPr>
                    <w:widowControl/>
                    <w:adjustRightInd w:val="0"/>
                    <w:snapToGrid w:val="0"/>
                    <w:jc w:val="center"/>
                    <w:rPr>
                      <w:spacing w:val="-2"/>
                      <w:sz w:val="18"/>
                      <w:szCs w:val="18"/>
                    </w:rPr>
                  </w:pPr>
                  <w:r>
                    <w:rPr>
                      <w:spacing w:val="-2"/>
                      <w:sz w:val="18"/>
                      <w:szCs w:val="18"/>
                    </w:rPr>
                    <w:t>60</w:t>
                  </w:r>
                </w:p>
              </w:tc>
              <w:tc>
                <w:tcPr>
                  <w:tcW w:w="458" w:type="pct"/>
                  <w:gridSpan w:val="2"/>
                  <w:vAlign w:val="center"/>
                </w:tcPr>
                <w:p>
                  <w:pPr>
                    <w:widowControl/>
                    <w:adjustRightInd w:val="0"/>
                    <w:snapToGrid w:val="0"/>
                    <w:jc w:val="center"/>
                    <w:rPr>
                      <w:spacing w:val="-2"/>
                      <w:sz w:val="18"/>
                      <w:szCs w:val="18"/>
                    </w:rPr>
                  </w:pPr>
                  <w:r>
                    <w:rPr>
                      <w:spacing w:val="-2"/>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4" w:type="pct"/>
                  <w:vAlign w:val="center"/>
                </w:tcPr>
                <w:p>
                  <w:pPr>
                    <w:widowControl/>
                    <w:adjustRightInd w:val="0"/>
                    <w:snapToGrid w:val="0"/>
                    <w:jc w:val="center"/>
                    <w:rPr>
                      <w:spacing w:val="-2"/>
                      <w:sz w:val="18"/>
                      <w:szCs w:val="18"/>
                    </w:rPr>
                  </w:pPr>
                  <w:r>
                    <w:rPr>
                      <w:spacing w:val="-2"/>
                      <w:sz w:val="18"/>
                      <w:szCs w:val="18"/>
                    </w:rPr>
                    <w:t>东侧居民楼</w:t>
                  </w:r>
                </w:p>
              </w:tc>
              <w:tc>
                <w:tcPr>
                  <w:tcW w:w="694" w:type="pct"/>
                  <w:vAlign w:val="center"/>
                </w:tcPr>
                <w:p>
                  <w:pPr>
                    <w:widowControl/>
                    <w:adjustRightInd w:val="0"/>
                    <w:snapToGrid w:val="0"/>
                    <w:jc w:val="center"/>
                    <w:rPr>
                      <w:spacing w:val="-2"/>
                      <w:sz w:val="18"/>
                      <w:szCs w:val="18"/>
                    </w:rPr>
                  </w:pPr>
                  <w:r>
                    <w:rPr>
                      <w:spacing w:val="-2"/>
                      <w:sz w:val="18"/>
                      <w:szCs w:val="18"/>
                    </w:rPr>
                    <w:t>3</w:t>
                  </w:r>
                </w:p>
              </w:tc>
              <w:tc>
                <w:tcPr>
                  <w:tcW w:w="641" w:type="pct"/>
                  <w:vAlign w:val="center"/>
                </w:tcPr>
                <w:p>
                  <w:pPr>
                    <w:widowControl/>
                    <w:adjustRightInd w:val="0"/>
                    <w:snapToGrid w:val="0"/>
                    <w:jc w:val="center"/>
                    <w:rPr>
                      <w:spacing w:val="-2"/>
                      <w:sz w:val="18"/>
                      <w:szCs w:val="18"/>
                    </w:rPr>
                  </w:pPr>
                  <w:r>
                    <w:rPr>
                      <w:spacing w:val="-2"/>
                      <w:sz w:val="18"/>
                      <w:szCs w:val="18"/>
                    </w:rPr>
                    <w:t>31.34</w:t>
                  </w:r>
                </w:p>
              </w:tc>
              <w:tc>
                <w:tcPr>
                  <w:tcW w:w="518" w:type="pct"/>
                  <w:vAlign w:val="center"/>
                </w:tcPr>
                <w:p>
                  <w:pPr>
                    <w:widowControl/>
                    <w:adjustRightInd w:val="0"/>
                    <w:snapToGrid w:val="0"/>
                    <w:jc w:val="center"/>
                    <w:rPr>
                      <w:spacing w:val="-2"/>
                      <w:sz w:val="18"/>
                      <w:szCs w:val="18"/>
                    </w:rPr>
                  </w:pPr>
                  <w:r>
                    <w:rPr>
                      <w:spacing w:val="-2"/>
                      <w:sz w:val="18"/>
                      <w:szCs w:val="18"/>
                    </w:rPr>
                    <w:t>55</w:t>
                  </w:r>
                </w:p>
              </w:tc>
              <w:tc>
                <w:tcPr>
                  <w:tcW w:w="484" w:type="pct"/>
                  <w:vAlign w:val="center"/>
                </w:tcPr>
                <w:p>
                  <w:pPr>
                    <w:widowControl/>
                    <w:adjustRightInd w:val="0"/>
                    <w:snapToGrid w:val="0"/>
                    <w:jc w:val="center"/>
                    <w:rPr>
                      <w:spacing w:val="-2"/>
                      <w:sz w:val="18"/>
                      <w:szCs w:val="18"/>
                    </w:rPr>
                  </w:pPr>
                  <w:r>
                    <w:rPr>
                      <w:spacing w:val="-2"/>
                      <w:sz w:val="18"/>
                      <w:szCs w:val="18"/>
                    </w:rPr>
                    <w:t>48</w:t>
                  </w:r>
                </w:p>
              </w:tc>
              <w:tc>
                <w:tcPr>
                  <w:tcW w:w="468" w:type="pct"/>
                  <w:vAlign w:val="center"/>
                </w:tcPr>
                <w:p>
                  <w:pPr>
                    <w:widowControl/>
                    <w:adjustRightInd w:val="0"/>
                    <w:snapToGrid w:val="0"/>
                    <w:jc w:val="center"/>
                    <w:rPr>
                      <w:spacing w:val="-2"/>
                      <w:sz w:val="18"/>
                      <w:szCs w:val="18"/>
                    </w:rPr>
                  </w:pPr>
                  <w:r>
                    <w:rPr>
                      <w:spacing w:val="-2"/>
                      <w:sz w:val="18"/>
                      <w:szCs w:val="18"/>
                    </w:rPr>
                    <w:t>55.02</w:t>
                  </w:r>
                </w:p>
              </w:tc>
              <w:tc>
                <w:tcPr>
                  <w:tcW w:w="500" w:type="pct"/>
                  <w:vAlign w:val="center"/>
                </w:tcPr>
                <w:p>
                  <w:pPr>
                    <w:widowControl/>
                    <w:adjustRightInd w:val="0"/>
                    <w:snapToGrid w:val="0"/>
                    <w:jc w:val="center"/>
                    <w:rPr>
                      <w:spacing w:val="-2"/>
                      <w:sz w:val="18"/>
                      <w:szCs w:val="18"/>
                    </w:rPr>
                  </w:pPr>
                  <w:r>
                    <w:rPr>
                      <w:spacing w:val="-2"/>
                      <w:sz w:val="18"/>
                      <w:szCs w:val="18"/>
                    </w:rPr>
                    <w:t>48.09</w:t>
                  </w:r>
                </w:p>
              </w:tc>
              <w:tc>
                <w:tcPr>
                  <w:tcW w:w="422" w:type="pct"/>
                  <w:vAlign w:val="center"/>
                </w:tcPr>
                <w:p>
                  <w:pPr>
                    <w:widowControl/>
                    <w:adjustRightInd w:val="0"/>
                    <w:snapToGrid w:val="0"/>
                    <w:jc w:val="center"/>
                    <w:rPr>
                      <w:spacing w:val="-2"/>
                      <w:sz w:val="18"/>
                      <w:szCs w:val="18"/>
                    </w:rPr>
                  </w:pPr>
                  <w:r>
                    <w:rPr>
                      <w:spacing w:val="-2"/>
                      <w:sz w:val="18"/>
                      <w:szCs w:val="18"/>
                    </w:rPr>
                    <w:t>60</w:t>
                  </w:r>
                </w:p>
              </w:tc>
              <w:tc>
                <w:tcPr>
                  <w:tcW w:w="458" w:type="pct"/>
                  <w:gridSpan w:val="2"/>
                  <w:vAlign w:val="center"/>
                </w:tcPr>
                <w:p>
                  <w:pPr>
                    <w:widowControl/>
                    <w:adjustRightInd w:val="0"/>
                    <w:snapToGrid w:val="0"/>
                    <w:jc w:val="center"/>
                    <w:rPr>
                      <w:spacing w:val="-2"/>
                      <w:sz w:val="18"/>
                      <w:szCs w:val="18"/>
                    </w:rPr>
                  </w:pPr>
                  <w:r>
                    <w:rPr>
                      <w:spacing w:val="-2"/>
                      <w:sz w:val="18"/>
                      <w:szCs w:val="18"/>
                    </w:rPr>
                    <w:t>50</w:t>
                  </w:r>
                </w:p>
              </w:tc>
            </w:tr>
          </w:tbl>
          <w:p>
            <w:pPr>
              <w:widowControl/>
              <w:spacing w:line="360" w:lineRule="auto"/>
              <w:ind w:firstLine="420" w:firstLineChars="200"/>
              <w:rPr>
                <w:szCs w:val="21"/>
              </w:rPr>
            </w:pPr>
            <w:r>
              <w:rPr>
                <w:szCs w:val="21"/>
              </w:rPr>
              <w:t>根据上表预测结果可知，项目</w:t>
            </w:r>
            <w:r>
              <w:rPr>
                <w:rFonts w:hint="eastAsia"/>
                <w:szCs w:val="21"/>
              </w:rPr>
              <w:t>车间</w:t>
            </w:r>
            <w:r>
              <w:rPr>
                <w:szCs w:val="21"/>
              </w:rPr>
              <w:t>噪声在采取噪声防治措施后，项目边界处噪声贡献值低于《工业企业厂界环境噪声排放标准》（GB12348-2008）的2类标准</w:t>
            </w:r>
            <w:r>
              <w:rPr>
                <w:rFonts w:hint="eastAsia"/>
                <w:szCs w:val="21"/>
              </w:rPr>
              <w:t>；叠加本项目车间噪声贡献值后，项目厂界近距离敏感点东侧居民楼处的噪声预测值均可满足</w:t>
            </w:r>
            <w:r>
              <w:rPr>
                <w:kern w:val="0"/>
                <w:szCs w:val="21"/>
                <w:lang w:val="zh-CN"/>
              </w:rPr>
              <w:t>《声环境质量标准》（</w:t>
            </w:r>
            <w:r>
              <w:rPr>
                <w:kern w:val="0"/>
                <w:szCs w:val="21"/>
              </w:rPr>
              <w:t>GB3096-2008</w:t>
            </w:r>
            <w:r>
              <w:rPr>
                <w:kern w:val="0"/>
                <w:szCs w:val="21"/>
                <w:lang w:val="zh-CN"/>
              </w:rPr>
              <w:t>）</w:t>
            </w:r>
            <w:r>
              <w:rPr>
                <w:kern w:val="0"/>
                <w:szCs w:val="21"/>
              </w:rPr>
              <w:t>2</w:t>
            </w:r>
            <w:r>
              <w:rPr>
                <w:kern w:val="0"/>
                <w:szCs w:val="21"/>
                <w:lang w:val="zh-CN"/>
              </w:rPr>
              <w:t>类标准</w:t>
            </w:r>
            <w:r>
              <w:rPr>
                <w:rFonts w:hint="eastAsia"/>
                <w:kern w:val="0"/>
                <w:szCs w:val="21"/>
                <w:lang w:val="zh-CN"/>
              </w:rPr>
              <w:t>的要求</w:t>
            </w:r>
            <w:r>
              <w:rPr>
                <w:szCs w:val="21"/>
              </w:rPr>
              <w:t>，</w:t>
            </w:r>
            <w:r>
              <w:rPr>
                <w:rFonts w:hint="eastAsia"/>
                <w:szCs w:val="21"/>
              </w:rPr>
              <w:t>且项目夜间不进行生产，</w:t>
            </w:r>
            <w:r>
              <w:rPr>
                <w:szCs w:val="21"/>
              </w:rPr>
              <w:t>因此项目车间噪声在采取了噪声防治措施后对周围声环境及环境敏感点影响较小。</w:t>
            </w:r>
          </w:p>
          <w:p>
            <w:pPr>
              <w:spacing w:line="360" w:lineRule="auto"/>
              <w:ind w:firstLine="422" w:firstLineChars="200"/>
              <w:jc w:val="left"/>
              <w:rPr>
                <w:b/>
                <w:bCs/>
                <w:szCs w:val="21"/>
              </w:rPr>
            </w:pPr>
            <w:r>
              <w:rPr>
                <w:rFonts w:hint="eastAsia"/>
                <w:b/>
                <w:bCs/>
                <w:szCs w:val="21"/>
              </w:rPr>
              <w:t>（4）</w:t>
            </w:r>
            <w:r>
              <w:rPr>
                <w:b/>
                <w:bCs/>
                <w:szCs w:val="21"/>
              </w:rPr>
              <w:t>监测要求</w:t>
            </w:r>
          </w:p>
          <w:p>
            <w:pPr>
              <w:numPr>
                <w:ilvl w:val="0"/>
                <w:numId w:val="2"/>
              </w:numPr>
              <w:adjustRightInd w:val="0"/>
              <w:snapToGrid w:val="0"/>
              <w:spacing w:line="360" w:lineRule="auto"/>
              <w:ind w:left="0"/>
              <w:jc w:val="center"/>
              <w:rPr>
                <w:b/>
              </w:rPr>
            </w:pPr>
            <w:r>
              <w:rPr>
                <w:b/>
              </w:rPr>
              <w:t>噪声监测一览表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144"/>
              <w:gridCol w:w="1158"/>
              <w:gridCol w:w="2977"/>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vAlign w:val="center"/>
                </w:tcPr>
                <w:p>
                  <w:pPr>
                    <w:adjustRightInd w:val="0"/>
                    <w:snapToGrid w:val="0"/>
                    <w:jc w:val="center"/>
                    <w:rPr>
                      <w:b/>
                      <w:bCs/>
                      <w:spacing w:val="-10"/>
                      <w:szCs w:val="21"/>
                    </w:rPr>
                  </w:pPr>
                  <w:r>
                    <w:rPr>
                      <w:b/>
                      <w:bCs/>
                      <w:spacing w:val="-10"/>
                      <w:szCs w:val="21"/>
                    </w:rPr>
                    <w:t>监测点位</w:t>
                  </w:r>
                </w:p>
              </w:tc>
              <w:tc>
                <w:tcPr>
                  <w:tcW w:w="680" w:type="pct"/>
                  <w:vAlign w:val="center"/>
                </w:tcPr>
                <w:p>
                  <w:pPr>
                    <w:jc w:val="center"/>
                    <w:rPr>
                      <w:b/>
                      <w:bCs/>
                      <w:spacing w:val="-10"/>
                      <w:szCs w:val="21"/>
                    </w:rPr>
                  </w:pPr>
                  <w:r>
                    <w:rPr>
                      <w:b/>
                      <w:bCs/>
                      <w:szCs w:val="21"/>
                    </w:rPr>
                    <w:t>监测因子</w:t>
                  </w:r>
                </w:p>
              </w:tc>
              <w:tc>
                <w:tcPr>
                  <w:tcW w:w="688" w:type="pct"/>
                  <w:vAlign w:val="center"/>
                </w:tcPr>
                <w:p>
                  <w:pPr>
                    <w:jc w:val="center"/>
                    <w:rPr>
                      <w:b/>
                      <w:bCs/>
                      <w:spacing w:val="-10"/>
                      <w:szCs w:val="21"/>
                    </w:rPr>
                  </w:pPr>
                  <w:r>
                    <w:rPr>
                      <w:b/>
                      <w:bCs/>
                      <w:szCs w:val="21"/>
                    </w:rPr>
                    <w:t>监测频次</w:t>
                  </w:r>
                </w:p>
              </w:tc>
              <w:tc>
                <w:tcPr>
                  <w:tcW w:w="1769" w:type="pct"/>
                  <w:vAlign w:val="center"/>
                </w:tcPr>
                <w:p>
                  <w:pPr>
                    <w:jc w:val="center"/>
                    <w:rPr>
                      <w:b/>
                      <w:bCs/>
                      <w:spacing w:val="-10"/>
                      <w:szCs w:val="21"/>
                    </w:rPr>
                  </w:pPr>
                  <w:r>
                    <w:rPr>
                      <w:b/>
                      <w:bCs/>
                      <w:szCs w:val="21"/>
                    </w:rPr>
                    <w:t>排放标准</w:t>
                  </w:r>
                </w:p>
              </w:tc>
              <w:tc>
                <w:tcPr>
                  <w:tcW w:w="1198" w:type="pct"/>
                  <w:vAlign w:val="center"/>
                </w:tcPr>
                <w:p>
                  <w:pPr>
                    <w:jc w:val="center"/>
                    <w:rPr>
                      <w:b/>
                      <w:bCs/>
                      <w:szCs w:val="21"/>
                    </w:rPr>
                  </w:pPr>
                  <w:r>
                    <w:rPr>
                      <w:b/>
                      <w:bCs/>
                      <w:szCs w:val="21"/>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vAlign w:val="center"/>
                </w:tcPr>
                <w:p>
                  <w:pPr>
                    <w:adjustRightInd w:val="0"/>
                    <w:snapToGrid w:val="0"/>
                    <w:jc w:val="center"/>
                    <w:rPr>
                      <w:spacing w:val="-10"/>
                      <w:szCs w:val="21"/>
                    </w:rPr>
                  </w:pPr>
                  <w:r>
                    <w:rPr>
                      <w:spacing w:val="-10"/>
                      <w:szCs w:val="21"/>
                    </w:rPr>
                    <w:t>东</w:t>
                  </w:r>
                  <w:r>
                    <w:rPr>
                      <w:rFonts w:hint="eastAsia"/>
                      <w:spacing w:val="-10"/>
                      <w:szCs w:val="21"/>
                    </w:rPr>
                    <w:t>、</w:t>
                  </w:r>
                  <w:r>
                    <w:rPr>
                      <w:spacing w:val="-10"/>
                      <w:szCs w:val="21"/>
                    </w:rPr>
                    <w:t>南、西</w:t>
                  </w:r>
                  <w:r>
                    <w:rPr>
                      <w:rFonts w:hint="eastAsia"/>
                      <w:spacing w:val="-10"/>
                      <w:szCs w:val="21"/>
                    </w:rPr>
                    <w:t>、</w:t>
                  </w:r>
                  <w:r>
                    <w:rPr>
                      <w:spacing w:val="-10"/>
                      <w:szCs w:val="21"/>
                    </w:rPr>
                    <w:t>北厂界</w:t>
                  </w:r>
                </w:p>
              </w:tc>
              <w:tc>
                <w:tcPr>
                  <w:tcW w:w="680" w:type="pct"/>
                  <w:vAlign w:val="center"/>
                </w:tcPr>
                <w:p>
                  <w:pPr>
                    <w:adjustRightInd w:val="0"/>
                    <w:snapToGrid w:val="0"/>
                    <w:jc w:val="center"/>
                    <w:rPr>
                      <w:spacing w:val="-10"/>
                      <w:szCs w:val="21"/>
                    </w:rPr>
                  </w:pPr>
                  <w:r>
                    <w:rPr>
                      <w:spacing w:val="-10"/>
                      <w:szCs w:val="21"/>
                    </w:rPr>
                    <w:t>Leq</w:t>
                  </w:r>
                </w:p>
              </w:tc>
              <w:tc>
                <w:tcPr>
                  <w:tcW w:w="688" w:type="pct"/>
                  <w:vAlign w:val="center"/>
                </w:tcPr>
                <w:p>
                  <w:pPr>
                    <w:adjustRightInd w:val="0"/>
                    <w:snapToGrid w:val="0"/>
                    <w:jc w:val="center"/>
                    <w:rPr>
                      <w:spacing w:val="-10"/>
                      <w:szCs w:val="21"/>
                    </w:rPr>
                  </w:pPr>
                  <w:r>
                    <w:rPr>
                      <w:spacing w:val="-10"/>
                      <w:szCs w:val="21"/>
                    </w:rPr>
                    <w:t>1次/季度</w:t>
                  </w:r>
                </w:p>
              </w:tc>
              <w:tc>
                <w:tcPr>
                  <w:tcW w:w="1769" w:type="pct"/>
                  <w:vAlign w:val="center"/>
                </w:tcPr>
                <w:p>
                  <w:pPr>
                    <w:adjustRightInd w:val="0"/>
                    <w:snapToGrid w:val="0"/>
                    <w:jc w:val="center"/>
                    <w:rPr>
                      <w:spacing w:val="-10"/>
                      <w:szCs w:val="21"/>
                    </w:rPr>
                  </w:pPr>
                  <w:r>
                    <w:rPr>
                      <w:spacing w:val="-10"/>
                      <w:szCs w:val="21"/>
                    </w:rPr>
                    <w:t>《工业企业厂界环境噪声排放标准》（GB12348-2008）2类标准</w:t>
                  </w:r>
                </w:p>
              </w:tc>
              <w:tc>
                <w:tcPr>
                  <w:tcW w:w="1198" w:type="pct"/>
                  <w:vAlign w:val="center"/>
                </w:tcPr>
                <w:p>
                  <w:pPr>
                    <w:adjustRightInd w:val="0"/>
                    <w:snapToGrid w:val="0"/>
                    <w:jc w:val="center"/>
                    <w:rPr>
                      <w:szCs w:val="21"/>
                    </w:rPr>
                  </w:pPr>
                  <w:r>
                    <w:rPr>
                      <w:szCs w:val="21"/>
                    </w:rPr>
                    <w:t>昼间≤60dB（A）</w:t>
                  </w:r>
                </w:p>
                <w:p>
                  <w:pPr>
                    <w:pStyle w:val="43"/>
                    <w:spacing w:before="24" w:after="24"/>
                    <w:rPr>
                      <w:rFonts w:ascii="Times New Roman" w:hAnsi="Times New Roman"/>
                      <w:color w:val="auto"/>
                      <w:sz w:val="21"/>
                      <w:szCs w:val="21"/>
                    </w:rPr>
                  </w:pPr>
                  <w:r>
                    <w:rPr>
                      <w:rFonts w:ascii="Times New Roman" w:hAnsi="Times New Roman"/>
                      <w:color w:val="auto"/>
                      <w:spacing w:val="-10"/>
                      <w:sz w:val="21"/>
                      <w:szCs w:val="21"/>
                    </w:rPr>
                    <w:t>夜间</w:t>
                  </w:r>
                  <w:r>
                    <w:rPr>
                      <w:rFonts w:ascii="Times New Roman" w:hAnsi="Times New Roman"/>
                      <w:color w:val="auto"/>
                      <w:sz w:val="21"/>
                      <w:szCs w:val="21"/>
                    </w:rPr>
                    <w:t>≤</w:t>
                  </w:r>
                  <w:r>
                    <w:rPr>
                      <w:rFonts w:ascii="Times New Roman" w:hAnsi="Times New Roman"/>
                      <w:color w:val="auto"/>
                      <w:spacing w:val="-10"/>
                      <w:sz w:val="21"/>
                      <w:szCs w:val="21"/>
                    </w:rPr>
                    <w:t>50</w:t>
                  </w:r>
                  <w:r>
                    <w:rPr>
                      <w:rFonts w:ascii="Times New Roman" w:hAnsi="Times New Roman"/>
                      <w:color w:val="auto"/>
                      <w:sz w:val="21"/>
                      <w:szCs w:val="21"/>
                    </w:rPr>
                    <w:t>dB（A）</w:t>
                  </w:r>
                </w:p>
              </w:tc>
            </w:tr>
          </w:tbl>
          <w:p>
            <w:pPr>
              <w:snapToGrid w:val="0"/>
              <w:spacing w:line="360" w:lineRule="auto"/>
              <w:ind w:firstLine="422" w:firstLineChars="200"/>
              <w:rPr>
                <w:b/>
                <w:szCs w:val="21"/>
              </w:rPr>
            </w:pPr>
            <w:r>
              <w:rPr>
                <w:rFonts w:hint="eastAsia"/>
                <w:b/>
                <w:szCs w:val="21"/>
              </w:rPr>
              <w:t>4</w:t>
            </w:r>
            <w:r>
              <w:rPr>
                <w:b/>
                <w:szCs w:val="21"/>
              </w:rPr>
              <w:t>、固体废物</w:t>
            </w:r>
          </w:p>
          <w:p>
            <w:pPr>
              <w:snapToGrid w:val="0"/>
              <w:spacing w:line="360" w:lineRule="auto"/>
              <w:ind w:firstLine="422" w:firstLineChars="200"/>
              <w:rPr>
                <w:b/>
                <w:bCs/>
                <w:szCs w:val="21"/>
              </w:rPr>
            </w:pPr>
            <w:r>
              <w:rPr>
                <w:b/>
                <w:bCs/>
                <w:szCs w:val="21"/>
              </w:rPr>
              <w:t>（1）产生和处置情况</w:t>
            </w:r>
          </w:p>
          <w:p>
            <w:pPr>
              <w:snapToGrid w:val="0"/>
              <w:spacing w:line="360" w:lineRule="auto"/>
              <w:ind w:firstLine="420" w:firstLineChars="200"/>
              <w:rPr>
                <w:bCs/>
                <w:szCs w:val="21"/>
              </w:rPr>
            </w:pPr>
            <w:r>
              <w:rPr>
                <w:bCs/>
                <w:szCs w:val="21"/>
              </w:rPr>
              <w:t>项目运营期产生的固体废弃物包括员工生活垃圾、一般</w:t>
            </w:r>
            <w:r>
              <w:rPr>
                <w:rFonts w:hint="eastAsia"/>
                <w:bCs/>
                <w:szCs w:val="21"/>
              </w:rPr>
              <w:t>工业固体废物</w:t>
            </w:r>
            <w:r>
              <w:rPr>
                <w:bCs/>
                <w:szCs w:val="21"/>
              </w:rPr>
              <w:t>及危险废物。</w:t>
            </w:r>
          </w:p>
          <w:p>
            <w:pPr>
              <w:snapToGrid w:val="0"/>
              <w:spacing w:line="360" w:lineRule="auto"/>
              <w:ind w:firstLine="422" w:firstLineChars="200"/>
              <w:rPr>
                <w:b/>
                <w:szCs w:val="21"/>
              </w:rPr>
            </w:pPr>
            <w:r>
              <w:rPr>
                <w:b/>
                <w:szCs w:val="21"/>
              </w:rPr>
              <w:t>员工生活垃圾</w:t>
            </w:r>
          </w:p>
          <w:p>
            <w:pPr>
              <w:snapToGrid w:val="0"/>
              <w:spacing w:line="360" w:lineRule="auto"/>
              <w:ind w:firstLine="420" w:firstLineChars="200"/>
              <w:rPr>
                <w:bCs/>
                <w:szCs w:val="21"/>
              </w:rPr>
            </w:pPr>
            <w:r>
              <w:rPr>
                <w:bCs/>
                <w:szCs w:val="21"/>
              </w:rPr>
              <w:t>本项目员工100人，</w:t>
            </w:r>
            <w:r>
              <w:rPr>
                <w:rFonts w:hint="eastAsia"/>
              </w:rPr>
              <w:t>均不在</w:t>
            </w:r>
            <w:r>
              <w:t>项目</w:t>
            </w:r>
            <w:r>
              <w:rPr>
                <w:rFonts w:hint="eastAsia"/>
              </w:rPr>
              <w:t>内</w:t>
            </w:r>
            <w:r>
              <w:t>食宿，</w:t>
            </w:r>
            <w:r>
              <w:rPr>
                <w:bCs/>
                <w:szCs w:val="21"/>
              </w:rPr>
              <w:t>生活垃圾取0.5kg/d·人，则员工生活垃圾产生量为15t/a</w:t>
            </w:r>
            <w:r>
              <w:rPr>
                <w:rFonts w:hint="eastAsia"/>
                <w:bCs/>
                <w:szCs w:val="21"/>
              </w:rPr>
              <w:t>（按300d/a计）。</w:t>
            </w:r>
            <w:r>
              <w:rPr>
                <w:szCs w:val="21"/>
              </w:rPr>
              <w:t>生活垃圾分类收集后交由环卫部门统一清运</w:t>
            </w:r>
            <w:r>
              <w:rPr>
                <w:bCs/>
                <w:szCs w:val="21"/>
              </w:rPr>
              <w:t>。</w:t>
            </w:r>
          </w:p>
          <w:p>
            <w:pPr>
              <w:snapToGrid w:val="0"/>
              <w:spacing w:line="360" w:lineRule="auto"/>
              <w:ind w:firstLine="422" w:firstLineChars="200"/>
              <w:rPr>
                <w:b/>
                <w:szCs w:val="21"/>
              </w:rPr>
            </w:pPr>
            <w:r>
              <w:rPr>
                <w:b/>
                <w:szCs w:val="21"/>
              </w:rPr>
              <w:t>一般固废</w:t>
            </w:r>
          </w:p>
          <w:p>
            <w:pPr>
              <w:adjustRightInd w:val="0"/>
              <w:snapToGrid w:val="0"/>
              <w:spacing w:line="360" w:lineRule="auto"/>
              <w:ind w:firstLine="420" w:firstLineChars="200"/>
              <w:rPr>
                <w:bCs/>
                <w:szCs w:val="21"/>
                <w:lang w:bidi="ar"/>
              </w:rPr>
            </w:pPr>
            <w:r>
              <w:rPr>
                <w:rFonts w:hint="eastAsia"/>
                <w:bCs/>
                <w:szCs w:val="21"/>
              </w:rPr>
              <w:t>边角料和</w:t>
            </w:r>
            <w:r>
              <w:rPr>
                <w:bCs/>
                <w:szCs w:val="21"/>
              </w:rPr>
              <w:t>废次品</w:t>
            </w:r>
            <w:r>
              <w:rPr>
                <w:rFonts w:hint="eastAsia"/>
                <w:bCs/>
                <w:szCs w:val="21"/>
              </w:rPr>
              <w:t>：</w:t>
            </w:r>
            <w:r>
              <w:rPr>
                <w:lang w:bidi="ar"/>
              </w:rPr>
              <w:t>项目生产过程会产生一定量的边角料</w:t>
            </w:r>
            <w:r>
              <w:rPr>
                <w:rFonts w:hint="eastAsia"/>
                <w:lang w:bidi="ar"/>
              </w:rPr>
              <w:t>和</w:t>
            </w:r>
            <w:r>
              <w:rPr>
                <w:lang w:bidi="ar"/>
              </w:rPr>
              <w:t>废次品，根据建设单位提供的资料，边角料</w:t>
            </w:r>
            <w:r>
              <w:rPr>
                <w:rFonts w:hint="eastAsia"/>
                <w:lang w:bidi="ar"/>
              </w:rPr>
              <w:t>和</w:t>
            </w:r>
            <w:r>
              <w:rPr>
                <w:lang w:bidi="ar"/>
              </w:rPr>
              <w:t>废次品产生量约8t/a，</w:t>
            </w:r>
            <w:r>
              <w:rPr>
                <w:rFonts w:hint="eastAsia"/>
                <w:lang w:bidi="ar"/>
              </w:rPr>
              <w:t>废物</w:t>
            </w:r>
            <w:r>
              <w:rPr>
                <w:lang w:bidi="ar"/>
              </w:rPr>
              <w:t>代码为</w:t>
            </w:r>
            <w:r>
              <w:rPr>
                <w:bCs/>
              </w:rPr>
              <w:t>292-001-06</w:t>
            </w:r>
            <w:r>
              <w:rPr>
                <w:rFonts w:hint="eastAsia"/>
                <w:bCs/>
              </w:rPr>
              <w:t>，</w:t>
            </w:r>
            <w:r>
              <w:rPr>
                <w:lang w:bidi="ar"/>
              </w:rPr>
              <w:t>收集后交由专</w:t>
            </w:r>
            <w:r>
              <w:rPr>
                <w:rFonts w:hint="eastAsia"/>
                <w:lang w:bidi="ar"/>
              </w:rPr>
              <w:t>业</w:t>
            </w:r>
            <w:r>
              <w:rPr>
                <w:lang w:bidi="ar"/>
              </w:rPr>
              <w:t>回收公司</w:t>
            </w:r>
            <w:r>
              <w:rPr>
                <w:rFonts w:hint="eastAsia"/>
                <w:lang w:bidi="ar"/>
              </w:rPr>
              <w:t>回收</w:t>
            </w:r>
            <w:r>
              <w:rPr>
                <w:lang w:bidi="ar"/>
              </w:rPr>
              <w:t>处理</w:t>
            </w:r>
            <w:r>
              <w:rPr>
                <w:bCs/>
                <w:szCs w:val="21"/>
                <w:lang w:bidi="ar"/>
              </w:rPr>
              <w:t>。</w:t>
            </w:r>
          </w:p>
          <w:p>
            <w:pPr>
              <w:snapToGrid w:val="0"/>
              <w:spacing w:line="360" w:lineRule="auto"/>
              <w:ind w:firstLine="420" w:firstLineChars="200"/>
              <w:rPr>
                <w:bCs/>
                <w:szCs w:val="21"/>
              </w:rPr>
            </w:pPr>
            <w:r>
              <w:rPr>
                <w:rFonts w:hint="eastAsia"/>
                <w:bCs/>
                <w:szCs w:val="21"/>
              </w:rPr>
              <w:t>废包装材料</w:t>
            </w:r>
            <w:r>
              <w:rPr>
                <w:bCs/>
                <w:szCs w:val="21"/>
              </w:rPr>
              <w:t>：</w:t>
            </w:r>
            <w:r>
              <w:rPr>
                <w:rFonts w:hint="eastAsia"/>
                <w:bCs/>
                <w:szCs w:val="21"/>
              </w:rPr>
              <w:t>项目</w:t>
            </w:r>
            <w:r>
              <w:rPr>
                <w:bCs/>
                <w:szCs w:val="21"/>
              </w:rPr>
              <w:t>原料使用和成品包装过程会产生一定量的废包装材料，根据建设单位</w:t>
            </w:r>
            <w:r>
              <w:rPr>
                <w:rFonts w:hint="eastAsia"/>
                <w:bCs/>
                <w:szCs w:val="21"/>
              </w:rPr>
              <w:t>提供</w:t>
            </w:r>
            <w:r>
              <w:rPr>
                <w:bCs/>
                <w:szCs w:val="21"/>
              </w:rPr>
              <w:t>的资料，废</w:t>
            </w:r>
            <w:r>
              <w:rPr>
                <w:rFonts w:hint="eastAsia"/>
                <w:bCs/>
                <w:szCs w:val="21"/>
              </w:rPr>
              <w:t>包装</w:t>
            </w:r>
            <w:r>
              <w:rPr>
                <w:bCs/>
                <w:szCs w:val="21"/>
              </w:rPr>
              <w:t>材料产生量约1t/a</w:t>
            </w:r>
            <w:r>
              <w:rPr>
                <w:rFonts w:hint="eastAsia"/>
                <w:bCs/>
                <w:szCs w:val="21"/>
              </w:rPr>
              <w:t>，</w:t>
            </w:r>
            <w:r>
              <w:rPr>
                <w:bCs/>
              </w:rPr>
              <w:t>废物代码</w:t>
            </w:r>
            <w:r>
              <w:rPr>
                <w:rFonts w:hint="eastAsia"/>
                <w:bCs/>
              </w:rPr>
              <w:t>为</w:t>
            </w:r>
            <w:r>
              <w:rPr>
                <w:bCs/>
              </w:rPr>
              <w:t>292-999-07</w:t>
            </w:r>
            <w:r>
              <w:rPr>
                <w:rFonts w:hint="eastAsia"/>
                <w:bCs/>
              </w:rPr>
              <w:t>，</w:t>
            </w:r>
            <w:r>
              <w:rPr>
                <w:lang w:bidi="ar"/>
              </w:rPr>
              <w:t>收集后交由专</w:t>
            </w:r>
            <w:r>
              <w:rPr>
                <w:rFonts w:hint="eastAsia"/>
                <w:lang w:bidi="ar"/>
              </w:rPr>
              <w:t>业</w:t>
            </w:r>
            <w:r>
              <w:rPr>
                <w:lang w:bidi="ar"/>
              </w:rPr>
              <w:t>回收公司</w:t>
            </w:r>
            <w:r>
              <w:rPr>
                <w:rFonts w:hint="eastAsia"/>
                <w:lang w:bidi="ar"/>
              </w:rPr>
              <w:t>回收</w:t>
            </w:r>
            <w:r>
              <w:rPr>
                <w:lang w:bidi="ar"/>
              </w:rPr>
              <w:t>处理</w:t>
            </w:r>
            <w:r>
              <w:rPr>
                <w:bCs/>
                <w:szCs w:val="21"/>
              </w:rPr>
              <w:t>。</w:t>
            </w:r>
          </w:p>
          <w:p>
            <w:pPr>
              <w:pStyle w:val="83"/>
              <w:spacing w:line="360" w:lineRule="auto"/>
              <w:ind w:firstLine="422" w:firstLineChars="200"/>
              <w:jc w:val="both"/>
            </w:pPr>
            <w:r>
              <w:t>危险废物</w:t>
            </w:r>
          </w:p>
          <w:p>
            <w:pPr>
              <w:pStyle w:val="83"/>
              <w:adjustRightInd w:val="0"/>
              <w:snapToGrid w:val="0"/>
              <w:spacing w:line="360" w:lineRule="auto"/>
              <w:ind w:firstLine="420" w:firstLineChars="200"/>
              <w:jc w:val="both"/>
              <w:rPr>
                <w:b w:val="0"/>
                <w:bCs/>
              </w:rPr>
            </w:pPr>
            <w:r>
              <w:rPr>
                <w:rFonts w:hint="eastAsia"/>
                <w:b w:val="0"/>
              </w:rPr>
              <w:t>废活性炭</w:t>
            </w:r>
            <w:r>
              <w:rPr>
                <w:b w:val="0"/>
              </w:rPr>
              <w:t>：本项目废气处理过程</w:t>
            </w:r>
            <w:r>
              <w:rPr>
                <w:rFonts w:hint="eastAsia"/>
                <w:b w:val="0"/>
              </w:rPr>
              <w:t>会产生一定量</w:t>
            </w:r>
            <w:r>
              <w:rPr>
                <w:b w:val="0"/>
              </w:rPr>
              <w:t>的废活性炭，</w:t>
            </w:r>
            <w:r>
              <w:rPr>
                <w:rFonts w:hint="eastAsia"/>
                <w:b w:val="0"/>
                <w:bCs/>
                <w:kern w:val="2"/>
                <w:szCs w:val="21"/>
              </w:rPr>
              <w:t>项目废气</w:t>
            </w:r>
            <w:r>
              <w:rPr>
                <w:b w:val="0"/>
                <w:bCs/>
                <w:kern w:val="2"/>
                <w:szCs w:val="21"/>
              </w:rPr>
              <w:t>治理设施活性炭吸附装置具体参数如下：</w:t>
            </w:r>
          </w:p>
          <w:p>
            <w:pPr>
              <w:numPr>
                <w:ilvl w:val="0"/>
                <w:numId w:val="2"/>
              </w:numPr>
              <w:adjustRightInd w:val="0"/>
              <w:snapToGrid w:val="0"/>
              <w:spacing w:line="360" w:lineRule="auto"/>
              <w:ind w:left="0"/>
              <w:jc w:val="center"/>
              <w:rPr>
                <w:b/>
              </w:rPr>
            </w:pPr>
            <w:r>
              <w:rPr>
                <w:b/>
              </w:rPr>
              <w:t>项目有机废气治理设施主要技术参数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29"/>
              <w:gridCol w:w="3131"/>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序号</w:t>
                  </w:r>
                </w:p>
              </w:tc>
              <w:tc>
                <w:tcPr>
                  <w:tcW w:w="1027" w:type="pct"/>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项目</w:t>
                  </w:r>
                </w:p>
              </w:tc>
              <w:tc>
                <w:tcPr>
                  <w:tcW w:w="3719" w:type="pct"/>
                  <w:gridSpan w:val="2"/>
                  <w:tcBorders>
                    <w:top w:val="single" w:color="auto" w:sz="4" w:space="0"/>
                    <w:left w:val="single" w:color="auto" w:sz="4" w:space="0"/>
                    <w:bottom w:val="single" w:color="auto" w:sz="4" w:space="0"/>
                    <w:right w:val="single" w:color="auto" w:sz="4" w:space="0"/>
                  </w:tcBorders>
                  <w:vAlign w:val="center"/>
                </w:tcPr>
                <w:p>
                  <w:pPr>
                    <w:jc w:val="center"/>
                    <w:rPr>
                      <w:b/>
                    </w:rPr>
                  </w:pPr>
                  <w:r>
                    <w:rPr>
                      <w:b/>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027" w:type="pct"/>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两级活性炭吸附设施</w:t>
                  </w:r>
                  <w:r>
                    <w:rPr>
                      <w:rFonts w:hint="eastAsia"/>
                    </w:rPr>
                    <w:t>（挤出</w:t>
                  </w:r>
                  <w:r>
                    <w:t>废气</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两级活性炭吸附设施</w:t>
                  </w:r>
                  <w:r>
                    <w:rPr>
                      <w:rFonts w:hint="eastAsia"/>
                    </w:rPr>
                    <w:t>（贴合、</w:t>
                  </w:r>
                  <w:r>
                    <w:t>植皮、印刷、烘干废气</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风量</w:t>
                  </w:r>
                  <w:r>
                    <w:rPr>
                      <w:rFonts w:hint="eastAsia"/>
                    </w:rPr>
                    <w:t>（Q）</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5000m³/h（1.39 m</w:t>
                  </w:r>
                  <w:r>
                    <w:rPr>
                      <w:vertAlign w:val="superscript"/>
                    </w:rPr>
                    <w:t>3</w:t>
                  </w:r>
                  <w:r>
                    <w:t xml:space="preserve"> /s）</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35000m³/h（9.72 m</w:t>
                  </w:r>
                  <w:r>
                    <w:rPr>
                      <w:vertAlign w:val="superscript"/>
                    </w:rPr>
                    <w:t>3</w:t>
                  </w:r>
                  <w:r>
                    <w:t xml:space="preserve">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2</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单台活性炭箱主体规格（L×W×H）(m)</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201不锈钢材质，1.2×0.8×0.8</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201不锈钢材质，2.0×1.7×1.2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3</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炭</w:t>
                  </w:r>
                  <w:r>
                    <w:rPr>
                      <w:rFonts w:hint="eastAsia"/>
                    </w:rPr>
                    <w:t>层数量</w:t>
                  </w:r>
                  <w:r>
                    <w:t>（</w:t>
                  </w:r>
                  <w:r>
                    <w:rPr>
                      <w:rFonts w:hint="eastAsia"/>
                    </w:rPr>
                    <w:t>q</w:t>
                  </w:r>
                  <w:r>
                    <w: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3</w:t>
                  </w:r>
                  <w:r>
                    <w:rPr>
                      <w:rFonts w:hint="eastAsia"/>
                    </w:rPr>
                    <w:t>层</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3</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4</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炭</w:t>
                  </w:r>
                  <w:r>
                    <w:rPr>
                      <w:rFonts w:hint="eastAsia"/>
                    </w:rPr>
                    <w:t>层</w:t>
                  </w:r>
                  <w:r>
                    <w:t>厚度（</w:t>
                  </w:r>
                  <w:r>
                    <w:rPr>
                      <w:rFonts w:hint="eastAsia"/>
                    </w:rPr>
                    <w:t>h</w:t>
                  </w:r>
                  <w:r>
                    <w: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0.3m</w:t>
                  </w:r>
                  <w:r>
                    <w:rPr>
                      <w:rFonts w:hint="eastAsia"/>
                    </w:rPr>
                    <w:t>（单层</w:t>
                  </w:r>
                  <w:r>
                    <w:t>炭层</w:t>
                  </w:r>
                  <w:r>
                    <w:rPr>
                      <w:rFonts w:hint="eastAsia"/>
                    </w:rPr>
                    <w:t>厚度0.</w:t>
                  </w:r>
                  <w:r>
                    <w:t>1</w:t>
                  </w:r>
                  <w:r>
                    <w:rPr>
                      <w:rFonts w:hint="eastAsia"/>
                    </w:rPr>
                    <w:t>m）</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0.6m</w:t>
                  </w:r>
                  <w:r>
                    <w:rPr>
                      <w:rFonts w:hint="eastAsia"/>
                    </w:rPr>
                    <w:t>（单层</w:t>
                  </w:r>
                  <w:r>
                    <w:t>炭层</w:t>
                  </w:r>
                  <w:r>
                    <w:rPr>
                      <w:rFonts w:hint="eastAsia"/>
                    </w:rPr>
                    <w:t>厚度0.</w:t>
                  </w:r>
                  <w:r>
                    <w:t>2</w:t>
                  </w:r>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5</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空箱风速V(m/s)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1.45</w:t>
                  </w:r>
                  <w:r>
                    <w:rPr>
                      <w:rFonts w:hint="eastAsia"/>
                    </w:rPr>
                    <w:t>（V</w:t>
                  </w:r>
                  <w:r>
                    <w:t>=</w:t>
                  </w:r>
                  <w:r>
                    <w:rPr>
                      <w:rFonts w:hint="eastAsia"/>
                    </w:rPr>
                    <w:t>Q/</w:t>
                  </w:r>
                  <w:r>
                    <w:t>L</w:t>
                  </w:r>
                  <w:r>
                    <w:rPr>
                      <w:rFonts w:hint="eastAsia"/>
                    </w:rPr>
                    <w:t>/</w:t>
                  </w:r>
                  <w:r>
                    <w:t xml:space="preserve"> W</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2.86</w:t>
                  </w:r>
                  <w:r>
                    <w:rPr>
                      <w:rFonts w:hint="eastAsia"/>
                    </w:rPr>
                    <w:t>（V</w:t>
                  </w:r>
                  <w:r>
                    <w:t>=</w:t>
                  </w:r>
                  <w:r>
                    <w:rPr>
                      <w:rFonts w:hint="eastAsia"/>
                    </w:rPr>
                    <w:t>Q/</w:t>
                  </w:r>
                  <w:r>
                    <w:t>L</w:t>
                  </w:r>
                  <w:r>
                    <w:rPr>
                      <w:rFonts w:hint="eastAsia"/>
                    </w:rPr>
                    <w:t>/</w:t>
                  </w:r>
                  <w:r>
                    <w:t xml:space="preserve"> W</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过滤风速</w:t>
                  </w:r>
                  <w:r>
                    <w:rPr>
                      <w:rFonts w:hint="eastAsia"/>
                    </w:rPr>
                    <w:t>v</w:t>
                  </w:r>
                  <w:r>
                    <w:t>(m/s)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0.48</w:t>
                  </w:r>
                  <w:r>
                    <w:rPr>
                      <w:rFonts w:hint="eastAsia"/>
                    </w:rPr>
                    <w:t>（v=Q/</w:t>
                  </w:r>
                  <w:r>
                    <w:t>L</w:t>
                  </w:r>
                  <w:r>
                    <w:rPr>
                      <w:rFonts w:hint="eastAsia"/>
                    </w:rPr>
                    <w:t>/</w:t>
                  </w:r>
                  <w:r>
                    <w:t xml:space="preserve"> W /q</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0.95</w:t>
                  </w:r>
                  <w:r>
                    <w:rPr>
                      <w:rFonts w:hint="eastAsia"/>
                    </w:rPr>
                    <w:t>（v=Q/</w:t>
                  </w:r>
                  <w:r>
                    <w:t>L</w:t>
                  </w:r>
                  <w:r>
                    <w:rPr>
                      <w:rFonts w:hint="eastAsia"/>
                    </w:rPr>
                    <w:t>/</w:t>
                  </w:r>
                  <w:r>
                    <w:t xml:space="preserve"> W /q</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7</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停留时间</w:t>
                  </w:r>
                  <w:r>
                    <w:rPr>
                      <w:rFonts w:hint="eastAsia"/>
                    </w:rPr>
                    <w:t>t</w:t>
                  </w:r>
                  <w:r>
                    <w:t>(s)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0.63</w:t>
                  </w:r>
                  <w:r>
                    <w:rPr>
                      <w:rFonts w:hint="eastAsia"/>
                    </w:rPr>
                    <w:t>（t=h/v）</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0.63</w:t>
                  </w:r>
                  <w:r>
                    <w:rPr>
                      <w:rFonts w:hint="eastAsia"/>
                    </w:rPr>
                    <w:t>（t=h/v）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活性炭形态</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蜂窝状</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蜂窝状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活性炭密度ρ（g/cm³）</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0.45</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10</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单塔活性炭装填量</w:t>
                  </w:r>
                  <w:r>
                    <w:rPr>
                      <w:rFonts w:hint="eastAsia"/>
                    </w:rPr>
                    <w:t>G</w:t>
                  </w:r>
                  <w:r>
                    <w:t>(t)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0.13</w:t>
                  </w:r>
                  <w:r>
                    <w:rPr>
                      <w:rFonts w:hint="eastAsia"/>
                    </w:rPr>
                    <w:t>（G</w:t>
                  </w:r>
                  <w:r>
                    <w:t>=L×W×h×ρ</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0.58</w:t>
                  </w:r>
                  <w:r>
                    <w:rPr>
                      <w:rFonts w:hint="eastAsia"/>
                    </w:rPr>
                    <w:t>（G</w:t>
                  </w:r>
                  <w:r>
                    <w:t>=L×W×h×ρ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活性炭更换频率</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3个月/次</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rPr>
                      <w:szCs w:val="21"/>
                    </w:rPr>
                    <w:t>活性炭的更换量</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1.04</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7</w:t>
                  </w:r>
                  <w:r>
                    <w:rPr>
                      <w:rFonts w:hint="eastAsia"/>
                    </w:rPr>
                    <w:t>.</w:t>
                  </w:r>
                  <w:r>
                    <w:t>34</w:t>
                  </w:r>
                </w:p>
              </w:tc>
            </w:tr>
          </w:tbl>
          <w:p>
            <w:pPr>
              <w:pStyle w:val="83"/>
              <w:spacing w:line="360" w:lineRule="auto"/>
              <w:ind w:firstLine="420" w:firstLineChars="200"/>
              <w:jc w:val="both"/>
              <w:rPr>
                <w:b w:val="0"/>
                <w:bCs/>
              </w:rPr>
            </w:pPr>
            <w:r>
              <w:rPr>
                <w:b w:val="0"/>
                <w:bCs/>
              </w:rPr>
              <w:t>根据《现代涂装手册》（化学工业出版社，2010年出版），活性炭对有机废气各成分的吸附量约为25%左右，由前文可知，本项目活性炭对有机废气的</w:t>
            </w:r>
            <w:r>
              <w:rPr>
                <w:rFonts w:hint="eastAsia"/>
                <w:b w:val="0"/>
                <w:bCs/>
              </w:rPr>
              <w:t>总</w:t>
            </w:r>
            <w:r>
              <w:rPr>
                <w:b w:val="0"/>
                <w:bCs/>
              </w:rPr>
              <w:t>吸附量约0.1118t/a，则理论所需的活性炭用量约0.4472t/a&lt;</w:t>
            </w:r>
            <w:r>
              <w:rPr>
                <w:rFonts w:hint="eastAsia"/>
                <w:b w:val="0"/>
                <w:bCs/>
              </w:rPr>
              <w:t>（1.04</w:t>
            </w:r>
            <w:r>
              <w:rPr>
                <w:b w:val="0"/>
                <w:bCs/>
              </w:rPr>
              <w:t>+</w:t>
            </w:r>
            <w:r>
              <w:rPr>
                <w:rFonts w:hint="eastAsia"/>
                <w:b w:val="0"/>
                <w:bCs/>
              </w:rPr>
              <w:t>7.34）=</w:t>
            </w:r>
            <w:r>
              <w:rPr>
                <w:b w:val="0"/>
                <w:bCs/>
              </w:rPr>
              <w:t>8.38t/a（上文计算的活性炭更换量），因此本项目废气处理过程废活性炭产生量约8.38+0.1118</w:t>
            </w:r>
            <w:r>
              <w:rPr>
                <w:rFonts w:hint="eastAsia"/>
                <w:b w:val="0"/>
                <w:bCs/>
              </w:rPr>
              <w:t>≈</w:t>
            </w:r>
            <w:r>
              <w:rPr>
                <w:b w:val="0"/>
                <w:bCs/>
              </w:rPr>
              <w:t>8.49t/a（活性炭更换量加上有机废气量）。废活性炭属于危险废物（废物类别：HW49其他废物，废物代码：900-039-49），</w:t>
            </w:r>
            <w:r>
              <w:rPr>
                <w:rFonts w:hint="eastAsia"/>
                <w:b w:val="0"/>
                <w:bCs/>
              </w:rPr>
              <w:t>收集</w:t>
            </w:r>
            <w:r>
              <w:rPr>
                <w:b w:val="0"/>
                <w:bCs/>
              </w:rPr>
              <w:t>后委托有资质单位处置。</w:t>
            </w:r>
          </w:p>
          <w:p>
            <w:pPr>
              <w:adjustRightInd w:val="0"/>
              <w:snapToGrid w:val="0"/>
              <w:spacing w:line="360" w:lineRule="auto"/>
              <w:ind w:firstLine="420" w:firstLineChars="200"/>
              <w:rPr>
                <w:szCs w:val="21"/>
              </w:rPr>
            </w:pPr>
            <w:r>
              <w:rPr>
                <w:szCs w:val="21"/>
              </w:rPr>
              <w:t>废机油：项目设备维修和保养会产生一定量的废机油，产生量约0.02t/a；废机油属于危险废物，危废编号（HW08废矿物油与含矿物油废物，900-214-08），收集后交由有危险废物处理资质的单位处理。</w:t>
            </w:r>
          </w:p>
          <w:p>
            <w:pPr>
              <w:adjustRightInd w:val="0"/>
              <w:snapToGrid w:val="0"/>
              <w:spacing w:line="360" w:lineRule="auto"/>
              <w:ind w:firstLine="420" w:firstLineChars="200"/>
              <w:rPr>
                <w:szCs w:val="21"/>
              </w:rPr>
            </w:pPr>
            <w:r>
              <w:rPr>
                <w:szCs w:val="21"/>
              </w:rPr>
              <w:t>废含油抹布</w:t>
            </w:r>
            <w:r>
              <w:rPr>
                <w:rFonts w:hint="eastAsia"/>
                <w:szCs w:val="21"/>
              </w:rPr>
              <w:t>及</w:t>
            </w:r>
            <w:r>
              <w:rPr>
                <w:szCs w:val="21"/>
              </w:rPr>
              <w:t>手套：项目设备维修和保养会产生一定量的废含油抹布，产生量约0.02t/a；废含油抹布</w:t>
            </w:r>
            <w:r>
              <w:rPr>
                <w:rFonts w:hint="eastAsia"/>
                <w:szCs w:val="21"/>
              </w:rPr>
              <w:t>级</w:t>
            </w:r>
            <w:r>
              <w:rPr>
                <w:szCs w:val="21"/>
              </w:rPr>
              <w:t>手套属于危险废物，危废编号（HW49其他废物，900-041-49），收集后交由有危险废物处理资质的单位处理。</w:t>
            </w:r>
          </w:p>
          <w:p>
            <w:pPr>
              <w:adjustRightInd w:val="0"/>
              <w:snapToGrid w:val="0"/>
              <w:spacing w:line="360" w:lineRule="auto"/>
              <w:ind w:firstLine="420" w:firstLineChars="200"/>
              <w:rPr>
                <w:szCs w:val="21"/>
              </w:rPr>
            </w:pPr>
            <w:r>
              <w:rPr>
                <w:rFonts w:hint="eastAsia"/>
                <w:szCs w:val="21"/>
              </w:rPr>
              <w:t>废化学品包装</w:t>
            </w:r>
            <w:r>
              <w:rPr>
                <w:szCs w:val="21"/>
              </w:rPr>
              <w:t>桶</w:t>
            </w:r>
            <w:r>
              <w:rPr>
                <w:rFonts w:hint="eastAsia"/>
                <w:szCs w:val="21"/>
              </w:rPr>
              <w:t>：</w:t>
            </w:r>
            <w:r>
              <w:rPr>
                <w:szCs w:val="21"/>
              </w:rPr>
              <w:t>项目</w:t>
            </w:r>
            <w:r>
              <w:rPr>
                <w:rFonts w:hint="eastAsia"/>
                <w:szCs w:val="21"/>
              </w:rPr>
              <w:t>胶水和</w:t>
            </w:r>
            <w:r>
              <w:rPr>
                <w:szCs w:val="21"/>
              </w:rPr>
              <w:t>油墨使用后会产生</w:t>
            </w:r>
            <w:r>
              <w:rPr>
                <w:rFonts w:hint="eastAsia"/>
                <w:szCs w:val="21"/>
              </w:rPr>
              <w:t>一定量</w:t>
            </w:r>
            <w:r>
              <w:rPr>
                <w:szCs w:val="21"/>
              </w:rPr>
              <w:t>的废包装桶，产生量约</w:t>
            </w:r>
            <w:r>
              <w:rPr>
                <w:rFonts w:hint="eastAsia"/>
                <w:szCs w:val="21"/>
              </w:rPr>
              <w:t>0.</w:t>
            </w:r>
            <w:r>
              <w:rPr>
                <w:szCs w:val="21"/>
              </w:rPr>
              <w:t>3</w:t>
            </w:r>
            <w:r>
              <w:rPr>
                <w:rFonts w:hint="eastAsia"/>
                <w:szCs w:val="21"/>
              </w:rPr>
              <w:t>t/a，</w:t>
            </w:r>
            <w:r>
              <w:rPr>
                <w:szCs w:val="21"/>
              </w:rPr>
              <w:t>废</w:t>
            </w:r>
            <w:r>
              <w:rPr>
                <w:rFonts w:hint="eastAsia"/>
                <w:szCs w:val="21"/>
              </w:rPr>
              <w:t>化学品</w:t>
            </w:r>
            <w:r>
              <w:rPr>
                <w:szCs w:val="21"/>
              </w:rPr>
              <w:t>包装桶属于危险废物，危废编号（HW49其他废物，900-041-49），收集后交由有危险废物处理资质的单位处理。</w:t>
            </w:r>
          </w:p>
          <w:p>
            <w:pPr>
              <w:numPr>
                <w:ilvl w:val="0"/>
                <w:numId w:val="2"/>
              </w:numPr>
              <w:adjustRightInd w:val="0"/>
              <w:snapToGrid w:val="0"/>
              <w:spacing w:line="360" w:lineRule="auto"/>
              <w:ind w:left="0"/>
              <w:jc w:val="center"/>
              <w:rPr>
                <w:b/>
              </w:rPr>
            </w:pPr>
            <w:r>
              <w:rPr>
                <w:b/>
              </w:rPr>
              <w:t>项目固废一览表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1"/>
              <w:gridCol w:w="845"/>
              <w:gridCol w:w="1020"/>
              <w:gridCol w:w="2041"/>
              <w:gridCol w:w="665"/>
              <w:gridCol w:w="527"/>
              <w:gridCol w:w="704"/>
              <w:gridCol w:w="431"/>
              <w:gridCol w:w="419"/>
              <w:gridCol w:w="71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b/>
                      <w:kern w:val="0"/>
                      <w:szCs w:val="21"/>
                    </w:rPr>
                  </w:pPr>
                  <w:r>
                    <w:rPr>
                      <w:b/>
                      <w:kern w:val="0"/>
                      <w:szCs w:val="21"/>
                    </w:rPr>
                    <w:t>序号</w:t>
                  </w:r>
                </w:p>
              </w:tc>
              <w:tc>
                <w:tcPr>
                  <w:tcW w:w="502" w:type="pct"/>
                  <w:vAlign w:val="center"/>
                </w:tcPr>
                <w:p>
                  <w:pPr>
                    <w:widowControl/>
                    <w:jc w:val="center"/>
                    <w:rPr>
                      <w:b/>
                      <w:kern w:val="0"/>
                      <w:szCs w:val="21"/>
                    </w:rPr>
                  </w:pPr>
                  <w:r>
                    <w:rPr>
                      <w:b/>
                      <w:kern w:val="0"/>
                      <w:szCs w:val="21"/>
                    </w:rPr>
                    <w:t>产生环节</w:t>
                  </w:r>
                </w:p>
              </w:tc>
              <w:tc>
                <w:tcPr>
                  <w:tcW w:w="606" w:type="pct"/>
                  <w:vAlign w:val="center"/>
                </w:tcPr>
                <w:p>
                  <w:pPr>
                    <w:widowControl/>
                    <w:jc w:val="center"/>
                    <w:rPr>
                      <w:b/>
                      <w:kern w:val="0"/>
                      <w:szCs w:val="21"/>
                    </w:rPr>
                  </w:pPr>
                  <w:r>
                    <w:rPr>
                      <w:b/>
                      <w:kern w:val="0"/>
                      <w:szCs w:val="21"/>
                    </w:rPr>
                    <w:t>废物名称</w:t>
                  </w:r>
                </w:p>
              </w:tc>
              <w:tc>
                <w:tcPr>
                  <w:tcW w:w="1212" w:type="pct"/>
                  <w:vAlign w:val="center"/>
                </w:tcPr>
                <w:p>
                  <w:pPr>
                    <w:widowControl/>
                    <w:jc w:val="center"/>
                    <w:rPr>
                      <w:b/>
                      <w:kern w:val="0"/>
                      <w:szCs w:val="21"/>
                    </w:rPr>
                  </w:pPr>
                  <w:r>
                    <w:rPr>
                      <w:b/>
                      <w:kern w:val="0"/>
                      <w:szCs w:val="21"/>
                    </w:rPr>
                    <w:t>废物属性</w:t>
                  </w:r>
                </w:p>
              </w:tc>
              <w:tc>
                <w:tcPr>
                  <w:tcW w:w="395" w:type="pct"/>
                  <w:vAlign w:val="center"/>
                </w:tcPr>
                <w:p>
                  <w:pPr>
                    <w:widowControl/>
                    <w:jc w:val="center"/>
                    <w:rPr>
                      <w:b/>
                      <w:kern w:val="0"/>
                      <w:szCs w:val="21"/>
                    </w:rPr>
                  </w:pPr>
                  <w:r>
                    <w:rPr>
                      <w:b/>
                      <w:kern w:val="0"/>
                      <w:szCs w:val="21"/>
                    </w:rPr>
                    <w:t>产生量</w:t>
                  </w:r>
                </w:p>
                <w:p>
                  <w:pPr>
                    <w:widowControl/>
                    <w:jc w:val="center"/>
                    <w:rPr>
                      <w:b/>
                      <w:kern w:val="0"/>
                      <w:szCs w:val="21"/>
                    </w:rPr>
                  </w:pPr>
                  <w:r>
                    <w:rPr>
                      <w:b/>
                      <w:kern w:val="0"/>
                      <w:szCs w:val="21"/>
                    </w:rPr>
                    <w:t>（t/a）</w:t>
                  </w:r>
                </w:p>
              </w:tc>
              <w:tc>
                <w:tcPr>
                  <w:tcW w:w="313" w:type="pct"/>
                  <w:vAlign w:val="center"/>
                </w:tcPr>
                <w:p>
                  <w:pPr>
                    <w:widowControl/>
                    <w:jc w:val="center"/>
                    <w:rPr>
                      <w:b/>
                      <w:kern w:val="0"/>
                      <w:szCs w:val="21"/>
                    </w:rPr>
                  </w:pPr>
                  <w:r>
                    <w:rPr>
                      <w:b/>
                      <w:kern w:val="0"/>
                      <w:szCs w:val="21"/>
                    </w:rPr>
                    <w:t>形态</w:t>
                  </w:r>
                </w:p>
              </w:tc>
              <w:tc>
                <w:tcPr>
                  <w:tcW w:w="418" w:type="pct"/>
                  <w:vAlign w:val="center"/>
                </w:tcPr>
                <w:p>
                  <w:pPr>
                    <w:widowControl/>
                    <w:jc w:val="center"/>
                    <w:rPr>
                      <w:b/>
                      <w:kern w:val="0"/>
                      <w:szCs w:val="21"/>
                    </w:rPr>
                  </w:pPr>
                  <w:r>
                    <w:rPr>
                      <w:b/>
                      <w:kern w:val="0"/>
                      <w:szCs w:val="21"/>
                    </w:rPr>
                    <w:t>主要成分</w:t>
                  </w:r>
                </w:p>
              </w:tc>
              <w:tc>
                <w:tcPr>
                  <w:tcW w:w="256" w:type="pct"/>
                  <w:vAlign w:val="center"/>
                </w:tcPr>
                <w:p>
                  <w:pPr>
                    <w:widowControl/>
                    <w:jc w:val="center"/>
                    <w:rPr>
                      <w:b/>
                      <w:kern w:val="0"/>
                      <w:szCs w:val="21"/>
                    </w:rPr>
                  </w:pPr>
                  <w:r>
                    <w:rPr>
                      <w:b/>
                      <w:kern w:val="0"/>
                      <w:szCs w:val="21"/>
                    </w:rPr>
                    <w:t>有害成分</w:t>
                  </w:r>
                </w:p>
              </w:tc>
              <w:tc>
                <w:tcPr>
                  <w:tcW w:w="249" w:type="pct"/>
                  <w:vAlign w:val="center"/>
                </w:tcPr>
                <w:p>
                  <w:pPr>
                    <w:widowControl/>
                    <w:jc w:val="center"/>
                    <w:rPr>
                      <w:b/>
                      <w:kern w:val="0"/>
                      <w:szCs w:val="21"/>
                    </w:rPr>
                  </w:pPr>
                  <w:r>
                    <w:rPr>
                      <w:b/>
                      <w:kern w:val="0"/>
                      <w:szCs w:val="21"/>
                    </w:rPr>
                    <w:t>危险</w:t>
                  </w:r>
                </w:p>
                <w:p>
                  <w:pPr>
                    <w:widowControl/>
                    <w:jc w:val="center"/>
                    <w:rPr>
                      <w:b/>
                      <w:kern w:val="0"/>
                      <w:szCs w:val="21"/>
                    </w:rPr>
                  </w:pPr>
                  <w:r>
                    <w:rPr>
                      <w:b/>
                      <w:kern w:val="0"/>
                      <w:szCs w:val="21"/>
                    </w:rPr>
                    <w:t>特性</w:t>
                  </w:r>
                </w:p>
              </w:tc>
              <w:tc>
                <w:tcPr>
                  <w:tcW w:w="426" w:type="pct"/>
                  <w:vAlign w:val="center"/>
                </w:tcPr>
                <w:p>
                  <w:pPr>
                    <w:widowControl/>
                    <w:jc w:val="center"/>
                    <w:rPr>
                      <w:b/>
                      <w:kern w:val="0"/>
                      <w:szCs w:val="21"/>
                    </w:rPr>
                  </w:pPr>
                  <w:r>
                    <w:rPr>
                      <w:b/>
                      <w:kern w:val="0"/>
                      <w:szCs w:val="21"/>
                    </w:rPr>
                    <w:t>贮存方式</w:t>
                  </w:r>
                </w:p>
              </w:tc>
              <w:tc>
                <w:tcPr>
                  <w:tcW w:w="449" w:type="pct"/>
                  <w:vAlign w:val="center"/>
                </w:tcPr>
                <w:p>
                  <w:pPr>
                    <w:widowControl/>
                    <w:jc w:val="center"/>
                    <w:rPr>
                      <w:b/>
                      <w:kern w:val="0"/>
                      <w:szCs w:val="21"/>
                    </w:rPr>
                  </w:pPr>
                  <w:r>
                    <w:rPr>
                      <w:b/>
                      <w:kern w:val="0"/>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1</w:t>
                  </w:r>
                </w:p>
              </w:tc>
              <w:tc>
                <w:tcPr>
                  <w:tcW w:w="502" w:type="pct"/>
                  <w:vAlign w:val="center"/>
                </w:tcPr>
                <w:p>
                  <w:pPr>
                    <w:tabs>
                      <w:tab w:val="left" w:pos="1081"/>
                    </w:tabs>
                    <w:jc w:val="center"/>
                    <w:rPr>
                      <w:bCs/>
                      <w:kern w:val="0"/>
                      <w:szCs w:val="21"/>
                    </w:rPr>
                  </w:pPr>
                  <w:r>
                    <w:rPr>
                      <w:bCs/>
                      <w:kern w:val="0"/>
                      <w:szCs w:val="21"/>
                    </w:rPr>
                    <w:t>员工生活</w:t>
                  </w:r>
                </w:p>
              </w:tc>
              <w:tc>
                <w:tcPr>
                  <w:tcW w:w="606" w:type="pct"/>
                  <w:vAlign w:val="center"/>
                </w:tcPr>
                <w:p>
                  <w:pPr>
                    <w:tabs>
                      <w:tab w:val="left" w:pos="1081"/>
                    </w:tabs>
                    <w:jc w:val="center"/>
                    <w:rPr>
                      <w:bCs/>
                      <w:kern w:val="0"/>
                      <w:szCs w:val="21"/>
                    </w:rPr>
                  </w:pPr>
                  <w:r>
                    <w:rPr>
                      <w:bCs/>
                      <w:kern w:val="0"/>
                      <w:szCs w:val="21"/>
                    </w:rPr>
                    <w:t>生活垃圾</w:t>
                  </w:r>
                </w:p>
              </w:tc>
              <w:tc>
                <w:tcPr>
                  <w:tcW w:w="1212" w:type="pct"/>
                  <w:vAlign w:val="center"/>
                </w:tcPr>
                <w:p>
                  <w:pPr>
                    <w:jc w:val="center"/>
                    <w:rPr>
                      <w:bCs/>
                      <w:kern w:val="0"/>
                      <w:szCs w:val="21"/>
                    </w:rPr>
                  </w:pPr>
                  <w:r>
                    <w:rPr>
                      <w:bCs/>
                      <w:kern w:val="0"/>
                      <w:szCs w:val="21"/>
                    </w:rPr>
                    <w:t>生活垃圾</w:t>
                  </w:r>
                </w:p>
              </w:tc>
              <w:tc>
                <w:tcPr>
                  <w:tcW w:w="395" w:type="pct"/>
                  <w:vAlign w:val="center"/>
                </w:tcPr>
                <w:p>
                  <w:pPr>
                    <w:jc w:val="center"/>
                    <w:rPr>
                      <w:bCs/>
                      <w:kern w:val="0"/>
                      <w:szCs w:val="21"/>
                    </w:rPr>
                  </w:pPr>
                  <w:r>
                    <w:rPr>
                      <w:bCs/>
                      <w:kern w:val="0"/>
                      <w:szCs w:val="21"/>
                    </w:rPr>
                    <w:t>15</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纸、塑料</w:t>
                  </w:r>
                  <w:r>
                    <w:rPr>
                      <w:rFonts w:hint="eastAsia"/>
                      <w:kern w:val="0"/>
                      <w:szCs w:val="21"/>
                    </w:rPr>
                    <w:t>等</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kern w:val="0"/>
                      <w:szCs w:val="21"/>
                    </w:rPr>
                    <w:t>生活垃圾堆放点</w:t>
                  </w:r>
                </w:p>
              </w:tc>
              <w:tc>
                <w:tcPr>
                  <w:tcW w:w="449" w:type="pct"/>
                  <w:vAlign w:val="center"/>
                </w:tcPr>
                <w:p>
                  <w:pPr>
                    <w:widowControl/>
                    <w:jc w:val="center"/>
                    <w:rPr>
                      <w:kern w:val="0"/>
                      <w:szCs w:val="21"/>
                    </w:rPr>
                  </w:pPr>
                  <w:r>
                    <w:rPr>
                      <w:kern w:val="0"/>
                      <w:szCs w:val="21"/>
                    </w:rPr>
                    <w:t>交由环卫部门统一清运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2</w:t>
                  </w:r>
                </w:p>
              </w:tc>
              <w:tc>
                <w:tcPr>
                  <w:tcW w:w="502" w:type="pct"/>
                  <w:vAlign w:val="center"/>
                </w:tcPr>
                <w:p>
                  <w:pPr>
                    <w:tabs>
                      <w:tab w:val="left" w:pos="1081"/>
                    </w:tabs>
                    <w:jc w:val="center"/>
                    <w:rPr>
                      <w:bCs/>
                      <w:kern w:val="0"/>
                      <w:szCs w:val="21"/>
                    </w:rPr>
                  </w:pPr>
                  <w:r>
                    <w:rPr>
                      <w:rFonts w:hint="eastAsia"/>
                      <w:bCs/>
                      <w:kern w:val="0"/>
                      <w:szCs w:val="21"/>
                    </w:rPr>
                    <w:t>注塑</w:t>
                  </w:r>
                  <w:r>
                    <w:rPr>
                      <w:bCs/>
                      <w:kern w:val="0"/>
                      <w:szCs w:val="21"/>
                    </w:rPr>
                    <w:t>、检验</w:t>
                  </w:r>
                </w:p>
              </w:tc>
              <w:tc>
                <w:tcPr>
                  <w:tcW w:w="606" w:type="pct"/>
                  <w:vAlign w:val="center"/>
                </w:tcPr>
                <w:p>
                  <w:pPr>
                    <w:tabs>
                      <w:tab w:val="left" w:pos="1081"/>
                    </w:tabs>
                    <w:jc w:val="center"/>
                    <w:rPr>
                      <w:bCs/>
                      <w:kern w:val="0"/>
                      <w:szCs w:val="21"/>
                    </w:rPr>
                  </w:pPr>
                  <w:r>
                    <w:rPr>
                      <w:bCs/>
                      <w:kern w:val="0"/>
                      <w:szCs w:val="21"/>
                    </w:rPr>
                    <w:t>边角料</w:t>
                  </w:r>
                  <w:r>
                    <w:rPr>
                      <w:rFonts w:hint="eastAsia"/>
                      <w:bCs/>
                      <w:kern w:val="0"/>
                      <w:szCs w:val="21"/>
                    </w:rPr>
                    <w:t>、</w:t>
                  </w:r>
                  <w:r>
                    <w:rPr>
                      <w:bCs/>
                      <w:kern w:val="0"/>
                      <w:szCs w:val="21"/>
                    </w:rPr>
                    <w:t>废次品</w:t>
                  </w:r>
                </w:p>
              </w:tc>
              <w:tc>
                <w:tcPr>
                  <w:tcW w:w="1212" w:type="pct"/>
                  <w:vAlign w:val="center"/>
                </w:tcPr>
                <w:p>
                  <w:pPr>
                    <w:jc w:val="center"/>
                    <w:rPr>
                      <w:bCs/>
                      <w:kern w:val="0"/>
                      <w:szCs w:val="21"/>
                    </w:rPr>
                  </w:pPr>
                  <w:r>
                    <w:rPr>
                      <w:bCs/>
                      <w:kern w:val="0"/>
                      <w:szCs w:val="21"/>
                    </w:rPr>
                    <w:t>一般工业固体废物（</w:t>
                  </w:r>
                  <w:r>
                    <w:rPr>
                      <w:bCs/>
                    </w:rPr>
                    <w:t>292-001-06</w:t>
                  </w:r>
                  <w:r>
                    <w:rPr>
                      <w:bCs/>
                      <w:kern w:val="0"/>
                      <w:szCs w:val="21"/>
                    </w:rPr>
                    <w:t>）</w:t>
                  </w:r>
                </w:p>
              </w:tc>
              <w:tc>
                <w:tcPr>
                  <w:tcW w:w="395" w:type="pct"/>
                  <w:vAlign w:val="center"/>
                </w:tcPr>
                <w:p>
                  <w:pPr>
                    <w:jc w:val="center"/>
                    <w:rPr>
                      <w:bCs/>
                      <w:kern w:val="0"/>
                      <w:szCs w:val="21"/>
                    </w:rPr>
                  </w:pPr>
                  <w:r>
                    <w:rPr>
                      <w:bCs/>
                      <w:kern w:val="0"/>
                      <w:szCs w:val="21"/>
                    </w:rPr>
                    <w:t>8</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塑料</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restart"/>
                  <w:vAlign w:val="center"/>
                </w:tcPr>
                <w:p>
                  <w:pPr>
                    <w:widowControl/>
                    <w:jc w:val="center"/>
                    <w:rPr>
                      <w:kern w:val="0"/>
                      <w:szCs w:val="21"/>
                    </w:rPr>
                  </w:pPr>
                  <w:r>
                    <w:rPr>
                      <w:lang w:bidi="ar"/>
                    </w:rPr>
                    <w:t>交由专</w:t>
                  </w:r>
                  <w:r>
                    <w:rPr>
                      <w:rFonts w:hint="eastAsia"/>
                      <w:lang w:bidi="ar"/>
                    </w:rPr>
                    <w:t>业</w:t>
                  </w:r>
                  <w:r>
                    <w:rPr>
                      <w:lang w:bidi="ar"/>
                    </w:rPr>
                    <w:t>回收公司</w:t>
                  </w:r>
                  <w:r>
                    <w:rPr>
                      <w:rFonts w:hint="eastAsia"/>
                      <w:lang w:bidi="ar"/>
                    </w:rPr>
                    <w:t>回收</w:t>
                  </w:r>
                  <w:r>
                    <w:rPr>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3</w:t>
                  </w:r>
                </w:p>
              </w:tc>
              <w:tc>
                <w:tcPr>
                  <w:tcW w:w="502" w:type="pct"/>
                  <w:vAlign w:val="center"/>
                </w:tcPr>
                <w:p>
                  <w:pPr>
                    <w:tabs>
                      <w:tab w:val="left" w:pos="1081"/>
                    </w:tabs>
                    <w:jc w:val="center"/>
                    <w:rPr>
                      <w:bCs/>
                      <w:kern w:val="0"/>
                      <w:szCs w:val="21"/>
                    </w:rPr>
                  </w:pPr>
                  <w:r>
                    <w:rPr>
                      <w:bCs/>
                      <w:kern w:val="0"/>
                      <w:szCs w:val="21"/>
                    </w:rPr>
                    <w:t>原料使用</w:t>
                  </w:r>
                  <w:r>
                    <w:rPr>
                      <w:rFonts w:hint="eastAsia"/>
                      <w:bCs/>
                      <w:kern w:val="0"/>
                      <w:szCs w:val="21"/>
                    </w:rPr>
                    <w:t>、</w:t>
                  </w:r>
                  <w:r>
                    <w:rPr>
                      <w:bCs/>
                      <w:kern w:val="0"/>
                      <w:szCs w:val="21"/>
                    </w:rPr>
                    <w:t>成品包装</w:t>
                  </w:r>
                </w:p>
              </w:tc>
              <w:tc>
                <w:tcPr>
                  <w:tcW w:w="606" w:type="pct"/>
                  <w:vAlign w:val="center"/>
                </w:tcPr>
                <w:p>
                  <w:pPr>
                    <w:tabs>
                      <w:tab w:val="left" w:pos="1081"/>
                    </w:tabs>
                    <w:jc w:val="center"/>
                    <w:rPr>
                      <w:bCs/>
                      <w:kern w:val="0"/>
                      <w:szCs w:val="21"/>
                    </w:rPr>
                  </w:pPr>
                  <w:r>
                    <w:rPr>
                      <w:bCs/>
                      <w:kern w:val="0"/>
                      <w:szCs w:val="21"/>
                    </w:rPr>
                    <w:t>包装废物</w:t>
                  </w:r>
                </w:p>
              </w:tc>
              <w:tc>
                <w:tcPr>
                  <w:tcW w:w="1212" w:type="pct"/>
                  <w:vAlign w:val="center"/>
                </w:tcPr>
                <w:p>
                  <w:pPr>
                    <w:jc w:val="center"/>
                    <w:rPr>
                      <w:bCs/>
                      <w:kern w:val="0"/>
                      <w:szCs w:val="21"/>
                    </w:rPr>
                  </w:pPr>
                  <w:r>
                    <w:rPr>
                      <w:bCs/>
                      <w:kern w:val="0"/>
                      <w:szCs w:val="21"/>
                    </w:rPr>
                    <w:t>一般工业固体废物（</w:t>
                  </w:r>
                  <w:r>
                    <w:rPr>
                      <w:bCs/>
                    </w:rPr>
                    <w:t>292-999-07</w:t>
                  </w:r>
                  <w:r>
                    <w:rPr>
                      <w:bCs/>
                      <w:kern w:val="0"/>
                      <w:szCs w:val="21"/>
                    </w:rPr>
                    <w:t>）</w:t>
                  </w:r>
                </w:p>
              </w:tc>
              <w:tc>
                <w:tcPr>
                  <w:tcW w:w="395" w:type="pct"/>
                  <w:vAlign w:val="center"/>
                </w:tcPr>
                <w:p>
                  <w:pPr>
                    <w:jc w:val="center"/>
                    <w:rPr>
                      <w:bCs/>
                      <w:kern w:val="0"/>
                      <w:szCs w:val="21"/>
                    </w:rPr>
                  </w:pPr>
                  <w:r>
                    <w:rPr>
                      <w:bCs/>
                      <w:kern w:val="0"/>
                      <w:szCs w:val="21"/>
                    </w:rPr>
                    <w:t>1</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塑料、绳</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continue"/>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4</w:t>
                  </w:r>
                </w:p>
              </w:tc>
              <w:tc>
                <w:tcPr>
                  <w:tcW w:w="502" w:type="pct"/>
                  <w:vAlign w:val="center"/>
                </w:tcPr>
                <w:p>
                  <w:pPr>
                    <w:tabs>
                      <w:tab w:val="left" w:pos="1081"/>
                    </w:tabs>
                    <w:jc w:val="center"/>
                    <w:rPr>
                      <w:bCs/>
                      <w:kern w:val="0"/>
                      <w:szCs w:val="21"/>
                    </w:rPr>
                  </w:pPr>
                  <w:r>
                    <w:rPr>
                      <w:rFonts w:hint="eastAsia"/>
                      <w:bCs/>
                      <w:kern w:val="0"/>
                      <w:szCs w:val="21"/>
                    </w:rPr>
                    <w:t>有机</w:t>
                  </w:r>
                  <w:r>
                    <w:rPr>
                      <w:bCs/>
                      <w:kern w:val="0"/>
                      <w:szCs w:val="21"/>
                    </w:rPr>
                    <w:t>废气处理</w:t>
                  </w:r>
                </w:p>
              </w:tc>
              <w:tc>
                <w:tcPr>
                  <w:tcW w:w="606" w:type="pct"/>
                  <w:vAlign w:val="center"/>
                </w:tcPr>
                <w:p>
                  <w:pPr>
                    <w:tabs>
                      <w:tab w:val="left" w:pos="1081"/>
                    </w:tabs>
                    <w:jc w:val="center"/>
                    <w:rPr>
                      <w:bCs/>
                      <w:kern w:val="0"/>
                      <w:szCs w:val="21"/>
                    </w:rPr>
                  </w:pPr>
                  <w:r>
                    <w:rPr>
                      <w:bCs/>
                      <w:kern w:val="0"/>
                      <w:szCs w:val="21"/>
                    </w:rPr>
                    <w:t>废活性炭</w:t>
                  </w:r>
                </w:p>
              </w:tc>
              <w:tc>
                <w:tcPr>
                  <w:tcW w:w="1212" w:type="pct"/>
                  <w:vAlign w:val="center"/>
                </w:tcPr>
                <w:p>
                  <w:pPr>
                    <w:jc w:val="center"/>
                    <w:rPr>
                      <w:bCs/>
                      <w:kern w:val="0"/>
                      <w:szCs w:val="21"/>
                    </w:rPr>
                  </w:pPr>
                  <w:r>
                    <w:rPr>
                      <w:bCs/>
                      <w:kern w:val="0"/>
                      <w:szCs w:val="21"/>
                    </w:rPr>
                    <w:t>危险废物（</w:t>
                  </w:r>
                  <w:r>
                    <w:rPr>
                      <w:bCs/>
                    </w:rPr>
                    <w:t>HW49-900-039-49</w:t>
                  </w:r>
                  <w:r>
                    <w:rPr>
                      <w:bCs/>
                      <w:kern w:val="0"/>
                      <w:szCs w:val="21"/>
                    </w:rPr>
                    <w:t>）</w:t>
                  </w:r>
                </w:p>
              </w:tc>
              <w:tc>
                <w:tcPr>
                  <w:tcW w:w="395" w:type="pct"/>
                  <w:vAlign w:val="center"/>
                </w:tcPr>
                <w:p>
                  <w:pPr>
                    <w:jc w:val="center"/>
                    <w:rPr>
                      <w:bCs/>
                      <w:kern w:val="0"/>
                      <w:szCs w:val="21"/>
                    </w:rPr>
                  </w:pPr>
                  <w:r>
                    <w:rPr>
                      <w:bCs/>
                      <w:kern w:val="0"/>
                      <w:szCs w:val="21"/>
                    </w:rPr>
                    <w:t>8.49</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炭、有机废气</w:t>
                  </w:r>
                </w:p>
              </w:tc>
              <w:tc>
                <w:tcPr>
                  <w:tcW w:w="256" w:type="pct"/>
                  <w:vAlign w:val="center"/>
                </w:tcPr>
                <w:p>
                  <w:pPr>
                    <w:topLinePunct/>
                    <w:snapToGrid w:val="0"/>
                    <w:jc w:val="center"/>
                    <w:rPr>
                      <w:kern w:val="0"/>
                      <w:szCs w:val="21"/>
                    </w:rPr>
                  </w:pPr>
                  <w:r>
                    <w:rPr>
                      <w:kern w:val="0"/>
                      <w:szCs w:val="21"/>
                    </w:rPr>
                    <w:t>有机废气</w:t>
                  </w:r>
                </w:p>
              </w:tc>
              <w:tc>
                <w:tcPr>
                  <w:tcW w:w="249" w:type="pct"/>
                  <w:vAlign w:val="center"/>
                </w:tcPr>
                <w:p>
                  <w:pPr>
                    <w:jc w:val="center"/>
                    <w:rPr>
                      <w:szCs w:val="21"/>
                    </w:rPr>
                  </w:pPr>
                  <w:r>
                    <w:rPr>
                      <w:szCs w:val="21"/>
                    </w:rPr>
                    <w:t>T</w:t>
                  </w:r>
                </w:p>
              </w:tc>
              <w:tc>
                <w:tcPr>
                  <w:tcW w:w="426" w:type="pct"/>
                  <w:vAlign w:val="center"/>
                </w:tcPr>
                <w:p>
                  <w:pPr>
                    <w:widowControl/>
                    <w:jc w:val="center"/>
                    <w:rPr>
                      <w:kern w:val="0"/>
                      <w:szCs w:val="21"/>
                    </w:rPr>
                  </w:pPr>
                  <w:r>
                    <w:rPr>
                      <w:rFonts w:hint="eastAsia"/>
                      <w:kern w:val="0"/>
                      <w:szCs w:val="21"/>
                    </w:rPr>
                    <w:t>密封胶袋</w:t>
                  </w:r>
                </w:p>
              </w:tc>
              <w:tc>
                <w:tcPr>
                  <w:tcW w:w="449" w:type="pct"/>
                  <w:vMerge w:val="restart"/>
                  <w:vAlign w:val="center"/>
                </w:tcPr>
                <w:p>
                  <w:pPr>
                    <w:widowControl/>
                    <w:jc w:val="center"/>
                    <w:rPr>
                      <w:kern w:val="0"/>
                      <w:szCs w:val="21"/>
                    </w:rPr>
                  </w:pPr>
                  <w:r>
                    <w:rPr>
                      <w:rFonts w:hint="eastAsia"/>
                      <w:kern w:val="0"/>
                      <w:szCs w:val="21"/>
                    </w:rPr>
                    <w:t>交由</w:t>
                  </w:r>
                  <w:r>
                    <w:rPr>
                      <w:kern w:val="0"/>
                      <w:szCs w:val="21"/>
                    </w:rPr>
                    <w:t>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5</w:t>
                  </w:r>
                </w:p>
              </w:tc>
              <w:tc>
                <w:tcPr>
                  <w:tcW w:w="502" w:type="pct"/>
                  <w:vAlign w:val="center"/>
                </w:tcPr>
                <w:p>
                  <w:pPr>
                    <w:tabs>
                      <w:tab w:val="left" w:pos="1081"/>
                    </w:tabs>
                    <w:jc w:val="center"/>
                    <w:rPr>
                      <w:bCs/>
                      <w:kern w:val="0"/>
                      <w:szCs w:val="21"/>
                    </w:rPr>
                  </w:pPr>
                  <w:r>
                    <w:rPr>
                      <w:rFonts w:hint="eastAsia"/>
                      <w:bCs/>
                      <w:kern w:val="0"/>
                      <w:szCs w:val="21"/>
                    </w:rPr>
                    <w:t>油墨</w:t>
                  </w:r>
                  <w:r>
                    <w:rPr>
                      <w:bCs/>
                      <w:kern w:val="0"/>
                      <w:szCs w:val="21"/>
                    </w:rPr>
                    <w:t>、胶水使用</w:t>
                  </w:r>
                </w:p>
              </w:tc>
              <w:tc>
                <w:tcPr>
                  <w:tcW w:w="606" w:type="pct"/>
                  <w:vAlign w:val="center"/>
                </w:tcPr>
                <w:p>
                  <w:pPr>
                    <w:tabs>
                      <w:tab w:val="left" w:pos="1081"/>
                    </w:tabs>
                    <w:jc w:val="center"/>
                    <w:rPr>
                      <w:bCs/>
                      <w:kern w:val="0"/>
                      <w:szCs w:val="21"/>
                    </w:rPr>
                  </w:pPr>
                  <w:r>
                    <w:rPr>
                      <w:rFonts w:hint="eastAsia"/>
                      <w:bCs/>
                      <w:kern w:val="0"/>
                      <w:szCs w:val="21"/>
                    </w:rPr>
                    <w:t>废化学品</w:t>
                  </w:r>
                  <w:r>
                    <w:rPr>
                      <w:bCs/>
                      <w:kern w:val="0"/>
                      <w:szCs w:val="21"/>
                    </w:rPr>
                    <w:t>包装桶</w:t>
                  </w:r>
                </w:p>
              </w:tc>
              <w:tc>
                <w:tcPr>
                  <w:tcW w:w="1212" w:type="pct"/>
                  <w:vAlign w:val="center"/>
                </w:tcPr>
                <w:p>
                  <w:pPr>
                    <w:jc w:val="center"/>
                    <w:rPr>
                      <w:bCs/>
                      <w:kern w:val="0"/>
                      <w:szCs w:val="21"/>
                    </w:rPr>
                  </w:pPr>
                  <w:r>
                    <w:rPr>
                      <w:bCs/>
                      <w:kern w:val="0"/>
                      <w:szCs w:val="21"/>
                    </w:rPr>
                    <w:t>危险废物（</w:t>
                  </w:r>
                  <w:r>
                    <w:rPr>
                      <w:bCs/>
                    </w:rPr>
                    <w:t>HW49-900-041-49</w:t>
                  </w:r>
                  <w:r>
                    <w:rPr>
                      <w:bCs/>
                      <w:kern w:val="0"/>
                      <w:szCs w:val="21"/>
                    </w:rPr>
                    <w:t>）</w:t>
                  </w:r>
                </w:p>
              </w:tc>
              <w:tc>
                <w:tcPr>
                  <w:tcW w:w="395" w:type="pct"/>
                  <w:vAlign w:val="center"/>
                </w:tcPr>
                <w:p>
                  <w:pPr>
                    <w:jc w:val="center"/>
                    <w:rPr>
                      <w:bCs/>
                      <w:kern w:val="0"/>
                      <w:szCs w:val="21"/>
                    </w:rPr>
                  </w:pPr>
                  <w:r>
                    <w:rPr>
                      <w:bCs/>
                      <w:kern w:val="0"/>
                      <w:szCs w:val="21"/>
                    </w:rPr>
                    <w:t>0.3</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rFonts w:hint="eastAsia"/>
                      <w:kern w:val="0"/>
                      <w:szCs w:val="21"/>
                    </w:rPr>
                    <w:t>铁桶、胶水、</w:t>
                  </w:r>
                  <w:r>
                    <w:rPr>
                      <w:kern w:val="0"/>
                      <w:szCs w:val="21"/>
                    </w:rPr>
                    <w:t>油墨</w:t>
                  </w:r>
                </w:p>
              </w:tc>
              <w:tc>
                <w:tcPr>
                  <w:tcW w:w="256" w:type="pct"/>
                  <w:vAlign w:val="center"/>
                </w:tcPr>
                <w:p>
                  <w:pPr>
                    <w:topLinePunct/>
                    <w:snapToGrid w:val="0"/>
                    <w:jc w:val="center"/>
                    <w:rPr>
                      <w:kern w:val="0"/>
                      <w:szCs w:val="21"/>
                    </w:rPr>
                  </w:pPr>
                  <w:r>
                    <w:rPr>
                      <w:rFonts w:hint="eastAsia"/>
                      <w:kern w:val="0"/>
                      <w:szCs w:val="21"/>
                    </w:rPr>
                    <w:t>胶水、</w:t>
                  </w:r>
                  <w:r>
                    <w:rPr>
                      <w:kern w:val="0"/>
                      <w:szCs w:val="21"/>
                    </w:rPr>
                    <w:t>油墨</w:t>
                  </w:r>
                </w:p>
              </w:tc>
              <w:tc>
                <w:tcPr>
                  <w:tcW w:w="249" w:type="pct"/>
                  <w:vAlign w:val="center"/>
                </w:tcPr>
                <w:p>
                  <w:pPr>
                    <w:jc w:val="center"/>
                    <w:rPr>
                      <w:szCs w:val="21"/>
                    </w:rPr>
                  </w:pPr>
                  <w:r>
                    <w:rPr>
                      <w:rFonts w:hint="eastAsia"/>
                      <w:szCs w:val="21"/>
                    </w:rPr>
                    <w:t>T/In</w:t>
                  </w:r>
                </w:p>
              </w:tc>
              <w:tc>
                <w:tcPr>
                  <w:tcW w:w="426" w:type="pct"/>
                  <w:vAlign w:val="center"/>
                </w:tcPr>
                <w:p>
                  <w:pPr>
                    <w:widowControl/>
                    <w:jc w:val="center"/>
                    <w:rPr>
                      <w:kern w:val="0"/>
                      <w:szCs w:val="21"/>
                    </w:rPr>
                  </w:pPr>
                  <w:r>
                    <w:rPr>
                      <w:rFonts w:hint="eastAsia"/>
                      <w:kern w:val="0"/>
                      <w:szCs w:val="21"/>
                    </w:rPr>
                    <w:t>捆装</w:t>
                  </w:r>
                </w:p>
              </w:tc>
              <w:tc>
                <w:tcPr>
                  <w:tcW w:w="449" w:type="pct"/>
                  <w:vMerge w:val="continue"/>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6</w:t>
                  </w:r>
                </w:p>
              </w:tc>
              <w:tc>
                <w:tcPr>
                  <w:tcW w:w="502" w:type="pct"/>
                  <w:vMerge w:val="restart"/>
                  <w:vAlign w:val="center"/>
                </w:tcPr>
                <w:p>
                  <w:pPr>
                    <w:tabs>
                      <w:tab w:val="left" w:pos="1081"/>
                    </w:tabs>
                    <w:jc w:val="center"/>
                    <w:rPr>
                      <w:bCs/>
                      <w:kern w:val="0"/>
                      <w:szCs w:val="21"/>
                    </w:rPr>
                  </w:pPr>
                  <w:r>
                    <w:rPr>
                      <w:rFonts w:hint="eastAsia"/>
                      <w:bCs/>
                      <w:kern w:val="0"/>
                      <w:szCs w:val="21"/>
                    </w:rPr>
                    <w:t>设备</w:t>
                  </w:r>
                  <w:r>
                    <w:rPr>
                      <w:bCs/>
                      <w:kern w:val="0"/>
                      <w:szCs w:val="21"/>
                    </w:rPr>
                    <w:t>维修保养</w:t>
                  </w:r>
                </w:p>
              </w:tc>
              <w:tc>
                <w:tcPr>
                  <w:tcW w:w="606" w:type="pct"/>
                  <w:vAlign w:val="center"/>
                </w:tcPr>
                <w:p>
                  <w:pPr>
                    <w:tabs>
                      <w:tab w:val="left" w:pos="1081"/>
                    </w:tabs>
                    <w:jc w:val="center"/>
                    <w:rPr>
                      <w:bCs/>
                      <w:kern w:val="0"/>
                      <w:szCs w:val="21"/>
                    </w:rPr>
                  </w:pPr>
                  <w:r>
                    <w:rPr>
                      <w:rFonts w:hint="eastAsia"/>
                      <w:bCs/>
                      <w:kern w:val="0"/>
                      <w:szCs w:val="21"/>
                    </w:rPr>
                    <w:t>废机油</w:t>
                  </w:r>
                </w:p>
              </w:tc>
              <w:tc>
                <w:tcPr>
                  <w:tcW w:w="1212" w:type="pct"/>
                  <w:vAlign w:val="center"/>
                </w:tcPr>
                <w:p>
                  <w:pPr>
                    <w:jc w:val="center"/>
                    <w:rPr>
                      <w:bCs/>
                      <w:kern w:val="0"/>
                      <w:szCs w:val="21"/>
                    </w:rPr>
                  </w:pPr>
                  <w:r>
                    <w:rPr>
                      <w:bCs/>
                      <w:kern w:val="0"/>
                      <w:szCs w:val="21"/>
                    </w:rPr>
                    <w:t>危险废物（</w:t>
                  </w:r>
                  <w:r>
                    <w:rPr>
                      <w:bCs/>
                    </w:rPr>
                    <w:t>HW08-900-214-08</w:t>
                  </w:r>
                  <w:r>
                    <w:rPr>
                      <w:bCs/>
                      <w:kern w:val="0"/>
                      <w:szCs w:val="21"/>
                    </w:rPr>
                    <w:t>）</w:t>
                  </w:r>
                </w:p>
              </w:tc>
              <w:tc>
                <w:tcPr>
                  <w:tcW w:w="395" w:type="pct"/>
                  <w:vAlign w:val="center"/>
                </w:tcPr>
                <w:p>
                  <w:pPr>
                    <w:jc w:val="center"/>
                    <w:rPr>
                      <w:bCs/>
                      <w:kern w:val="0"/>
                      <w:szCs w:val="21"/>
                    </w:rPr>
                  </w:pPr>
                  <w:r>
                    <w:rPr>
                      <w:rFonts w:hint="eastAsia"/>
                      <w:bCs/>
                      <w:kern w:val="0"/>
                      <w:szCs w:val="21"/>
                    </w:rPr>
                    <w:t>0.02</w:t>
                  </w:r>
                </w:p>
              </w:tc>
              <w:tc>
                <w:tcPr>
                  <w:tcW w:w="313" w:type="pct"/>
                  <w:vAlign w:val="center"/>
                </w:tcPr>
                <w:p>
                  <w:pPr>
                    <w:jc w:val="center"/>
                    <w:rPr>
                      <w:bCs/>
                      <w:kern w:val="0"/>
                      <w:szCs w:val="21"/>
                    </w:rPr>
                  </w:pPr>
                  <w:r>
                    <w:rPr>
                      <w:rFonts w:hint="eastAsia"/>
                      <w:bCs/>
                      <w:kern w:val="0"/>
                      <w:szCs w:val="21"/>
                    </w:rPr>
                    <w:t>液态</w:t>
                  </w:r>
                </w:p>
              </w:tc>
              <w:tc>
                <w:tcPr>
                  <w:tcW w:w="418" w:type="pct"/>
                  <w:vAlign w:val="center"/>
                </w:tcPr>
                <w:p>
                  <w:pPr>
                    <w:topLinePunct/>
                    <w:snapToGrid w:val="0"/>
                    <w:jc w:val="center"/>
                    <w:rPr>
                      <w:kern w:val="0"/>
                      <w:szCs w:val="21"/>
                    </w:rPr>
                  </w:pPr>
                  <w:r>
                    <w:rPr>
                      <w:rFonts w:hint="eastAsia"/>
                      <w:kern w:val="0"/>
                      <w:szCs w:val="21"/>
                    </w:rPr>
                    <w:t>塑胶</w:t>
                  </w:r>
                  <w:r>
                    <w:rPr>
                      <w:kern w:val="0"/>
                      <w:szCs w:val="21"/>
                    </w:rPr>
                    <w:t>、矿物油</w:t>
                  </w:r>
                </w:p>
              </w:tc>
              <w:tc>
                <w:tcPr>
                  <w:tcW w:w="256" w:type="pct"/>
                  <w:vAlign w:val="center"/>
                </w:tcPr>
                <w:p>
                  <w:pPr>
                    <w:topLinePunct/>
                    <w:snapToGrid w:val="0"/>
                    <w:jc w:val="center"/>
                    <w:rPr>
                      <w:kern w:val="0"/>
                      <w:szCs w:val="21"/>
                    </w:rPr>
                  </w:pPr>
                  <w:r>
                    <w:rPr>
                      <w:rFonts w:hint="eastAsia"/>
                      <w:kern w:val="0"/>
                      <w:szCs w:val="21"/>
                    </w:rPr>
                    <w:t>矿物油</w:t>
                  </w:r>
                </w:p>
              </w:tc>
              <w:tc>
                <w:tcPr>
                  <w:tcW w:w="249" w:type="pct"/>
                  <w:vAlign w:val="center"/>
                </w:tcPr>
                <w:p>
                  <w:pPr>
                    <w:jc w:val="center"/>
                    <w:rPr>
                      <w:szCs w:val="21"/>
                    </w:rPr>
                  </w:pPr>
                  <w:r>
                    <w:rPr>
                      <w:rFonts w:hint="eastAsia"/>
                      <w:szCs w:val="21"/>
                    </w:rPr>
                    <w:t>T,I</w:t>
                  </w:r>
                </w:p>
              </w:tc>
              <w:tc>
                <w:tcPr>
                  <w:tcW w:w="426" w:type="pct"/>
                  <w:vAlign w:val="center"/>
                </w:tcPr>
                <w:p>
                  <w:pPr>
                    <w:widowControl/>
                    <w:jc w:val="center"/>
                    <w:rPr>
                      <w:kern w:val="0"/>
                      <w:szCs w:val="21"/>
                    </w:rPr>
                  </w:pPr>
                  <w:r>
                    <w:rPr>
                      <w:rFonts w:hint="eastAsia"/>
                      <w:kern w:val="0"/>
                      <w:szCs w:val="21"/>
                    </w:rPr>
                    <w:t>密封胶桶</w:t>
                  </w:r>
                </w:p>
              </w:tc>
              <w:tc>
                <w:tcPr>
                  <w:tcW w:w="449" w:type="pct"/>
                  <w:vMerge w:val="continue"/>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7</w:t>
                  </w:r>
                </w:p>
              </w:tc>
              <w:tc>
                <w:tcPr>
                  <w:tcW w:w="502" w:type="pct"/>
                  <w:vMerge w:val="continue"/>
                  <w:vAlign w:val="center"/>
                </w:tcPr>
                <w:p>
                  <w:pPr>
                    <w:tabs>
                      <w:tab w:val="left" w:pos="1081"/>
                    </w:tabs>
                    <w:jc w:val="center"/>
                    <w:rPr>
                      <w:bCs/>
                      <w:kern w:val="0"/>
                      <w:szCs w:val="21"/>
                    </w:rPr>
                  </w:pPr>
                </w:p>
              </w:tc>
              <w:tc>
                <w:tcPr>
                  <w:tcW w:w="606" w:type="pct"/>
                  <w:vAlign w:val="center"/>
                </w:tcPr>
                <w:p>
                  <w:pPr>
                    <w:tabs>
                      <w:tab w:val="left" w:pos="1081"/>
                    </w:tabs>
                    <w:jc w:val="center"/>
                    <w:rPr>
                      <w:bCs/>
                      <w:kern w:val="0"/>
                      <w:szCs w:val="21"/>
                    </w:rPr>
                  </w:pPr>
                  <w:r>
                    <w:rPr>
                      <w:rFonts w:hint="eastAsia"/>
                      <w:bCs/>
                      <w:kern w:val="0"/>
                      <w:szCs w:val="21"/>
                    </w:rPr>
                    <w:t>废</w:t>
                  </w:r>
                  <w:r>
                    <w:rPr>
                      <w:bCs/>
                      <w:kern w:val="0"/>
                      <w:szCs w:val="21"/>
                    </w:rPr>
                    <w:t>含油抹布及手套</w:t>
                  </w:r>
                </w:p>
              </w:tc>
              <w:tc>
                <w:tcPr>
                  <w:tcW w:w="1212" w:type="pct"/>
                  <w:vAlign w:val="center"/>
                </w:tcPr>
                <w:p>
                  <w:pPr>
                    <w:jc w:val="center"/>
                    <w:rPr>
                      <w:bCs/>
                      <w:kern w:val="0"/>
                      <w:szCs w:val="21"/>
                    </w:rPr>
                  </w:pPr>
                  <w:r>
                    <w:rPr>
                      <w:bCs/>
                      <w:kern w:val="0"/>
                      <w:szCs w:val="21"/>
                    </w:rPr>
                    <w:t>危险废物（</w:t>
                  </w:r>
                  <w:r>
                    <w:rPr>
                      <w:bCs/>
                    </w:rPr>
                    <w:t>HW49-900-041-49</w:t>
                  </w:r>
                  <w:r>
                    <w:rPr>
                      <w:bCs/>
                      <w:kern w:val="0"/>
                      <w:szCs w:val="21"/>
                    </w:rPr>
                    <w:t>）</w:t>
                  </w:r>
                </w:p>
              </w:tc>
              <w:tc>
                <w:tcPr>
                  <w:tcW w:w="395" w:type="pct"/>
                  <w:vAlign w:val="center"/>
                </w:tcPr>
                <w:p>
                  <w:pPr>
                    <w:jc w:val="center"/>
                    <w:rPr>
                      <w:bCs/>
                      <w:kern w:val="0"/>
                      <w:szCs w:val="21"/>
                    </w:rPr>
                  </w:pPr>
                  <w:r>
                    <w:rPr>
                      <w:rFonts w:hint="eastAsia"/>
                      <w:bCs/>
                      <w:kern w:val="0"/>
                      <w:szCs w:val="21"/>
                    </w:rPr>
                    <w:t>0.0</w:t>
                  </w:r>
                  <w:r>
                    <w:rPr>
                      <w:bCs/>
                      <w:kern w:val="0"/>
                      <w:szCs w:val="21"/>
                    </w:rPr>
                    <w:t>2</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rFonts w:hint="eastAsia"/>
                      <w:kern w:val="0"/>
                      <w:szCs w:val="21"/>
                    </w:rPr>
                    <w:t>矿物油</w:t>
                  </w:r>
                  <w:r>
                    <w:rPr>
                      <w:kern w:val="0"/>
                      <w:szCs w:val="21"/>
                    </w:rPr>
                    <w:t>、布料</w:t>
                  </w:r>
                </w:p>
              </w:tc>
              <w:tc>
                <w:tcPr>
                  <w:tcW w:w="256" w:type="pct"/>
                  <w:vAlign w:val="center"/>
                </w:tcPr>
                <w:p>
                  <w:pPr>
                    <w:topLinePunct/>
                    <w:snapToGrid w:val="0"/>
                    <w:jc w:val="center"/>
                    <w:rPr>
                      <w:kern w:val="0"/>
                      <w:szCs w:val="21"/>
                    </w:rPr>
                  </w:pPr>
                  <w:r>
                    <w:rPr>
                      <w:rFonts w:hint="eastAsia"/>
                      <w:kern w:val="0"/>
                      <w:szCs w:val="21"/>
                    </w:rPr>
                    <w:t>矿物油</w:t>
                  </w:r>
                </w:p>
              </w:tc>
              <w:tc>
                <w:tcPr>
                  <w:tcW w:w="249" w:type="pct"/>
                  <w:vAlign w:val="center"/>
                </w:tcPr>
                <w:p>
                  <w:pPr>
                    <w:jc w:val="center"/>
                    <w:rPr>
                      <w:szCs w:val="21"/>
                    </w:rPr>
                  </w:pPr>
                  <w:r>
                    <w:rPr>
                      <w:rFonts w:hint="eastAsia"/>
                      <w:szCs w:val="21"/>
                    </w:rPr>
                    <w:t>T/In</w:t>
                  </w:r>
                </w:p>
              </w:tc>
              <w:tc>
                <w:tcPr>
                  <w:tcW w:w="426" w:type="pct"/>
                  <w:vAlign w:val="center"/>
                </w:tcPr>
                <w:p>
                  <w:pPr>
                    <w:widowControl/>
                    <w:jc w:val="center"/>
                    <w:rPr>
                      <w:kern w:val="0"/>
                      <w:szCs w:val="21"/>
                    </w:rPr>
                  </w:pPr>
                  <w:r>
                    <w:rPr>
                      <w:rFonts w:hint="eastAsia"/>
                      <w:kern w:val="0"/>
                      <w:szCs w:val="21"/>
                    </w:rPr>
                    <w:t>密封胶袋</w:t>
                  </w:r>
                </w:p>
              </w:tc>
              <w:tc>
                <w:tcPr>
                  <w:tcW w:w="449" w:type="pct"/>
                  <w:vMerge w:val="continue"/>
                  <w:vAlign w:val="center"/>
                </w:tcPr>
                <w:p>
                  <w:pPr>
                    <w:widowControl/>
                    <w:jc w:val="center"/>
                    <w:rPr>
                      <w:kern w:val="0"/>
                      <w:szCs w:val="21"/>
                    </w:rPr>
                  </w:pPr>
                </w:p>
              </w:tc>
            </w:tr>
          </w:tbl>
          <w:p>
            <w:pPr>
              <w:tabs>
                <w:tab w:val="left" w:pos="1081"/>
              </w:tabs>
              <w:adjustRightInd w:val="0"/>
              <w:spacing w:line="360" w:lineRule="auto"/>
              <w:rPr>
                <w:szCs w:val="21"/>
              </w:rPr>
            </w:pPr>
            <w:r>
              <w:rPr>
                <w:szCs w:val="21"/>
              </w:rPr>
              <w:t>注：T指毒性，I指易燃性。</w:t>
            </w:r>
          </w:p>
          <w:p>
            <w:pPr>
              <w:snapToGrid w:val="0"/>
              <w:spacing w:line="360" w:lineRule="auto"/>
              <w:ind w:firstLine="422" w:firstLineChars="200"/>
              <w:rPr>
                <w:b/>
                <w:szCs w:val="21"/>
              </w:rPr>
            </w:pPr>
            <w:r>
              <w:rPr>
                <w:b/>
                <w:szCs w:val="21"/>
              </w:rPr>
              <w:t>2、管理情况</w:t>
            </w:r>
          </w:p>
          <w:p>
            <w:pPr>
              <w:spacing w:line="360" w:lineRule="auto"/>
              <w:ind w:firstLine="420" w:firstLineChars="200"/>
              <w:rPr>
                <w:szCs w:val="21"/>
              </w:rPr>
            </w:pPr>
            <w:r>
              <w:rPr>
                <w:szCs w:val="21"/>
              </w:rPr>
              <w:t>1）生活垃圾</w:t>
            </w:r>
          </w:p>
          <w:p>
            <w:pPr>
              <w:spacing w:line="360" w:lineRule="auto"/>
              <w:ind w:firstLine="420" w:firstLineChars="200"/>
              <w:rPr>
                <w:szCs w:val="21"/>
              </w:rPr>
            </w:pPr>
            <w:r>
              <w:rPr>
                <w:szCs w:val="21"/>
              </w:rPr>
              <w:t>生活垃圾主要成份是废纸、布类、皮革、瓜果皮核、饮料包装瓶、塑料等。生活垃圾按照指定地点堆放，每日由环卫部门清理运走，并对堆放点进行定期的清洁消毒，杀灭害虫。</w:t>
            </w:r>
          </w:p>
          <w:p>
            <w:pPr>
              <w:spacing w:line="360" w:lineRule="auto"/>
              <w:ind w:firstLine="420" w:firstLineChars="200"/>
              <w:rPr>
                <w:szCs w:val="21"/>
              </w:rPr>
            </w:pPr>
            <w:r>
              <w:rPr>
                <w:szCs w:val="21"/>
              </w:rPr>
              <w:t>2）一般工业固废</w:t>
            </w:r>
          </w:p>
          <w:p>
            <w:pPr>
              <w:snapToGrid w:val="0"/>
              <w:spacing w:line="360" w:lineRule="auto"/>
              <w:ind w:firstLine="420" w:firstLineChars="200"/>
              <w:rPr>
                <w:bCs/>
                <w:szCs w:val="21"/>
              </w:rPr>
            </w:pPr>
            <w:r>
              <w:rPr>
                <w:bCs/>
                <w:szCs w:val="21"/>
              </w:rPr>
              <w:t>项目生产过程中产生的一般工业固体废物主要为边角料、次品及包装废物，</w:t>
            </w:r>
            <w:r>
              <w:rPr>
                <w:szCs w:val="21"/>
              </w:rPr>
              <w:t>交由</w:t>
            </w:r>
            <w:r>
              <w:rPr>
                <w:rFonts w:hint="eastAsia"/>
                <w:szCs w:val="21"/>
              </w:rPr>
              <w:t>专业</w:t>
            </w:r>
            <w:r>
              <w:rPr>
                <w:szCs w:val="21"/>
              </w:rPr>
              <w:t>回收单位回收利用</w:t>
            </w:r>
            <w:r>
              <w:rPr>
                <w:bCs/>
                <w:szCs w:val="21"/>
              </w:rPr>
              <w:t>，建设单位在厂内设置有专门的存放区进行临时存放。</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厂内一般固废临时贮存应注意：</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A、对固体废物实行从产生、收集、运输、贮存直至最终处理实行全过程管理，加强固体废物运输过程的事故风险防范，按照有关法律、法规的要求，对固体废弃物全过程管理应报当地环保行政主管部门等批准。</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B、加强固体废物规范化管理，固体废物分类定点堆放，堆放场所远离办公区和周围环境敏感点。为了减少雨水侵蚀造成的二次污染。</w:t>
            </w:r>
          </w:p>
          <w:p>
            <w:pPr>
              <w:spacing w:line="360" w:lineRule="auto"/>
              <w:ind w:firstLine="420" w:firstLineChars="200"/>
              <w:rPr>
                <w:bCs/>
                <w:szCs w:val="21"/>
              </w:rPr>
            </w:pPr>
            <w:r>
              <w:rPr>
                <w:bCs/>
                <w:szCs w:val="21"/>
              </w:rPr>
              <w:t>3）危险废物</w:t>
            </w:r>
          </w:p>
          <w:p>
            <w:pPr>
              <w:spacing w:line="360" w:lineRule="auto"/>
              <w:ind w:firstLine="420" w:firstLineChars="200"/>
              <w:rPr>
                <w:bCs/>
                <w:szCs w:val="21"/>
              </w:rPr>
            </w:pPr>
            <w:r>
              <w:rPr>
                <w:bCs/>
                <w:szCs w:val="21"/>
              </w:rPr>
              <w:t>项目运营期间产生的危险废物主要为</w:t>
            </w:r>
            <w:r>
              <w:rPr>
                <w:snapToGrid w:val="0"/>
                <w:kern w:val="0"/>
                <w:szCs w:val="21"/>
              </w:rPr>
              <w:t>废活性炭</w:t>
            </w:r>
            <w:r>
              <w:rPr>
                <w:rFonts w:hint="eastAsia"/>
                <w:snapToGrid w:val="0"/>
                <w:kern w:val="0"/>
                <w:szCs w:val="21"/>
              </w:rPr>
              <w:t>、废机油、废化学品</w:t>
            </w:r>
            <w:r>
              <w:rPr>
                <w:snapToGrid w:val="0"/>
                <w:kern w:val="0"/>
                <w:szCs w:val="21"/>
              </w:rPr>
              <w:t>包装桶和废含油抹布及</w:t>
            </w:r>
            <w:r>
              <w:rPr>
                <w:rFonts w:hint="eastAsia"/>
                <w:snapToGrid w:val="0"/>
                <w:kern w:val="0"/>
                <w:szCs w:val="21"/>
              </w:rPr>
              <w:t>手套</w:t>
            </w:r>
            <w:r>
              <w:rPr>
                <w:bCs/>
                <w:szCs w:val="21"/>
              </w:rPr>
              <w:t>，交由有资质单位处置。</w:t>
            </w:r>
          </w:p>
          <w:p>
            <w:pPr>
              <w:numPr>
                <w:ilvl w:val="0"/>
                <w:numId w:val="2"/>
              </w:numPr>
              <w:adjustRightInd w:val="0"/>
              <w:snapToGrid w:val="0"/>
              <w:spacing w:line="360" w:lineRule="auto"/>
              <w:ind w:left="0"/>
              <w:jc w:val="center"/>
              <w:rPr>
                <w:b/>
                <w:szCs w:val="21"/>
              </w:rPr>
            </w:pPr>
            <w:r>
              <w:rPr>
                <w:b/>
                <w:szCs w:val="21"/>
              </w:rPr>
              <w:t>项目危险废物贮存场所（设施）基本情况</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01"/>
              <w:gridCol w:w="1368"/>
              <w:gridCol w:w="1196"/>
              <w:gridCol w:w="786"/>
              <w:gridCol w:w="712"/>
              <w:gridCol w:w="707"/>
              <w:gridCol w:w="71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Align w:val="center"/>
                </w:tcPr>
                <w:p>
                  <w:pPr>
                    <w:pStyle w:val="80"/>
                    <w:jc w:val="center"/>
                    <w:rPr>
                      <w:rFonts w:ascii="Times New Roman" w:hAnsi="Times New Roman" w:cs="Times New Roman"/>
                      <w:b/>
                    </w:rPr>
                  </w:pPr>
                  <w:r>
                    <w:rPr>
                      <w:rFonts w:ascii="Times New Roman" w:hAnsi="Times New Roman" w:cs="Times New Roman"/>
                      <w:b/>
                    </w:rPr>
                    <w:t>贮存场所（设施）</w:t>
                  </w:r>
                </w:p>
                <w:p>
                  <w:pPr>
                    <w:pStyle w:val="80"/>
                    <w:jc w:val="center"/>
                    <w:rPr>
                      <w:rFonts w:ascii="Times New Roman" w:hAnsi="Times New Roman" w:cs="Times New Roman"/>
                      <w:b/>
                    </w:rPr>
                  </w:pPr>
                  <w:r>
                    <w:rPr>
                      <w:rFonts w:ascii="Times New Roman" w:hAnsi="Times New Roman" w:cs="Times New Roman"/>
                      <w:b/>
                    </w:rPr>
                    <w:t>名称</w:t>
                  </w:r>
                </w:p>
              </w:tc>
              <w:tc>
                <w:tcPr>
                  <w:tcW w:w="714" w:type="pct"/>
                  <w:vAlign w:val="center"/>
                </w:tcPr>
                <w:p>
                  <w:pPr>
                    <w:pStyle w:val="80"/>
                    <w:jc w:val="center"/>
                    <w:rPr>
                      <w:rFonts w:ascii="Times New Roman" w:hAnsi="Times New Roman" w:cs="Times New Roman"/>
                      <w:b/>
                    </w:rPr>
                  </w:pPr>
                  <w:r>
                    <w:rPr>
                      <w:rFonts w:ascii="Times New Roman" w:hAnsi="Times New Roman" w:cs="Times New Roman"/>
                      <w:b/>
                    </w:rPr>
                    <w:t>危险废物名称</w:t>
                  </w:r>
                </w:p>
              </w:tc>
              <w:tc>
                <w:tcPr>
                  <w:tcW w:w="813" w:type="pct"/>
                  <w:vAlign w:val="center"/>
                </w:tcPr>
                <w:p>
                  <w:pPr>
                    <w:pStyle w:val="80"/>
                    <w:jc w:val="center"/>
                    <w:rPr>
                      <w:rFonts w:ascii="Times New Roman" w:hAnsi="Times New Roman" w:cs="Times New Roman"/>
                      <w:b/>
                    </w:rPr>
                  </w:pPr>
                  <w:r>
                    <w:rPr>
                      <w:rFonts w:ascii="Times New Roman" w:hAnsi="Times New Roman" w:cs="Times New Roman"/>
                      <w:b/>
                    </w:rPr>
                    <w:t>危险废物类别</w:t>
                  </w:r>
                </w:p>
              </w:tc>
              <w:tc>
                <w:tcPr>
                  <w:tcW w:w="711" w:type="pct"/>
                  <w:vAlign w:val="center"/>
                </w:tcPr>
                <w:p>
                  <w:pPr>
                    <w:pStyle w:val="80"/>
                    <w:jc w:val="center"/>
                    <w:rPr>
                      <w:rFonts w:ascii="Times New Roman" w:hAnsi="Times New Roman" w:cs="Times New Roman"/>
                      <w:b/>
                    </w:rPr>
                  </w:pPr>
                  <w:r>
                    <w:rPr>
                      <w:rFonts w:ascii="Times New Roman" w:hAnsi="Times New Roman" w:cs="Times New Roman"/>
                      <w:b/>
                    </w:rPr>
                    <w:t>危险废物代码</w:t>
                  </w:r>
                </w:p>
              </w:tc>
              <w:tc>
                <w:tcPr>
                  <w:tcW w:w="467" w:type="pct"/>
                  <w:vAlign w:val="center"/>
                </w:tcPr>
                <w:p>
                  <w:pPr>
                    <w:pStyle w:val="80"/>
                    <w:jc w:val="center"/>
                    <w:rPr>
                      <w:rFonts w:ascii="Times New Roman" w:hAnsi="Times New Roman" w:cs="Times New Roman"/>
                      <w:b/>
                    </w:rPr>
                  </w:pPr>
                  <w:r>
                    <w:rPr>
                      <w:rFonts w:ascii="Times New Roman" w:hAnsi="Times New Roman" w:cs="Times New Roman"/>
                      <w:b/>
                    </w:rPr>
                    <w:t>位置</w:t>
                  </w:r>
                </w:p>
              </w:tc>
              <w:tc>
                <w:tcPr>
                  <w:tcW w:w="423" w:type="pct"/>
                  <w:vAlign w:val="center"/>
                </w:tcPr>
                <w:p>
                  <w:pPr>
                    <w:pStyle w:val="80"/>
                    <w:jc w:val="center"/>
                    <w:rPr>
                      <w:rFonts w:ascii="Times New Roman" w:hAnsi="Times New Roman" w:cs="Times New Roman"/>
                      <w:b/>
                    </w:rPr>
                  </w:pPr>
                  <w:r>
                    <w:rPr>
                      <w:rFonts w:ascii="Times New Roman" w:hAnsi="Times New Roman" w:cs="Times New Roman"/>
                      <w:b/>
                    </w:rPr>
                    <w:t>占地面积</w:t>
                  </w:r>
                </w:p>
              </w:tc>
              <w:tc>
                <w:tcPr>
                  <w:tcW w:w="420" w:type="pct"/>
                  <w:vAlign w:val="center"/>
                </w:tcPr>
                <w:p>
                  <w:pPr>
                    <w:pStyle w:val="80"/>
                    <w:jc w:val="center"/>
                    <w:rPr>
                      <w:rFonts w:ascii="Times New Roman" w:hAnsi="Times New Roman" w:cs="Times New Roman"/>
                      <w:b/>
                    </w:rPr>
                  </w:pPr>
                  <w:r>
                    <w:rPr>
                      <w:rFonts w:ascii="Times New Roman" w:hAnsi="Times New Roman" w:cs="Times New Roman"/>
                      <w:b/>
                    </w:rPr>
                    <w:t>贮存方式</w:t>
                  </w:r>
                </w:p>
              </w:tc>
              <w:tc>
                <w:tcPr>
                  <w:tcW w:w="423" w:type="pct"/>
                  <w:vAlign w:val="center"/>
                </w:tcPr>
                <w:p>
                  <w:pPr>
                    <w:pStyle w:val="80"/>
                    <w:jc w:val="center"/>
                    <w:rPr>
                      <w:rFonts w:ascii="Times New Roman" w:hAnsi="Times New Roman" w:cs="Times New Roman"/>
                      <w:b/>
                    </w:rPr>
                  </w:pPr>
                  <w:r>
                    <w:rPr>
                      <w:rFonts w:ascii="Times New Roman" w:hAnsi="Times New Roman" w:cs="Times New Roman"/>
                      <w:b/>
                    </w:rPr>
                    <w:t>贮存能力</w:t>
                  </w:r>
                </w:p>
              </w:tc>
              <w:tc>
                <w:tcPr>
                  <w:tcW w:w="594" w:type="pct"/>
                  <w:vAlign w:val="center"/>
                </w:tcPr>
                <w:p>
                  <w:pPr>
                    <w:pStyle w:val="80"/>
                    <w:jc w:val="center"/>
                    <w:rPr>
                      <w:rFonts w:ascii="Times New Roman" w:hAnsi="Times New Roman" w:cs="Times New Roman"/>
                      <w:b/>
                    </w:rPr>
                  </w:pPr>
                  <w:r>
                    <w:rPr>
                      <w:rFonts w:ascii="Times New Roman" w:hAnsi="Times New Roman" w:cs="Times New Roman"/>
                      <w:b/>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restart"/>
                  <w:vAlign w:val="center"/>
                </w:tcPr>
                <w:p>
                  <w:pPr>
                    <w:pStyle w:val="80"/>
                    <w:jc w:val="center"/>
                    <w:rPr>
                      <w:rFonts w:ascii="Times New Roman" w:hAnsi="Times New Roman" w:cs="Times New Roman"/>
                    </w:rPr>
                  </w:pPr>
                  <w:r>
                    <w:rPr>
                      <w:rFonts w:ascii="Times New Roman" w:hAnsi="Times New Roman" w:cs="Times New Roman"/>
                    </w:rPr>
                    <w:t>危废间</w:t>
                  </w:r>
                </w:p>
              </w:tc>
              <w:tc>
                <w:tcPr>
                  <w:tcW w:w="714" w:type="pct"/>
                  <w:vAlign w:val="center"/>
                </w:tcPr>
                <w:p>
                  <w:pPr>
                    <w:tabs>
                      <w:tab w:val="left" w:pos="1081"/>
                    </w:tabs>
                    <w:jc w:val="center"/>
                    <w:rPr>
                      <w:bCs/>
                      <w:kern w:val="0"/>
                      <w:szCs w:val="21"/>
                    </w:rPr>
                  </w:pPr>
                  <w:r>
                    <w:rPr>
                      <w:bCs/>
                      <w:kern w:val="0"/>
                      <w:szCs w:val="21"/>
                    </w:rPr>
                    <w:t>废活性炭</w:t>
                  </w:r>
                </w:p>
              </w:tc>
              <w:tc>
                <w:tcPr>
                  <w:tcW w:w="813" w:type="pct"/>
                  <w:vAlign w:val="center"/>
                </w:tcPr>
                <w:p>
                  <w:pPr>
                    <w:jc w:val="center"/>
                    <w:rPr>
                      <w:bCs/>
                      <w:kern w:val="0"/>
                      <w:szCs w:val="21"/>
                    </w:rPr>
                  </w:pPr>
                  <w:r>
                    <w:rPr>
                      <w:bCs/>
                      <w:kern w:val="0"/>
                      <w:szCs w:val="21"/>
                    </w:rPr>
                    <w:t>HW49其他废物</w:t>
                  </w:r>
                </w:p>
              </w:tc>
              <w:tc>
                <w:tcPr>
                  <w:tcW w:w="711" w:type="pct"/>
                  <w:vAlign w:val="center"/>
                </w:tcPr>
                <w:p>
                  <w:pPr>
                    <w:jc w:val="center"/>
                    <w:rPr>
                      <w:kern w:val="0"/>
                      <w:szCs w:val="21"/>
                    </w:rPr>
                  </w:pPr>
                  <w:r>
                    <w:rPr>
                      <w:kern w:val="0"/>
                      <w:szCs w:val="21"/>
                    </w:rPr>
                    <w:t>900-039-49</w:t>
                  </w:r>
                </w:p>
              </w:tc>
              <w:tc>
                <w:tcPr>
                  <w:tcW w:w="467" w:type="pct"/>
                  <w:vMerge w:val="restart"/>
                  <w:vAlign w:val="center"/>
                </w:tcPr>
                <w:p>
                  <w:pPr>
                    <w:pStyle w:val="80"/>
                    <w:jc w:val="center"/>
                    <w:rPr>
                      <w:rFonts w:ascii="Times New Roman" w:hAnsi="Times New Roman" w:cs="Times New Roman"/>
                    </w:rPr>
                  </w:pPr>
                  <w:r>
                    <w:rPr>
                      <w:rFonts w:hint="eastAsia" w:ascii="Times New Roman" w:hAnsi="Times New Roman" w:cs="Times New Roman"/>
                    </w:rPr>
                    <w:t>车间内</w:t>
                  </w:r>
                  <w:r>
                    <w:rPr>
                      <w:rFonts w:ascii="Times New Roman" w:hAnsi="Times New Roman" w:cs="Times New Roman"/>
                    </w:rPr>
                    <w:t>西南</w:t>
                  </w:r>
                  <w:r>
                    <w:rPr>
                      <w:rFonts w:hint="eastAsia" w:ascii="Times New Roman" w:hAnsi="Times New Roman" w:cs="Times New Roman"/>
                    </w:rPr>
                    <w:t>角</w:t>
                  </w:r>
                </w:p>
              </w:tc>
              <w:tc>
                <w:tcPr>
                  <w:tcW w:w="423" w:type="pct"/>
                  <w:vMerge w:val="restart"/>
                  <w:vAlign w:val="center"/>
                </w:tcPr>
                <w:p>
                  <w:pPr>
                    <w:pStyle w:val="80"/>
                    <w:jc w:val="center"/>
                    <w:rPr>
                      <w:rFonts w:ascii="Times New Roman" w:hAnsi="Times New Roman" w:cs="Times New Roman"/>
                    </w:rPr>
                  </w:pPr>
                  <w:r>
                    <w:rPr>
                      <w:rFonts w:ascii="Times New Roman" w:hAnsi="Times New Roman" w:cs="Times New Roman"/>
                    </w:rPr>
                    <w:t>10m</w:t>
                  </w:r>
                  <w:r>
                    <w:rPr>
                      <w:rFonts w:ascii="Times New Roman" w:hAnsi="Times New Roman" w:cs="Times New Roman"/>
                      <w:vertAlign w:val="superscript"/>
                    </w:rPr>
                    <w:t>2</w:t>
                  </w: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胶袋</w:t>
                  </w:r>
                </w:p>
              </w:tc>
              <w:tc>
                <w:tcPr>
                  <w:tcW w:w="423" w:type="pct"/>
                  <w:vAlign w:val="center"/>
                </w:tcPr>
                <w:p>
                  <w:pPr>
                    <w:pStyle w:val="80"/>
                    <w:jc w:val="center"/>
                    <w:rPr>
                      <w:rFonts w:ascii="Times New Roman" w:hAnsi="Times New Roman" w:cs="Times New Roman"/>
                    </w:rPr>
                  </w:pPr>
                  <w:r>
                    <w:rPr>
                      <w:rFonts w:ascii="Times New Roman" w:hAnsi="Times New Roman" w:cs="Times New Roman"/>
                    </w:rPr>
                    <w:t>3t</w:t>
                  </w:r>
                </w:p>
              </w:tc>
              <w:tc>
                <w:tcPr>
                  <w:tcW w:w="594" w:type="pct"/>
                  <w:vAlign w:val="center"/>
                </w:tcPr>
                <w:p>
                  <w:pPr>
                    <w:pStyle w:val="80"/>
                    <w:jc w:val="cente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continue"/>
                  <w:vAlign w:val="center"/>
                </w:tcPr>
                <w:p>
                  <w:pPr>
                    <w:pStyle w:val="80"/>
                    <w:jc w:val="center"/>
                    <w:rPr>
                      <w:rFonts w:ascii="Times New Roman" w:hAnsi="Times New Roman" w:cs="Times New Roman"/>
                    </w:rPr>
                  </w:pPr>
                </w:p>
              </w:tc>
              <w:tc>
                <w:tcPr>
                  <w:tcW w:w="714" w:type="pct"/>
                  <w:vAlign w:val="center"/>
                </w:tcPr>
                <w:p>
                  <w:pPr>
                    <w:tabs>
                      <w:tab w:val="left" w:pos="1081"/>
                    </w:tabs>
                    <w:jc w:val="center"/>
                    <w:rPr>
                      <w:bCs/>
                      <w:kern w:val="0"/>
                      <w:szCs w:val="21"/>
                    </w:rPr>
                  </w:pPr>
                  <w:r>
                    <w:rPr>
                      <w:rFonts w:hint="eastAsia"/>
                      <w:bCs/>
                      <w:kern w:val="0"/>
                      <w:szCs w:val="21"/>
                    </w:rPr>
                    <w:t>废</w:t>
                  </w:r>
                  <w:r>
                    <w:rPr>
                      <w:bCs/>
                      <w:kern w:val="0"/>
                      <w:szCs w:val="21"/>
                    </w:rPr>
                    <w:t>含油抹布及</w:t>
                  </w:r>
                  <w:r>
                    <w:rPr>
                      <w:rFonts w:hint="eastAsia"/>
                      <w:bCs/>
                      <w:kern w:val="0"/>
                      <w:szCs w:val="21"/>
                    </w:rPr>
                    <w:t>手套</w:t>
                  </w:r>
                </w:p>
              </w:tc>
              <w:tc>
                <w:tcPr>
                  <w:tcW w:w="813" w:type="pct"/>
                  <w:vMerge w:val="restart"/>
                  <w:vAlign w:val="center"/>
                </w:tcPr>
                <w:p>
                  <w:pPr>
                    <w:jc w:val="center"/>
                    <w:rPr>
                      <w:bCs/>
                      <w:kern w:val="0"/>
                      <w:szCs w:val="21"/>
                    </w:rPr>
                  </w:pPr>
                  <w:r>
                    <w:rPr>
                      <w:bCs/>
                      <w:kern w:val="0"/>
                      <w:szCs w:val="21"/>
                    </w:rPr>
                    <w:t>HW49其他废物</w:t>
                  </w:r>
                </w:p>
              </w:tc>
              <w:tc>
                <w:tcPr>
                  <w:tcW w:w="711" w:type="pct"/>
                  <w:vMerge w:val="restart"/>
                  <w:vAlign w:val="center"/>
                </w:tcPr>
                <w:p>
                  <w:pPr>
                    <w:jc w:val="center"/>
                    <w:rPr>
                      <w:kern w:val="0"/>
                      <w:szCs w:val="21"/>
                    </w:rPr>
                  </w:pPr>
                  <w:r>
                    <w:rPr>
                      <w:rFonts w:hint="eastAsia"/>
                      <w:kern w:val="0"/>
                      <w:szCs w:val="21"/>
                    </w:rPr>
                    <w:t>900-041-49</w:t>
                  </w:r>
                </w:p>
              </w:tc>
              <w:tc>
                <w:tcPr>
                  <w:tcW w:w="467" w:type="pct"/>
                  <w:vMerge w:val="continue"/>
                  <w:vAlign w:val="center"/>
                </w:tcPr>
                <w:p>
                  <w:pPr>
                    <w:pStyle w:val="80"/>
                    <w:jc w:val="center"/>
                    <w:rPr>
                      <w:rFonts w:ascii="Times New Roman" w:hAnsi="Times New Roman" w:cs="Times New Roman"/>
                    </w:rPr>
                  </w:pPr>
                </w:p>
              </w:tc>
              <w:tc>
                <w:tcPr>
                  <w:tcW w:w="423" w:type="pct"/>
                  <w:vMerge w:val="continue"/>
                  <w:vAlign w:val="center"/>
                </w:tcPr>
                <w:p>
                  <w:pPr>
                    <w:pStyle w:val="80"/>
                    <w:jc w:val="center"/>
                    <w:rPr>
                      <w:rFonts w:ascii="Times New Roman" w:hAnsi="Times New Roman" w:cs="Times New Roman"/>
                    </w:rPr>
                  </w:pP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胶袋</w:t>
                  </w:r>
                </w:p>
              </w:tc>
              <w:tc>
                <w:tcPr>
                  <w:tcW w:w="423" w:type="pct"/>
                  <w:vAlign w:val="center"/>
                </w:tcPr>
                <w:p>
                  <w:pPr>
                    <w:pStyle w:val="80"/>
                    <w:jc w:val="center"/>
                    <w:rPr>
                      <w:rFonts w:ascii="Times New Roman" w:hAnsi="Times New Roman" w:cs="Times New Roman"/>
                    </w:rPr>
                  </w:pPr>
                  <w:r>
                    <w:rPr>
                      <w:rFonts w:hint="eastAsia" w:ascii="Times New Roman" w:hAnsi="Times New Roman" w:cs="Times New Roman"/>
                    </w:rPr>
                    <w:t>0.0</w:t>
                  </w:r>
                  <w:r>
                    <w:rPr>
                      <w:rFonts w:ascii="Times New Roman" w:hAnsi="Times New Roman" w:cs="Times New Roman"/>
                    </w:rPr>
                    <w:t>2</w:t>
                  </w:r>
                  <w:r>
                    <w:rPr>
                      <w:rFonts w:hint="eastAsia" w:ascii="Times New Roman" w:hAnsi="Times New Roman" w:cs="Times New Roman"/>
                    </w:rPr>
                    <w:t>t</w:t>
                  </w:r>
                </w:p>
              </w:tc>
              <w:tc>
                <w:tcPr>
                  <w:tcW w:w="594" w:type="pct"/>
                  <w:vAlign w:val="center"/>
                </w:tcPr>
                <w:p>
                  <w:pPr>
                    <w:pStyle w:val="80"/>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continue"/>
                  <w:vAlign w:val="center"/>
                </w:tcPr>
                <w:p>
                  <w:pPr>
                    <w:pStyle w:val="80"/>
                    <w:jc w:val="center"/>
                    <w:rPr>
                      <w:rFonts w:ascii="Times New Roman" w:hAnsi="Times New Roman" w:cs="Times New Roman"/>
                    </w:rPr>
                  </w:pPr>
                </w:p>
              </w:tc>
              <w:tc>
                <w:tcPr>
                  <w:tcW w:w="714" w:type="pct"/>
                  <w:vAlign w:val="center"/>
                </w:tcPr>
                <w:p>
                  <w:pPr>
                    <w:tabs>
                      <w:tab w:val="left" w:pos="1081"/>
                    </w:tabs>
                    <w:jc w:val="center"/>
                    <w:rPr>
                      <w:bCs/>
                      <w:kern w:val="0"/>
                      <w:szCs w:val="21"/>
                    </w:rPr>
                  </w:pPr>
                  <w:r>
                    <w:rPr>
                      <w:rFonts w:hint="eastAsia"/>
                      <w:bCs/>
                      <w:kern w:val="0"/>
                      <w:szCs w:val="21"/>
                    </w:rPr>
                    <w:t>废化学品包装</w:t>
                  </w:r>
                  <w:r>
                    <w:rPr>
                      <w:bCs/>
                      <w:kern w:val="0"/>
                      <w:szCs w:val="21"/>
                    </w:rPr>
                    <w:t>桶</w:t>
                  </w:r>
                </w:p>
              </w:tc>
              <w:tc>
                <w:tcPr>
                  <w:tcW w:w="813" w:type="pct"/>
                  <w:vMerge w:val="continue"/>
                  <w:vAlign w:val="center"/>
                </w:tcPr>
                <w:p>
                  <w:pPr>
                    <w:jc w:val="center"/>
                    <w:rPr>
                      <w:bCs/>
                      <w:kern w:val="0"/>
                      <w:szCs w:val="21"/>
                    </w:rPr>
                  </w:pPr>
                </w:p>
              </w:tc>
              <w:tc>
                <w:tcPr>
                  <w:tcW w:w="711" w:type="pct"/>
                  <w:vMerge w:val="continue"/>
                  <w:vAlign w:val="center"/>
                </w:tcPr>
                <w:p>
                  <w:pPr>
                    <w:jc w:val="center"/>
                    <w:rPr>
                      <w:kern w:val="0"/>
                      <w:szCs w:val="21"/>
                    </w:rPr>
                  </w:pPr>
                </w:p>
              </w:tc>
              <w:tc>
                <w:tcPr>
                  <w:tcW w:w="467" w:type="pct"/>
                  <w:vMerge w:val="continue"/>
                  <w:vAlign w:val="center"/>
                </w:tcPr>
                <w:p>
                  <w:pPr>
                    <w:pStyle w:val="80"/>
                    <w:jc w:val="center"/>
                    <w:rPr>
                      <w:rFonts w:ascii="Times New Roman" w:hAnsi="Times New Roman" w:cs="Times New Roman"/>
                    </w:rPr>
                  </w:pPr>
                </w:p>
              </w:tc>
              <w:tc>
                <w:tcPr>
                  <w:tcW w:w="423" w:type="pct"/>
                  <w:vMerge w:val="continue"/>
                  <w:vAlign w:val="center"/>
                </w:tcPr>
                <w:p>
                  <w:pPr>
                    <w:pStyle w:val="80"/>
                    <w:jc w:val="center"/>
                    <w:rPr>
                      <w:rFonts w:ascii="Times New Roman" w:hAnsi="Times New Roman" w:cs="Times New Roman"/>
                    </w:rPr>
                  </w:pP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胶桶</w:t>
                  </w:r>
                </w:p>
              </w:tc>
              <w:tc>
                <w:tcPr>
                  <w:tcW w:w="423" w:type="pct"/>
                  <w:vAlign w:val="center"/>
                </w:tcPr>
                <w:p>
                  <w:pPr>
                    <w:pStyle w:val="80"/>
                    <w:jc w:val="center"/>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1</w:t>
                  </w:r>
                  <w:r>
                    <w:rPr>
                      <w:rFonts w:hint="eastAsia" w:ascii="Times New Roman" w:hAnsi="Times New Roman" w:cs="Times New Roman"/>
                    </w:rPr>
                    <w:t>t</w:t>
                  </w:r>
                </w:p>
              </w:tc>
              <w:tc>
                <w:tcPr>
                  <w:tcW w:w="594" w:type="pct"/>
                  <w:vAlign w:val="center"/>
                </w:tcPr>
                <w:p>
                  <w:pPr>
                    <w:pStyle w:val="80"/>
                    <w:jc w:val="cente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continue"/>
                  <w:vAlign w:val="center"/>
                </w:tcPr>
                <w:p>
                  <w:pPr>
                    <w:pStyle w:val="80"/>
                    <w:jc w:val="center"/>
                    <w:rPr>
                      <w:rFonts w:ascii="Times New Roman" w:hAnsi="Times New Roman" w:cs="Times New Roman"/>
                    </w:rPr>
                  </w:pPr>
                </w:p>
              </w:tc>
              <w:tc>
                <w:tcPr>
                  <w:tcW w:w="714" w:type="pct"/>
                  <w:vAlign w:val="center"/>
                </w:tcPr>
                <w:p>
                  <w:pPr>
                    <w:tabs>
                      <w:tab w:val="left" w:pos="1081"/>
                    </w:tabs>
                    <w:jc w:val="center"/>
                    <w:rPr>
                      <w:bCs/>
                      <w:kern w:val="0"/>
                      <w:szCs w:val="21"/>
                    </w:rPr>
                  </w:pPr>
                  <w:r>
                    <w:rPr>
                      <w:rFonts w:hint="eastAsia"/>
                      <w:bCs/>
                      <w:kern w:val="0"/>
                      <w:szCs w:val="21"/>
                    </w:rPr>
                    <w:t>废机油</w:t>
                  </w:r>
                </w:p>
              </w:tc>
              <w:tc>
                <w:tcPr>
                  <w:tcW w:w="813" w:type="pct"/>
                  <w:vAlign w:val="center"/>
                </w:tcPr>
                <w:p>
                  <w:pPr>
                    <w:jc w:val="center"/>
                    <w:rPr>
                      <w:bCs/>
                      <w:kern w:val="0"/>
                      <w:szCs w:val="21"/>
                    </w:rPr>
                  </w:pPr>
                  <w:r>
                    <w:rPr>
                      <w:rFonts w:hint="eastAsia"/>
                      <w:bCs/>
                      <w:kern w:val="0"/>
                      <w:szCs w:val="21"/>
                    </w:rPr>
                    <w:t>HW08含油</w:t>
                  </w:r>
                  <w:r>
                    <w:rPr>
                      <w:bCs/>
                      <w:kern w:val="0"/>
                      <w:szCs w:val="21"/>
                    </w:rPr>
                    <w:t>废物</w:t>
                  </w:r>
                </w:p>
              </w:tc>
              <w:tc>
                <w:tcPr>
                  <w:tcW w:w="711" w:type="pct"/>
                  <w:vAlign w:val="center"/>
                </w:tcPr>
                <w:p>
                  <w:pPr>
                    <w:jc w:val="center"/>
                    <w:rPr>
                      <w:kern w:val="0"/>
                      <w:szCs w:val="21"/>
                    </w:rPr>
                  </w:pPr>
                  <w:r>
                    <w:rPr>
                      <w:rFonts w:hint="eastAsia"/>
                      <w:kern w:val="0"/>
                      <w:szCs w:val="21"/>
                    </w:rPr>
                    <w:t>900-214-08</w:t>
                  </w:r>
                </w:p>
              </w:tc>
              <w:tc>
                <w:tcPr>
                  <w:tcW w:w="467" w:type="pct"/>
                  <w:vMerge w:val="continue"/>
                  <w:vAlign w:val="center"/>
                </w:tcPr>
                <w:p>
                  <w:pPr>
                    <w:pStyle w:val="80"/>
                    <w:jc w:val="center"/>
                    <w:rPr>
                      <w:rFonts w:ascii="Times New Roman" w:hAnsi="Times New Roman" w:cs="Times New Roman"/>
                    </w:rPr>
                  </w:pPr>
                </w:p>
              </w:tc>
              <w:tc>
                <w:tcPr>
                  <w:tcW w:w="423" w:type="pct"/>
                  <w:vMerge w:val="continue"/>
                  <w:vAlign w:val="center"/>
                </w:tcPr>
                <w:p>
                  <w:pPr>
                    <w:pStyle w:val="80"/>
                    <w:jc w:val="center"/>
                    <w:rPr>
                      <w:rFonts w:ascii="Times New Roman" w:hAnsi="Times New Roman" w:cs="Times New Roman"/>
                    </w:rPr>
                  </w:pP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胶桶</w:t>
                  </w:r>
                </w:p>
              </w:tc>
              <w:tc>
                <w:tcPr>
                  <w:tcW w:w="423" w:type="pct"/>
                  <w:vAlign w:val="center"/>
                </w:tcPr>
                <w:p>
                  <w:pPr>
                    <w:pStyle w:val="80"/>
                    <w:jc w:val="center"/>
                    <w:rPr>
                      <w:rFonts w:ascii="Times New Roman" w:hAnsi="Times New Roman" w:cs="Times New Roman"/>
                    </w:rPr>
                  </w:pPr>
                  <w:r>
                    <w:rPr>
                      <w:rFonts w:hint="eastAsia" w:ascii="Times New Roman" w:hAnsi="Times New Roman" w:cs="Times New Roman"/>
                    </w:rPr>
                    <w:t>0.0</w:t>
                  </w:r>
                  <w:r>
                    <w:rPr>
                      <w:rFonts w:ascii="Times New Roman" w:hAnsi="Times New Roman" w:cs="Times New Roman"/>
                    </w:rPr>
                    <w:t>2t</w:t>
                  </w:r>
                </w:p>
              </w:tc>
              <w:tc>
                <w:tcPr>
                  <w:tcW w:w="594" w:type="pct"/>
                  <w:vAlign w:val="center"/>
                </w:tcPr>
                <w:p>
                  <w:pPr>
                    <w:pStyle w:val="80"/>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年</w:t>
                  </w:r>
                </w:p>
              </w:tc>
            </w:tr>
          </w:tbl>
          <w:p>
            <w:pPr>
              <w:adjustRightInd w:val="0"/>
              <w:snapToGrid w:val="0"/>
              <w:spacing w:line="360" w:lineRule="auto"/>
              <w:ind w:firstLine="420" w:firstLineChars="200"/>
              <w:jc w:val="left"/>
              <w:rPr>
                <w:bCs/>
                <w:szCs w:val="21"/>
              </w:rPr>
            </w:pPr>
            <w:r>
              <w:rPr>
                <w:bCs/>
                <w:szCs w:val="21"/>
              </w:rPr>
              <w:t>项目危险废物经收集后交由有危险废物回收处理资质的单位外运处理。建设单位应委托具有相应资质的运输单位和利用处置经营单位，签订委托合同，依法委托运输、利用处置危险废物。在委托时，应详细核实运输单位、车辆、驾驶员及押运员的资质，并根据废物特性，选择运输工具，严防二次污染；应详细核实经营单位资质，严禁委托不具资质或资质不符的单位处置。转移前，产生单位应制定转移计划，向环保主管部门报备并领取联单；转移后，应按照转移实际，做到一转移一联单，并及时向环保主管部门提交转移联单，联单保存应在五年以上。</w:t>
            </w:r>
          </w:p>
          <w:p>
            <w:pPr>
              <w:spacing w:line="360" w:lineRule="auto"/>
              <w:ind w:firstLine="420" w:firstLineChars="200"/>
              <w:rPr>
                <w:bCs/>
                <w:szCs w:val="21"/>
              </w:rPr>
            </w:pPr>
            <w:r>
              <w:rPr>
                <w:bCs/>
                <w:szCs w:val="21"/>
              </w:rPr>
              <w:t>加强对危险废物的管理，对危险废物的产生、利用、收集、运输、贮存、处置等环节建立追踪性的帐目和手续，并纳入环保部门的监督管理。</w:t>
            </w:r>
          </w:p>
          <w:p>
            <w:pPr>
              <w:spacing w:line="360" w:lineRule="auto"/>
              <w:ind w:firstLine="420" w:firstLineChars="200"/>
              <w:rPr>
                <w:bCs/>
                <w:szCs w:val="21"/>
              </w:rPr>
            </w:pPr>
            <w:r>
              <w:rPr>
                <w:bCs/>
                <w:szCs w:val="21"/>
              </w:rPr>
              <w:t>危险废物的运输和贮存注意事项如下：</w:t>
            </w:r>
          </w:p>
          <w:p>
            <w:pPr>
              <w:spacing w:line="360" w:lineRule="auto"/>
              <w:ind w:firstLine="420" w:firstLineChars="200"/>
              <w:rPr>
                <w:bCs/>
                <w:szCs w:val="21"/>
              </w:rPr>
            </w:pPr>
            <w:r>
              <w:rPr>
                <w:bCs/>
                <w:szCs w:val="21"/>
              </w:rPr>
              <w:t>A、贮存</w:t>
            </w:r>
          </w:p>
          <w:p>
            <w:pPr>
              <w:spacing w:line="360" w:lineRule="auto"/>
              <w:ind w:firstLine="420" w:firstLineChars="200"/>
              <w:rPr>
                <w:bCs/>
                <w:szCs w:val="21"/>
              </w:rPr>
            </w:pPr>
            <w:r>
              <w:rPr>
                <w:bCs/>
                <w:szCs w:val="21"/>
              </w:rPr>
              <w:t>项目生产过程中将产生一定量的危险废物，应严格按照《危险废物贮存污染控制标准》（GB18597-2001）及2013年修改单相关要求进行分类收集后置于专用桶中，暂存放在项目的危险废物暂存间内。同时该危险废物贮存间应严格按照《危险废物贮存污染控制标准》（GBl8597-2001）及2013年修改单要求进行。环评针对危险废物的储存提出项目设置的危险废物临时堆放间需满足以下要求：</w:t>
            </w:r>
          </w:p>
          <w:p>
            <w:pPr>
              <w:spacing w:line="360" w:lineRule="auto"/>
              <w:ind w:firstLine="420" w:firstLineChars="200"/>
              <w:rPr>
                <w:bCs/>
                <w:szCs w:val="21"/>
              </w:rPr>
            </w:pPr>
            <w:r>
              <w:rPr>
                <w:rFonts w:hint="eastAsia" w:ascii="宋体" w:hAnsi="宋体" w:cs="宋体"/>
                <w:bCs/>
                <w:szCs w:val="21"/>
              </w:rPr>
              <w:t>①</w:t>
            </w:r>
            <w:r>
              <w:rPr>
                <w:bCs/>
                <w:szCs w:val="21"/>
              </w:rPr>
              <w:t>基础必须防渗，防渗层必须为砼结构，或至少为1m厚粘土层（渗透系数≤10</w:t>
            </w:r>
            <w:r>
              <w:rPr>
                <w:bCs/>
                <w:szCs w:val="21"/>
                <w:vertAlign w:val="superscript"/>
              </w:rPr>
              <w:t>-7</w:t>
            </w:r>
            <w:r>
              <w:rPr>
                <w:bCs/>
                <w:szCs w:val="21"/>
              </w:rPr>
              <w:t>cm/s），或2mm厚高密度聚乙烯，或至少为2mm厚的其他人工材料，渗透系数≤10</w:t>
            </w:r>
            <w:r>
              <w:rPr>
                <w:bCs/>
                <w:szCs w:val="21"/>
                <w:vertAlign w:val="superscript"/>
              </w:rPr>
              <w:t>-10</w:t>
            </w:r>
            <w:r>
              <w:rPr>
                <w:bCs/>
                <w:szCs w:val="21"/>
              </w:rPr>
              <w:t>cm/s。</w:t>
            </w:r>
          </w:p>
          <w:p>
            <w:pPr>
              <w:spacing w:line="360" w:lineRule="auto"/>
              <w:ind w:firstLine="420" w:firstLineChars="200"/>
              <w:rPr>
                <w:bCs/>
                <w:szCs w:val="21"/>
              </w:rPr>
            </w:pPr>
            <w:r>
              <w:rPr>
                <w:rFonts w:hint="eastAsia" w:ascii="宋体" w:hAnsi="宋体" w:cs="宋体"/>
                <w:bCs/>
                <w:szCs w:val="21"/>
              </w:rPr>
              <w:t>②</w:t>
            </w:r>
            <w:r>
              <w:rPr>
                <w:bCs/>
                <w:szCs w:val="21"/>
              </w:rPr>
              <w:t>堆放危险废物的高度应根据地面承载能力确定。</w:t>
            </w:r>
          </w:p>
          <w:p>
            <w:pPr>
              <w:spacing w:line="360" w:lineRule="auto"/>
              <w:ind w:firstLine="420" w:firstLineChars="200"/>
              <w:rPr>
                <w:bCs/>
                <w:szCs w:val="21"/>
              </w:rPr>
            </w:pPr>
            <w:r>
              <w:rPr>
                <w:rFonts w:hint="eastAsia" w:ascii="宋体" w:hAnsi="宋体" w:cs="宋体"/>
                <w:bCs/>
                <w:szCs w:val="21"/>
              </w:rPr>
              <w:t>③</w:t>
            </w:r>
            <w:r>
              <w:rPr>
                <w:bCs/>
                <w:szCs w:val="21"/>
              </w:rPr>
              <w:t>衬里放在一个基础或底座上。</w:t>
            </w:r>
          </w:p>
          <w:p>
            <w:pPr>
              <w:spacing w:line="360" w:lineRule="auto"/>
              <w:ind w:firstLine="420" w:firstLineChars="200"/>
              <w:rPr>
                <w:bCs/>
                <w:szCs w:val="21"/>
              </w:rPr>
            </w:pPr>
            <w:r>
              <w:rPr>
                <w:rFonts w:hint="eastAsia" w:ascii="宋体" w:hAnsi="宋体" w:cs="宋体"/>
                <w:bCs/>
                <w:szCs w:val="21"/>
              </w:rPr>
              <w:t>④</w:t>
            </w:r>
            <w:r>
              <w:rPr>
                <w:bCs/>
                <w:szCs w:val="21"/>
              </w:rPr>
              <w:t>衬里要能够覆盖危险废物或其溶出物可能涉及到的范围。</w:t>
            </w:r>
          </w:p>
          <w:p>
            <w:pPr>
              <w:spacing w:line="360" w:lineRule="auto"/>
              <w:ind w:firstLine="420" w:firstLineChars="200"/>
              <w:rPr>
                <w:bCs/>
                <w:szCs w:val="21"/>
              </w:rPr>
            </w:pPr>
            <w:r>
              <w:rPr>
                <w:rFonts w:hint="eastAsia" w:ascii="宋体" w:hAnsi="宋体" w:cs="宋体"/>
                <w:bCs/>
                <w:szCs w:val="21"/>
              </w:rPr>
              <w:t>⑤</w:t>
            </w:r>
            <w:r>
              <w:rPr>
                <w:bCs/>
                <w:szCs w:val="21"/>
              </w:rPr>
              <w:t>衬里材料与堆放危险废物相容。</w:t>
            </w:r>
          </w:p>
          <w:p>
            <w:pPr>
              <w:spacing w:line="360" w:lineRule="auto"/>
              <w:ind w:firstLine="420" w:firstLineChars="200"/>
              <w:rPr>
                <w:bCs/>
                <w:szCs w:val="21"/>
              </w:rPr>
            </w:pPr>
            <w:r>
              <w:rPr>
                <w:rFonts w:hint="eastAsia" w:ascii="宋体" w:hAnsi="宋体" w:cs="宋体"/>
                <w:bCs/>
                <w:szCs w:val="21"/>
              </w:rPr>
              <w:t>⑥</w:t>
            </w:r>
            <w:r>
              <w:rPr>
                <w:bCs/>
                <w:szCs w:val="21"/>
              </w:rPr>
              <w:t>在衬里上设计、建造浸出液收集清除系统。</w:t>
            </w:r>
          </w:p>
          <w:p>
            <w:pPr>
              <w:spacing w:line="360" w:lineRule="auto"/>
              <w:ind w:firstLine="420" w:firstLineChars="200"/>
              <w:rPr>
                <w:bCs/>
                <w:szCs w:val="21"/>
              </w:rPr>
            </w:pPr>
            <w:r>
              <w:rPr>
                <w:rFonts w:hint="eastAsia" w:ascii="宋体" w:hAnsi="宋体" w:cs="宋体"/>
                <w:bCs/>
                <w:szCs w:val="21"/>
              </w:rPr>
              <w:t>⑦</w:t>
            </w:r>
            <w:r>
              <w:rPr>
                <w:bCs/>
                <w:szCs w:val="21"/>
              </w:rPr>
              <w:t>应设计建造径流疏导系统，保证能防止25年一遇的暴雨不会流到危险废物临时堆放场内。</w:t>
            </w:r>
          </w:p>
          <w:p>
            <w:pPr>
              <w:spacing w:line="360" w:lineRule="auto"/>
              <w:ind w:firstLine="420" w:firstLineChars="200"/>
              <w:rPr>
                <w:bCs/>
                <w:szCs w:val="21"/>
              </w:rPr>
            </w:pPr>
            <w:r>
              <w:rPr>
                <w:rFonts w:hint="eastAsia" w:ascii="宋体" w:hAnsi="宋体" w:cs="宋体"/>
                <w:bCs/>
                <w:szCs w:val="21"/>
              </w:rPr>
              <w:t>⑧</w:t>
            </w:r>
            <w:r>
              <w:rPr>
                <w:bCs/>
                <w:szCs w:val="21"/>
              </w:rPr>
              <w:t>危险废物临时堆放场要做好防风、防雨、防晒。</w:t>
            </w:r>
          </w:p>
          <w:p>
            <w:pPr>
              <w:spacing w:line="360" w:lineRule="auto"/>
              <w:ind w:firstLine="420" w:firstLineChars="200"/>
              <w:rPr>
                <w:bCs/>
                <w:szCs w:val="21"/>
              </w:rPr>
            </w:pPr>
            <w:r>
              <w:rPr>
                <w:rFonts w:hint="eastAsia" w:ascii="宋体" w:hAnsi="宋体" w:cs="宋体"/>
                <w:bCs/>
                <w:szCs w:val="21"/>
              </w:rPr>
              <w:t>⑨</w:t>
            </w:r>
            <w:r>
              <w:rPr>
                <w:bCs/>
                <w:szCs w:val="21"/>
              </w:rPr>
              <w:t>不相容的危险废物不能堆放在一起。</w:t>
            </w:r>
          </w:p>
          <w:p>
            <w:pPr>
              <w:spacing w:line="360" w:lineRule="auto"/>
              <w:ind w:firstLine="420" w:firstLineChars="200"/>
              <w:rPr>
                <w:bCs/>
                <w:szCs w:val="21"/>
              </w:rPr>
            </w:pPr>
            <w:r>
              <w:rPr>
                <w:rFonts w:hint="eastAsia" w:ascii="宋体" w:hAnsi="宋体" w:cs="宋体"/>
                <w:bCs/>
                <w:szCs w:val="21"/>
              </w:rPr>
              <w:t>⑩</w:t>
            </w:r>
            <w:r>
              <w:rPr>
                <w:bCs/>
                <w:szCs w:val="21"/>
              </w:rPr>
              <w:t>项目危险废物用密闭容器储存在危险废物暂存区内，并在相应的储存区域内设置围堰。</w:t>
            </w:r>
          </w:p>
          <w:p>
            <w:pPr>
              <w:spacing w:line="360" w:lineRule="auto"/>
              <w:ind w:firstLine="420" w:firstLineChars="200"/>
              <w:rPr>
                <w:bCs/>
                <w:szCs w:val="21"/>
              </w:rPr>
            </w:pPr>
            <w:r>
              <w:rPr>
                <w:bCs/>
                <w:szCs w:val="21"/>
              </w:rPr>
              <w:t>B、运输</w:t>
            </w:r>
          </w:p>
          <w:p>
            <w:pPr>
              <w:spacing w:line="360" w:lineRule="auto"/>
              <w:ind w:firstLine="420" w:firstLineChars="200"/>
              <w:rPr>
                <w:bCs/>
                <w:szCs w:val="21"/>
              </w:rPr>
            </w:pPr>
            <w:r>
              <w:rPr>
                <w:bCs/>
                <w:szCs w:val="21"/>
              </w:rPr>
              <w:t>项目产生的危险废物，拟交由有资质单位回收处理，由处理单位派专用车辆定期上门接收，运输至资质单位废物处理场进行处理。</w:t>
            </w:r>
          </w:p>
          <w:p>
            <w:pPr>
              <w:spacing w:line="360" w:lineRule="auto"/>
              <w:ind w:firstLine="420" w:firstLineChars="200"/>
              <w:rPr>
                <w:bCs/>
                <w:szCs w:val="21"/>
              </w:rPr>
            </w:pPr>
            <w:r>
              <w:rPr>
                <w:bCs/>
                <w:szCs w:val="21"/>
              </w:rPr>
              <w:t>C、处置</w:t>
            </w:r>
          </w:p>
          <w:p>
            <w:pPr>
              <w:spacing w:line="360" w:lineRule="auto"/>
              <w:ind w:firstLine="420" w:firstLineChars="200"/>
              <w:rPr>
                <w:bCs/>
                <w:szCs w:val="21"/>
              </w:rPr>
            </w:pPr>
            <w:r>
              <w:rPr>
                <w:bCs/>
                <w:szCs w:val="21"/>
              </w:rPr>
              <w:t>项目产生的危险废物交由有资质单位根据各危险废物的性质进行无害化处置。</w:t>
            </w:r>
          </w:p>
          <w:p>
            <w:pPr>
              <w:spacing w:line="360" w:lineRule="auto"/>
              <w:ind w:firstLine="420" w:firstLineChars="200"/>
              <w:rPr>
                <w:bCs/>
                <w:szCs w:val="21"/>
              </w:rPr>
            </w:pPr>
            <w:r>
              <w:rPr>
                <w:bCs/>
                <w:szCs w:val="21"/>
              </w:rPr>
              <w:t>经采用上述措施后，本项目产生的固体废物对周围环境基本无影响。</w:t>
            </w:r>
          </w:p>
          <w:p>
            <w:pPr>
              <w:snapToGrid w:val="0"/>
              <w:spacing w:line="360" w:lineRule="auto"/>
              <w:ind w:firstLine="422" w:firstLineChars="200"/>
              <w:rPr>
                <w:b/>
                <w:szCs w:val="21"/>
              </w:rPr>
            </w:pPr>
            <w:r>
              <w:rPr>
                <w:rFonts w:hint="eastAsia"/>
                <w:b/>
                <w:szCs w:val="21"/>
              </w:rPr>
              <w:t>5</w:t>
            </w:r>
            <w:r>
              <w:rPr>
                <w:b/>
                <w:szCs w:val="21"/>
              </w:rPr>
              <w:t>、地下水、土壤</w:t>
            </w:r>
          </w:p>
          <w:p>
            <w:pPr>
              <w:snapToGrid w:val="0"/>
              <w:spacing w:line="360" w:lineRule="auto"/>
              <w:ind w:firstLine="420" w:firstLineChars="200"/>
              <w:rPr>
                <w:bCs/>
                <w:szCs w:val="21"/>
              </w:rPr>
            </w:pPr>
            <w:r>
              <w:rPr>
                <w:szCs w:val="21"/>
              </w:rPr>
              <w:t>土壤污染主要由</w:t>
            </w:r>
            <w:r>
              <w:rPr>
                <w:bCs/>
                <w:szCs w:val="21"/>
              </w:rPr>
              <w:t>大气沉降、地面漫流、垂直入渗等。</w:t>
            </w:r>
            <w:r>
              <w:rPr>
                <w:szCs w:val="21"/>
              </w:rPr>
              <w:t>项目租赁已建厂房，项目厂房车间</w:t>
            </w:r>
            <w:r>
              <w:rPr>
                <w:rFonts w:hint="eastAsia"/>
                <w:szCs w:val="21"/>
              </w:rPr>
              <w:t>和</w:t>
            </w:r>
            <w:r>
              <w:rPr>
                <w:szCs w:val="21"/>
              </w:rPr>
              <w:t>厂区内道路、空地已全部做好硬底化，地面防腐防渗措施良好，因此项目</w:t>
            </w:r>
            <w:r>
              <w:rPr>
                <w:bCs/>
                <w:szCs w:val="21"/>
              </w:rPr>
              <w:t>无污染土壤的途径，不会对土壤产生污染累积效应。</w:t>
            </w:r>
          </w:p>
          <w:p>
            <w:pPr>
              <w:snapToGrid w:val="0"/>
              <w:spacing w:line="360" w:lineRule="auto"/>
              <w:ind w:firstLine="420" w:firstLineChars="200"/>
              <w:rPr>
                <w:bCs/>
                <w:szCs w:val="21"/>
              </w:rPr>
            </w:pPr>
            <w:r>
              <w:rPr>
                <w:szCs w:val="21"/>
              </w:rPr>
              <w:t>地下水污染主要是由于污染物迁移穿过包气带进入含水层造成；</w:t>
            </w:r>
            <w:r>
              <w:rPr>
                <w:bCs/>
                <w:szCs w:val="21"/>
              </w:rPr>
              <w:t>本项目用水来自市政供水，不取用地下水，不会造成水位下降。生产过程无废水排放，生活污水经化粪池预处理后排入市政管网，禁止采用渗井、渗坑等方式排放，不会因废水排放引起地下水水位、水量变化，故本项目不存在地下水污染途径。</w:t>
            </w:r>
          </w:p>
          <w:p>
            <w:pPr>
              <w:snapToGrid w:val="0"/>
              <w:spacing w:line="360" w:lineRule="auto"/>
              <w:ind w:firstLine="420" w:firstLineChars="200"/>
              <w:rPr>
                <w:b/>
                <w:szCs w:val="21"/>
              </w:rPr>
            </w:pPr>
            <w:r>
              <w:rPr>
                <w:bCs/>
                <w:szCs w:val="21"/>
              </w:rPr>
              <w:t>综上，本项目不存在地下水和土壤污染途径，建成后对地下水、土壤基本无影响。</w:t>
            </w:r>
          </w:p>
          <w:p>
            <w:pPr>
              <w:snapToGrid w:val="0"/>
              <w:spacing w:line="360" w:lineRule="auto"/>
              <w:ind w:firstLine="422" w:firstLineChars="200"/>
              <w:rPr>
                <w:b/>
                <w:szCs w:val="21"/>
              </w:rPr>
            </w:pPr>
            <w:r>
              <w:rPr>
                <w:rFonts w:hint="eastAsia"/>
                <w:b/>
                <w:szCs w:val="21"/>
              </w:rPr>
              <w:t>6</w:t>
            </w:r>
            <w:r>
              <w:rPr>
                <w:b/>
                <w:szCs w:val="21"/>
              </w:rPr>
              <w:t>、环境风险</w:t>
            </w:r>
          </w:p>
          <w:p>
            <w:pPr>
              <w:widowControl/>
              <w:spacing w:line="360" w:lineRule="auto"/>
              <w:ind w:firstLine="420" w:firstLineChars="200"/>
              <w:jc w:val="left"/>
              <w:rPr>
                <w:kern w:val="0"/>
                <w:szCs w:val="21"/>
              </w:rPr>
            </w:pPr>
            <w:r>
              <w:rPr>
                <w:kern w:val="0"/>
                <w:szCs w:val="21"/>
              </w:rPr>
              <w:t>环境风险评价的目的是分析和预测建设项目存在的潜在危险、有害因素、建设项目建设和运行期间可能发生的突发性事件和事故，引起有毒有害和易燃易爆等物质泄漏，所造成的人身安全与环境影响和损害程度，提出合理可行的防范、应急与减缓措施，以使建设项目事故、损失和环境影响降低到可接受的水平。</w:t>
            </w:r>
          </w:p>
          <w:p>
            <w:pPr>
              <w:snapToGrid w:val="0"/>
              <w:spacing w:line="360" w:lineRule="auto"/>
              <w:ind w:firstLine="422" w:firstLineChars="200"/>
              <w:rPr>
                <w:b/>
                <w:szCs w:val="21"/>
              </w:rPr>
            </w:pPr>
            <w:r>
              <w:rPr>
                <w:rFonts w:hint="eastAsia"/>
                <w:b/>
                <w:szCs w:val="21"/>
              </w:rPr>
              <w:t>（</w:t>
            </w:r>
            <w:r>
              <w:rPr>
                <w:b/>
                <w:szCs w:val="21"/>
              </w:rPr>
              <w:t>1</w:t>
            </w:r>
            <w:r>
              <w:rPr>
                <w:rFonts w:hint="eastAsia"/>
                <w:b/>
                <w:szCs w:val="21"/>
              </w:rPr>
              <w:t>）Q值</w:t>
            </w:r>
            <w:r>
              <w:rPr>
                <w:b/>
                <w:szCs w:val="21"/>
              </w:rPr>
              <w:t>计算</w:t>
            </w:r>
          </w:p>
          <w:p>
            <w:pPr>
              <w:widowControl/>
              <w:adjustRightInd w:val="0"/>
              <w:snapToGrid w:val="0"/>
              <w:spacing w:line="360" w:lineRule="auto"/>
              <w:ind w:firstLine="420" w:firstLineChars="200"/>
              <w:jc w:val="left"/>
              <w:rPr>
                <w:kern w:val="0"/>
                <w:szCs w:val="21"/>
              </w:rPr>
            </w:pPr>
            <w:r>
              <w:rPr>
                <w:bCs/>
                <w:szCs w:val="21"/>
              </w:rPr>
              <w:t>本项目生产过程使用的</w:t>
            </w:r>
            <w:r>
              <w:rPr>
                <w:rFonts w:hint="eastAsia"/>
                <w:bCs/>
                <w:szCs w:val="21"/>
              </w:rPr>
              <w:t>化学品</w:t>
            </w:r>
            <w:r>
              <w:rPr>
                <w:bCs/>
                <w:szCs w:val="21"/>
              </w:rPr>
              <w:t>原辅材料主要有：</w:t>
            </w:r>
            <w:r>
              <w:rPr>
                <w:rFonts w:hint="eastAsia"/>
                <w:bCs/>
                <w:szCs w:val="21"/>
              </w:rPr>
              <w:t>水性胶水</w:t>
            </w:r>
            <w:r>
              <w:rPr>
                <w:bCs/>
                <w:szCs w:val="21"/>
              </w:rPr>
              <w:t>、水性油墨、机油</w:t>
            </w:r>
            <w:r>
              <w:rPr>
                <w:rFonts w:hint="eastAsia"/>
                <w:bCs/>
                <w:szCs w:val="21"/>
              </w:rPr>
              <w:t>等</w:t>
            </w:r>
            <w:r>
              <w:rPr>
                <w:bCs/>
                <w:szCs w:val="21"/>
              </w:rPr>
              <w:t>，对照《建设项目环境风险评价技术导则》（HJ169-2018）附录B、《危险化学品重大危险源辨识》（GB18218-2018）的表1、2以及《企业突发环境事件风险分级方法》（HJ941-2018）附录A，</w:t>
            </w:r>
            <w:r>
              <w:rPr>
                <w:kern w:val="0"/>
                <w:szCs w:val="21"/>
              </w:rPr>
              <w:t>项目生产过程中使用的</w:t>
            </w:r>
            <w:r>
              <w:rPr>
                <w:rFonts w:hint="eastAsia"/>
                <w:kern w:val="0"/>
                <w:szCs w:val="21"/>
              </w:rPr>
              <w:t>机油以及</w:t>
            </w:r>
            <w:r>
              <w:rPr>
                <w:kern w:val="0"/>
                <w:szCs w:val="21"/>
              </w:rPr>
              <w:t>危险废物废机油中含有矿物油类物质，属于《建设项目环境风险评价技术导则》（HJ169-2018）附录B中的风险物质，根据其最大储存量及临界量计算Q值。</w:t>
            </w:r>
          </w:p>
          <w:p>
            <w:pPr>
              <w:widowControl/>
              <w:numPr>
                <w:ilvl w:val="0"/>
                <w:numId w:val="2"/>
              </w:numPr>
              <w:spacing w:line="360" w:lineRule="auto"/>
              <w:ind w:left="0"/>
              <w:jc w:val="center"/>
              <w:rPr>
                <w:b/>
                <w:bCs/>
                <w:kern w:val="0"/>
              </w:rPr>
            </w:pPr>
            <w:r>
              <w:rPr>
                <w:b/>
                <w:bCs/>
              </w:rPr>
              <w:t>项目</w:t>
            </w:r>
            <w:r>
              <w:rPr>
                <w:b/>
                <w:bCs/>
                <w:kern w:val="0"/>
              </w:rPr>
              <w:t>Q值计算</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80"/>
              <w:gridCol w:w="1644"/>
              <w:gridCol w:w="1619"/>
              <w:gridCol w:w="148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b/>
                      <w:bCs/>
                      <w:kern w:val="0"/>
                      <w:szCs w:val="21"/>
                    </w:rPr>
                    <w:t>序号</w:t>
                  </w:r>
                </w:p>
              </w:tc>
              <w:tc>
                <w:tcPr>
                  <w:tcW w:w="998" w:type="pct"/>
                  <w:vAlign w:val="center"/>
                </w:tcPr>
                <w:p>
                  <w:pPr>
                    <w:widowControl/>
                    <w:jc w:val="center"/>
                    <w:rPr>
                      <w:kern w:val="0"/>
                      <w:szCs w:val="21"/>
                    </w:rPr>
                  </w:pPr>
                  <w:r>
                    <w:rPr>
                      <w:b/>
                      <w:bCs/>
                      <w:kern w:val="0"/>
                      <w:szCs w:val="21"/>
                    </w:rPr>
                    <w:t>风险物质名称</w:t>
                  </w:r>
                </w:p>
              </w:tc>
              <w:tc>
                <w:tcPr>
                  <w:tcW w:w="977" w:type="pct"/>
                  <w:vAlign w:val="center"/>
                </w:tcPr>
                <w:p>
                  <w:pPr>
                    <w:widowControl/>
                    <w:jc w:val="center"/>
                    <w:rPr>
                      <w:kern w:val="0"/>
                      <w:szCs w:val="21"/>
                    </w:rPr>
                  </w:pPr>
                  <w:r>
                    <w:rPr>
                      <w:b/>
                      <w:bCs/>
                      <w:kern w:val="0"/>
                      <w:szCs w:val="21"/>
                    </w:rPr>
                    <w:t>年用量（t）</w:t>
                  </w:r>
                </w:p>
              </w:tc>
              <w:tc>
                <w:tcPr>
                  <w:tcW w:w="962" w:type="pct"/>
                  <w:vAlign w:val="center"/>
                </w:tcPr>
                <w:p>
                  <w:pPr>
                    <w:widowControl/>
                    <w:jc w:val="center"/>
                    <w:rPr>
                      <w:kern w:val="0"/>
                      <w:szCs w:val="21"/>
                    </w:rPr>
                  </w:pPr>
                  <w:r>
                    <w:rPr>
                      <w:b/>
                      <w:bCs/>
                      <w:kern w:val="0"/>
                      <w:szCs w:val="21"/>
                    </w:rPr>
                    <w:t>最大储存量（t）</w:t>
                  </w:r>
                </w:p>
              </w:tc>
              <w:tc>
                <w:tcPr>
                  <w:tcW w:w="880" w:type="pct"/>
                  <w:vAlign w:val="center"/>
                </w:tcPr>
                <w:p>
                  <w:pPr>
                    <w:widowControl/>
                    <w:jc w:val="center"/>
                    <w:rPr>
                      <w:b/>
                      <w:bCs/>
                      <w:kern w:val="0"/>
                      <w:szCs w:val="21"/>
                    </w:rPr>
                  </w:pPr>
                  <w:r>
                    <w:rPr>
                      <w:b/>
                      <w:bCs/>
                      <w:kern w:val="0"/>
                      <w:szCs w:val="21"/>
                    </w:rPr>
                    <w:t>临界量（t）</w:t>
                  </w:r>
                </w:p>
              </w:tc>
              <w:tc>
                <w:tcPr>
                  <w:tcW w:w="770" w:type="pct"/>
                  <w:vAlign w:val="center"/>
                </w:tcPr>
                <w:p>
                  <w:pPr>
                    <w:widowControl/>
                    <w:jc w:val="center"/>
                    <w:rPr>
                      <w:kern w:val="0"/>
                      <w:szCs w:val="21"/>
                    </w:rPr>
                  </w:pPr>
                  <w:r>
                    <w:rPr>
                      <w:b/>
                      <w:bCs/>
                      <w:kern w:val="0"/>
                      <w:szCs w:val="21"/>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kern w:val="0"/>
                      <w:szCs w:val="21"/>
                    </w:rPr>
                    <w:t>1</w:t>
                  </w:r>
                </w:p>
              </w:tc>
              <w:tc>
                <w:tcPr>
                  <w:tcW w:w="998" w:type="pct"/>
                  <w:vAlign w:val="center"/>
                </w:tcPr>
                <w:p>
                  <w:pPr>
                    <w:widowControl/>
                    <w:jc w:val="center"/>
                    <w:rPr>
                      <w:kern w:val="0"/>
                      <w:szCs w:val="21"/>
                    </w:rPr>
                  </w:pPr>
                  <w:r>
                    <w:rPr>
                      <w:rFonts w:hint="eastAsia"/>
                      <w:kern w:val="0"/>
                      <w:szCs w:val="21"/>
                    </w:rPr>
                    <w:t>机油</w:t>
                  </w:r>
                </w:p>
              </w:tc>
              <w:tc>
                <w:tcPr>
                  <w:tcW w:w="977" w:type="pct"/>
                  <w:vAlign w:val="center"/>
                </w:tcPr>
                <w:p>
                  <w:pPr>
                    <w:widowControl/>
                    <w:jc w:val="center"/>
                    <w:rPr>
                      <w:kern w:val="0"/>
                      <w:szCs w:val="21"/>
                    </w:rPr>
                  </w:pPr>
                  <w:r>
                    <w:rPr>
                      <w:kern w:val="0"/>
                      <w:szCs w:val="21"/>
                    </w:rPr>
                    <w:t>0.05</w:t>
                  </w:r>
                </w:p>
              </w:tc>
              <w:tc>
                <w:tcPr>
                  <w:tcW w:w="962" w:type="pct"/>
                  <w:vAlign w:val="center"/>
                </w:tcPr>
                <w:p>
                  <w:pPr>
                    <w:widowControl/>
                    <w:jc w:val="center"/>
                    <w:rPr>
                      <w:kern w:val="0"/>
                      <w:szCs w:val="21"/>
                    </w:rPr>
                  </w:pPr>
                  <w:r>
                    <w:rPr>
                      <w:kern w:val="0"/>
                      <w:szCs w:val="21"/>
                    </w:rPr>
                    <w:t>0.01</w:t>
                  </w:r>
                </w:p>
              </w:tc>
              <w:tc>
                <w:tcPr>
                  <w:tcW w:w="880" w:type="pct"/>
                  <w:vAlign w:val="center"/>
                </w:tcPr>
                <w:p>
                  <w:pPr>
                    <w:widowControl/>
                    <w:jc w:val="center"/>
                    <w:rPr>
                      <w:kern w:val="0"/>
                      <w:szCs w:val="21"/>
                    </w:rPr>
                  </w:pPr>
                  <w:r>
                    <w:rPr>
                      <w:kern w:val="0"/>
                      <w:szCs w:val="21"/>
                    </w:rPr>
                    <w:t>2500</w:t>
                  </w:r>
                </w:p>
              </w:tc>
              <w:tc>
                <w:tcPr>
                  <w:tcW w:w="770" w:type="pct"/>
                  <w:vAlign w:val="center"/>
                </w:tcPr>
                <w:p>
                  <w:pPr>
                    <w:widowControl/>
                    <w:jc w:val="center"/>
                    <w:rPr>
                      <w:kern w:val="0"/>
                      <w:szCs w:val="21"/>
                    </w:rPr>
                  </w:pPr>
                  <w:r>
                    <w:rPr>
                      <w:szCs w:val="21"/>
                    </w:rPr>
                    <w:t>0.000004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kern w:val="0"/>
                      <w:szCs w:val="21"/>
                    </w:rPr>
                    <w:t>2</w:t>
                  </w:r>
                </w:p>
              </w:tc>
              <w:tc>
                <w:tcPr>
                  <w:tcW w:w="998" w:type="pct"/>
                  <w:vAlign w:val="center"/>
                </w:tcPr>
                <w:p>
                  <w:pPr>
                    <w:widowControl/>
                    <w:jc w:val="center"/>
                    <w:rPr>
                      <w:kern w:val="0"/>
                      <w:szCs w:val="21"/>
                    </w:rPr>
                  </w:pPr>
                  <w:r>
                    <w:rPr>
                      <w:rFonts w:hint="eastAsia"/>
                      <w:kern w:val="0"/>
                      <w:szCs w:val="21"/>
                    </w:rPr>
                    <w:t>废机油</w:t>
                  </w:r>
                </w:p>
              </w:tc>
              <w:tc>
                <w:tcPr>
                  <w:tcW w:w="977" w:type="pct"/>
                  <w:vAlign w:val="center"/>
                </w:tcPr>
                <w:p>
                  <w:pPr>
                    <w:widowControl/>
                    <w:jc w:val="center"/>
                    <w:rPr>
                      <w:kern w:val="0"/>
                      <w:szCs w:val="21"/>
                    </w:rPr>
                  </w:pPr>
                  <w:r>
                    <w:rPr>
                      <w:rFonts w:hint="eastAsia"/>
                      <w:kern w:val="0"/>
                      <w:szCs w:val="21"/>
                    </w:rPr>
                    <w:t>0.0</w:t>
                  </w:r>
                  <w:r>
                    <w:rPr>
                      <w:kern w:val="0"/>
                      <w:szCs w:val="21"/>
                    </w:rPr>
                    <w:t>2</w:t>
                  </w:r>
                </w:p>
              </w:tc>
              <w:tc>
                <w:tcPr>
                  <w:tcW w:w="962" w:type="pct"/>
                  <w:vAlign w:val="center"/>
                </w:tcPr>
                <w:p>
                  <w:pPr>
                    <w:widowControl/>
                    <w:jc w:val="center"/>
                    <w:rPr>
                      <w:kern w:val="0"/>
                      <w:szCs w:val="21"/>
                    </w:rPr>
                  </w:pPr>
                  <w:r>
                    <w:rPr>
                      <w:rFonts w:hint="eastAsia"/>
                      <w:kern w:val="0"/>
                      <w:szCs w:val="21"/>
                    </w:rPr>
                    <w:t>0.0</w:t>
                  </w:r>
                  <w:r>
                    <w:rPr>
                      <w:kern w:val="0"/>
                      <w:szCs w:val="21"/>
                    </w:rPr>
                    <w:t>2</w:t>
                  </w:r>
                </w:p>
              </w:tc>
              <w:tc>
                <w:tcPr>
                  <w:tcW w:w="880" w:type="pct"/>
                  <w:vAlign w:val="center"/>
                </w:tcPr>
                <w:p>
                  <w:pPr>
                    <w:widowControl/>
                    <w:jc w:val="center"/>
                    <w:rPr>
                      <w:kern w:val="0"/>
                      <w:szCs w:val="21"/>
                    </w:rPr>
                  </w:pPr>
                  <w:r>
                    <w:rPr>
                      <w:rFonts w:hint="eastAsia"/>
                      <w:kern w:val="0"/>
                      <w:szCs w:val="21"/>
                    </w:rPr>
                    <w:t>2500</w:t>
                  </w:r>
                </w:p>
              </w:tc>
              <w:tc>
                <w:tcPr>
                  <w:tcW w:w="770" w:type="pct"/>
                  <w:vAlign w:val="center"/>
                </w:tcPr>
                <w:p>
                  <w:pPr>
                    <w:jc w:val="center"/>
                    <w:rPr>
                      <w:szCs w:val="21"/>
                    </w:rPr>
                  </w:pPr>
                  <w:r>
                    <w:rPr>
                      <w:szCs w:val="21"/>
                    </w:rPr>
                    <w:t>0.000008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0" w:type="pct"/>
                  <w:gridSpan w:val="5"/>
                  <w:vAlign w:val="center"/>
                </w:tcPr>
                <w:p>
                  <w:pPr>
                    <w:widowControl/>
                    <w:jc w:val="center"/>
                    <w:rPr>
                      <w:kern w:val="0"/>
                      <w:szCs w:val="21"/>
                    </w:rPr>
                  </w:pPr>
                  <w:r>
                    <w:rPr>
                      <w:kern w:val="0"/>
                      <w:szCs w:val="21"/>
                    </w:rPr>
                    <w:t>合计</w:t>
                  </w:r>
                </w:p>
              </w:tc>
              <w:tc>
                <w:tcPr>
                  <w:tcW w:w="770" w:type="pct"/>
                  <w:vAlign w:val="center"/>
                </w:tcPr>
                <w:p>
                  <w:pPr>
                    <w:snapToGrid w:val="0"/>
                    <w:jc w:val="center"/>
                    <w:rPr>
                      <w:kern w:val="0"/>
                      <w:szCs w:val="21"/>
                    </w:rPr>
                  </w:pPr>
                  <w:r>
                    <w:rPr>
                      <w:kern w:val="0"/>
                      <w:szCs w:val="21"/>
                    </w:rPr>
                    <w:t>0.000012</w:t>
                  </w:r>
                </w:p>
              </w:tc>
            </w:tr>
          </w:tbl>
          <w:p>
            <w:pPr>
              <w:widowControl/>
              <w:spacing w:line="360" w:lineRule="auto"/>
              <w:ind w:firstLine="420" w:firstLineChars="200"/>
              <w:jc w:val="left"/>
              <w:rPr>
                <w:bCs/>
                <w:kern w:val="0"/>
                <w:szCs w:val="21"/>
              </w:rPr>
            </w:pPr>
            <w:r>
              <w:rPr>
                <w:bCs/>
                <w:kern w:val="0"/>
                <w:szCs w:val="21"/>
              </w:rPr>
              <w:t>由上表可知，项目危险物质数量与临界量比值Q小于1，项目环境风险潜势等级为</w:t>
            </w:r>
            <w:r>
              <w:rPr>
                <w:rFonts w:hint="eastAsia" w:ascii="宋体" w:hAnsi="宋体" w:cs="宋体"/>
                <w:bCs/>
                <w:kern w:val="0"/>
                <w:szCs w:val="21"/>
              </w:rPr>
              <w:t>Ⅰ</w:t>
            </w:r>
            <w:r>
              <w:rPr>
                <w:bCs/>
                <w:kern w:val="0"/>
                <w:szCs w:val="21"/>
              </w:rPr>
              <w:t>级，因此，项目环境风险评价工作等级为简单分析。</w:t>
            </w:r>
          </w:p>
          <w:p>
            <w:pPr>
              <w:snapToGrid w:val="0"/>
              <w:spacing w:line="360" w:lineRule="auto"/>
              <w:ind w:firstLine="422" w:firstLineChars="200"/>
              <w:rPr>
                <w:b/>
                <w:szCs w:val="21"/>
              </w:rPr>
            </w:pPr>
            <w:r>
              <w:rPr>
                <w:rFonts w:hint="eastAsia"/>
                <w:b/>
                <w:szCs w:val="21"/>
              </w:rPr>
              <w:t>（</w:t>
            </w:r>
            <w:r>
              <w:rPr>
                <w:b/>
                <w:szCs w:val="21"/>
              </w:rPr>
              <w:t>2</w:t>
            </w:r>
            <w:r>
              <w:rPr>
                <w:rFonts w:hint="eastAsia"/>
                <w:b/>
                <w:szCs w:val="21"/>
              </w:rPr>
              <w:t>）</w:t>
            </w:r>
            <w:r>
              <w:rPr>
                <w:b/>
                <w:szCs w:val="21"/>
              </w:rPr>
              <w:t>环境风险识别</w:t>
            </w:r>
          </w:p>
          <w:p>
            <w:pPr>
              <w:widowControl/>
              <w:spacing w:line="360" w:lineRule="auto"/>
              <w:ind w:firstLine="420" w:firstLineChars="200"/>
              <w:jc w:val="left"/>
              <w:rPr>
                <w:bCs/>
                <w:kern w:val="0"/>
                <w:szCs w:val="21"/>
              </w:rPr>
            </w:pPr>
            <w:r>
              <w:rPr>
                <w:bCs/>
                <w:kern w:val="0"/>
                <w:szCs w:val="21"/>
              </w:rPr>
              <w:t>本项目主要的环境风险有：生产设备</w:t>
            </w:r>
            <w:r>
              <w:rPr>
                <w:rFonts w:hint="eastAsia"/>
                <w:bCs/>
                <w:kern w:val="0"/>
                <w:szCs w:val="21"/>
              </w:rPr>
              <w:t>、原辅材料和产品</w:t>
            </w:r>
            <w:r>
              <w:rPr>
                <w:bCs/>
                <w:kern w:val="0"/>
                <w:szCs w:val="21"/>
              </w:rPr>
              <w:t>等引发火灾甚至爆炸事故</w:t>
            </w:r>
            <w:r>
              <w:rPr>
                <w:rFonts w:hint="eastAsia"/>
                <w:bCs/>
                <w:kern w:val="0"/>
                <w:szCs w:val="21"/>
              </w:rPr>
              <w:t>引发的伴生/次生污染物</w:t>
            </w:r>
            <w:r>
              <w:rPr>
                <w:bCs/>
                <w:kern w:val="0"/>
                <w:szCs w:val="21"/>
              </w:rPr>
              <w:t>，</w:t>
            </w:r>
            <w:r>
              <w:rPr>
                <w:rFonts w:hint="eastAsia"/>
                <w:bCs/>
                <w:kern w:val="0"/>
                <w:szCs w:val="21"/>
              </w:rPr>
              <w:t>机油、油墨、胶水</w:t>
            </w:r>
            <w:r>
              <w:rPr>
                <w:bCs/>
                <w:kern w:val="0"/>
                <w:szCs w:val="21"/>
              </w:rPr>
              <w:t>等化学品和危险废物在运输、装卸、储存以及使用过程中操作不当可能会造成泄漏，以及废气处理设施事故导致废气事故排放对大气环境的影响。</w:t>
            </w:r>
          </w:p>
          <w:p>
            <w:pPr>
              <w:widowControl/>
              <w:spacing w:line="360" w:lineRule="auto"/>
              <w:ind w:firstLine="420" w:firstLineChars="200"/>
              <w:jc w:val="left"/>
              <w:rPr>
                <w:bCs/>
                <w:kern w:val="0"/>
                <w:szCs w:val="21"/>
              </w:rPr>
            </w:pPr>
            <w:r>
              <w:rPr>
                <w:bCs/>
                <w:kern w:val="0"/>
                <w:szCs w:val="21"/>
              </w:rPr>
              <w:t>化学品和危险废物发生泄漏时，可能发生向下渗漏到地下水，污染土壤与地下水；当发生火灾事故时，由于火灾产生的颗粒物会飞扬，气体排放随风向外扩散，在不利风向时，周围</w:t>
            </w:r>
            <w:r>
              <w:rPr>
                <w:rFonts w:hint="eastAsia"/>
                <w:bCs/>
                <w:kern w:val="0"/>
                <w:szCs w:val="21"/>
              </w:rPr>
              <w:t>的</w:t>
            </w:r>
            <w:r>
              <w:rPr>
                <w:bCs/>
                <w:kern w:val="0"/>
                <w:szCs w:val="21"/>
              </w:rPr>
              <w:t>企业及员工及村庄等均会受到不同程度的影响，另外，在火灾、爆炸的灭火过程中，消防喷水、泡沫喷淋等均会产生废水，以上消防废液含有大量的石油类，若直接通过市政雨水或污水管网进入纳污水体或市政污水处理厂，含高浓度的消防排水势必对水体造成不利的影响，进入污水厂则可能因冲击负荷过大，造成污水厂处理设施的停运，导致严重污染环境的后果；废气处理装置出现故障时，此时若未经过处理的工艺废气直接排入大气，各种污染物的去除率为0，将造成周围大气环境污染。</w:t>
            </w:r>
          </w:p>
          <w:p>
            <w:pPr>
              <w:widowControl/>
              <w:spacing w:line="360" w:lineRule="auto"/>
              <w:ind w:firstLine="422" w:firstLineChars="200"/>
              <w:jc w:val="left"/>
              <w:rPr>
                <w:b/>
                <w:bCs/>
                <w:kern w:val="0"/>
                <w:szCs w:val="21"/>
              </w:rPr>
            </w:pPr>
            <w:r>
              <w:rPr>
                <w:b/>
                <w:bCs/>
                <w:kern w:val="0"/>
                <w:szCs w:val="21"/>
              </w:rPr>
              <w:t>（3）环境风险防范措施</w:t>
            </w:r>
          </w:p>
          <w:p>
            <w:pPr>
              <w:widowControl/>
              <w:spacing w:line="360" w:lineRule="auto"/>
              <w:ind w:firstLine="420" w:firstLineChars="200"/>
              <w:jc w:val="left"/>
              <w:rPr>
                <w:bCs/>
                <w:kern w:val="0"/>
                <w:szCs w:val="21"/>
              </w:rPr>
            </w:pPr>
            <w:r>
              <w:rPr>
                <w:bCs/>
                <w:kern w:val="0"/>
                <w:szCs w:val="21"/>
              </w:rPr>
              <w:t>针对本项目可能的环境风险，提出以下防范措施和事故应急措施：</w:t>
            </w:r>
          </w:p>
          <w:p>
            <w:pPr>
              <w:widowControl/>
              <w:spacing w:line="360" w:lineRule="auto"/>
              <w:ind w:firstLine="420" w:firstLineChars="200"/>
              <w:jc w:val="left"/>
              <w:rPr>
                <w:bCs/>
                <w:kern w:val="0"/>
                <w:szCs w:val="21"/>
              </w:rPr>
            </w:pPr>
            <w:r>
              <w:rPr>
                <w:bCs/>
                <w:kern w:val="0"/>
                <w:szCs w:val="21"/>
              </w:rPr>
              <w:t>1）风险防范措施</w:t>
            </w:r>
          </w:p>
          <w:p>
            <w:pPr>
              <w:widowControl/>
              <w:spacing w:line="360" w:lineRule="auto"/>
              <w:ind w:firstLine="420" w:firstLineChars="200"/>
              <w:jc w:val="left"/>
              <w:rPr>
                <w:bCs/>
                <w:kern w:val="0"/>
                <w:szCs w:val="21"/>
              </w:rPr>
            </w:pPr>
            <w:r>
              <w:rPr>
                <w:rFonts w:hint="eastAsia" w:ascii="宋体" w:hAnsi="宋体" w:cs="宋体"/>
                <w:bCs/>
                <w:kern w:val="0"/>
                <w:szCs w:val="21"/>
              </w:rPr>
              <w:t>①</w:t>
            </w:r>
            <w:r>
              <w:rPr>
                <w:bCs/>
                <w:kern w:val="0"/>
                <w:szCs w:val="21"/>
              </w:rPr>
              <w:t>制定严格的生产操作规程，加强作业工人的环境风险教育，杜绝工作失误造成的事故；</w:t>
            </w:r>
          </w:p>
          <w:p>
            <w:pPr>
              <w:widowControl/>
              <w:spacing w:line="360" w:lineRule="auto"/>
              <w:ind w:firstLine="420" w:firstLineChars="200"/>
              <w:jc w:val="left"/>
              <w:rPr>
                <w:bCs/>
                <w:kern w:val="0"/>
                <w:szCs w:val="21"/>
              </w:rPr>
            </w:pPr>
            <w:r>
              <w:rPr>
                <w:rFonts w:hint="eastAsia" w:ascii="宋体" w:hAnsi="宋体" w:cs="宋体"/>
                <w:bCs/>
                <w:kern w:val="0"/>
                <w:szCs w:val="21"/>
              </w:rPr>
              <w:t>②</w:t>
            </w:r>
            <w:r>
              <w:rPr>
                <w:bCs/>
                <w:kern w:val="0"/>
                <w:szCs w:val="21"/>
              </w:rPr>
              <w:t>在车间和仓库明显位置张贴禁用明火的告示，并对地面进行硬底化，墙体设置围堰。</w:t>
            </w:r>
          </w:p>
          <w:p>
            <w:pPr>
              <w:widowControl/>
              <w:spacing w:line="360" w:lineRule="auto"/>
              <w:ind w:firstLine="420" w:firstLineChars="200"/>
              <w:jc w:val="left"/>
              <w:rPr>
                <w:bCs/>
                <w:kern w:val="0"/>
                <w:szCs w:val="21"/>
              </w:rPr>
            </w:pPr>
            <w:r>
              <w:rPr>
                <w:rFonts w:hint="eastAsia" w:ascii="宋体" w:hAnsi="宋体" w:cs="宋体"/>
                <w:bCs/>
                <w:kern w:val="0"/>
                <w:szCs w:val="21"/>
              </w:rPr>
              <w:t>③</w:t>
            </w:r>
            <w:r>
              <w:rPr>
                <w:bCs/>
                <w:kern w:val="0"/>
                <w:szCs w:val="21"/>
              </w:rPr>
              <w:t>设置移动式式泡沫灭火器和消防沙箱，车间设置缓坡，危废间设置围堰；</w:t>
            </w:r>
          </w:p>
          <w:p>
            <w:pPr>
              <w:widowControl/>
              <w:spacing w:line="360" w:lineRule="auto"/>
              <w:ind w:firstLine="420" w:firstLineChars="200"/>
              <w:jc w:val="left"/>
              <w:rPr>
                <w:bCs/>
                <w:kern w:val="0"/>
                <w:szCs w:val="21"/>
              </w:rPr>
            </w:pPr>
            <w:r>
              <w:rPr>
                <w:rFonts w:hint="eastAsia" w:ascii="宋体" w:hAnsi="宋体" w:cs="宋体"/>
                <w:bCs/>
                <w:kern w:val="0"/>
                <w:szCs w:val="21"/>
              </w:rPr>
              <w:t>④化学品</w:t>
            </w:r>
            <w:r>
              <w:rPr>
                <w:rFonts w:ascii="宋体" w:hAnsi="宋体" w:cs="宋体"/>
                <w:bCs/>
                <w:kern w:val="0"/>
                <w:szCs w:val="21"/>
              </w:rPr>
              <w:t>和</w:t>
            </w:r>
            <w:r>
              <w:rPr>
                <w:bCs/>
                <w:kern w:val="0"/>
                <w:szCs w:val="21"/>
              </w:rPr>
              <w:t>危险废物在运输和装卸时，应轻拿轻放，防止撞击；</w:t>
            </w:r>
          </w:p>
          <w:p>
            <w:pPr>
              <w:widowControl/>
              <w:spacing w:line="360" w:lineRule="auto"/>
              <w:ind w:firstLine="420" w:firstLineChars="200"/>
              <w:jc w:val="left"/>
              <w:rPr>
                <w:bCs/>
                <w:kern w:val="0"/>
                <w:szCs w:val="21"/>
              </w:rPr>
            </w:pPr>
            <w:r>
              <w:rPr>
                <w:rFonts w:hint="eastAsia" w:ascii="宋体" w:hAnsi="宋体" w:cs="宋体"/>
                <w:bCs/>
                <w:kern w:val="0"/>
                <w:szCs w:val="21"/>
              </w:rPr>
              <w:t>⑤</w:t>
            </w:r>
            <w:r>
              <w:rPr>
                <w:bCs/>
                <w:kern w:val="0"/>
                <w:szCs w:val="21"/>
              </w:rPr>
              <w:t xml:space="preserve">雨污分流，雨污排放口设置闸门，在发生泄漏等环境风险事故时，要立即关闭闸门，并配备沙袋，发生火灾事故时，利用沙袋和厂区围墙形成围堰堵截消防废水，防止泄漏的物质和消防废水流入地表水体； </w:t>
            </w:r>
          </w:p>
          <w:p>
            <w:pPr>
              <w:widowControl/>
              <w:spacing w:line="360" w:lineRule="auto"/>
              <w:ind w:firstLine="420" w:firstLineChars="200"/>
              <w:jc w:val="left"/>
              <w:rPr>
                <w:bCs/>
                <w:kern w:val="0"/>
                <w:szCs w:val="21"/>
              </w:rPr>
            </w:pPr>
            <w:r>
              <w:rPr>
                <w:rFonts w:hint="eastAsia" w:ascii="宋体" w:hAnsi="宋体" w:cs="宋体"/>
                <w:bCs/>
                <w:kern w:val="0"/>
                <w:szCs w:val="21"/>
              </w:rPr>
              <w:t>⑥</w:t>
            </w:r>
            <w:r>
              <w:rPr>
                <w:bCs/>
                <w:kern w:val="0"/>
                <w:szCs w:val="21"/>
              </w:rPr>
              <w:t>在危废仓库四周设置地沟避免泄漏物料流入水体，泄漏的物料经收集后作为废液送至相应委外单位处理，收集的消防废水委托有处理能力的单位处理；</w:t>
            </w:r>
          </w:p>
          <w:p>
            <w:pPr>
              <w:widowControl/>
              <w:spacing w:line="360" w:lineRule="auto"/>
              <w:ind w:firstLine="420" w:firstLineChars="200"/>
              <w:jc w:val="left"/>
              <w:rPr>
                <w:bCs/>
                <w:kern w:val="0"/>
                <w:szCs w:val="21"/>
              </w:rPr>
            </w:pPr>
            <w:r>
              <w:rPr>
                <w:rFonts w:hint="eastAsia" w:ascii="宋体" w:hAnsi="宋体" w:cs="宋体"/>
                <w:bCs/>
                <w:kern w:val="0"/>
                <w:szCs w:val="21"/>
              </w:rPr>
              <w:t>⑦</w:t>
            </w:r>
            <w:r>
              <w:rPr>
                <w:bCs/>
                <w:kern w:val="0"/>
                <w:szCs w:val="21"/>
              </w:rPr>
              <w:t>当废气净化装置风机故障时，部门人员立即开启备用风机，保证废气净化装置正常运作，防止超标废气排放，同时组织相关人员对风机进行维修或更换；</w:t>
            </w:r>
          </w:p>
          <w:p>
            <w:pPr>
              <w:widowControl/>
              <w:spacing w:line="360" w:lineRule="auto"/>
              <w:ind w:firstLine="420" w:firstLineChars="200"/>
              <w:jc w:val="left"/>
              <w:rPr>
                <w:bCs/>
                <w:kern w:val="0"/>
                <w:szCs w:val="21"/>
              </w:rPr>
            </w:pPr>
            <w:r>
              <w:rPr>
                <w:rFonts w:hint="eastAsia" w:ascii="宋体" w:hAnsi="宋体" w:cs="宋体"/>
                <w:bCs/>
                <w:kern w:val="0"/>
                <w:szCs w:val="21"/>
              </w:rPr>
              <w:t>⑧</w:t>
            </w:r>
            <w:r>
              <w:rPr>
                <w:bCs/>
                <w:kern w:val="0"/>
                <w:szCs w:val="21"/>
              </w:rPr>
              <w:t>对于废气处理设施所有的易损部件（如皮带、轴承）等，废气处理设施负责人要及时委托采购人员购买备用件，一旦发生损坏及时更换。</w:t>
            </w:r>
          </w:p>
          <w:p>
            <w:pPr>
              <w:widowControl/>
              <w:spacing w:line="360" w:lineRule="auto"/>
              <w:ind w:firstLine="420" w:firstLineChars="200"/>
              <w:jc w:val="left"/>
              <w:rPr>
                <w:bCs/>
                <w:kern w:val="0"/>
                <w:szCs w:val="21"/>
              </w:rPr>
            </w:pPr>
            <w:r>
              <w:rPr>
                <w:bCs/>
                <w:kern w:val="0"/>
                <w:szCs w:val="21"/>
              </w:rPr>
              <w:t>2）事故应急措施</w:t>
            </w:r>
          </w:p>
          <w:p>
            <w:pPr>
              <w:widowControl/>
              <w:spacing w:line="360" w:lineRule="auto"/>
              <w:ind w:firstLine="420" w:firstLineChars="200"/>
              <w:jc w:val="left"/>
              <w:rPr>
                <w:bCs/>
                <w:kern w:val="0"/>
                <w:szCs w:val="21"/>
              </w:rPr>
            </w:pPr>
            <w:r>
              <w:rPr>
                <w:rFonts w:hint="eastAsia" w:ascii="宋体" w:hAnsi="宋体" w:cs="宋体"/>
                <w:bCs/>
                <w:kern w:val="0"/>
                <w:szCs w:val="21"/>
              </w:rPr>
              <w:t>①</w:t>
            </w:r>
            <w:r>
              <w:rPr>
                <w:bCs/>
                <w:kern w:val="0"/>
                <w:szCs w:val="21"/>
              </w:rPr>
              <w:t>建设单位制定详细、可行的事故应急预案，一旦发生泄漏、火灾等事故，应立即采取合理的事故应急处理措施，并向有关环境管理部门汇报情况，协助环境管理部门进行应急监测等工作；</w:t>
            </w:r>
          </w:p>
          <w:p>
            <w:pPr>
              <w:widowControl/>
              <w:spacing w:line="360" w:lineRule="auto"/>
              <w:ind w:firstLine="420" w:firstLineChars="200"/>
              <w:jc w:val="left"/>
              <w:rPr>
                <w:bCs/>
                <w:kern w:val="0"/>
                <w:szCs w:val="21"/>
              </w:rPr>
            </w:pPr>
            <w:r>
              <w:rPr>
                <w:rFonts w:hint="eastAsia" w:ascii="宋体" w:hAnsi="宋体" w:cs="宋体"/>
                <w:bCs/>
                <w:kern w:val="0"/>
                <w:szCs w:val="21"/>
              </w:rPr>
              <w:t>②</w:t>
            </w:r>
            <w:r>
              <w:rPr>
                <w:bCs/>
                <w:kern w:val="0"/>
                <w:szCs w:val="21"/>
              </w:rPr>
              <w:t>生产车间及仓库内应配备灭火器、消防砂箱和防毒面具等消防应急设备，并定期检查设备有效性；</w:t>
            </w:r>
          </w:p>
          <w:p>
            <w:pPr>
              <w:widowControl/>
              <w:spacing w:line="360" w:lineRule="auto"/>
              <w:ind w:firstLine="420" w:firstLineChars="200"/>
              <w:jc w:val="left"/>
              <w:rPr>
                <w:bCs/>
                <w:kern w:val="0"/>
                <w:szCs w:val="21"/>
              </w:rPr>
            </w:pPr>
            <w:r>
              <w:rPr>
                <w:rFonts w:hint="eastAsia" w:ascii="宋体" w:hAnsi="宋体" w:cs="宋体"/>
                <w:bCs/>
                <w:kern w:val="0"/>
                <w:szCs w:val="21"/>
              </w:rPr>
              <w:t>③</w:t>
            </w:r>
            <w:r>
              <w:rPr>
                <w:bCs/>
                <w:kern w:val="0"/>
                <w:szCs w:val="21"/>
              </w:rPr>
              <w:t xml:space="preserve">在仓库地面铺设防渗防腐材料，一旦发生泄漏事故时，避免泄漏物质下渗，同时应立即切断一切火源，对原料间喷施泡沫覆盖泄漏物，降低蒸汽危害，并尽快封堵泄漏源； </w:t>
            </w:r>
          </w:p>
          <w:p>
            <w:pPr>
              <w:widowControl/>
              <w:adjustRightInd w:val="0"/>
              <w:snapToGrid w:val="0"/>
              <w:spacing w:line="360" w:lineRule="auto"/>
              <w:ind w:firstLine="420" w:firstLineChars="200"/>
              <w:rPr>
                <w:bCs/>
                <w:kern w:val="0"/>
                <w:szCs w:val="21"/>
              </w:rPr>
            </w:pPr>
            <w:r>
              <w:rPr>
                <w:rFonts w:hint="eastAsia" w:ascii="宋体" w:hAnsi="宋体" w:cs="宋体"/>
                <w:bCs/>
                <w:kern w:val="0"/>
                <w:szCs w:val="21"/>
              </w:rPr>
              <w:t>④</w:t>
            </w:r>
            <w:r>
              <w:rPr>
                <w:bCs/>
                <w:kern w:val="0"/>
                <w:szCs w:val="21"/>
              </w:rPr>
              <w:t>事故处理完毕后应采用防爆泵将泄漏液转移至槽车或专用的收集容器内，交相关处理单位处置。</w:t>
            </w:r>
          </w:p>
          <w:p>
            <w:pPr>
              <w:snapToGrid w:val="0"/>
              <w:spacing w:line="360" w:lineRule="auto"/>
              <w:ind w:firstLine="422" w:firstLineChars="200"/>
              <w:rPr>
                <w:b/>
                <w:szCs w:val="21"/>
              </w:rPr>
            </w:pPr>
            <w:r>
              <w:rPr>
                <w:rFonts w:hint="eastAsia"/>
                <w:b/>
                <w:szCs w:val="21"/>
              </w:rPr>
              <w:t>（4）</w:t>
            </w:r>
            <w:r>
              <w:rPr>
                <w:b/>
                <w:szCs w:val="21"/>
              </w:rPr>
              <w:t>分析结论</w:t>
            </w:r>
          </w:p>
          <w:p>
            <w:pPr>
              <w:snapToGrid w:val="0"/>
              <w:spacing w:line="360" w:lineRule="auto"/>
              <w:ind w:firstLine="420" w:firstLineChars="200"/>
              <w:rPr>
                <w:b/>
                <w:bCs/>
                <w:kern w:val="0"/>
              </w:rPr>
            </w:pPr>
            <w:r>
              <w:rPr>
                <w:caps/>
                <w:szCs w:val="21"/>
              </w:rPr>
              <w:t>本项目环境风险等级较低，通过采取相应的风险防范措施，项目的环境风险可控。建设单位应编制突发环境事件应急预案，一旦发生事故，建设单位应立即执行采取合理的事故应急处理措施，将事故影响降到最低限度</w:t>
            </w:r>
            <w:r>
              <w:rPr>
                <w:bCs/>
                <w:szCs w:val="21"/>
              </w:rPr>
              <w:t>。</w:t>
            </w:r>
          </w:p>
          <w:p>
            <w:pPr>
              <w:pStyle w:val="79"/>
              <w:spacing w:line="360" w:lineRule="auto"/>
              <w:ind w:firstLine="422"/>
              <w:rPr>
                <w:b/>
                <w:sz w:val="21"/>
                <w:szCs w:val="21"/>
              </w:rPr>
            </w:pPr>
          </w:p>
          <w:p>
            <w:pPr>
              <w:tabs>
                <w:tab w:val="left" w:pos="2064"/>
              </w:tabs>
              <w:adjustRightInd w:val="0"/>
              <w:snapToGrid w:val="0"/>
              <w:spacing w:line="360" w:lineRule="auto"/>
              <w:rPr>
                <w:b/>
                <w:kern w:val="0"/>
                <w:sz w:val="28"/>
                <w:szCs w:val="28"/>
              </w:rPr>
            </w:pPr>
          </w:p>
        </w:tc>
      </w:tr>
    </w:tbl>
    <w:p>
      <w:pPr>
        <w:tabs>
          <w:tab w:val="left" w:pos="2064"/>
        </w:tabs>
        <w:adjustRightInd w:val="0"/>
        <w:snapToGrid w:val="0"/>
        <w:spacing w:line="360" w:lineRule="auto"/>
        <w:rPr>
          <w:b/>
          <w:kern w:val="0"/>
          <w:sz w:val="28"/>
          <w:szCs w:val="28"/>
        </w:rPr>
      </w:pPr>
    </w:p>
    <w:p>
      <w:pPr>
        <w:tabs>
          <w:tab w:val="left" w:pos="2064"/>
        </w:tabs>
        <w:rPr>
          <w:sz w:val="28"/>
          <w:szCs w:val="28"/>
        </w:rPr>
        <w:sectPr>
          <w:pgSz w:w="11907" w:h="16840"/>
          <w:pgMar w:top="720" w:right="1275" w:bottom="720" w:left="1276" w:header="851" w:footer="851" w:gutter="0"/>
          <w:cols w:space="720" w:num="1"/>
          <w:docGrid w:linePitch="312" w:charSpace="0"/>
        </w:sectPr>
      </w:pPr>
      <w:r>
        <w:rPr>
          <w:sz w:val="28"/>
          <w:szCs w:val="28"/>
        </w:rPr>
        <w:tab/>
      </w: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2" w:name="_Hlk54167917"/>
      <w:r>
        <w:rPr>
          <w:rFonts w:ascii="Times New Roman" w:hAnsi="Times New Roman" w:eastAsia="黑体"/>
          <w:snapToGrid w:val="0"/>
          <w:sz w:val="30"/>
          <w:szCs w:val="30"/>
        </w:rPr>
        <w:t>环境保护措施监督检查清单</w:t>
      </w:r>
      <w:bookmarkEnd w:id="2"/>
    </w:p>
    <w:tbl>
      <w:tblPr>
        <w:tblStyle w:val="28"/>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642"/>
        <w:gridCol w:w="1162"/>
        <w:gridCol w:w="2589"/>
        <w:gridCol w:w="24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l2br w:val="single" w:color="auto" w:sz="4" w:space="0"/>
            </w:tcBorders>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860" w:type="pct"/>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541" w:type="pct"/>
            <w:vAlign w:val="center"/>
          </w:tcPr>
          <w:p>
            <w:pPr>
              <w:adjustRightInd w:val="0"/>
              <w:snapToGrid w:val="0"/>
              <w:jc w:val="center"/>
              <w:rPr>
                <w:szCs w:val="21"/>
              </w:rPr>
            </w:pPr>
            <w:r>
              <w:rPr>
                <w:szCs w:val="21"/>
              </w:rPr>
              <w:t>污染物项目</w:t>
            </w:r>
          </w:p>
        </w:tc>
        <w:tc>
          <w:tcPr>
            <w:tcW w:w="1348" w:type="pct"/>
            <w:vAlign w:val="center"/>
          </w:tcPr>
          <w:p>
            <w:pPr>
              <w:adjustRightInd w:val="0"/>
              <w:snapToGrid w:val="0"/>
              <w:jc w:val="center"/>
              <w:rPr>
                <w:szCs w:val="21"/>
              </w:rPr>
            </w:pPr>
            <w:r>
              <w:rPr>
                <w:szCs w:val="21"/>
              </w:rPr>
              <w:t>环境保护措施</w:t>
            </w:r>
          </w:p>
        </w:tc>
        <w:tc>
          <w:tcPr>
            <w:tcW w:w="1263" w:type="pct"/>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restart"/>
            <w:vAlign w:val="center"/>
          </w:tcPr>
          <w:p>
            <w:pPr>
              <w:adjustRightInd w:val="0"/>
              <w:snapToGrid w:val="0"/>
              <w:jc w:val="center"/>
              <w:rPr>
                <w:szCs w:val="21"/>
              </w:rPr>
            </w:pPr>
            <w:r>
              <w:rPr>
                <w:szCs w:val="21"/>
              </w:rPr>
              <w:t>大气环境</w:t>
            </w:r>
          </w:p>
        </w:tc>
        <w:tc>
          <w:tcPr>
            <w:tcW w:w="860" w:type="pct"/>
            <w:vAlign w:val="center"/>
          </w:tcPr>
          <w:p>
            <w:pPr>
              <w:adjustRightInd w:val="0"/>
              <w:snapToGrid w:val="0"/>
              <w:jc w:val="center"/>
              <w:rPr>
                <w:szCs w:val="21"/>
              </w:rPr>
            </w:pPr>
            <w:r>
              <w:rPr>
                <w:szCs w:val="21"/>
              </w:rPr>
              <w:t>DA001</w:t>
            </w:r>
            <w:r>
              <w:rPr>
                <w:rFonts w:hint="eastAsia"/>
                <w:szCs w:val="21"/>
              </w:rPr>
              <w:t>挤出</w:t>
            </w:r>
            <w:r>
              <w:rPr>
                <w:szCs w:val="21"/>
              </w:rPr>
              <w:t>废气排放口</w:t>
            </w:r>
          </w:p>
        </w:tc>
        <w:tc>
          <w:tcPr>
            <w:tcW w:w="541" w:type="pct"/>
            <w:vAlign w:val="center"/>
          </w:tcPr>
          <w:p>
            <w:pPr>
              <w:adjustRightInd w:val="0"/>
              <w:snapToGrid w:val="0"/>
              <w:jc w:val="center"/>
              <w:rPr>
                <w:szCs w:val="21"/>
              </w:rPr>
            </w:pPr>
            <w:r>
              <w:rPr>
                <w:szCs w:val="21"/>
              </w:rPr>
              <w:t>非甲烷总烃</w:t>
            </w:r>
          </w:p>
        </w:tc>
        <w:tc>
          <w:tcPr>
            <w:tcW w:w="1348" w:type="pct"/>
            <w:vAlign w:val="center"/>
          </w:tcPr>
          <w:p>
            <w:pPr>
              <w:adjustRightInd w:val="0"/>
              <w:snapToGrid w:val="0"/>
              <w:jc w:val="center"/>
              <w:rPr>
                <w:szCs w:val="21"/>
              </w:rPr>
            </w:pPr>
            <w:r>
              <w:rPr>
                <w:rFonts w:hint="eastAsia"/>
              </w:rPr>
              <w:t>集气罩</w:t>
            </w:r>
            <w:r>
              <w:t>收集后引至</w:t>
            </w:r>
            <w:r>
              <w:rPr>
                <w:rFonts w:hint="eastAsia"/>
              </w:rPr>
              <w:t>“水喷淋+干式</w:t>
            </w:r>
            <w:r>
              <w:t>除雾器+两级活性炭吸附</w:t>
            </w:r>
            <w:r>
              <w:rPr>
                <w:rFonts w:hint="eastAsia"/>
              </w:rPr>
              <w:t>”装置处理</w:t>
            </w:r>
            <w:r>
              <w:t>后</w:t>
            </w:r>
            <w:r>
              <w:rPr>
                <w:rFonts w:hint="eastAsia"/>
              </w:rPr>
              <w:t>经15米高</w:t>
            </w:r>
            <w:r>
              <w:t>排气筒排放</w:t>
            </w:r>
          </w:p>
        </w:tc>
        <w:tc>
          <w:tcPr>
            <w:tcW w:w="1263" w:type="pct"/>
            <w:vAlign w:val="center"/>
          </w:tcPr>
          <w:p>
            <w:pPr>
              <w:widowControl/>
              <w:jc w:val="center"/>
              <w:rPr>
                <w:bCs/>
                <w:szCs w:val="21"/>
              </w:rPr>
            </w:pPr>
            <w:r>
              <w:rPr>
                <w:bCs/>
                <w:szCs w:val="21"/>
              </w:rPr>
              <w:t xml:space="preserve">《合成树脂工业污染物排放标准》（GB31572-2015）表5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adjustRightInd w:val="0"/>
              <w:snapToGrid w:val="0"/>
              <w:jc w:val="center"/>
              <w:rPr>
                <w:szCs w:val="21"/>
              </w:rPr>
            </w:pPr>
          </w:p>
        </w:tc>
        <w:tc>
          <w:tcPr>
            <w:tcW w:w="860" w:type="pct"/>
            <w:vAlign w:val="center"/>
          </w:tcPr>
          <w:p>
            <w:pPr>
              <w:adjustRightInd w:val="0"/>
              <w:snapToGrid w:val="0"/>
              <w:jc w:val="center"/>
              <w:rPr>
                <w:szCs w:val="21"/>
              </w:rPr>
            </w:pPr>
            <w:r>
              <w:rPr>
                <w:rFonts w:hint="eastAsia"/>
                <w:szCs w:val="21"/>
              </w:rPr>
              <w:t>D</w:t>
            </w:r>
            <w:r>
              <w:rPr>
                <w:szCs w:val="21"/>
              </w:rPr>
              <w:t>A002</w:t>
            </w:r>
            <w:r>
              <w:rPr>
                <w:rFonts w:hint="eastAsia"/>
                <w:szCs w:val="21"/>
              </w:rPr>
              <w:t>贴合、植皮、印刷、烘干</w:t>
            </w:r>
            <w:r>
              <w:rPr>
                <w:szCs w:val="21"/>
              </w:rPr>
              <w:t>废气</w:t>
            </w:r>
            <w:r>
              <w:rPr>
                <w:rFonts w:hint="eastAsia"/>
                <w:szCs w:val="21"/>
              </w:rPr>
              <w:t>废气</w:t>
            </w:r>
            <w:r>
              <w:rPr>
                <w:szCs w:val="21"/>
              </w:rPr>
              <w:t>排放口</w:t>
            </w:r>
          </w:p>
        </w:tc>
        <w:tc>
          <w:tcPr>
            <w:tcW w:w="541" w:type="pct"/>
            <w:vAlign w:val="center"/>
          </w:tcPr>
          <w:p>
            <w:pPr>
              <w:adjustRightInd w:val="0"/>
              <w:snapToGrid w:val="0"/>
              <w:jc w:val="center"/>
              <w:rPr>
                <w:szCs w:val="21"/>
              </w:rPr>
            </w:pPr>
            <w:r>
              <w:rPr>
                <w:szCs w:val="21"/>
              </w:rPr>
              <w:t>NMHC</w:t>
            </w:r>
            <w:r>
              <w:rPr>
                <w:rFonts w:hint="eastAsia"/>
                <w:szCs w:val="21"/>
              </w:rPr>
              <w:t>、</w:t>
            </w:r>
            <w:r>
              <w:rPr>
                <w:szCs w:val="21"/>
              </w:rPr>
              <w:t>TVOC</w:t>
            </w:r>
            <w:r>
              <w:rPr>
                <w:rFonts w:hint="eastAsia"/>
                <w:szCs w:val="21"/>
              </w:rPr>
              <w:t>（VOCs）</w:t>
            </w:r>
          </w:p>
        </w:tc>
        <w:tc>
          <w:tcPr>
            <w:tcW w:w="1348" w:type="pct"/>
            <w:vAlign w:val="center"/>
          </w:tcPr>
          <w:p>
            <w:pPr>
              <w:adjustRightInd w:val="0"/>
              <w:snapToGrid w:val="0"/>
              <w:jc w:val="center"/>
              <w:rPr>
                <w:szCs w:val="21"/>
              </w:rPr>
            </w:pPr>
            <w:r>
              <w:rPr>
                <w:rFonts w:hint="eastAsia"/>
              </w:rPr>
              <w:t>经集气罩</w:t>
            </w:r>
            <w:r>
              <w:t>收集后引至两级活性炭吸附</w:t>
            </w:r>
            <w:r>
              <w:rPr>
                <w:rFonts w:hint="eastAsia"/>
              </w:rPr>
              <w:t>装置处理后</w:t>
            </w:r>
            <w:r>
              <w:t>经</w:t>
            </w:r>
            <w:r>
              <w:rPr>
                <w:rFonts w:hint="eastAsia"/>
              </w:rPr>
              <w:t>15米</w:t>
            </w:r>
            <w:r>
              <w:t>高排气筒排放</w:t>
            </w:r>
          </w:p>
        </w:tc>
        <w:tc>
          <w:tcPr>
            <w:tcW w:w="1263" w:type="pct"/>
            <w:vAlign w:val="center"/>
          </w:tcPr>
          <w:p>
            <w:pPr>
              <w:widowControl/>
              <w:jc w:val="center"/>
              <w:rPr>
                <w:bCs/>
                <w:szCs w:val="21"/>
              </w:rPr>
            </w:pPr>
            <w:r>
              <w:rPr>
                <w:bCs/>
                <w:szCs w:val="21"/>
              </w:rPr>
              <w:t>广东省《固定污染源挥发性有机物综合排放标准》（DB44/2367-2022）表1</w:t>
            </w:r>
            <w:r>
              <w:rPr>
                <w:rFonts w:hint="eastAsia"/>
                <w:bCs/>
                <w:szCs w:val="21"/>
              </w:rPr>
              <w:t>和广东省《印刷行业挥发性有机化合物排放标准》（DB44/815-2010）表2中柔性版印刷Ⅱ时段标准的</w:t>
            </w:r>
            <w:r>
              <w:rPr>
                <w:bCs/>
                <w:szCs w:val="21"/>
              </w:rPr>
              <w:t>较严值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8" w:type="pct"/>
            <w:vMerge w:val="continue"/>
            <w:vAlign w:val="center"/>
          </w:tcPr>
          <w:p>
            <w:pPr>
              <w:adjustRightInd w:val="0"/>
              <w:snapToGrid w:val="0"/>
              <w:jc w:val="center"/>
              <w:rPr>
                <w:szCs w:val="21"/>
              </w:rPr>
            </w:pPr>
          </w:p>
        </w:tc>
        <w:tc>
          <w:tcPr>
            <w:tcW w:w="860" w:type="pct"/>
            <w:vMerge w:val="restart"/>
            <w:vAlign w:val="center"/>
          </w:tcPr>
          <w:p>
            <w:pPr>
              <w:adjustRightInd w:val="0"/>
              <w:snapToGrid w:val="0"/>
              <w:jc w:val="center"/>
              <w:rPr>
                <w:szCs w:val="21"/>
              </w:rPr>
            </w:pPr>
            <w:r>
              <w:rPr>
                <w:rFonts w:hint="eastAsia"/>
                <w:szCs w:val="21"/>
              </w:rPr>
              <w:t>厂界</w:t>
            </w:r>
            <w:r>
              <w:rPr>
                <w:szCs w:val="21"/>
              </w:rPr>
              <w:t>无组织</w:t>
            </w:r>
          </w:p>
        </w:tc>
        <w:tc>
          <w:tcPr>
            <w:tcW w:w="541" w:type="pct"/>
            <w:vAlign w:val="center"/>
          </w:tcPr>
          <w:p>
            <w:pPr>
              <w:adjustRightInd w:val="0"/>
              <w:snapToGrid w:val="0"/>
              <w:jc w:val="center"/>
              <w:rPr>
                <w:szCs w:val="21"/>
              </w:rPr>
            </w:pPr>
            <w:r>
              <w:rPr>
                <w:szCs w:val="21"/>
              </w:rPr>
              <w:t>非甲烷总烃</w:t>
            </w:r>
          </w:p>
        </w:tc>
        <w:tc>
          <w:tcPr>
            <w:tcW w:w="1348" w:type="pct"/>
            <w:vMerge w:val="restart"/>
            <w:vAlign w:val="center"/>
          </w:tcPr>
          <w:p>
            <w:pPr>
              <w:adjustRightInd w:val="0"/>
              <w:snapToGrid w:val="0"/>
              <w:jc w:val="center"/>
              <w:rPr>
                <w:szCs w:val="21"/>
              </w:rPr>
            </w:pPr>
            <w:r>
              <w:rPr>
                <w:szCs w:val="21"/>
              </w:rPr>
              <w:t>加强车间密闭</w:t>
            </w:r>
          </w:p>
        </w:tc>
        <w:tc>
          <w:tcPr>
            <w:tcW w:w="1263" w:type="pct"/>
            <w:vAlign w:val="center"/>
          </w:tcPr>
          <w:p>
            <w:pPr>
              <w:widowControl/>
              <w:jc w:val="center"/>
              <w:rPr>
                <w:bCs/>
                <w:szCs w:val="21"/>
              </w:rPr>
            </w:pPr>
            <w:r>
              <w:rPr>
                <w:szCs w:val="21"/>
              </w:rPr>
              <w:t>《合成树脂工业污染物排放标准》（GB31572-2015）</w:t>
            </w:r>
            <w:r>
              <w:rPr>
                <w:bCs/>
                <w:szCs w:val="21"/>
              </w:rPr>
              <w:t xml:space="preserve">表9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adjustRightInd w:val="0"/>
              <w:snapToGrid w:val="0"/>
              <w:jc w:val="center"/>
              <w:rPr>
                <w:szCs w:val="21"/>
              </w:rPr>
            </w:pPr>
          </w:p>
        </w:tc>
        <w:tc>
          <w:tcPr>
            <w:tcW w:w="860" w:type="pct"/>
            <w:vMerge w:val="continue"/>
            <w:vAlign w:val="center"/>
          </w:tcPr>
          <w:p>
            <w:pPr>
              <w:adjustRightInd w:val="0"/>
              <w:snapToGrid w:val="0"/>
              <w:jc w:val="center"/>
              <w:rPr>
                <w:szCs w:val="21"/>
              </w:rPr>
            </w:pPr>
          </w:p>
        </w:tc>
        <w:tc>
          <w:tcPr>
            <w:tcW w:w="541" w:type="pct"/>
            <w:vAlign w:val="center"/>
          </w:tcPr>
          <w:p>
            <w:pPr>
              <w:adjustRightInd w:val="0"/>
              <w:snapToGrid w:val="0"/>
              <w:jc w:val="center"/>
              <w:rPr>
                <w:szCs w:val="21"/>
              </w:rPr>
            </w:pPr>
            <w:r>
              <w:rPr>
                <w:rFonts w:hint="eastAsia"/>
                <w:szCs w:val="21"/>
              </w:rPr>
              <w:t>V</w:t>
            </w:r>
            <w:r>
              <w:rPr>
                <w:szCs w:val="21"/>
              </w:rPr>
              <w:t>OCs</w:t>
            </w:r>
          </w:p>
        </w:tc>
        <w:tc>
          <w:tcPr>
            <w:tcW w:w="1348" w:type="pct"/>
            <w:vMerge w:val="continue"/>
            <w:vAlign w:val="center"/>
          </w:tcPr>
          <w:p>
            <w:pPr>
              <w:adjustRightInd w:val="0"/>
              <w:snapToGrid w:val="0"/>
              <w:jc w:val="center"/>
              <w:rPr>
                <w:szCs w:val="21"/>
              </w:rPr>
            </w:pPr>
          </w:p>
        </w:tc>
        <w:tc>
          <w:tcPr>
            <w:tcW w:w="1263" w:type="pct"/>
            <w:vAlign w:val="center"/>
          </w:tcPr>
          <w:p>
            <w:pPr>
              <w:widowControl/>
              <w:jc w:val="center"/>
              <w:rPr>
                <w:szCs w:val="21"/>
              </w:rPr>
            </w:pPr>
            <w:r>
              <w:rPr>
                <w:rFonts w:hint="eastAsia"/>
                <w:bCs/>
                <w:kern w:val="0"/>
                <w:szCs w:val="21"/>
              </w:rPr>
              <w:t>广东省《印刷行业挥发性有机化合物排放标准》（DB44/815-2010）表</w:t>
            </w:r>
            <w:r>
              <w:rPr>
                <w:bCs/>
                <w:kern w:val="0"/>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vAlign w:val="center"/>
          </w:tcPr>
          <w:p>
            <w:pPr>
              <w:adjustRightInd w:val="0"/>
              <w:snapToGrid w:val="0"/>
              <w:jc w:val="center"/>
              <w:rPr>
                <w:szCs w:val="21"/>
              </w:rPr>
            </w:pPr>
          </w:p>
        </w:tc>
        <w:tc>
          <w:tcPr>
            <w:tcW w:w="860" w:type="pct"/>
            <w:vAlign w:val="center"/>
          </w:tcPr>
          <w:p>
            <w:pPr>
              <w:adjustRightInd w:val="0"/>
              <w:snapToGrid w:val="0"/>
              <w:jc w:val="center"/>
              <w:rPr>
                <w:szCs w:val="21"/>
              </w:rPr>
            </w:pPr>
            <w:r>
              <w:rPr>
                <w:rFonts w:hint="eastAsia"/>
                <w:szCs w:val="21"/>
              </w:rPr>
              <w:t>厂区内</w:t>
            </w:r>
            <w:r>
              <w:rPr>
                <w:szCs w:val="21"/>
              </w:rPr>
              <w:t>无组织</w:t>
            </w:r>
          </w:p>
        </w:tc>
        <w:tc>
          <w:tcPr>
            <w:tcW w:w="541" w:type="pct"/>
            <w:vAlign w:val="center"/>
          </w:tcPr>
          <w:p>
            <w:pPr>
              <w:adjustRightInd w:val="0"/>
              <w:snapToGrid w:val="0"/>
              <w:jc w:val="center"/>
              <w:rPr>
                <w:szCs w:val="21"/>
              </w:rPr>
            </w:pPr>
            <w:r>
              <w:rPr>
                <w:szCs w:val="21"/>
              </w:rPr>
              <w:t>非甲烷总烃</w:t>
            </w:r>
          </w:p>
        </w:tc>
        <w:tc>
          <w:tcPr>
            <w:tcW w:w="1348" w:type="pct"/>
            <w:vAlign w:val="center"/>
          </w:tcPr>
          <w:p>
            <w:pPr>
              <w:adjustRightInd w:val="0"/>
              <w:snapToGrid w:val="0"/>
              <w:jc w:val="center"/>
              <w:rPr>
                <w:szCs w:val="21"/>
              </w:rPr>
            </w:pPr>
            <w:r>
              <w:rPr>
                <w:szCs w:val="21"/>
              </w:rPr>
              <w:t>加强车间密闭</w:t>
            </w:r>
          </w:p>
        </w:tc>
        <w:tc>
          <w:tcPr>
            <w:tcW w:w="1263" w:type="pct"/>
            <w:vAlign w:val="center"/>
          </w:tcPr>
          <w:p>
            <w:pPr>
              <w:widowControl/>
              <w:jc w:val="center"/>
              <w:rPr>
                <w:bCs/>
                <w:szCs w:val="21"/>
              </w:rPr>
            </w:pPr>
            <w:r>
              <w:rPr>
                <w:bCs/>
                <w:szCs w:val="21"/>
              </w:rPr>
              <w:t>广东省《固定污染源挥发性有机物综合排放标准》（DB44/2367-2022）表3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zCs w:val="21"/>
              </w:rPr>
            </w:pPr>
            <w:r>
              <w:rPr>
                <w:szCs w:val="21"/>
              </w:rPr>
              <w:t>地表水环境</w:t>
            </w:r>
          </w:p>
        </w:tc>
        <w:tc>
          <w:tcPr>
            <w:tcW w:w="860" w:type="pct"/>
            <w:vAlign w:val="center"/>
          </w:tcPr>
          <w:p>
            <w:pPr>
              <w:adjustRightInd w:val="0"/>
              <w:snapToGrid w:val="0"/>
              <w:jc w:val="center"/>
              <w:rPr>
                <w:szCs w:val="21"/>
              </w:rPr>
            </w:pPr>
            <w:r>
              <w:rPr>
                <w:szCs w:val="21"/>
              </w:rPr>
              <w:t>DW001生活污水排放口</w:t>
            </w:r>
          </w:p>
        </w:tc>
        <w:tc>
          <w:tcPr>
            <w:tcW w:w="541" w:type="pct"/>
            <w:vAlign w:val="center"/>
          </w:tcPr>
          <w:p>
            <w:pPr>
              <w:adjustRightInd w:val="0"/>
              <w:snapToGrid w:val="0"/>
              <w:jc w:val="center"/>
            </w:pPr>
            <w:r>
              <w:t>COD</w:t>
            </w:r>
            <w:r>
              <w:rPr>
                <w:vertAlign w:val="subscript"/>
              </w:rPr>
              <w:t>Cr</w:t>
            </w:r>
            <w:r>
              <w:t>、BOD</w:t>
            </w:r>
            <w:r>
              <w:rPr>
                <w:vertAlign w:val="subscript"/>
              </w:rPr>
              <w:t>5</w:t>
            </w:r>
            <w:r>
              <w:t>、SS</w:t>
            </w:r>
          </w:p>
          <w:p>
            <w:pPr>
              <w:adjustRightInd w:val="0"/>
              <w:snapToGrid w:val="0"/>
              <w:jc w:val="center"/>
              <w:rPr>
                <w:szCs w:val="21"/>
              </w:rPr>
            </w:pPr>
            <w:r>
              <w:t>NH</w:t>
            </w:r>
            <w:r>
              <w:rPr>
                <w:vertAlign w:val="subscript"/>
              </w:rPr>
              <w:t>3</w:t>
            </w:r>
            <w:r>
              <w:t>-N</w:t>
            </w:r>
          </w:p>
        </w:tc>
        <w:tc>
          <w:tcPr>
            <w:tcW w:w="1348" w:type="pct"/>
            <w:vAlign w:val="center"/>
          </w:tcPr>
          <w:p>
            <w:pPr>
              <w:adjustRightInd w:val="0"/>
              <w:snapToGrid w:val="0"/>
              <w:jc w:val="center"/>
              <w:rPr>
                <w:szCs w:val="21"/>
              </w:rPr>
            </w:pPr>
            <w:r>
              <w:rPr>
                <w:kern w:val="0"/>
                <w:szCs w:val="21"/>
              </w:rPr>
              <w:t>经三级化粪池预处理后通过市政污水管网排入</w:t>
            </w:r>
            <w:r>
              <w:rPr>
                <w:bCs/>
                <w:kern w:val="0"/>
                <w:sz w:val="22"/>
                <w:szCs w:val="22"/>
                <w:lang w:bidi="ar"/>
              </w:rPr>
              <w:t>杨侨镇生活污水处理厂</w:t>
            </w:r>
            <w:r>
              <w:rPr>
                <w:kern w:val="0"/>
                <w:szCs w:val="21"/>
              </w:rPr>
              <w:t>处理</w:t>
            </w:r>
          </w:p>
        </w:tc>
        <w:tc>
          <w:tcPr>
            <w:tcW w:w="1263" w:type="pct"/>
            <w:vAlign w:val="center"/>
          </w:tcPr>
          <w:p>
            <w:pPr>
              <w:adjustRightInd w:val="0"/>
              <w:snapToGrid w:val="0"/>
              <w:jc w:val="center"/>
              <w:rPr>
                <w:szCs w:val="21"/>
              </w:rPr>
            </w:pPr>
            <w:r>
              <w:rPr>
                <w:rFonts w:hint="eastAsia"/>
                <w:szCs w:val="21"/>
              </w:rPr>
              <w:t>氨氮、总磷排放执行国家《地表水环境质量》（GB3838-2002）Ⅴ类标准，其余指标执行国家《城镇污水处理厂污染物排放标》（GB18918-2002）一级 A 标准与广东省《水污染物排放限值》较严值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zCs w:val="21"/>
              </w:rPr>
            </w:pPr>
            <w:r>
              <w:rPr>
                <w:szCs w:val="21"/>
              </w:rPr>
              <w:t>声环境</w:t>
            </w:r>
          </w:p>
        </w:tc>
        <w:tc>
          <w:tcPr>
            <w:tcW w:w="860" w:type="pct"/>
            <w:vAlign w:val="center"/>
          </w:tcPr>
          <w:p>
            <w:pPr>
              <w:adjustRightInd w:val="0"/>
              <w:snapToGrid w:val="0"/>
              <w:jc w:val="center"/>
              <w:rPr>
                <w:szCs w:val="21"/>
              </w:rPr>
            </w:pPr>
            <w:r>
              <w:rPr>
                <w:szCs w:val="21"/>
              </w:rPr>
              <w:t>生产设备</w:t>
            </w:r>
          </w:p>
        </w:tc>
        <w:tc>
          <w:tcPr>
            <w:tcW w:w="541" w:type="pct"/>
            <w:vAlign w:val="center"/>
          </w:tcPr>
          <w:p>
            <w:pPr>
              <w:adjustRightInd w:val="0"/>
              <w:snapToGrid w:val="0"/>
              <w:jc w:val="center"/>
              <w:rPr>
                <w:szCs w:val="21"/>
              </w:rPr>
            </w:pPr>
            <w:r>
              <w:rPr>
                <w:szCs w:val="21"/>
              </w:rPr>
              <w:t>机械噪声</w:t>
            </w:r>
          </w:p>
        </w:tc>
        <w:tc>
          <w:tcPr>
            <w:tcW w:w="1348" w:type="pct"/>
            <w:vAlign w:val="center"/>
          </w:tcPr>
          <w:p>
            <w:pPr>
              <w:jc w:val="center"/>
              <w:rPr>
                <w:szCs w:val="21"/>
              </w:rPr>
            </w:pPr>
            <w:r>
              <w:rPr>
                <w:szCs w:val="21"/>
              </w:rPr>
              <w:t>隔音、消音、安装减振</w:t>
            </w:r>
            <w:r>
              <w:rPr>
                <w:kern w:val="0"/>
                <w:szCs w:val="21"/>
              </w:rPr>
              <w:t>垫</w:t>
            </w:r>
            <w:r>
              <w:rPr>
                <w:szCs w:val="21"/>
              </w:rPr>
              <w:t>、合理布局等措施</w:t>
            </w:r>
          </w:p>
        </w:tc>
        <w:tc>
          <w:tcPr>
            <w:tcW w:w="1263" w:type="pct"/>
            <w:vAlign w:val="center"/>
          </w:tcPr>
          <w:p>
            <w:pPr>
              <w:pStyle w:val="87"/>
              <w:snapToGrid w:val="0"/>
              <w:spacing w:line="240" w:lineRule="auto"/>
              <w:rPr>
                <w:szCs w:val="21"/>
              </w:rPr>
            </w:pPr>
            <w:r>
              <w:rPr>
                <w:sz w:val="21"/>
                <w:szCs w:val="21"/>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zCs w:val="21"/>
              </w:rPr>
            </w:pPr>
            <w:r>
              <w:rPr>
                <w:szCs w:val="21"/>
              </w:rPr>
              <w:t>电磁辐射</w:t>
            </w:r>
          </w:p>
        </w:tc>
        <w:tc>
          <w:tcPr>
            <w:tcW w:w="401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8" w:type="pct"/>
            <w:vAlign w:val="center"/>
          </w:tcPr>
          <w:p>
            <w:pPr>
              <w:adjustRightInd w:val="0"/>
              <w:snapToGrid w:val="0"/>
              <w:jc w:val="center"/>
              <w:rPr>
                <w:szCs w:val="21"/>
              </w:rPr>
            </w:pPr>
            <w:r>
              <w:rPr>
                <w:szCs w:val="21"/>
              </w:rPr>
              <w:t>固体废物</w:t>
            </w:r>
          </w:p>
        </w:tc>
        <w:tc>
          <w:tcPr>
            <w:tcW w:w="4012" w:type="pct"/>
            <w:gridSpan w:val="4"/>
            <w:vAlign w:val="center"/>
          </w:tcPr>
          <w:p>
            <w:pPr>
              <w:adjustRightInd w:val="0"/>
              <w:snapToGrid w:val="0"/>
              <w:rPr>
                <w:szCs w:val="21"/>
              </w:rPr>
            </w:pPr>
            <w:r>
              <w:rPr>
                <w:kern w:val="0"/>
                <w:szCs w:val="21"/>
              </w:rPr>
              <w:t>边角料、</w:t>
            </w:r>
            <w:r>
              <w:rPr>
                <w:rFonts w:hint="eastAsia"/>
                <w:kern w:val="0"/>
                <w:szCs w:val="21"/>
              </w:rPr>
              <w:t>废次品</w:t>
            </w:r>
            <w:r>
              <w:rPr>
                <w:kern w:val="0"/>
                <w:szCs w:val="21"/>
              </w:rPr>
              <w:t>和包装废物</w:t>
            </w:r>
            <w:r>
              <w:rPr>
                <w:rFonts w:hint="eastAsia"/>
                <w:szCs w:val="21"/>
              </w:rPr>
              <w:t>分类</w:t>
            </w:r>
            <w:r>
              <w:rPr>
                <w:lang w:bidi="ar"/>
              </w:rPr>
              <w:t>收集后交由专</w:t>
            </w:r>
            <w:r>
              <w:rPr>
                <w:rFonts w:hint="eastAsia"/>
                <w:lang w:bidi="ar"/>
              </w:rPr>
              <w:t>业</w:t>
            </w:r>
            <w:r>
              <w:rPr>
                <w:lang w:bidi="ar"/>
              </w:rPr>
              <w:t>回收公司</w:t>
            </w:r>
            <w:r>
              <w:rPr>
                <w:rFonts w:hint="eastAsia"/>
                <w:lang w:bidi="ar"/>
              </w:rPr>
              <w:t>回收</w:t>
            </w:r>
            <w:r>
              <w:rPr>
                <w:lang w:bidi="ar"/>
              </w:rPr>
              <w:t>处理</w:t>
            </w:r>
            <w:r>
              <w:rPr>
                <w:szCs w:val="21"/>
              </w:rPr>
              <w:t>，</w:t>
            </w:r>
            <w:r>
              <w:rPr>
                <w:rFonts w:hint="eastAsia"/>
                <w:szCs w:val="21"/>
              </w:rPr>
              <w:t>废机油</w:t>
            </w:r>
            <w:r>
              <w:rPr>
                <w:szCs w:val="21"/>
              </w:rPr>
              <w:t>、</w:t>
            </w:r>
            <w:r>
              <w:rPr>
                <w:rFonts w:hint="eastAsia"/>
                <w:szCs w:val="21"/>
              </w:rPr>
              <w:t>废化学品</w:t>
            </w:r>
            <w:r>
              <w:rPr>
                <w:szCs w:val="21"/>
              </w:rPr>
              <w:t>包装桶、废含油抹布及手套</w:t>
            </w:r>
            <w:r>
              <w:rPr>
                <w:rFonts w:hint="eastAsia"/>
                <w:szCs w:val="21"/>
              </w:rPr>
              <w:t>以及有机</w:t>
            </w:r>
            <w:r>
              <w:rPr>
                <w:szCs w:val="21"/>
              </w:rPr>
              <w:t>废气处理产生的废活性炭委托有资质单位处置，</w:t>
            </w:r>
            <w:r>
              <w:rPr>
                <w:kern w:val="0"/>
                <w:szCs w:val="21"/>
              </w:rPr>
              <w:t>员工生活垃圾交由环卫部门统一清运。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401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zCs w:val="21"/>
              </w:rPr>
            </w:pPr>
            <w:r>
              <w:rPr>
                <w:szCs w:val="21"/>
              </w:rPr>
              <w:t>生态保护措施</w:t>
            </w:r>
          </w:p>
        </w:tc>
        <w:tc>
          <w:tcPr>
            <w:tcW w:w="401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4012" w:type="pct"/>
            <w:gridSpan w:val="4"/>
            <w:vAlign w:val="center"/>
          </w:tcPr>
          <w:p>
            <w:pPr>
              <w:adjustRightInd w:val="0"/>
              <w:snapToGrid w:val="0"/>
              <w:jc w:val="left"/>
              <w:rPr>
                <w:szCs w:val="21"/>
              </w:rPr>
            </w:pPr>
            <w:r>
              <w:rPr>
                <w:szCs w:val="21"/>
              </w:rPr>
              <w:t>强化防火主观意识，建立健全防火安全规章制度并严格执行，消除着火源。防范火灾环境事故的发生。强化安全生产及环境保护意识的教育，提高职工的素质，加强操作人员的上岗前的培训，进行安全生产、消防、环保、工业卫生等方面的技术培训教育；定期检查安全消防设施的完好性，确保其处于即用状态，以备在事故发生时，能及时、高效率的发挥作用；</w:t>
            </w:r>
            <w:r>
              <w:rPr>
                <w:rFonts w:hint="eastAsia"/>
                <w:szCs w:val="21"/>
              </w:rPr>
              <w:t>仓库</w:t>
            </w:r>
            <w:r>
              <w:rPr>
                <w:szCs w:val="21"/>
              </w:rPr>
              <w:t>和危废暂存间设置围堰，定期维护废气治理设施。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8" w:type="pct"/>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4012" w:type="pct"/>
            <w:gridSpan w:val="4"/>
            <w:vAlign w:val="center"/>
          </w:tcPr>
          <w:p>
            <w:pPr>
              <w:adjustRightInd w:val="0"/>
              <w:snapToGrid w:val="0"/>
              <w:jc w:val="left"/>
              <w:rPr>
                <w:szCs w:val="21"/>
              </w:rPr>
            </w:pPr>
            <w:r>
              <w:rPr>
                <w:szCs w:val="21"/>
              </w:rPr>
              <w:t>无</w:t>
            </w:r>
          </w:p>
        </w:tc>
      </w:tr>
    </w:tbl>
    <w:p>
      <w:pPr>
        <w:pStyle w:val="25"/>
        <w:jc w:val="center"/>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tcPr>
          <w:p>
            <w:pPr>
              <w:spacing w:line="360" w:lineRule="auto"/>
              <w:ind w:firstLine="404" w:firstLineChars="200"/>
              <w:jc w:val="left"/>
              <w:rPr>
                <w:spacing w:val="-4"/>
                <w:kern w:val="0"/>
                <w:szCs w:val="21"/>
              </w:rPr>
            </w:pPr>
            <w:r>
              <w:rPr>
                <w:spacing w:val="-4"/>
                <w:kern w:val="0"/>
                <w:szCs w:val="21"/>
              </w:rPr>
              <w:t>综上所述，项目性质与周边环境功能区划相符，符合规划布局要求，选址合理可行。建设项目应认真执行环保“三同时”管理规定，把项目对环境的影响控制在最低限度。建设单位只要严格执行环保管理相关规定，落实本环评提出的各项环保措施，严格执行“三同时”制度，在确保环保设施正常运转和污染物稳定达标排放的前期下，则项目的建设将不会对周围环境造成明显的影响，从环境保护角度分析，项目建设是可行的。</w:t>
            </w:r>
          </w:p>
          <w:p>
            <w:pPr>
              <w:spacing w:line="500" w:lineRule="exact"/>
              <w:ind w:firstLine="404" w:firstLineChars="200"/>
              <w:rPr>
                <w:bCs/>
                <w:szCs w:val="21"/>
              </w:rPr>
            </w:pPr>
            <w:r>
              <w:rPr>
                <w:spacing w:val="-4"/>
                <w:kern w:val="0"/>
                <w:szCs w:val="21"/>
              </w:rPr>
              <w:t xml:space="preserve">建设单位须严格遵守环保“三同时”制度，各项治理措施需经验收合格后，方可正式投入使用。  </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rPr>
                <w:sz w:val="24"/>
              </w:rPr>
            </w:pPr>
          </w:p>
        </w:tc>
      </w:tr>
    </w:tbl>
    <w:p>
      <w:pPr>
        <w:sectPr>
          <w:pgSz w:w="11906" w:h="16838"/>
          <w:pgMar w:top="720" w:right="1133" w:bottom="720" w:left="1276" w:header="851" w:footer="851" w:gutter="0"/>
          <w:cols w:space="720" w:num="1"/>
          <w:docGrid w:linePitch="312" w:charSpace="0"/>
        </w:sectPr>
      </w:pPr>
    </w:p>
    <w:p>
      <w:pPr>
        <w:pStyle w:val="25"/>
        <w:adjustRightInd w:val="0"/>
        <w:snapToGrid w:val="0"/>
        <w:spacing w:before="0" w:beforeAutospacing="0" w:after="0" w:afterAutospacing="0" w:line="360"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25"/>
        <w:adjustRightInd w:val="0"/>
        <w:snapToGrid w:val="0"/>
        <w:spacing w:before="0" w:beforeAutospacing="0" w:after="0" w:afterAutospacing="0" w:line="360" w:lineRule="auto"/>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r>
        <w:rPr>
          <w:rFonts w:hint="eastAsia" w:ascii="Times New Roman" w:hAnsi="Times New Roman" w:eastAsia="方正小标宋_GBK"/>
          <w:snapToGrid w:val="0"/>
          <w:sz w:val="38"/>
          <w:szCs w:val="38"/>
        </w:rPr>
        <w:t>（t/a）</w:t>
      </w:r>
    </w:p>
    <w:tbl>
      <w:tblPr>
        <w:tblStyle w:val="28"/>
        <w:tblW w:w="54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151"/>
        <w:gridCol w:w="1558"/>
        <w:gridCol w:w="1438"/>
        <w:gridCol w:w="1922"/>
        <w:gridCol w:w="1759"/>
        <w:gridCol w:w="1991"/>
        <w:gridCol w:w="1813"/>
        <w:gridCol w:w="14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513" w:type="pct"/>
            <w:tcBorders>
              <w:tl2br w:val="single" w:color="auto" w:sz="4" w:space="0"/>
            </w:tcBorders>
            <w:tcMar>
              <w:left w:w="28" w:type="dxa"/>
              <w:right w:w="28" w:type="dxa"/>
            </w:tcMar>
            <w:vAlign w:val="center"/>
          </w:tcPr>
          <w:p>
            <w:pPr>
              <w:pStyle w:val="67"/>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pPr>
              <w:pStyle w:val="67"/>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685"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496"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kern w:val="2"/>
                <w:szCs w:val="21"/>
              </w:rPr>
              <w:t>①</w:t>
            </w:r>
            <w:r>
              <w:rPr>
                <w:rFonts w:ascii="Times New Roman"/>
                <w:snapToGrid w:val="0"/>
                <w:spacing w:val="-6"/>
                <w:kern w:val="21"/>
                <w:szCs w:val="21"/>
              </w:rPr>
              <w:fldChar w:fldCharType="end"/>
            </w:r>
          </w:p>
        </w:tc>
        <w:tc>
          <w:tcPr>
            <w:tcW w:w="458"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pPr>
              <w:pStyle w:val="67"/>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hint="eastAsia" w:hAnsi="宋体" w:cs="宋体"/>
                <w:snapToGrid w:val="0"/>
                <w:spacing w:val="-6"/>
                <w:kern w:val="21"/>
                <w:szCs w:val="21"/>
              </w:rPr>
              <w:t>②</w:t>
            </w:r>
            <w:r>
              <w:rPr>
                <w:rFonts w:ascii="Times New Roman"/>
                <w:snapToGrid w:val="0"/>
                <w:spacing w:val="-6"/>
                <w:kern w:val="21"/>
                <w:szCs w:val="21"/>
              </w:rPr>
              <w:fldChar w:fldCharType="end"/>
            </w:r>
          </w:p>
        </w:tc>
        <w:tc>
          <w:tcPr>
            <w:tcW w:w="612"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kern w:val="2"/>
                <w:szCs w:val="21"/>
              </w:rPr>
              <w:t>③</w:t>
            </w:r>
            <w:r>
              <w:rPr>
                <w:rFonts w:ascii="Times New Roman"/>
                <w:snapToGrid w:val="0"/>
                <w:spacing w:val="-6"/>
                <w:kern w:val="21"/>
                <w:szCs w:val="21"/>
              </w:rPr>
              <w:fldChar w:fldCharType="end"/>
            </w:r>
          </w:p>
        </w:tc>
        <w:tc>
          <w:tcPr>
            <w:tcW w:w="560"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kern w:val="2"/>
                <w:szCs w:val="21"/>
              </w:rPr>
              <w:t>④</w:t>
            </w:r>
            <w:r>
              <w:rPr>
                <w:rFonts w:ascii="Times New Roman"/>
                <w:snapToGrid w:val="0"/>
                <w:spacing w:val="-6"/>
                <w:kern w:val="21"/>
                <w:szCs w:val="21"/>
              </w:rPr>
              <w:fldChar w:fldCharType="end"/>
            </w:r>
          </w:p>
        </w:tc>
        <w:tc>
          <w:tcPr>
            <w:tcW w:w="634" w:type="pct"/>
            <w:tcMar>
              <w:left w:w="28" w:type="dxa"/>
              <w:right w:w="28" w:type="dxa"/>
            </w:tcMar>
            <w:vAlign w:val="center"/>
          </w:tcPr>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kern w:val="2"/>
                <w:szCs w:val="21"/>
              </w:rPr>
              <w:t>⑤</w:t>
            </w:r>
            <w:r>
              <w:rPr>
                <w:rFonts w:ascii="Times New Roman"/>
                <w:snapToGrid w:val="0"/>
                <w:spacing w:val="-16"/>
                <w:kern w:val="21"/>
                <w:szCs w:val="21"/>
              </w:rPr>
              <w:fldChar w:fldCharType="end"/>
            </w:r>
          </w:p>
        </w:tc>
        <w:tc>
          <w:tcPr>
            <w:tcW w:w="577" w:type="pct"/>
            <w:tcMar>
              <w:left w:w="28" w:type="dxa"/>
              <w:right w:w="28" w:type="dxa"/>
            </w:tcMar>
            <w:vAlign w:val="center"/>
          </w:tcPr>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kern w:val="2"/>
                <w:szCs w:val="21"/>
              </w:rPr>
              <w:t>⑥</w:t>
            </w:r>
            <w:r>
              <w:rPr>
                <w:rFonts w:ascii="Times New Roman"/>
                <w:snapToGrid w:val="0"/>
                <w:spacing w:val="-16"/>
                <w:kern w:val="21"/>
                <w:szCs w:val="21"/>
              </w:rPr>
              <w:fldChar w:fldCharType="end"/>
            </w:r>
          </w:p>
        </w:tc>
        <w:tc>
          <w:tcPr>
            <w:tcW w:w="465"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kern w:val="2"/>
                <w:szCs w:val="21"/>
              </w:rPr>
              <w:t>⑦</w:t>
            </w:r>
            <w:r>
              <w:rPr>
                <w:rFonts w:ascii="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废气</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挥发性有机物</w:t>
            </w:r>
            <w:r>
              <w:rPr>
                <w:rFonts w:hint="eastAsia" w:ascii="Times New Roman"/>
                <w:bCs/>
                <w:snapToGrid w:val="0"/>
                <w:kern w:val="21"/>
                <w:szCs w:val="21"/>
              </w:rPr>
              <w:t>（包括</w:t>
            </w:r>
            <w:r>
              <w:rPr>
                <w:rFonts w:ascii="Times New Roman"/>
                <w:bCs/>
                <w:snapToGrid w:val="0"/>
                <w:kern w:val="21"/>
                <w:szCs w:val="21"/>
              </w:rPr>
              <w:t>非甲烷总烃和</w:t>
            </w:r>
            <w:r>
              <w:rPr>
                <w:rFonts w:hint="eastAsia" w:ascii="Times New Roman"/>
                <w:bCs/>
                <w:snapToGrid w:val="0"/>
                <w:kern w:val="21"/>
                <w:szCs w:val="21"/>
              </w:rPr>
              <w:t>VOCs）</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0.12115</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0.12115</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+0.12115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废水</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废水量</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800</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800</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COD</w:t>
            </w:r>
            <w:r>
              <w:rPr>
                <w:rFonts w:ascii="Times New Roman"/>
                <w:snapToGrid w:val="0"/>
                <w:kern w:val="21"/>
                <w:szCs w:val="21"/>
                <w:vertAlign w:val="subscript"/>
              </w:rPr>
              <w:t>Cr</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0.032</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0.032</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NH</w:t>
            </w:r>
            <w:r>
              <w:rPr>
                <w:rFonts w:ascii="Times New Roman"/>
                <w:snapToGrid w:val="0"/>
                <w:kern w:val="21"/>
                <w:szCs w:val="21"/>
                <w:vertAlign w:val="subscript"/>
              </w:rPr>
              <w:t>3</w:t>
            </w:r>
            <w:r>
              <w:rPr>
                <w:rFonts w:ascii="Times New Roman"/>
                <w:snapToGrid w:val="0"/>
                <w:kern w:val="21"/>
                <w:szCs w:val="21"/>
              </w:rPr>
              <w:t>-N</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0.0016</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0.0016</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一般工业</w:t>
            </w:r>
          </w:p>
          <w:p>
            <w:pPr>
              <w:pStyle w:val="67"/>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边角料</w:t>
            </w:r>
            <w:r>
              <w:rPr>
                <w:rFonts w:hint="eastAsia" w:ascii="Times New Roman"/>
                <w:snapToGrid w:val="0"/>
                <w:kern w:val="21"/>
                <w:szCs w:val="21"/>
              </w:rPr>
              <w:t>、</w:t>
            </w:r>
            <w:r>
              <w:rPr>
                <w:rFonts w:ascii="Times New Roman"/>
                <w:snapToGrid w:val="0"/>
                <w:kern w:val="21"/>
                <w:szCs w:val="21"/>
              </w:rPr>
              <w:t>废次品</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snapToGrid w:val="0"/>
                <w:kern w:val="21"/>
                <w:szCs w:val="21"/>
              </w:rPr>
            </w:pPr>
            <w:r>
              <w:rPr>
                <w:bCs/>
                <w:kern w:val="0"/>
                <w:szCs w:val="21"/>
              </w:rPr>
              <w:t>8.0</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jc w:val="center"/>
              <w:rPr>
                <w:snapToGrid w:val="0"/>
                <w:kern w:val="21"/>
                <w:szCs w:val="21"/>
              </w:rPr>
            </w:pPr>
            <w:r>
              <w:rPr>
                <w:bCs/>
                <w:kern w:val="0"/>
                <w:szCs w:val="21"/>
              </w:rPr>
              <w:t>8.0</w:t>
            </w:r>
          </w:p>
        </w:tc>
        <w:tc>
          <w:tcPr>
            <w:tcW w:w="465" w:type="pct"/>
            <w:vAlign w:val="center"/>
          </w:tcPr>
          <w:p>
            <w:pPr>
              <w:jc w:val="center"/>
              <w:rPr>
                <w:snapToGrid w:val="0"/>
                <w:kern w:val="21"/>
                <w:szCs w:val="21"/>
              </w:rPr>
            </w:pPr>
            <w:r>
              <w:rPr>
                <w:bCs/>
                <w:kern w:val="0"/>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包装废物</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snapToGrid w:val="0"/>
                <w:kern w:val="21"/>
                <w:szCs w:val="21"/>
              </w:rPr>
            </w:pPr>
            <w:r>
              <w:rPr>
                <w:bCs/>
                <w:kern w:val="0"/>
                <w:szCs w:val="21"/>
              </w:rPr>
              <w:t>1.0</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jc w:val="center"/>
              <w:rPr>
                <w:snapToGrid w:val="0"/>
                <w:kern w:val="21"/>
                <w:szCs w:val="21"/>
              </w:rPr>
            </w:pPr>
            <w:r>
              <w:rPr>
                <w:bCs/>
                <w:kern w:val="0"/>
                <w:szCs w:val="21"/>
              </w:rPr>
              <w:t>1.0</w:t>
            </w:r>
          </w:p>
        </w:tc>
        <w:tc>
          <w:tcPr>
            <w:tcW w:w="465" w:type="pct"/>
            <w:vAlign w:val="center"/>
          </w:tcPr>
          <w:p>
            <w:pPr>
              <w:jc w:val="center"/>
              <w:rPr>
                <w:snapToGrid w:val="0"/>
                <w:kern w:val="21"/>
                <w:szCs w:val="21"/>
              </w:rPr>
            </w:pPr>
            <w:r>
              <w:rPr>
                <w:bCs/>
                <w:kern w:val="0"/>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24" w:after="24" w:line="240" w:lineRule="auto"/>
              <w:rPr>
                <w:rFonts w:ascii="Times New Roman"/>
                <w:snapToGrid w:val="0"/>
                <w:kern w:val="21"/>
                <w:szCs w:val="21"/>
              </w:rPr>
            </w:pPr>
            <w:r>
              <w:rPr>
                <w:rFonts w:ascii="Times New Roman"/>
                <w:snapToGrid w:val="0"/>
                <w:kern w:val="21"/>
                <w:szCs w:val="21"/>
              </w:rPr>
              <w:t>危险废物</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废活性炭</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bCs/>
                <w:kern w:val="0"/>
                <w:szCs w:val="21"/>
              </w:rPr>
            </w:pPr>
            <w:r>
              <w:rPr>
                <w:snapToGrid w:val="0"/>
                <w:kern w:val="21"/>
                <w:szCs w:val="21"/>
              </w:rPr>
              <w:t>8.49</w:t>
            </w:r>
          </w:p>
        </w:tc>
        <w:tc>
          <w:tcPr>
            <w:tcW w:w="634" w:type="pct"/>
            <w:vAlign w:val="center"/>
          </w:tcPr>
          <w:p>
            <w:pPr>
              <w:jc w:val="center"/>
              <w:rPr>
                <w:snapToGrid w:val="0"/>
                <w:kern w:val="21"/>
                <w:szCs w:val="21"/>
              </w:rPr>
            </w:pPr>
            <w:r>
              <w:rPr>
                <w:snapToGrid w:val="0"/>
                <w:kern w:val="21"/>
                <w:szCs w:val="21"/>
              </w:rPr>
              <w:t>0</w:t>
            </w:r>
          </w:p>
        </w:tc>
        <w:tc>
          <w:tcPr>
            <w:tcW w:w="577" w:type="pct"/>
            <w:vAlign w:val="center"/>
          </w:tcPr>
          <w:p>
            <w:pPr>
              <w:jc w:val="center"/>
              <w:rPr>
                <w:bCs/>
                <w:kern w:val="0"/>
                <w:szCs w:val="21"/>
              </w:rPr>
            </w:pPr>
            <w:r>
              <w:rPr>
                <w:snapToGrid w:val="0"/>
                <w:kern w:val="21"/>
                <w:szCs w:val="21"/>
              </w:rPr>
              <w:t>8.49</w:t>
            </w:r>
          </w:p>
        </w:tc>
        <w:tc>
          <w:tcPr>
            <w:tcW w:w="465" w:type="pct"/>
            <w:vAlign w:val="center"/>
          </w:tcPr>
          <w:p>
            <w:pPr>
              <w:jc w:val="center"/>
              <w:rPr>
                <w:bCs/>
                <w:kern w:val="0"/>
                <w:szCs w:val="21"/>
              </w:rPr>
            </w:pPr>
            <w:r>
              <w:rPr>
                <w:snapToGrid w:val="0"/>
                <w:kern w:val="21"/>
                <w:szCs w:val="21"/>
              </w:rPr>
              <w:t>+8.49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24" w:after="24"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废化学品</w:t>
            </w:r>
            <w:r>
              <w:rPr>
                <w:rFonts w:ascii="Times New Roman"/>
                <w:snapToGrid w:val="0"/>
                <w:kern w:val="21"/>
                <w:szCs w:val="21"/>
              </w:rPr>
              <w:t>包装桶</w:t>
            </w:r>
          </w:p>
        </w:tc>
        <w:tc>
          <w:tcPr>
            <w:tcW w:w="496"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snapToGrid w:val="0"/>
                <w:kern w:val="21"/>
                <w:szCs w:val="21"/>
              </w:rPr>
            </w:pPr>
            <w:r>
              <w:rPr>
                <w:snapToGrid w:val="0"/>
                <w:kern w:val="21"/>
                <w:szCs w:val="21"/>
              </w:rPr>
              <w:t>0.3</w:t>
            </w:r>
          </w:p>
        </w:tc>
        <w:tc>
          <w:tcPr>
            <w:tcW w:w="634" w:type="pct"/>
            <w:vAlign w:val="center"/>
          </w:tcPr>
          <w:p>
            <w:pPr>
              <w:jc w:val="center"/>
              <w:rPr>
                <w:snapToGrid w:val="0"/>
                <w:kern w:val="21"/>
                <w:szCs w:val="21"/>
              </w:rPr>
            </w:pPr>
            <w:r>
              <w:rPr>
                <w:rFonts w:hint="eastAsia"/>
                <w:snapToGrid w:val="0"/>
                <w:kern w:val="21"/>
                <w:szCs w:val="21"/>
              </w:rPr>
              <w:t>0</w:t>
            </w:r>
          </w:p>
        </w:tc>
        <w:tc>
          <w:tcPr>
            <w:tcW w:w="577" w:type="pct"/>
            <w:vAlign w:val="center"/>
          </w:tcPr>
          <w:p>
            <w:pPr>
              <w:jc w:val="center"/>
              <w:rPr>
                <w:snapToGrid w:val="0"/>
                <w:kern w:val="21"/>
                <w:szCs w:val="21"/>
              </w:rPr>
            </w:pPr>
            <w:r>
              <w:rPr>
                <w:rFonts w:hint="eastAsia"/>
                <w:snapToGrid w:val="0"/>
                <w:kern w:val="21"/>
                <w:szCs w:val="21"/>
              </w:rPr>
              <w:t>0.</w:t>
            </w:r>
            <w:r>
              <w:rPr>
                <w:snapToGrid w:val="0"/>
                <w:kern w:val="21"/>
                <w:szCs w:val="21"/>
              </w:rPr>
              <w:t>3</w:t>
            </w:r>
          </w:p>
        </w:tc>
        <w:tc>
          <w:tcPr>
            <w:tcW w:w="465" w:type="pct"/>
            <w:vAlign w:val="center"/>
          </w:tcPr>
          <w:p>
            <w:pPr>
              <w:jc w:val="center"/>
              <w:rPr>
                <w:snapToGrid w:val="0"/>
                <w:kern w:val="21"/>
                <w:szCs w:val="21"/>
              </w:rPr>
            </w:pPr>
            <w:r>
              <w:rPr>
                <w:rFonts w:hint="eastAsia"/>
                <w:snapToGrid w:val="0"/>
                <w:kern w:val="21"/>
                <w:szCs w:val="21"/>
              </w:rPr>
              <w:t>+0.</w:t>
            </w:r>
            <w:r>
              <w:rPr>
                <w:snapToGrid w:val="0"/>
                <w:kern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24" w:after="24"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废机油</w:t>
            </w:r>
          </w:p>
        </w:tc>
        <w:tc>
          <w:tcPr>
            <w:tcW w:w="496"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snapToGrid w:val="0"/>
                <w:kern w:val="21"/>
                <w:szCs w:val="21"/>
              </w:rPr>
            </w:pPr>
            <w:r>
              <w:rPr>
                <w:rFonts w:hint="eastAsia"/>
                <w:snapToGrid w:val="0"/>
                <w:kern w:val="21"/>
                <w:szCs w:val="21"/>
              </w:rPr>
              <w:t>0.0</w:t>
            </w:r>
            <w:r>
              <w:rPr>
                <w:snapToGrid w:val="0"/>
                <w:kern w:val="21"/>
                <w:szCs w:val="21"/>
              </w:rPr>
              <w:t>2</w:t>
            </w:r>
          </w:p>
        </w:tc>
        <w:tc>
          <w:tcPr>
            <w:tcW w:w="634" w:type="pct"/>
            <w:vAlign w:val="center"/>
          </w:tcPr>
          <w:p>
            <w:pPr>
              <w:jc w:val="center"/>
              <w:rPr>
                <w:snapToGrid w:val="0"/>
                <w:kern w:val="21"/>
                <w:szCs w:val="21"/>
              </w:rPr>
            </w:pPr>
            <w:r>
              <w:rPr>
                <w:rFonts w:hint="eastAsia"/>
                <w:snapToGrid w:val="0"/>
                <w:kern w:val="21"/>
                <w:szCs w:val="21"/>
              </w:rPr>
              <w:t>0</w:t>
            </w:r>
          </w:p>
        </w:tc>
        <w:tc>
          <w:tcPr>
            <w:tcW w:w="577" w:type="pct"/>
            <w:vAlign w:val="center"/>
          </w:tcPr>
          <w:p>
            <w:pPr>
              <w:jc w:val="center"/>
              <w:rPr>
                <w:snapToGrid w:val="0"/>
                <w:kern w:val="21"/>
                <w:szCs w:val="21"/>
              </w:rPr>
            </w:pPr>
            <w:r>
              <w:rPr>
                <w:rFonts w:hint="eastAsia"/>
                <w:snapToGrid w:val="0"/>
                <w:kern w:val="21"/>
                <w:szCs w:val="21"/>
              </w:rPr>
              <w:t>0.0</w:t>
            </w:r>
            <w:r>
              <w:rPr>
                <w:snapToGrid w:val="0"/>
                <w:kern w:val="21"/>
                <w:szCs w:val="21"/>
              </w:rPr>
              <w:t>2</w:t>
            </w:r>
          </w:p>
        </w:tc>
        <w:tc>
          <w:tcPr>
            <w:tcW w:w="465" w:type="pct"/>
            <w:vAlign w:val="center"/>
          </w:tcPr>
          <w:p>
            <w:pPr>
              <w:jc w:val="center"/>
              <w:rPr>
                <w:snapToGrid w:val="0"/>
                <w:kern w:val="21"/>
                <w:szCs w:val="21"/>
              </w:rPr>
            </w:pPr>
            <w:r>
              <w:rPr>
                <w:snapToGrid w:val="0"/>
                <w:kern w:val="21"/>
                <w:szCs w:val="21"/>
              </w:rPr>
              <w:t>+</w:t>
            </w:r>
            <w:r>
              <w:rPr>
                <w:rFonts w:hint="eastAsia"/>
                <w:snapToGrid w:val="0"/>
                <w:kern w:val="21"/>
                <w:szCs w:val="21"/>
              </w:rPr>
              <w:t>0.0</w:t>
            </w:r>
            <w:r>
              <w:rPr>
                <w:snapToGrid w:val="0"/>
                <w:kern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24" w:after="24"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w:t>
            </w:r>
            <w:r>
              <w:rPr>
                <w:rFonts w:ascii="Times New Roman"/>
                <w:snapToGrid w:val="0"/>
                <w:kern w:val="21"/>
                <w:szCs w:val="21"/>
              </w:rPr>
              <w:t>含油抹布</w:t>
            </w:r>
            <w:r>
              <w:rPr>
                <w:rFonts w:hint="eastAsia" w:ascii="Times New Roman"/>
                <w:snapToGrid w:val="0"/>
                <w:kern w:val="21"/>
                <w:szCs w:val="21"/>
              </w:rPr>
              <w:t>机</w:t>
            </w:r>
            <w:r>
              <w:rPr>
                <w:rFonts w:ascii="Times New Roman"/>
                <w:snapToGrid w:val="0"/>
                <w:kern w:val="21"/>
                <w:szCs w:val="21"/>
              </w:rPr>
              <w:t>手套</w:t>
            </w:r>
          </w:p>
        </w:tc>
        <w:tc>
          <w:tcPr>
            <w:tcW w:w="496"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58"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snapToGrid w:val="0"/>
                <w:kern w:val="21"/>
                <w:szCs w:val="21"/>
              </w:rPr>
            </w:pPr>
            <w:r>
              <w:rPr>
                <w:rFonts w:hint="eastAsia"/>
                <w:snapToGrid w:val="0"/>
                <w:kern w:val="21"/>
                <w:szCs w:val="21"/>
              </w:rPr>
              <w:t>0.0</w:t>
            </w:r>
            <w:r>
              <w:rPr>
                <w:snapToGrid w:val="0"/>
                <w:kern w:val="21"/>
                <w:szCs w:val="21"/>
              </w:rPr>
              <w:t>2</w:t>
            </w:r>
          </w:p>
        </w:tc>
        <w:tc>
          <w:tcPr>
            <w:tcW w:w="634" w:type="pct"/>
            <w:vAlign w:val="center"/>
          </w:tcPr>
          <w:p>
            <w:pPr>
              <w:jc w:val="center"/>
              <w:rPr>
                <w:snapToGrid w:val="0"/>
                <w:kern w:val="21"/>
                <w:szCs w:val="21"/>
              </w:rPr>
            </w:pPr>
            <w:r>
              <w:rPr>
                <w:rFonts w:hint="eastAsia"/>
                <w:snapToGrid w:val="0"/>
                <w:kern w:val="21"/>
                <w:szCs w:val="21"/>
              </w:rPr>
              <w:t>0</w:t>
            </w:r>
          </w:p>
        </w:tc>
        <w:tc>
          <w:tcPr>
            <w:tcW w:w="577" w:type="pct"/>
            <w:vAlign w:val="center"/>
          </w:tcPr>
          <w:p>
            <w:pPr>
              <w:jc w:val="center"/>
              <w:rPr>
                <w:snapToGrid w:val="0"/>
                <w:kern w:val="21"/>
                <w:szCs w:val="21"/>
              </w:rPr>
            </w:pPr>
            <w:r>
              <w:rPr>
                <w:rFonts w:hint="eastAsia"/>
                <w:snapToGrid w:val="0"/>
                <w:kern w:val="21"/>
                <w:szCs w:val="21"/>
              </w:rPr>
              <w:t>0.0</w:t>
            </w:r>
            <w:r>
              <w:rPr>
                <w:snapToGrid w:val="0"/>
                <w:kern w:val="21"/>
                <w:szCs w:val="21"/>
              </w:rPr>
              <w:t>2</w:t>
            </w:r>
          </w:p>
        </w:tc>
        <w:tc>
          <w:tcPr>
            <w:tcW w:w="465" w:type="pct"/>
            <w:vAlign w:val="center"/>
          </w:tcPr>
          <w:p>
            <w:pPr>
              <w:jc w:val="center"/>
              <w:rPr>
                <w:snapToGrid w:val="0"/>
                <w:kern w:val="21"/>
                <w:szCs w:val="21"/>
              </w:rPr>
            </w:pPr>
            <w:r>
              <w:rPr>
                <w:snapToGrid w:val="0"/>
                <w:kern w:val="21"/>
                <w:szCs w:val="21"/>
              </w:rPr>
              <w:t>+</w:t>
            </w:r>
            <w:r>
              <w:rPr>
                <w:rFonts w:hint="eastAsia"/>
                <w:snapToGrid w:val="0"/>
                <w:kern w:val="21"/>
                <w:szCs w:val="21"/>
              </w:rPr>
              <w:t>0.0</w:t>
            </w:r>
            <w:r>
              <w:rPr>
                <w:snapToGrid w:val="0"/>
                <w:kern w:val="21"/>
                <w:szCs w:val="21"/>
              </w:rPr>
              <w:t>2</w:t>
            </w:r>
          </w:p>
        </w:tc>
      </w:tr>
    </w:tbl>
    <w:p>
      <w:pPr>
        <w:pStyle w:val="67"/>
        <w:spacing w:before="192" w:beforeLines="80" w:after="24"/>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p>
      <w:pPr>
        <w:pStyle w:val="25"/>
        <w:adjustRightInd w:val="0"/>
        <w:snapToGrid w:val="0"/>
        <w:spacing w:before="0" w:beforeAutospacing="0" w:after="0" w:afterAutospacing="0"/>
        <w:jc w:val="left"/>
        <w:rPr>
          <w:rFonts w:hint="eastAsia"/>
        </w:rPr>
      </w:pPr>
      <w:bookmarkStart w:id="3" w:name="_GoBack"/>
      <w:bookmarkEnd w:id="3"/>
    </w:p>
    <w:sectPr>
      <w:footerReference r:id="rId6" w:type="default"/>
      <w:pgSz w:w="16838" w:h="11906" w:orient="landscape"/>
      <w:pgMar w:top="1417" w:right="1134" w:bottom="1276" w:left="1276"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48</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50</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53711"/>
    <w:multiLevelType w:val="singleLevel"/>
    <w:tmpl w:val="12D53711"/>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21CF3351"/>
    <w:multiLevelType w:val="multilevel"/>
    <w:tmpl w:val="21CF335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93035B"/>
    <w:multiLevelType w:val="multilevel"/>
    <w:tmpl w:val="7B93035B"/>
    <w:lvl w:ilvl="0" w:tentative="0">
      <w:start w:val="1"/>
      <w:numFmt w:val="decimal"/>
      <w:suff w:val="space"/>
      <w:lvlText w:val="表%1"/>
      <w:lvlJc w:val="left"/>
      <w:pPr>
        <w:ind w:left="3570" w:firstLine="0"/>
      </w:pPr>
      <w:rPr>
        <w:rFonts w:hint="default" w:ascii="Times New Roman" w:hAnsi="Times New Roman" w:cs="Times New Roman"/>
        <w:b/>
        <w:bCs/>
        <w:sz w:val="21"/>
        <w:szCs w:val="24"/>
        <w:vertAlign w:val="baseline"/>
        <w:lang w:val="en-US"/>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ZDM4ZTUyNjEzYTQ4ZDgyMTBkNmQ1MjkzYzA5YTAifQ=="/>
  </w:docVars>
  <w:rsids>
    <w:rsidRoot w:val="00A14947"/>
    <w:rsid w:val="0000396B"/>
    <w:rsid w:val="00003DF0"/>
    <w:rsid w:val="00004850"/>
    <w:rsid w:val="00005791"/>
    <w:rsid w:val="000059C0"/>
    <w:rsid w:val="000060B3"/>
    <w:rsid w:val="0001333D"/>
    <w:rsid w:val="00030A16"/>
    <w:rsid w:val="00035B34"/>
    <w:rsid w:val="0003714A"/>
    <w:rsid w:val="000409A0"/>
    <w:rsid w:val="000435D5"/>
    <w:rsid w:val="0004364B"/>
    <w:rsid w:val="00061B1F"/>
    <w:rsid w:val="000644AC"/>
    <w:rsid w:val="00065D8B"/>
    <w:rsid w:val="00066B3F"/>
    <w:rsid w:val="000673EF"/>
    <w:rsid w:val="00071797"/>
    <w:rsid w:val="000719DA"/>
    <w:rsid w:val="000733C4"/>
    <w:rsid w:val="00074067"/>
    <w:rsid w:val="00074783"/>
    <w:rsid w:val="00074B7B"/>
    <w:rsid w:val="00076E6D"/>
    <w:rsid w:val="00080319"/>
    <w:rsid w:val="0008070B"/>
    <w:rsid w:val="00080EC0"/>
    <w:rsid w:val="000810AC"/>
    <w:rsid w:val="00081A02"/>
    <w:rsid w:val="00082231"/>
    <w:rsid w:val="00082DE2"/>
    <w:rsid w:val="00083531"/>
    <w:rsid w:val="00092D38"/>
    <w:rsid w:val="0009377B"/>
    <w:rsid w:val="00093E07"/>
    <w:rsid w:val="000A196A"/>
    <w:rsid w:val="000A20C9"/>
    <w:rsid w:val="000A4A38"/>
    <w:rsid w:val="000A6A42"/>
    <w:rsid w:val="000B058F"/>
    <w:rsid w:val="000B1DFA"/>
    <w:rsid w:val="000B2FC8"/>
    <w:rsid w:val="000B3F7F"/>
    <w:rsid w:val="000B4467"/>
    <w:rsid w:val="000B4DB9"/>
    <w:rsid w:val="000B7084"/>
    <w:rsid w:val="000C09AC"/>
    <w:rsid w:val="000C09D0"/>
    <w:rsid w:val="000C6827"/>
    <w:rsid w:val="000C767F"/>
    <w:rsid w:val="000D3369"/>
    <w:rsid w:val="000D4219"/>
    <w:rsid w:val="000D5A44"/>
    <w:rsid w:val="000E0569"/>
    <w:rsid w:val="000E1AFF"/>
    <w:rsid w:val="000E3ED2"/>
    <w:rsid w:val="000E787A"/>
    <w:rsid w:val="000F2AB9"/>
    <w:rsid w:val="000F2EA8"/>
    <w:rsid w:val="00102C7C"/>
    <w:rsid w:val="00105845"/>
    <w:rsid w:val="00107B81"/>
    <w:rsid w:val="0011167E"/>
    <w:rsid w:val="00114326"/>
    <w:rsid w:val="001144ED"/>
    <w:rsid w:val="001205BD"/>
    <w:rsid w:val="0012102B"/>
    <w:rsid w:val="0012322A"/>
    <w:rsid w:val="00123E11"/>
    <w:rsid w:val="00124F86"/>
    <w:rsid w:val="00126E2E"/>
    <w:rsid w:val="00130D91"/>
    <w:rsid w:val="00131050"/>
    <w:rsid w:val="00131058"/>
    <w:rsid w:val="00131F42"/>
    <w:rsid w:val="0013230F"/>
    <w:rsid w:val="00133AF6"/>
    <w:rsid w:val="001357F1"/>
    <w:rsid w:val="00135F89"/>
    <w:rsid w:val="00137170"/>
    <w:rsid w:val="00137B08"/>
    <w:rsid w:val="00140FA8"/>
    <w:rsid w:val="001410AF"/>
    <w:rsid w:val="00142C8F"/>
    <w:rsid w:val="00142FEB"/>
    <w:rsid w:val="00143A2D"/>
    <w:rsid w:val="00143B72"/>
    <w:rsid w:val="00145A41"/>
    <w:rsid w:val="00146EEB"/>
    <w:rsid w:val="001512AD"/>
    <w:rsid w:val="00151675"/>
    <w:rsid w:val="001535A6"/>
    <w:rsid w:val="0015720C"/>
    <w:rsid w:val="00157435"/>
    <w:rsid w:val="00171FCE"/>
    <w:rsid w:val="0017504D"/>
    <w:rsid w:val="00175193"/>
    <w:rsid w:val="0017610A"/>
    <w:rsid w:val="001761D3"/>
    <w:rsid w:val="0017671A"/>
    <w:rsid w:val="001773C7"/>
    <w:rsid w:val="00177422"/>
    <w:rsid w:val="001819BF"/>
    <w:rsid w:val="00182EB5"/>
    <w:rsid w:val="00184590"/>
    <w:rsid w:val="0018573D"/>
    <w:rsid w:val="00185CD1"/>
    <w:rsid w:val="001870D1"/>
    <w:rsid w:val="001877E7"/>
    <w:rsid w:val="0018781E"/>
    <w:rsid w:val="00187891"/>
    <w:rsid w:val="00187EFA"/>
    <w:rsid w:val="0019262D"/>
    <w:rsid w:val="001953F3"/>
    <w:rsid w:val="00195792"/>
    <w:rsid w:val="0019700A"/>
    <w:rsid w:val="001A0CCC"/>
    <w:rsid w:val="001A1B35"/>
    <w:rsid w:val="001A3F72"/>
    <w:rsid w:val="001A48A2"/>
    <w:rsid w:val="001A6045"/>
    <w:rsid w:val="001A6952"/>
    <w:rsid w:val="001A6EE0"/>
    <w:rsid w:val="001A6F61"/>
    <w:rsid w:val="001B27F7"/>
    <w:rsid w:val="001B72B8"/>
    <w:rsid w:val="001B78A9"/>
    <w:rsid w:val="001C034F"/>
    <w:rsid w:val="001C69B3"/>
    <w:rsid w:val="001D1C36"/>
    <w:rsid w:val="001D5595"/>
    <w:rsid w:val="001D7874"/>
    <w:rsid w:val="001D7F22"/>
    <w:rsid w:val="001F0C5D"/>
    <w:rsid w:val="001F0F17"/>
    <w:rsid w:val="001F3347"/>
    <w:rsid w:val="001F3BC8"/>
    <w:rsid w:val="001F5EE4"/>
    <w:rsid w:val="001F69E4"/>
    <w:rsid w:val="00200677"/>
    <w:rsid w:val="002028E4"/>
    <w:rsid w:val="002041D8"/>
    <w:rsid w:val="002070E3"/>
    <w:rsid w:val="002125B4"/>
    <w:rsid w:val="00213A87"/>
    <w:rsid w:val="002155B8"/>
    <w:rsid w:val="00221284"/>
    <w:rsid w:val="002228A1"/>
    <w:rsid w:val="00222E0A"/>
    <w:rsid w:val="0022344F"/>
    <w:rsid w:val="00224839"/>
    <w:rsid w:val="002249B2"/>
    <w:rsid w:val="00225990"/>
    <w:rsid w:val="00226313"/>
    <w:rsid w:val="00226574"/>
    <w:rsid w:val="002278EC"/>
    <w:rsid w:val="00231A39"/>
    <w:rsid w:val="00232658"/>
    <w:rsid w:val="0023280E"/>
    <w:rsid w:val="0023308B"/>
    <w:rsid w:val="0023611F"/>
    <w:rsid w:val="002377D1"/>
    <w:rsid w:val="00241D59"/>
    <w:rsid w:val="002427AC"/>
    <w:rsid w:val="0024354C"/>
    <w:rsid w:val="00246383"/>
    <w:rsid w:val="002466DA"/>
    <w:rsid w:val="002506BC"/>
    <w:rsid w:val="00251574"/>
    <w:rsid w:val="00251D59"/>
    <w:rsid w:val="00254345"/>
    <w:rsid w:val="00254665"/>
    <w:rsid w:val="00261B16"/>
    <w:rsid w:val="00262583"/>
    <w:rsid w:val="002641DF"/>
    <w:rsid w:val="00264557"/>
    <w:rsid w:val="00264B13"/>
    <w:rsid w:val="00265FE8"/>
    <w:rsid w:val="00267ADD"/>
    <w:rsid w:val="00267CF8"/>
    <w:rsid w:val="00270896"/>
    <w:rsid w:val="002717AC"/>
    <w:rsid w:val="002742E5"/>
    <w:rsid w:val="00275BDA"/>
    <w:rsid w:val="00276D02"/>
    <w:rsid w:val="00277D04"/>
    <w:rsid w:val="00277D4B"/>
    <w:rsid w:val="002805AB"/>
    <w:rsid w:val="00282650"/>
    <w:rsid w:val="00282E23"/>
    <w:rsid w:val="00283688"/>
    <w:rsid w:val="00284204"/>
    <w:rsid w:val="00291773"/>
    <w:rsid w:val="0029545C"/>
    <w:rsid w:val="00296059"/>
    <w:rsid w:val="002A04E6"/>
    <w:rsid w:val="002A1083"/>
    <w:rsid w:val="002A1294"/>
    <w:rsid w:val="002A168C"/>
    <w:rsid w:val="002A337B"/>
    <w:rsid w:val="002A3DC7"/>
    <w:rsid w:val="002A3ECC"/>
    <w:rsid w:val="002A48F8"/>
    <w:rsid w:val="002A601E"/>
    <w:rsid w:val="002A7F73"/>
    <w:rsid w:val="002B3750"/>
    <w:rsid w:val="002B3CD2"/>
    <w:rsid w:val="002B49E2"/>
    <w:rsid w:val="002B6335"/>
    <w:rsid w:val="002B7276"/>
    <w:rsid w:val="002B7B00"/>
    <w:rsid w:val="002B7C44"/>
    <w:rsid w:val="002C10D0"/>
    <w:rsid w:val="002C26AB"/>
    <w:rsid w:val="002C2B17"/>
    <w:rsid w:val="002C5118"/>
    <w:rsid w:val="002C6644"/>
    <w:rsid w:val="002C6F94"/>
    <w:rsid w:val="002D3DD0"/>
    <w:rsid w:val="002D4E6B"/>
    <w:rsid w:val="002D6373"/>
    <w:rsid w:val="002D6F7A"/>
    <w:rsid w:val="002D7675"/>
    <w:rsid w:val="002E1A1B"/>
    <w:rsid w:val="002E1F3A"/>
    <w:rsid w:val="002E2202"/>
    <w:rsid w:val="002E298A"/>
    <w:rsid w:val="002E2F1A"/>
    <w:rsid w:val="002E31BB"/>
    <w:rsid w:val="002E39B7"/>
    <w:rsid w:val="002E4943"/>
    <w:rsid w:val="002F079B"/>
    <w:rsid w:val="002F5F77"/>
    <w:rsid w:val="002F70EF"/>
    <w:rsid w:val="002F73B8"/>
    <w:rsid w:val="00300545"/>
    <w:rsid w:val="00301978"/>
    <w:rsid w:val="003026A4"/>
    <w:rsid w:val="0030332C"/>
    <w:rsid w:val="0030361E"/>
    <w:rsid w:val="00303747"/>
    <w:rsid w:val="003043D5"/>
    <w:rsid w:val="003051C2"/>
    <w:rsid w:val="003068A8"/>
    <w:rsid w:val="00307A88"/>
    <w:rsid w:val="00307C00"/>
    <w:rsid w:val="0031071A"/>
    <w:rsid w:val="00312296"/>
    <w:rsid w:val="00312C8C"/>
    <w:rsid w:val="00313C84"/>
    <w:rsid w:val="00314F0E"/>
    <w:rsid w:val="00315240"/>
    <w:rsid w:val="00316DFA"/>
    <w:rsid w:val="00317AE5"/>
    <w:rsid w:val="00317BA9"/>
    <w:rsid w:val="0032104A"/>
    <w:rsid w:val="00321D8E"/>
    <w:rsid w:val="00325928"/>
    <w:rsid w:val="00326879"/>
    <w:rsid w:val="003271AE"/>
    <w:rsid w:val="00327B8B"/>
    <w:rsid w:val="00332863"/>
    <w:rsid w:val="00332CD3"/>
    <w:rsid w:val="00334271"/>
    <w:rsid w:val="00335E6E"/>
    <w:rsid w:val="00336312"/>
    <w:rsid w:val="0033684D"/>
    <w:rsid w:val="00337B42"/>
    <w:rsid w:val="00341B42"/>
    <w:rsid w:val="00342484"/>
    <w:rsid w:val="0034348F"/>
    <w:rsid w:val="00345F76"/>
    <w:rsid w:val="003525D6"/>
    <w:rsid w:val="00353533"/>
    <w:rsid w:val="00353A92"/>
    <w:rsid w:val="0035507F"/>
    <w:rsid w:val="00356653"/>
    <w:rsid w:val="0035743F"/>
    <w:rsid w:val="00357BE2"/>
    <w:rsid w:val="003608A0"/>
    <w:rsid w:val="003613C0"/>
    <w:rsid w:val="0036170C"/>
    <w:rsid w:val="00366E0F"/>
    <w:rsid w:val="00367AB3"/>
    <w:rsid w:val="0037145D"/>
    <w:rsid w:val="003715AB"/>
    <w:rsid w:val="00374786"/>
    <w:rsid w:val="00375A12"/>
    <w:rsid w:val="00377228"/>
    <w:rsid w:val="00380754"/>
    <w:rsid w:val="00381A72"/>
    <w:rsid w:val="00382B23"/>
    <w:rsid w:val="003833A7"/>
    <w:rsid w:val="00384676"/>
    <w:rsid w:val="00390857"/>
    <w:rsid w:val="00390D92"/>
    <w:rsid w:val="003920AC"/>
    <w:rsid w:val="00392E81"/>
    <w:rsid w:val="00396059"/>
    <w:rsid w:val="00396488"/>
    <w:rsid w:val="003A191A"/>
    <w:rsid w:val="003A239F"/>
    <w:rsid w:val="003A42A8"/>
    <w:rsid w:val="003A4BF3"/>
    <w:rsid w:val="003A7E9E"/>
    <w:rsid w:val="003B222C"/>
    <w:rsid w:val="003B25E1"/>
    <w:rsid w:val="003B420D"/>
    <w:rsid w:val="003B6AC4"/>
    <w:rsid w:val="003B6C3F"/>
    <w:rsid w:val="003C1236"/>
    <w:rsid w:val="003C3129"/>
    <w:rsid w:val="003C3819"/>
    <w:rsid w:val="003C6AB0"/>
    <w:rsid w:val="003C6C16"/>
    <w:rsid w:val="003C7704"/>
    <w:rsid w:val="003C7D1A"/>
    <w:rsid w:val="003D00C6"/>
    <w:rsid w:val="003D4418"/>
    <w:rsid w:val="003D4559"/>
    <w:rsid w:val="003D45D3"/>
    <w:rsid w:val="003D469A"/>
    <w:rsid w:val="003D4845"/>
    <w:rsid w:val="003D4A4E"/>
    <w:rsid w:val="003D794D"/>
    <w:rsid w:val="003E2F03"/>
    <w:rsid w:val="003E3058"/>
    <w:rsid w:val="003E462F"/>
    <w:rsid w:val="003E76A9"/>
    <w:rsid w:val="003F0809"/>
    <w:rsid w:val="003F1802"/>
    <w:rsid w:val="003F483B"/>
    <w:rsid w:val="003F5330"/>
    <w:rsid w:val="003F6A8C"/>
    <w:rsid w:val="003F6EC1"/>
    <w:rsid w:val="003F755C"/>
    <w:rsid w:val="003F7958"/>
    <w:rsid w:val="0040061E"/>
    <w:rsid w:val="00406F01"/>
    <w:rsid w:val="004116A4"/>
    <w:rsid w:val="00411D1D"/>
    <w:rsid w:val="00412183"/>
    <w:rsid w:val="00413BD2"/>
    <w:rsid w:val="00416676"/>
    <w:rsid w:val="0041673D"/>
    <w:rsid w:val="00416D50"/>
    <w:rsid w:val="00416FD5"/>
    <w:rsid w:val="00417772"/>
    <w:rsid w:val="00420E6A"/>
    <w:rsid w:val="004219CD"/>
    <w:rsid w:val="00425A9E"/>
    <w:rsid w:val="00426D6B"/>
    <w:rsid w:val="00427B39"/>
    <w:rsid w:val="00431E6C"/>
    <w:rsid w:val="00432734"/>
    <w:rsid w:val="00433CE7"/>
    <w:rsid w:val="0044123F"/>
    <w:rsid w:val="00441B2E"/>
    <w:rsid w:val="00442208"/>
    <w:rsid w:val="00442257"/>
    <w:rsid w:val="00446622"/>
    <w:rsid w:val="00447051"/>
    <w:rsid w:val="00451558"/>
    <w:rsid w:val="0045186D"/>
    <w:rsid w:val="00452738"/>
    <w:rsid w:val="00453B8C"/>
    <w:rsid w:val="00454877"/>
    <w:rsid w:val="00456091"/>
    <w:rsid w:val="004562CF"/>
    <w:rsid w:val="00456863"/>
    <w:rsid w:val="0045793A"/>
    <w:rsid w:val="004623F7"/>
    <w:rsid w:val="004638B5"/>
    <w:rsid w:val="00466321"/>
    <w:rsid w:val="004672B9"/>
    <w:rsid w:val="00470E4C"/>
    <w:rsid w:val="00470FFA"/>
    <w:rsid w:val="00473B14"/>
    <w:rsid w:val="00474130"/>
    <w:rsid w:val="0047634A"/>
    <w:rsid w:val="00477F00"/>
    <w:rsid w:val="0048326B"/>
    <w:rsid w:val="00484B9B"/>
    <w:rsid w:val="004855F6"/>
    <w:rsid w:val="0048661E"/>
    <w:rsid w:val="00490AA9"/>
    <w:rsid w:val="00492ADC"/>
    <w:rsid w:val="00494670"/>
    <w:rsid w:val="0049654E"/>
    <w:rsid w:val="0049696B"/>
    <w:rsid w:val="0049764C"/>
    <w:rsid w:val="004A1ABE"/>
    <w:rsid w:val="004A36EF"/>
    <w:rsid w:val="004A3823"/>
    <w:rsid w:val="004B1E0A"/>
    <w:rsid w:val="004B1F49"/>
    <w:rsid w:val="004B2AA6"/>
    <w:rsid w:val="004B3CC4"/>
    <w:rsid w:val="004B3D8F"/>
    <w:rsid w:val="004B4285"/>
    <w:rsid w:val="004B6524"/>
    <w:rsid w:val="004B67F4"/>
    <w:rsid w:val="004C020E"/>
    <w:rsid w:val="004C096E"/>
    <w:rsid w:val="004C0CB9"/>
    <w:rsid w:val="004C1181"/>
    <w:rsid w:val="004D0B00"/>
    <w:rsid w:val="004D0FB3"/>
    <w:rsid w:val="004D0FC3"/>
    <w:rsid w:val="004D2069"/>
    <w:rsid w:val="004D22BF"/>
    <w:rsid w:val="004D23E9"/>
    <w:rsid w:val="004D2C8B"/>
    <w:rsid w:val="004D3DFD"/>
    <w:rsid w:val="004D74C9"/>
    <w:rsid w:val="004E6946"/>
    <w:rsid w:val="004F14FE"/>
    <w:rsid w:val="004F1AD8"/>
    <w:rsid w:val="004F484A"/>
    <w:rsid w:val="004F7CFF"/>
    <w:rsid w:val="0050268B"/>
    <w:rsid w:val="005039CB"/>
    <w:rsid w:val="00504668"/>
    <w:rsid w:val="00504C3E"/>
    <w:rsid w:val="0050558F"/>
    <w:rsid w:val="00506286"/>
    <w:rsid w:val="00510813"/>
    <w:rsid w:val="005114BE"/>
    <w:rsid w:val="00511990"/>
    <w:rsid w:val="00511DE0"/>
    <w:rsid w:val="00514870"/>
    <w:rsid w:val="00514B9B"/>
    <w:rsid w:val="00514DE4"/>
    <w:rsid w:val="00515E66"/>
    <w:rsid w:val="005172D0"/>
    <w:rsid w:val="00517937"/>
    <w:rsid w:val="00517F02"/>
    <w:rsid w:val="00521283"/>
    <w:rsid w:val="00522DD9"/>
    <w:rsid w:val="0052425D"/>
    <w:rsid w:val="00524303"/>
    <w:rsid w:val="005258A2"/>
    <w:rsid w:val="005271D2"/>
    <w:rsid w:val="00536A7B"/>
    <w:rsid w:val="005401AE"/>
    <w:rsid w:val="00542E07"/>
    <w:rsid w:val="00543B02"/>
    <w:rsid w:val="00545424"/>
    <w:rsid w:val="00545805"/>
    <w:rsid w:val="00546322"/>
    <w:rsid w:val="005500B9"/>
    <w:rsid w:val="00550DF1"/>
    <w:rsid w:val="0055194C"/>
    <w:rsid w:val="00554A7B"/>
    <w:rsid w:val="0055572C"/>
    <w:rsid w:val="00556139"/>
    <w:rsid w:val="0055766D"/>
    <w:rsid w:val="0056106A"/>
    <w:rsid w:val="00561721"/>
    <w:rsid w:val="005658F9"/>
    <w:rsid w:val="0057143D"/>
    <w:rsid w:val="005719E1"/>
    <w:rsid w:val="005720AE"/>
    <w:rsid w:val="00574DD0"/>
    <w:rsid w:val="0058035F"/>
    <w:rsid w:val="00580FA1"/>
    <w:rsid w:val="0058182B"/>
    <w:rsid w:val="005839FC"/>
    <w:rsid w:val="005856A6"/>
    <w:rsid w:val="00594D77"/>
    <w:rsid w:val="00595B3E"/>
    <w:rsid w:val="005969E4"/>
    <w:rsid w:val="005A06B7"/>
    <w:rsid w:val="005A1759"/>
    <w:rsid w:val="005A22FE"/>
    <w:rsid w:val="005A2AA7"/>
    <w:rsid w:val="005A377F"/>
    <w:rsid w:val="005A68A7"/>
    <w:rsid w:val="005B23E5"/>
    <w:rsid w:val="005B4441"/>
    <w:rsid w:val="005B7104"/>
    <w:rsid w:val="005C00B5"/>
    <w:rsid w:val="005C5AF3"/>
    <w:rsid w:val="005C67E5"/>
    <w:rsid w:val="005C7DA4"/>
    <w:rsid w:val="005D1C8D"/>
    <w:rsid w:val="005D36AB"/>
    <w:rsid w:val="005D3D4A"/>
    <w:rsid w:val="005D77DD"/>
    <w:rsid w:val="005E63BF"/>
    <w:rsid w:val="005E686E"/>
    <w:rsid w:val="005E742B"/>
    <w:rsid w:val="005E7F51"/>
    <w:rsid w:val="005F2C86"/>
    <w:rsid w:val="005F61A9"/>
    <w:rsid w:val="005F7E9E"/>
    <w:rsid w:val="006001C1"/>
    <w:rsid w:val="00603DE2"/>
    <w:rsid w:val="00607908"/>
    <w:rsid w:val="00612331"/>
    <w:rsid w:val="006132FB"/>
    <w:rsid w:val="00613E5C"/>
    <w:rsid w:val="006158B2"/>
    <w:rsid w:val="006167F9"/>
    <w:rsid w:val="00617CC3"/>
    <w:rsid w:val="006227B7"/>
    <w:rsid w:val="00626CFE"/>
    <w:rsid w:val="006345D6"/>
    <w:rsid w:val="00635498"/>
    <w:rsid w:val="006377A6"/>
    <w:rsid w:val="00637860"/>
    <w:rsid w:val="00637A3D"/>
    <w:rsid w:val="00637CE1"/>
    <w:rsid w:val="006411EF"/>
    <w:rsid w:val="0064383C"/>
    <w:rsid w:val="00644E43"/>
    <w:rsid w:val="00645B66"/>
    <w:rsid w:val="00650315"/>
    <w:rsid w:val="00650C12"/>
    <w:rsid w:val="00650DAB"/>
    <w:rsid w:val="00652C25"/>
    <w:rsid w:val="00657CAA"/>
    <w:rsid w:val="00662261"/>
    <w:rsid w:val="00663B53"/>
    <w:rsid w:val="006671D5"/>
    <w:rsid w:val="006708E0"/>
    <w:rsid w:val="006713F9"/>
    <w:rsid w:val="006748B8"/>
    <w:rsid w:val="006775C3"/>
    <w:rsid w:val="00682A98"/>
    <w:rsid w:val="006839AC"/>
    <w:rsid w:val="00687469"/>
    <w:rsid w:val="0069290A"/>
    <w:rsid w:val="00692E34"/>
    <w:rsid w:val="0069775A"/>
    <w:rsid w:val="00697813"/>
    <w:rsid w:val="006A03E4"/>
    <w:rsid w:val="006A2727"/>
    <w:rsid w:val="006A3EE8"/>
    <w:rsid w:val="006A47C5"/>
    <w:rsid w:val="006A7059"/>
    <w:rsid w:val="006A72BF"/>
    <w:rsid w:val="006A7529"/>
    <w:rsid w:val="006A791E"/>
    <w:rsid w:val="006A7FAD"/>
    <w:rsid w:val="006B03F2"/>
    <w:rsid w:val="006B0BA3"/>
    <w:rsid w:val="006B37DC"/>
    <w:rsid w:val="006B3DC9"/>
    <w:rsid w:val="006B4F68"/>
    <w:rsid w:val="006B5067"/>
    <w:rsid w:val="006B586B"/>
    <w:rsid w:val="006B6B21"/>
    <w:rsid w:val="006B6B2B"/>
    <w:rsid w:val="006C0592"/>
    <w:rsid w:val="006C272E"/>
    <w:rsid w:val="006C5479"/>
    <w:rsid w:val="006C5BDA"/>
    <w:rsid w:val="006C7EE0"/>
    <w:rsid w:val="006D13B5"/>
    <w:rsid w:val="006D2BB9"/>
    <w:rsid w:val="006E12FF"/>
    <w:rsid w:val="006E5713"/>
    <w:rsid w:val="006E58BF"/>
    <w:rsid w:val="006E607E"/>
    <w:rsid w:val="006F03EC"/>
    <w:rsid w:val="006F29A6"/>
    <w:rsid w:val="006F5EDD"/>
    <w:rsid w:val="006F7637"/>
    <w:rsid w:val="0070177B"/>
    <w:rsid w:val="00701ADE"/>
    <w:rsid w:val="00703050"/>
    <w:rsid w:val="00703CA3"/>
    <w:rsid w:val="00706C5D"/>
    <w:rsid w:val="00706DBE"/>
    <w:rsid w:val="00711F6E"/>
    <w:rsid w:val="00713700"/>
    <w:rsid w:val="007163A4"/>
    <w:rsid w:val="00716BEE"/>
    <w:rsid w:val="00717672"/>
    <w:rsid w:val="007230F9"/>
    <w:rsid w:val="007242C9"/>
    <w:rsid w:val="0072601B"/>
    <w:rsid w:val="007260C8"/>
    <w:rsid w:val="00726F9F"/>
    <w:rsid w:val="00732922"/>
    <w:rsid w:val="00733DF7"/>
    <w:rsid w:val="00735B60"/>
    <w:rsid w:val="0074086C"/>
    <w:rsid w:val="007417A9"/>
    <w:rsid w:val="0074267B"/>
    <w:rsid w:val="00742E70"/>
    <w:rsid w:val="00744FAE"/>
    <w:rsid w:val="00745DDD"/>
    <w:rsid w:val="00745DFD"/>
    <w:rsid w:val="0075162E"/>
    <w:rsid w:val="00754034"/>
    <w:rsid w:val="00754343"/>
    <w:rsid w:val="0075447B"/>
    <w:rsid w:val="00756556"/>
    <w:rsid w:val="00756A8E"/>
    <w:rsid w:val="00760E85"/>
    <w:rsid w:val="007611DC"/>
    <w:rsid w:val="007618C4"/>
    <w:rsid w:val="00766F81"/>
    <w:rsid w:val="00767980"/>
    <w:rsid w:val="00767CE0"/>
    <w:rsid w:val="00770B19"/>
    <w:rsid w:val="00773D26"/>
    <w:rsid w:val="0077463F"/>
    <w:rsid w:val="007762A1"/>
    <w:rsid w:val="00777C65"/>
    <w:rsid w:val="00780327"/>
    <w:rsid w:val="007822D9"/>
    <w:rsid w:val="007836EA"/>
    <w:rsid w:val="007837E3"/>
    <w:rsid w:val="00783800"/>
    <w:rsid w:val="00784CDA"/>
    <w:rsid w:val="00787EE4"/>
    <w:rsid w:val="00787FFB"/>
    <w:rsid w:val="007906C4"/>
    <w:rsid w:val="00792325"/>
    <w:rsid w:val="00793AFB"/>
    <w:rsid w:val="007940EA"/>
    <w:rsid w:val="007967E8"/>
    <w:rsid w:val="007967FF"/>
    <w:rsid w:val="007976D5"/>
    <w:rsid w:val="007A0861"/>
    <w:rsid w:val="007A2170"/>
    <w:rsid w:val="007A22BF"/>
    <w:rsid w:val="007A3323"/>
    <w:rsid w:val="007A43A9"/>
    <w:rsid w:val="007A5E31"/>
    <w:rsid w:val="007B07EF"/>
    <w:rsid w:val="007B0AEA"/>
    <w:rsid w:val="007B4046"/>
    <w:rsid w:val="007B5C31"/>
    <w:rsid w:val="007B72B8"/>
    <w:rsid w:val="007B7A58"/>
    <w:rsid w:val="007C114E"/>
    <w:rsid w:val="007C21B5"/>
    <w:rsid w:val="007C2E71"/>
    <w:rsid w:val="007C52C5"/>
    <w:rsid w:val="007C7CD0"/>
    <w:rsid w:val="007D1FDF"/>
    <w:rsid w:val="007D346B"/>
    <w:rsid w:val="007E0593"/>
    <w:rsid w:val="007E0FB8"/>
    <w:rsid w:val="007E1C6A"/>
    <w:rsid w:val="007E4BD2"/>
    <w:rsid w:val="007E63B1"/>
    <w:rsid w:val="007F4941"/>
    <w:rsid w:val="007F4DA1"/>
    <w:rsid w:val="008007B4"/>
    <w:rsid w:val="00801393"/>
    <w:rsid w:val="00801BBB"/>
    <w:rsid w:val="00802F88"/>
    <w:rsid w:val="0080501E"/>
    <w:rsid w:val="00805396"/>
    <w:rsid w:val="00811D7A"/>
    <w:rsid w:val="008122B4"/>
    <w:rsid w:val="0081293E"/>
    <w:rsid w:val="00812A30"/>
    <w:rsid w:val="00815465"/>
    <w:rsid w:val="0081571C"/>
    <w:rsid w:val="008166A2"/>
    <w:rsid w:val="00817E29"/>
    <w:rsid w:val="00817E9A"/>
    <w:rsid w:val="00821C8F"/>
    <w:rsid w:val="00822C43"/>
    <w:rsid w:val="0082339F"/>
    <w:rsid w:val="00823AC7"/>
    <w:rsid w:val="00824315"/>
    <w:rsid w:val="008260B0"/>
    <w:rsid w:val="00827813"/>
    <w:rsid w:val="008306BD"/>
    <w:rsid w:val="00831A80"/>
    <w:rsid w:val="008324CC"/>
    <w:rsid w:val="00833743"/>
    <w:rsid w:val="008340A4"/>
    <w:rsid w:val="0083699A"/>
    <w:rsid w:val="00837141"/>
    <w:rsid w:val="00840DDC"/>
    <w:rsid w:val="00841AF4"/>
    <w:rsid w:val="00842440"/>
    <w:rsid w:val="008435DB"/>
    <w:rsid w:val="008436C9"/>
    <w:rsid w:val="00843A0F"/>
    <w:rsid w:val="008464F8"/>
    <w:rsid w:val="00851FA2"/>
    <w:rsid w:val="00852325"/>
    <w:rsid w:val="00853EAE"/>
    <w:rsid w:val="00855653"/>
    <w:rsid w:val="008558F7"/>
    <w:rsid w:val="00855915"/>
    <w:rsid w:val="00855A46"/>
    <w:rsid w:val="008603C4"/>
    <w:rsid w:val="00860C3B"/>
    <w:rsid w:val="0086464C"/>
    <w:rsid w:val="008647FB"/>
    <w:rsid w:val="0086507B"/>
    <w:rsid w:val="00865943"/>
    <w:rsid w:val="00865FD8"/>
    <w:rsid w:val="008663F4"/>
    <w:rsid w:val="008668EA"/>
    <w:rsid w:val="00867277"/>
    <w:rsid w:val="0087135F"/>
    <w:rsid w:val="008721F3"/>
    <w:rsid w:val="00872D94"/>
    <w:rsid w:val="00874F9B"/>
    <w:rsid w:val="00875015"/>
    <w:rsid w:val="00880364"/>
    <w:rsid w:val="00881D63"/>
    <w:rsid w:val="00882172"/>
    <w:rsid w:val="008908B3"/>
    <w:rsid w:val="00891592"/>
    <w:rsid w:val="00891E9E"/>
    <w:rsid w:val="00897738"/>
    <w:rsid w:val="008A0AA2"/>
    <w:rsid w:val="008A19AC"/>
    <w:rsid w:val="008A2656"/>
    <w:rsid w:val="008A27CB"/>
    <w:rsid w:val="008A2D7C"/>
    <w:rsid w:val="008A2F68"/>
    <w:rsid w:val="008A4990"/>
    <w:rsid w:val="008B03A9"/>
    <w:rsid w:val="008B173D"/>
    <w:rsid w:val="008B263F"/>
    <w:rsid w:val="008B2DF3"/>
    <w:rsid w:val="008B3AC9"/>
    <w:rsid w:val="008B4FA6"/>
    <w:rsid w:val="008B5282"/>
    <w:rsid w:val="008B7C17"/>
    <w:rsid w:val="008B7C4C"/>
    <w:rsid w:val="008C082B"/>
    <w:rsid w:val="008C2D01"/>
    <w:rsid w:val="008C40E6"/>
    <w:rsid w:val="008C5930"/>
    <w:rsid w:val="008D0F7A"/>
    <w:rsid w:val="008D1BB4"/>
    <w:rsid w:val="008D218C"/>
    <w:rsid w:val="008D68E4"/>
    <w:rsid w:val="008E0506"/>
    <w:rsid w:val="008E092B"/>
    <w:rsid w:val="008E0CFF"/>
    <w:rsid w:val="008E0E0A"/>
    <w:rsid w:val="008E10BF"/>
    <w:rsid w:val="008E5D6B"/>
    <w:rsid w:val="008E63DD"/>
    <w:rsid w:val="008E76F0"/>
    <w:rsid w:val="008F15FE"/>
    <w:rsid w:val="008F2D29"/>
    <w:rsid w:val="008F5187"/>
    <w:rsid w:val="008F60D8"/>
    <w:rsid w:val="00902727"/>
    <w:rsid w:val="00902912"/>
    <w:rsid w:val="0090312B"/>
    <w:rsid w:val="00910DA9"/>
    <w:rsid w:val="00911FBC"/>
    <w:rsid w:val="00912F55"/>
    <w:rsid w:val="009153E8"/>
    <w:rsid w:val="00916016"/>
    <w:rsid w:val="0091736D"/>
    <w:rsid w:val="009208C6"/>
    <w:rsid w:val="00921074"/>
    <w:rsid w:val="00921093"/>
    <w:rsid w:val="00921925"/>
    <w:rsid w:val="00921DF1"/>
    <w:rsid w:val="009222B1"/>
    <w:rsid w:val="00923B37"/>
    <w:rsid w:val="00923C63"/>
    <w:rsid w:val="00926147"/>
    <w:rsid w:val="0092635A"/>
    <w:rsid w:val="009271C8"/>
    <w:rsid w:val="0092756B"/>
    <w:rsid w:val="0093037A"/>
    <w:rsid w:val="0093164D"/>
    <w:rsid w:val="009322FC"/>
    <w:rsid w:val="00932B1E"/>
    <w:rsid w:val="00933159"/>
    <w:rsid w:val="0093648B"/>
    <w:rsid w:val="009377E5"/>
    <w:rsid w:val="00937C98"/>
    <w:rsid w:val="0094154D"/>
    <w:rsid w:val="00941B44"/>
    <w:rsid w:val="009429BF"/>
    <w:rsid w:val="00943C45"/>
    <w:rsid w:val="00946996"/>
    <w:rsid w:val="0095155F"/>
    <w:rsid w:val="00951CA2"/>
    <w:rsid w:val="00954177"/>
    <w:rsid w:val="00954429"/>
    <w:rsid w:val="00955A74"/>
    <w:rsid w:val="009563CE"/>
    <w:rsid w:val="00957276"/>
    <w:rsid w:val="00957610"/>
    <w:rsid w:val="00957F36"/>
    <w:rsid w:val="00965928"/>
    <w:rsid w:val="00970250"/>
    <w:rsid w:val="009746FD"/>
    <w:rsid w:val="00976328"/>
    <w:rsid w:val="0097680D"/>
    <w:rsid w:val="00977008"/>
    <w:rsid w:val="00982438"/>
    <w:rsid w:val="0098404C"/>
    <w:rsid w:val="00984FE6"/>
    <w:rsid w:val="00985283"/>
    <w:rsid w:val="0098753F"/>
    <w:rsid w:val="00995992"/>
    <w:rsid w:val="00996966"/>
    <w:rsid w:val="009973EF"/>
    <w:rsid w:val="009A032A"/>
    <w:rsid w:val="009A03E5"/>
    <w:rsid w:val="009A0F3B"/>
    <w:rsid w:val="009A1AB9"/>
    <w:rsid w:val="009A1BB4"/>
    <w:rsid w:val="009A2078"/>
    <w:rsid w:val="009A2628"/>
    <w:rsid w:val="009A3200"/>
    <w:rsid w:val="009A3E16"/>
    <w:rsid w:val="009A5E63"/>
    <w:rsid w:val="009A75ED"/>
    <w:rsid w:val="009B0897"/>
    <w:rsid w:val="009B3F88"/>
    <w:rsid w:val="009B47B3"/>
    <w:rsid w:val="009B4E91"/>
    <w:rsid w:val="009B4FBA"/>
    <w:rsid w:val="009B7954"/>
    <w:rsid w:val="009B7BD9"/>
    <w:rsid w:val="009C189A"/>
    <w:rsid w:val="009C4946"/>
    <w:rsid w:val="009C56A9"/>
    <w:rsid w:val="009C7DD5"/>
    <w:rsid w:val="009D3B7B"/>
    <w:rsid w:val="009D3F00"/>
    <w:rsid w:val="009D684C"/>
    <w:rsid w:val="009D68B7"/>
    <w:rsid w:val="009D6A0C"/>
    <w:rsid w:val="009E1E18"/>
    <w:rsid w:val="009E227D"/>
    <w:rsid w:val="009E5019"/>
    <w:rsid w:val="009E5B56"/>
    <w:rsid w:val="009E688E"/>
    <w:rsid w:val="009E7ADE"/>
    <w:rsid w:val="009F641D"/>
    <w:rsid w:val="00A00221"/>
    <w:rsid w:val="00A04F1B"/>
    <w:rsid w:val="00A0501B"/>
    <w:rsid w:val="00A122C1"/>
    <w:rsid w:val="00A123F2"/>
    <w:rsid w:val="00A14947"/>
    <w:rsid w:val="00A1513B"/>
    <w:rsid w:val="00A1526D"/>
    <w:rsid w:val="00A163F9"/>
    <w:rsid w:val="00A27CDB"/>
    <w:rsid w:val="00A32A83"/>
    <w:rsid w:val="00A368DB"/>
    <w:rsid w:val="00A37CF9"/>
    <w:rsid w:val="00A4042A"/>
    <w:rsid w:val="00A40989"/>
    <w:rsid w:val="00A423AA"/>
    <w:rsid w:val="00A44EA8"/>
    <w:rsid w:val="00A45E00"/>
    <w:rsid w:val="00A46832"/>
    <w:rsid w:val="00A50E69"/>
    <w:rsid w:val="00A52047"/>
    <w:rsid w:val="00A52158"/>
    <w:rsid w:val="00A52E51"/>
    <w:rsid w:val="00A53EC6"/>
    <w:rsid w:val="00A540D3"/>
    <w:rsid w:val="00A55C0F"/>
    <w:rsid w:val="00A56871"/>
    <w:rsid w:val="00A570B7"/>
    <w:rsid w:val="00A60005"/>
    <w:rsid w:val="00A60E52"/>
    <w:rsid w:val="00A61573"/>
    <w:rsid w:val="00A64873"/>
    <w:rsid w:val="00A65869"/>
    <w:rsid w:val="00A65F04"/>
    <w:rsid w:val="00A67CEE"/>
    <w:rsid w:val="00A70077"/>
    <w:rsid w:val="00A76A30"/>
    <w:rsid w:val="00A76B85"/>
    <w:rsid w:val="00A803CD"/>
    <w:rsid w:val="00A8043E"/>
    <w:rsid w:val="00A807BA"/>
    <w:rsid w:val="00A812E0"/>
    <w:rsid w:val="00A8204B"/>
    <w:rsid w:val="00A82AB8"/>
    <w:rsid w:val="00A839E0"/>
    <w:rsid w:val="00A86917"/>
    <w:rsid w:val="00A86F61"/>
    <w:rsid w:val="00A8713F"/>
    <w:rsid w:val="00A90BA1"/>
    <w:rsid w:val="00A92FD6"/>
    <w:rsid w:val="00A95B9E"/>
    <w:rsid w:val="00A97A9A"/>
    <w:rsid w:val="00AA0671"/>
    <w:rsid w:val="00AA094E"/>
    <w:rsid w:val="00AA2531"/>
    <w:rsid w:val="00AA279C"/>
    <w:rsid w:val="00AA2964"/>
    <w:rsid w:val="00AA59EA"/>
    <w:rsid w:val="00AA6BC2"/>
    <w:rsid w:val="00AB1D6F"/>
    <w:rsid w:val="00AB1E09"/>
    <w:rsid w:val="00AB31CF"/>
    <w:rsid w:val="00AB3F69"/>
    <w:rsid w:val="00AB5330"/>
    <w:rsid w:val="00AB5424"/>
    <w:rsid w:val="00AB7747"/>
    <w:rsid w:val="00AC0013"/>
    <w:rsid w:val="00AC14CE"/>
    <w:rsid w:val="00AC2A56"/>
    <w:rsid w:val="00AD055E"/>
    <w:rsid w:val="00AD3F96"/>
    <w:rsid w:val="00AD47A7"/>
    <w:rsid w:val="00AD4C35"/>
    <w:rsid w:val="00AD567A"/>
    <w:rsid w:val="00AD5FEF"/>
    <w:rsid w:val="00AE000F"/>
    <w:rsid w:val="00AE0EC8"/>
    <w:rsid w:val="00AE5651"/>
    <w:rsid w:val="00AE70B3"/>
    <w:rsid w:val="00AF0CBF"/>
    <w:rsid w:val="00AF1B4E"/>
    <w:rsid w:val="00AF257F"/>
    <w:rsid w:val="00AF33CF"/>
    <w:rsid w:val="00AF4D50"/>
    <w:rsid w:val="00AF4E03"/>
    <w:rsid w:val="00AF6179"/>
    <w:rsid w:val="00B00C65"/>
    <w:rsid w:val="00B02ACA"/>
    <w:rsid w:val="00B0394D"/>
    <w:rsid w:val="00B03E4E"/>
    <w:rsid w:val="00B05C59"/>
    <w:rsid w:val="00B05D88"/>
    <w:rsid w:val="00B06759"/>
    <w:rsid w:val="00B1143C"/>
    <w:rsid w:val="00B1295A"/>
    <w:rsid w:val="00B15815"/>
    <w:rsid w:val="00B20A45"/>
    <w:rsid w:val="00B210A3"/>
    <w:rsid w:val="00B22AC2"/>
    <w:rsid w:val="00B22C5C"/>
    <w:rsid w:val="00B24F30"/>
    <w:rsid w:val="00B3046D"/>
    <w:rsid w:val="00B31ABF"/>
    <w:rsid w:val="00B33BE3"/>
    <w:rsid w:val="00B3410C"/>
    <w:rsid w:val="00B40D68"/>
    <w:rsid w:val="00B4260B"/>
    <w:rsid w:val="00B44B29"/>
    <w:rsid w:val="00B4556B"/>
    <w:rsid w:val="00B45805"/>
    <w:rsid w:val="00B53B5D"/>
    <w:rsid w:val="00B53BDB"/>
    <w:rsid w:val="00B549B7"/>
    <w:rsid w:val="00B6055E"/>
    <w:rsid w:val="00B613CD"/>
    <w:rsid w:val="00B6317D"/>
    <w:rsid w:val="00B640CE"/>
    <w:rsid w:val="00B6789E"/>
    <w:rsid w:val="00B67D6B"/>
    <w:rsid w:val="00B72AD8"/>
    <w:rsid w:val="00B730C7"/>
    <w:rsid w:val="00B76074"/>
    <w:rsid w:val="00B77028"/>
    <w:rsid w:val="00B7723F"/>
    <w:rsid w:val="00B80534"/>
    <w:rsid w:val="00B8433C"/>
    <w:rsid w:val="00B857EF"/>
    <w:rsid w:val="00B872D2"/>
    <w:rsid w:val="00B87491"/>
    <w:rsid w:val="00B92D94"/>
    <w:rsid w:val="00B960DF"/>
    <w:rsid w:val="00B97F79"/>
    <w:rsid w:val="00BA12D1"/>
    <w:rsid w:val="00BA1866"/>
    <w:rsid w:val="00BA29E9"/>
    <w:rsid w:val="00BA3F95"/>
    <w:rsid w:val="00BA7142"/>
    <w:rsid w:val="00BB1EAD"/>
    <w:rsid w:val="00BB237C"/>
    <w:rsid w:val="00BB2E67"/>
    <w:rsid w:val="00BB377F"/>
    <w:rsid w:val="00BB41A3"/>
    <w:rsid w:val="00BB49C7"/>
    <w:rsid w:val="00BC2421"/>
    <w:rsid w:val="00BC32DC"/>
    <w:rsid w:val="00BC35B6"/>
    <w:rsid w:val="00BC447F"/>
    <w:rsid w:val="00BD1B51"/>
    <w:rsid w:val="00BD2881"/>
    <w:rsid w:val="00BD3183"/>
    <w:rsid w:val="00BD4596"/>
    <w:rsid w:val="00BE1405"/>
    <w:rsid w:val="00BE1B2C"/>
    <w:rsid w:val="00BE312D"/>
    <w:rsid w:val="00BE6204"/>
    <w:rsid w:val="00BE6E5C"/>
    <w:rsid w:val="00BE7422"/>
    <w:rsid w:val="00BF0AEF"/>
    <w:rsid w:val="00BF15E9"/>
    <w:rsid w:val="00BF1868"/>
    <w:rsid w:val="00BF1C20"/>
    <w:rsid w:val="00BF238F"/>
    <w:rsid w:val="00BF26A4"/>
    <w:rsid w:val="00BF6909"/>
    <w:rsid w:val="00C0162F"/>
    <w:rsid w:val="00C030C4"/>
    <w:rsid w:val="00C038DE"/>
    <w:rsid w:val="00C04255"/>
    <w:rsid w:val="00C0435A"/>
    <w:rsid w:val="00C04D0D"/>
    <w:rsid w:val="00C04E16"/>
    <w:rsid w:val="00C06827"/>
    <w:rsid w:val="00C10578"/>
    <w:rsid w:val="00C11433"/>
    <w:rsid w:val="00C135BC"/>
    <w:rsid w:val="00C15C95"/>
    <w:rsid w:val="00C1623C"/>
    <w:rsid w:val="00C200A4"/>
    <w:rsid w:val="00C23F88"/>
    <w:rsid w:val="00C24A0B"/>
    <w:rsid w:val="00C2596A"/>
    <w:rsid w:val="00C26132"/>
    <w:rsid w:val="00C27067"/>
    <w:rsid w:val="00C273BE"/>
    <w:rsid w:val="00C27537"/>
    <w:rsid w:val="00C31222"/>
    <w:rsid w:val="00C326C5"/>
    <w:rsid w:val="00C328FE"/>
    <w:rsid w:val="00C33507"/>
    <w:rsid w:val="00C339BB"/>
    <w:rsid w:val="00C35046"/>
    <w:rsid w:val="00C365A5"/>
    <w:rsid w:val="00C417B1"/>
    <w:rsid w:val="00C42197"/>
    <w:rsid w:val="00C425C3"/>
    <w:rsid w:val="00C4296E"/>
    <w:rsid w:val="00C43CE0"/>
    <w:rsid w:val="00C4409D"/>
    <w:rsid w:val="00C44E72"/>
    <w:rsid w:val="00C451CB"/>
    <w:rsid w:val="00C45A06"/>
    <w:rsid w:val="00C47B91"/>
    <w:rsid w:val="00C47E5B"/>
    <w:rsid w:val="00C53467"/>
    <w:rsid w:val="00C566FA"/>
    <w:rsid w:val="00C578DA"/>
    <w:rsid w:val="00C60754"/>
    <w:rsid w:val="00C61E4B"/>
    <w:rsid w:val="00C63206"/>
    <w:rsid w:val="00C63926"/>
    <w:rsid w:val="00C64BFF"/>
    <w:rsid w:val="00C65517"/>
    <w:rsid w:val="00C65E80"/>
    <w:rsid w:val="00C65FD1"/>
    <w:rsid w:val="00C704E9"/>
    <w:rsid w:val="00C71C24"/>
    <w:rsid w:val="00C7320F"/>
    <w:rsid w:val="00C74FFD"/>
    <w:rsid w:val="00C756D9"/>
    <w:rsid w:val="00C763C9"/>
    <w:rsid w:val="00C80057"/>
    <w:rsid w:val="00C82232"/>
    <w:rsid w:val="00C82913"/>
    <w:rsid w:val="00C85D62"/>
    <w:rsid w:val="00C879B9"/>
    <w:rsid w:val="00C94558"/>
    <w:rsid w:val="00C947A1"/>
    <w:rsid w:val="00C972B1"/>
    <w:rsid w:val="00CA26AE"/>
    <w:rsid w:val="00CA2CCE"/>
    <w:rsid w:val="00CA43FD"/>
    <w:rsid w:val="00CA7EF8"/>
    <w:rsid w:val="00CB2C93"/>
    <w:rsid w:val="00CB2D10"/>
    <w:rsid w:val="00CC034F"/>
    <w:rsid w:val="00CC1197"/>
    <w:rsid w:val="00CC489B"/>
    <w:rsid w:val="00CD2BCD"/>
    <w:rsid w:val="00CD3727"/>
    <w:rsid w:val="00CD3A4C"/>
    <w:rsid w:val="00CE0318"/>
    <w:rsid w:val="00CE10E9"/>
    <w:rsid w:val="00CE1780"/>
    <w:rsid w:val="00CE2910"/>
    <w:rsid w:val="00CE40AB"/>
    <w:rsid w:val="00CE4EB9"/>
    <w:rsid w:val="00CE5393"/>
    <w:rsid w:val="00CE6F6F"/>
    <w:rsid w:val="00CE72CD"/>
    <w:rsid w:val="00CF36BE"/>
    <w:rsid w:val="00CF4EAA"/>
    <w:rsid w:val="00CF510D"/>
    <w:rsid w:val="00CF525B"/>
    <w:rsid w:val="00CF6000"/>
    <w:rsid w:val="00CF6F59"/>
    <w:rsid w:val="00CF7186"/>
    <w:rsid w:val="00CF7A36"/>
    <w:rsid w:val="00D003F3"/>
    <w:rsid w:val="00D00D98"/>
    <w:rsid w:val="00D01067"/>
    <w:rsid w:val="00D0164D"/>
    <w:rsid w:val="00D01C70"/>
    <w:rsid w:val="00D0202A"/>
    <w:rsid w:val="00D0364F"/>
    <w:rsid w:val="00D05315"/>
    <w:rsid w:val="00D06834"/>
    <w:rsid w:val="00D0774E"/>
    <w:rsid w:val="00D114A8"/>
    <w:rsid w:val="00D114F7"/>
    <w:rsid w:val="00D12B45"/>
    <w:rsid w:val="00D13D7E"/>
    <w:rsid w:val="00D15161"/>
    <w:rsid w:val="00D163E7"/>
    <w:rsid w:val="00D17B6A"/>
    <w:rsid w:val="00D21C1C"/>
    <w:rsid w:val="00D23EAB"/>
    <w:rsid w:val="00D24156"/>
    <w:rsid w:val="00D262BD"/>
    <w:rsid w:val="00D302B5"/>
    <w:rsid w:val="00D308ED"/>
    <w:rsid w:val="00D32085"/>
    <w:rsid w:val="00D34729"/>
    <w:rsid w:val="00D34E72"/>
    <w:rsid w:val="00D36D86"/>
    <w:rsid w:val="00D428AA"/>
    <w:rsid w:val="00D4351E"/>
    <w:rsid w:val="00D50A34"/>
    <w:rsid w:val="00D52E3A"/>
    <w:rsid w:val="00D532AD"/>
    <w:rsid w:val="00D53EFA"/>
    <w:rsid w:val="00D55B34"/>
    <w:rsid w:val="00D5673F"/>
    <w:rsid w:val="00D57A0E"/>
    <w:rsid w:val="00D636A8"/>
    <w:rsid w:val="00D711D2"/>
    <w:rsid w:val="00D7177B"/>
    <w:rsid w:val="00D738BE"/>
    <w:rsid w:val="00D75750"/>
    <w:rsid w:val="00D81BB5"/>
    <w:rsid w:val="00D832CE"/>
    <w:rsid w:val="00D835F6"/>
    <w:rsid w:val="00D858F3"/>
    <w:rsid w:val="00D86532"/>
    <w:rsid w:val="00D900E6"/>
    <w:rsid w:val="00D902F0"/>
    <w:rsid w:val="00D919D6"/>
    <w:rsid w:val="00D926A0"/>
    <w:rsid w:val="00D92942"/>
    <w:rsid w:val="00D92E41"/>
    <w:rsid w:val="00D94A7C"/>
    <w:rsid w:val="00D94BBA"/>
    <w:rsid w:val="00D95896"/>
    <w:rsid w:val="00DA2993"/>
    <w:rsid w:val="00DA5F70"/>
    <w:rsid w:val="00DA6460"/>
    <w:rsid w:val="00DA6535"/>
    <w:rsid w:val="00DA7760"/>
    <w:rsid w:val="00DB0930"/>
    <w:rsid w:val="00DB2983"/>
    <w:rsid w:val="00DB2A1B"/>
    <w:rsid w:val="00DC0BE5"/>
    <w:rsid w:val="00DC1257"/>
    <w:rsid w:val="00DC1308"/>
    <w:rsid w:val="00DC2034"/>
    <w:rsid w:val="00DC3CDA"/>
    <w:rsid w:val="00DC3CFD"/>
    <w:rsid w:val="00DC3DC0"/>
    <w:rsid w:val="00DC503B"/>
    <w:rsid w:val="00DC5B2B"/>
    <w:rsid w:val="00DC6348"/>
    <w:rsid w:val="00DC773A"/>
    <w:rsid w:val="00DD2814"/>
    <w:rsid w:val="00DD2EB1"/>
    <w:rsid w:val="00DD2FF1"/>
    <w:rsid w:val="00DD318D"/>
    <w:rsid w:val="00DD50F2"/>
    <w:rsid w:val="00DE039A"/>
    <w:rsid w:val="00DE2CAE"/>
    <w:rsid w:val="00DE47EF"/>
    <w:rsid w:val="00DF0A64"/>
    <w:rsid w:val="00DF1A2D"/>
    <w:rsid w:val="00DF2E12"/>
    <w:rsid w:val="00DF3D8D"/>
    <w:rsid w:val="00DF418A"/>
    <w:rsid w:val="00DF514A"/>
    <w:rsid w:val="00DF52C7"/>
    <w:rsid w:val="00DF5B12"/>
    <w:rsid w:val="00DF6690"/>
    <w:rsid w:val="00DF6804"/>
    <w:rsid w:val="00E0358D"/>
    <w:rsid w:val="00E03EC7"/>
    <w:rsid w:val="00E04323"/>
    <w:rsid w:val="00E047B4"/>
    <w:rsid w:val="00E060CE"/>
    <w:rsid w:val="00E06743"/>
    <w:rsid w:val="00E070A2"/>
    <w:rsid w:val="00E131CA"/>
    <w:rsid w:val="00E21FF7"/>
    <w:rsid w:val="00E2656A"/>
    <w:rsid w:val="00E26EAF"/>
    <w:rsid w:val="00E31309"/>
    <w:rsid w:val="00E31D1B"/>
    <w:rsid w:val="00E3205B"/>
    <w:rsid w:val="00E359AD"/>
    <w:rsid w:val="00E37CAF"/>
    <w:rsid w:val="00E412D0"/>
    <w:rsid w:val="00E433CB"/>
    <w:rsid w:val="00E43978"/>
    <w:rsid w:val="00E475CF"/>
    <w:rsid w:val="00E50D37"/>
    <w:rsid w:val="00E515E3"/>
    <w:rsid w:val="00E53117"/>
    <w:rsid w:val="00E547DA"/>
    <w:rsid w:val="00E55446"/>
    <w:rsid w:val="00E56322"/>
    <w:rsid w:val="00E57A1D"/>
    <w:rsid w:val="00E57B85"/>
    <w:rsid w:val="00E57E67"/>
    <w:rsid w:val="00E605A5"/>
    <w:rsid w:val="00E60982"/>
    <w:rsid w:val="00E62494"/>
    <w:rsid w:val="00E62C62"/>
    <w:rsid w:val="00E638C1"/>
    <w:rsid w:val="00E64660"/>
    <w:rsid w:val="00E6493E"/>
    <w:rsid w:val="00E64C40"/>
    <w:rsid w:val="00E654C1"/>
    <w:rsid w:val="00E65A73"/>
    <w:rsid w:val="00E65D97"/>
    <w:rsid w:val="00E67475"/>
    <w:rsid w:val="00E72A5A"/>
    <w:rsid w:val="00E73354"/>
    <w:rsid w:val="00E7475E"/>
    <w:rsid w:val="00E8194C"/>
    <w:rsid w:val="00E8272E"/>
    <w:rsid w:val="00E8338F"/>
    <w:rsid w:val="00E83EDC"/>
    <w:rsid w:val="00E8646E"/>
    <w:rsid w:val="00E8667A"/>
    <w:rsid w:val="00E86898"/>
    <w:rsid w:val="00E9242D"/>
    <w:rsid w:val="00E93EB1"/>
    <w:rsid w:val="00EA079D"/>
    <w:rsid w:val="00EA4178"/>
    <w:rsid w:val="00EA7918"/>
    <w:rsid w:val="00EB4E6A"/>
    <w:rsid w:val="00EB5255"/>
    <w:rsid w:val="00EB5C47"/>
    <w:rsid w:val="00EB759D"/>
    <w:rsid w:val="00EC3CED"/>
    <w:rsid w:val="00ED0639"/>
    <w:rsid w:val="00ED5986"/>
    <w:rsid w:val="00ED790C"/>
    <w:rsid w:val="00EE52CB"/>
    <w:rsid w:val="00EE7C48"/>
    <w:rsid w:val="00EF1F81"/>
    <w:rsid w:val="00EF2201"/>
    <w:rsid w:val="00EF40BF"/>
    <w:rsid w:val="00EF4755"/>
    <w:rsid w:val="00EF5207"/>
    <w:rsid w:val="00EF7135"/>
    <w:rsid w:val="00F0176A"/>
    <w:rsid w:val="00F027DB"/>
    <w:rsid w:val="00F02AE4"/>
    <w:rsid w:val="00F0303B"/>
    <w:rsid w:val="00F07AB9"/>
    <w:rsid w:val="00F133B9"/>
    <w:rsid w:val="00F14A7A"/>
    <w:rsid w:val="00F204C8"/>
    <w:rsid w:val="00F22985"/>
    <w:rsid w:val="00F22B07"/>
    <w:rsid w:val="00F24A42"/>
    <w:rsid w:val="00F26744"/>
    <w:rsid w:val="00F26C9F"/>
    <w:rsid w:val="00F2773B"/>
    <w:rsid w:val="00F27FF4"/>
    <w:rsid w:val="00F3243B"/>
    <w:rsid w:val="00F32ECB"/>
    <w:rsid w:val="00F3383E"/>
    <w:rsid w:val="00F351DC"/>
    <w:rsid w:val="00F35A95"/>
    <w:rsid w:val="00F41124"/>
    <w:rsid w:val="00F417AB"/>
    <w:rsid w:val="00F41AC5"/>
    <w:rsid w:val="00F41EE7"/>
    <w:rsid w:val="00F43241"/>
    <w:rsid w:val="00F4413F"/>
    <w:rsid w:val="00F465A7"/>
    <w:rsid w:val="00F47379"/>
    <w:rsid w:val="00F50103"/>
    <w:rsid w:val="00F50B7C"/>
    <w:rsid w:val="00F5168E"/>
    <w:rsid w:val="00F550E6"/>
    <w:rsid w:val="00F5551A"/>
    <w:rsid w:val="00F555FF"/>
    <w:rsid w:val="00F5713E"/>
    <w:rsid w:val="00F57457"/>
    <w:rsid w:val="00F60F11"/>
    <w:rsid w:val="00F61C3A"/>
    <w:rsid w:val="00F6395B"/>
    <w:rsid w:val="00F6710D"/>
    <w:rsid w:val="00F74345"/>
    <w:rsid w:val="00F74D51"/>
    <w:rsid w:val="00F75BB4"/>
    <w:rsid w:val="00F76948"/>
    <w:rsid w:val="00F77A58"/>
    <w:rsid w:val="00F80A0A"/>
    <w:rsid w:val="00F82B19"/>
    <w:rsid w:val="00F83943"/>
    <w:rsid w:val="00F83D86"/>
    <w:rsid w:val="00F845E2"/>
    <w:rsid w:val="00F849D4"/>
    <w:rsid w:val="00F86121"/>
    <w:rsid w:val="00F9212D"/>
    <w:rsid w:val="00F94603"/>
    <w:rsid w:val="00F965DA"/>
    <w:rsid w:val="00F97A67"/>
    <w:rsid w:val="00FA0053"/>
    <w:rsid w:val="00FA406A"/>
    <w:rsid w:val="00FA5CFA"/>
    <w:rsid w:val="00FA7E00"/>
    <w:rsid w:val="00FB068E"/>
    <w:rsid w:val="00FB15E1"/>
    <w:rsid w:val="00FB4995"/>
    <w:rsid w:val="00FB503A"/>
    <w:rsid w:val="00FB516C"/>
    <w:rsid w:val="00FB57A4"/>
    <w:rsid w:val="00FB610E"/>
    <w:rsid w:val="00FC1404"/>
    <w:rsid w:val="00FC79F7"/>
    <w:rsid w:val="00FD0236"/>
    <w:rsid w:val="00FD0C5A"/>
    <w:rsid w:val="00FD12C3"/>
    <w:rsid w:val="00FD18F4"/>
    <w:rsid w:val="00FD54DB"/>
    <w:rsid w:val="00FD619F"/>
    <w:rsid w:val="00FE42D9"/>
    <w:rsid w:val="00FE617B"/>
    <w:rsid w:val="00FE66A9"/>
    <w:rsid w:val="00FE7583"/>
    <w:rsid w:val="00FF0B32"/>
    <w:rsid w:val="00FF39D4"/>
    <w:rsid w:val="00FF46BD"/>
    <w:rsid w:val="00FF6FB1"/>
    <w:rsid w:val="01085546"/>
    <w:rsid w:val="01290F7E"/>
    <w:rsid w:val="015D1E09"/>
    <w:rsid w:val="01A307CB"/>
    <w:rsid w:val="01BE4A1D"/>
    <w:rsid w:val="02697903"/>
    <w:rsid w:val="029702A0"/>
    <w:rsid w:val="02F41A44"/>
    <w:rsid w:val="02F96569"/>
    <w:rsid w:val="03BD0123"/>
    <w:rsid w:val="03D1158F"/>
    <w:rsid w:val="03EA7B21"/>
    <w:rsid w:val="0422003D"/>
    <w:rsid w:val="044073C1"/>
    <w:rsid w:val="04AE32CB"/>
    <w:rsid w:val="04B053CC"/>
    <w:rsid w:val="057F185E"/>
    <w:rsid w:val="05F83EAE"/>
    <w:rsid w:val="062136BE"/>
    <w:rsid w:val="062C35A6"/>
    <w:rsid w:val="063E7D85"/>
    <w:rsid w:val="06691F53"/>
    <w:rsid w:val="06EB2910"/>
    <w:rsid w:val="07170535"/>
    <w:rsid w:val="07240B62"/>
    <w:rsid w:val="07293586"/>
    <w:rsid w:val="07295285"/>
    <w:rsid w:val="07406EFB"/>
    <w:rsid w:val="07636392"/>
    <w:rsid w:val="07770C56"/>
    <w:rsid w:val="07C2272F"/>
    <w:rsid w:val="08783693"/>
    <w:rsid w:val="08D23513"/>
    <w:rsid w:val="092217DD"/>
    <w:rsid w:val="093A7294"/>
    <w:rsid w:val="0986265E"/>
    <w:rsid w:val="0A1163F4"/>
    <w:rsid w:val="0A263993"/>
    <w:rsid w:val="0A2D3AC2"/>
    <w:rsid w:val="0A434869"/>
    <w:rsid w:val="0A530E9C"/>
    <w:rsid w:val="0AA755DF"/>
    <w:rsid w:val="0ACC2AB1"/>
    <w:rsid w:val="0AE1096B"/>
    <w:rsid w:val="0B092EA0"/>
    <w:rsid w:val="0B120D44"/>
    <w:rsid w:val="0B17268A"/>
    <w:rsid w:val="0BD27BF6"/>
    <w:rsid w:val="0BFB1DF6"/>
    <w:rsid w:val="0C392BC3"/>
    <w:rsid w:val="0C3B3C7D"/>
    <w:rsid w:val="0CAB2EAE"/>
    <w:rsid w:val="0D565827"/>
    <w:rsid w:val="0D621C7D"/>
    <w:rsid w:val="0D9E67E7"/>
    <w:rsid w:val="0DC70BA8"/>
    <w:rsid w:val="0DF55209"/>
    <w:rsid w:val="0E2A1DA7"/>
    <w:rsid w:val="0E2B335B"/>
    <w:rsid w:val="0E6B7947"/>
    <w:rsid w:val="0E73034D"/>
    <w:rsid w:val="0ED56E4C"/>
    <w:rsid w:val="0F13775A"/>
    <w:rsid w:val="0F507029"/>
    <w:rsid w:val="0F5F45FE"/>
    <w:rsid w:val="0F707EAE"/>
    <w:rsid w:val="0F766AE8"/>
    <w:rsid w:val="0F9A112B"/>
    <w:rsid w:val="106D2F64"/>
    <w:rsid w:val="10B63710"/>
    <w:rsid w:val="10F10820"/>
    <w:rsid w:val="111C2F7A"/>
    <w:rsid w:val="11270A41"/>
    <w:rsid w:val="11665CA1"/>
    <w:rsid w:val="11CA2382"/>
    <w:rsid w:val="124F46CC"/>
    <w:rsid w:val="129D3A2C"/>
    <w:rsid w:val="12F87C39"/>
    <w:rsid w:val="13004823"/>
    <w:rsid w:val="130F62C0"/>
    <w:rsid w:val="13951726"/>
    <w:rsid w:val="13C3198D"/>
    <w:rsid w:val="13C56589"/>
    <w:rsid w:val="13DD188A"/>
    <w:rsid w:val="13F53078"/>
    <w:rsid w:val="143000EA"/>
    <w:rsid w:val="14396509"/>
    <w:rsid w:val="144F4D88"/>
    <w:rsid w:val="14605EFF"/>
    <w:rsid w:val="14DD2C3C"/>
    <w:rsid w:val="14ED3D4F"/>
    <w:rsid w:val="15456F4C"/>
    <w:rsid w:val="15B72D44"/>
    <w:rsid w:val="16087E1D"/>
    <w:rsid w:val="17274608"/>
    <w:rsid w:val="17701D14"/>
    <w:rsid w:val="17735226"/>
    <w:rsid w:val="17B172B6"/>
    <w:rsid w:val="185169B8"/>
    <w:rsid w:val="189F624C"/>
    <w:rsid w:val="18C00B8B"/>
    <w:rsid w:val="19DE06FE"/>
    <w:rsid w:val="1A1C66C0"/>
    <w:rsid w:val="1A42393B"/>
    <w:rsid w:val="1A8011C2"/>
    <w:rsid w:val="1A8B31CA"/>
    <w:rsid w:val="1AAD45DE"/>
    <w:rsid w:val="1B046F80"/>
    <w:rsid w:val="1B3267B5"/>
    <w:rsid w:val="1B37590B"/>
    <w:rsid w:val="1B40161D"/>
    <w:rsid w:val="1B441859"/>
    <w:rsid w:val="1B6606B1"/>
    <w:rsid w:val="1BDB6CD3"/>
    <w:rsid w:val="1C5E7925"/>
    <w:rsid w:val="1CDA7D84"/>
    <w:rsid w:val="1CFD070F"/>
    <w:rsid w:val="1CFF3108"/>
    <w:rsid w:val="1D046399"/>
    <w:rsid w:val="1D5F6196"/>
    <w:rsid w:val="1D604647"/>
    <w:rsid w:val="1D6132A5"/>
    <w:rsid w:val="1D73657A"/>
    <w:rsid w:val="1D8E56D5"/>
    <w:rsid w:val="1DCB0636"/>
    <w:rsid w:val="1E305893"/>
    <w:rsid w:val="1E7A43DA"/>
    <w:rsid w:val="1E99239F"/>
    <w:rsid w:val="1ECB34E7"/>
    <w:rsid w:val="1EFC2FCF"/>
    <w:rsid w:val="1FE7539E"/>
    <w:rsid w:val="20207825"/>
    <w:rsid w:val="20670E5A"/>
    <w:rsid w:val="20671BE0"/>
    <w:rsid w:val="20963CB8"/>
    <w:rsid w:val="209D3C5C"/>
    <w:rsid w:val="20A81A1B"/>
    <w:rsid w:val="20B07FB6"/>
    <w:rsid w:val="20B646FB"/>
    <w:rsid w:val="21367232"/>
    <w:rsid w:val="213B74B1"/>
    <w:rsid w:val="215A2310"/>
    <w:rsid w:val="21DE318A"/>
    <w:rsid w:val="21EF5B80"/>
    <w:rsid w:val="22576990"/>
    <w:rsid w:val="22B953A6"/>
    <w:rsid w:val="22F47480"/>
    <w:rsid w:val="23D63280"/>
    <w:rsid w:val="23DE1C48"/>
    <w:rsid w:val="23DF13D4"/>
    <w:rsid w:val="23E4340D"/>
    <w:rsid w:val="23E946E7"/>
    <w:rsid w:val="240210CD"/>
    <w:rsid w:val="2454533A"/>
    <w:rsid w:val="24BF09F7"/>
    <w:rsid w:val="252D53FE"/>
    <w:rsid w:val="25571A38"/>
    <w:rsid w:val="25DD3CDA"/>
    <w:rsid w:val="25EC2D81"/>
    <w:rsid w:val="26556634"/>
    <w:rsid w:val="26912297"/>
    <w:rsid w:val="26CC5EBA"/>
    <w:rsid w:val="271E70EE"/>
    <w:rsid w:val="277057A2"/>
    <w:rsid w:val="27E3560B"/>
    <w:rsid w:val="281638ED"/>
    <w:rsid w:val="28D05538"/>
    <w:rsid w:val="29206EB8"/>
    <w:rsid w:val="29595666"/>
    <w:rsid w:val="29874881"/>
    <w:rsid w:val="29B80FE1"/>
    <w:rsid w:val="29E325E0"/>
    <w:rsid w:val="2A24495D"/>
    <w:rsid w:val="2A452503"/>
    <w:rsid w:val="2AA67AF9"/>
    <w:rsid w:val="2AA84549"/>
    <w:rsid w:val="2AC22F19"/>
    <w:rsid w:val="2AC334D7"/>
    <w:rsid w:val="2B036C3D"/>
    <w:rsid w:val="2B56747C"/>
    <w:rsid w:val="2BA936A8"/>
    <w:rsid w:val="2C315A5A"/>
    <w:rsid w:val="2C4B1C25"/>
    <w:rsid w:val="2C4E398D"/>
    <w:rsid w:val="2D4E1BED"/>
    <w:rsid w:val="2D9E56F5"/>
    <w:rsid w:val="2DAC78C7"/>
    <w:rsid w:val="2DCA3889"/>
    <w:rsid w:val="2E64334D"/>
    <w:rsid w:val="2E667F96"/>
    <w:rsid w:val="2E8226AB"/>
    <w:rsid w:val="2F0717DC"/>
    <w:rsid w:val="2FD065E6"/>
    <w:rsid w:val="2FD96870"/>
    <w:rsid w:val="30580BC9"/>
    <w:rsid w:val="306F40C0"/>
    <w:rsid w:val="3103697D"/>
    <w:rsid w:val="311E2ED7"/>
    <w:rsid w:val="315619EE"/>
    <w:rsid w:val="315C449C"/>
    <w:rsid w:val="31B82709"/>
    <w:rsid w:val="31D05482"/>
    <w:rsid w:val="32067251"/>
    <w:rsid w:val="323060F0"/>
    <w:rsid w:val="32400B34"/>
    <w:rsid w:val="327A5414"/>
    <w:rsid w:val="329E6876"/>
    <w:rsid w:val="333015F2"/>
    <w:rsid w:val="33493DD5"/>
    <w:rsid w:val="334B6320"/>
    <w:rsid w:val="334E3266"/>
    <w:rsid w:val="336A0A0D"/>
    <w:rsid w:val="33900270"/>
    <w:rsid w:val="33D934D4"/>
    <w:rsid w:val="33FE2F6A"/>
    <w:rsid w:val="340E07E5"/>
    <w:rsid w:val="34235BF7"/>
    <w:rsid w:val="343F0676"/>
    <w:rsid w:val="353335A8"/>
    <w:rsid w:val="35472BB0"/>
    <w:rsid w:val="358C5FA8"/>
    <w:rsid w:val="35C15DF1"/>
    <w:rsid w:val="36074A7F"/>
    <w:rsid w:val="36923549"/>
    <w:rsid w:val="369A0B79"/>
    <w:rsid w:val="36B75FBF"/>
    <w:rsid w:val="36BD0C45"/>
    <w:rsid w:val="372E0C54"/>
    <w:rsid w:val="37B41E85"/>
    <w:rsid w:val="37E00298"/>
    <w:rsid w:val="38376F0C"/>
    <w:rsid w:val="385C1C09"/>
    <w:rsid w:val="388852D6"/>
    <w:rsid w:val="38B302F9"/>
    <w:rsid w:val="38F12CD3"/>
    <w:rsid w:val="38F94775"/>
    <w:rsid w:val="391E587B"/>
    <w:rsid w:val="392971ED"/>
    <w:rsid w:val="39325651"/>
    <w:rsid w:val="398D3D50"/>
    <w:rsid w:val="39B254CC"/>
    <w:rsid w:val="3A2269D7"/>
    <w:rsid w:val="3A5E4E64"/>
    <w:rsid w:val="3A637768"/>
    <w:rsid w:val="3A872856"/>
    <w:rsid w:val="3AAA1435"/>
    <w:rsid w:val="3AD350D0"/>
    <w:rsid w:val="3AE362CD"/>
    <w:rsid w:val="3B3763D1"/>
    <w:rsid w:val="3BC24A93"/>
    <w:rsid w:val="3C2F6E1E"/>
    <w:rsid w:val="3C4F64BA"/>
    <w:rsid w:val="3CC46BF7"/>
    <w:rsid w:val="3CDA245A"/>
    <w:rsid w:val="3D015D3A"/>
    <w:rsid w:val="3D1E06B7"/>
    <w:rsid w:val="3E4304A3"/>
    <w:rsid w:val="3E5325C6"/>
    <w:rsid w:val="3E582B7F"/>
    <w:rsid w:val="3EDA0523"/>
    <w:rsid w:val="3F5C05CD"/>
    <w:rsid w:val="3F81638B"/>
    <w:rsid w:val="407A6407"/>
    <w:rsid w:val="40A9110D"/>
    <w:rsid w:val="41A6024E"/>
    <w:rsid w:val="4200449D"/>
    <w:rsid w:val="42152C69"/>
    <w:rsid w:val="423A3BCC"/>
    <w:rsid w:val="423E35ED"/>
    <w:rsid w:val="424E57D2"/>
    <w:rsid w:val="42B26C49"/>
    <w:rsid w:val="42DB54D9"/>
    <w:rsid w:val="43397FDC"/>
    <w:rsid w:val="433A6FE6"/>
    <w:rsid w:val="433C22DC"/>
    <w:rsid w:val="43480868"/>
    <w:rsid w:val="4350713C"/>
    <w:rsid w:val="436653E0"/>
    <w:rsid w:val="43827BD5"/>
    <w:rsid w:val="43C4431A"/>
    <w:rsid w:val="44B951CC"/>
    <w:rsid w:val="44C90DC9"/>
    <w:rsid w:val="44CD14E0"/>
    <w:rsid w:val="44D44FEF"/>
    <w:rsid w:val="44F20B0B"/>
    <w:rsid w:val="45104EAC"/>
    <w:rsid w:val="45155037"/>
    <w:rsid w:val="452E5F4C"/>
    <w:rsid w:val="45612018"/>
    <w:rsid w:val="458946E9"/>
    <w:rsid w:val="45A47C0E"/>
    <w:rsid w:val="45EC3DE0"/>
    <w:rsid w:val="46577FD6"/>
    <w:rsid w:val="466C3B79"/>
    <w:rsid w:val="46944F07"/>
    <w:rsid w:val="46B7427D"/>
    <w:rsid w:val="46C04EFD"/>
    <w:rsid w:val="46D955A7"/>
    <w:rsid w:val="46FB2AD0"/>
    <w:rsid w:val="47133957"/>
    <w:rsid w:val="473C708E"/>
    <w:rsid w:val="47A07E0C"/>
    <w:rsid w:val="47C86C7B"/>
    <w:rsid w:val="48055FA3"/>
    <w:rsid w:val="4870272E"/>
    <w:rsid w:val="48890DF7"/>
    <w:rsid w:val="48C077AC"/>
    <w:rsid w:val="48D26EE4"/>
    <w:rsid w:val="492F5E2E"/>
    <w:rsid w:val="49C113DE"/>
    <w:rsid w:val="49DC7715"/>
    <w:rsid w:val="49E650CC"/>
    <w:rsid w:val="49EB22BF"/>
    <w:rsid w:val="49F91A6F"/>
    <w:rsid w:val="4A023139"/>
    <w:rsid w:val="4A7B576F"/>
    <w:rsid w:val="4A820140"/>
    <w:rsid w:val="4AB76E4E"/>
    <w:rsid w:val="4AF561A9"/>
    <w:rsid w:val="4B2D47D1"/>
    <w:rsid w:val="4B2F0A82"/>
    <w:rsid w:val="4B673A64"/>
    <w:rsid w:val="4B6B66DF"/>
    <w:rsid w:val="4BB80D10"/>
    <w:rsid w:val="4BC35E81"/>
    <w:rsid w:val="4BEE4553"/>
    <w:rsid w:val="4C4A0649"/>
    <w:rsid w:val="4C7E5ECA"/>
    <w:rsid w:val="4C876AA5"/>
    <w:rsid w:val="4D0E00FB"/>
    <w:rsid w:val="4D176606"/>
    <w:rsid w:val="4D743683"/>
    <w:rsid w:val="4DBA2DAA"/>
    <w:rsid w:val="4DC41284"/>
    <w:rsid w:val="4DEC4FB0"/>
    <w:rsid w:val="4E075D8A"/>
    <w:rsid w:val="4E640A77"/>
    <w:rsid w:val="4EC00FAD"/>
    <w:rsid w:val="4F9843DC"/>
    <w:rsid w:val="4FAC56F6"/>
    <w:rsid w:val="4FC62A8C"/>
    <w:rsid w:val="4FE20F0D"/>
    <w:rsid w:val="4FE51552"/>
    <w:rsid w:val="500615DE"/>
    <w:rsid w:val="50504C4B"/>
    <w:rsid w:val="507A2574"/>
    <w:rsid w:val="509C6E7C"/>
    <w:rsid w:val="50B21472"/>
    <w:rsid w:val="5162104E"/>
    <w:rsid w:val="5163238A"/>
    <w:rsid w:val="527A515B"/>
    <w:rsid w:val="530846E1"/>
    <w:rsid w:val="536B0E3A"/>
    <w:rsid w:val="53975E20"/>
    <w:rsid w:val="53A039CC"/>
    <w:rsid w:val="53A1505A"/>
    <w:rsid w:val="54063E08"/>
    <w:rsid w:val="543437E8"/>
    <w:rsid w:val="548A67E0"/>
    <w:rsid w:val="54905F4B"/>
    <w:rsid w:val="54F73313"/>
    <w:rsid w:val="54F80955"/>
    <w:rsid w:val="555170A7"/>
    <w:rsid w:val="5587536D"/>
    <w:rsid w:val="5598354E"/>
    <w:rsid w:val="559B174B"/>
    <w:rsid w:val="55CE0CF4"/>
    <w:rsid w:val="565E469C"/>
    <w:rsid w:val="56B22A9C"/>
    <w:rsid w:val="56D76D43"/>
    <w:rsid w:val="56E12F93"/>
    <w:rsid w:val="575B7FAD"/>
    <w:rsid w:val="5795619F"/>
    <w:rsid w:val="57985B85"/>
    <w:rsid w:val="57B72A76"/>
    <w:rsid w:val="57C3426C"/>
    <w:rsid w:val="57CE1F93"/>
    <w:rsid w:val="582C7CB7"/>
    <w:rsid w:val="588743D1"/>
    <w:rsid w:val="5887701A"/>
    <w:rsid w:val="5892221E"/>
    <w:rsid w:val="58B2758B"/>
    <w:rsid w:val="592514A8"/>
    <w:rsid w:val="5939268C"/>
    <w:rsid w:val="598219E1"/>
    <w:rsid w:val="59C0439F"/>
    <w:rsid w:val="59FE1AA4"/>
    <w:rsid w:val="5ABE2233"/>
    <w:rsid w:val="5AD96AF4"/>
    <w:rsid w:val="5B860B01"/>
    <w:rsid w:val="5BDF5D95"/>
    <w:rsid w:val="5BFE7528"/>
    <w:rsid w:val="5C2F6109"/>
    <w:rsid w:val="5C5D217D"/>
    <w:rsid w:val="5C8F26D5"/>
    <w:rsid w:val="5CC96CC5"/>
    <w:rsid w:val="5CFF5BAB"/>
    <w:rsid w:val="5D210B40"/>
    <w:rsid w:val="5D3C33D1"/>
    <w:rsid w:val="5D555C8D"/>
    <w:rsid w:val="5E2467F1"/>
    <w:rsid w:val="5E2C27BF"/>
    <w:rsid w:val="5E337A31"/>
    <w:rsid w:val="5E4946BA"/>
    <w:rsid w:val="5E8442D1"/>
    <w:rsid w:val="5F1A2B43"/>
    <w:rsid w:val="5F4A074A"/>
    <w:rsid w:val="5FB41DC6"/>
    <w:rsid w:val="5FB80DC0"/>
    <w:rsid w:val="5FB837BB"/>
    <w:rsid w:val="5FBB029F"/>
    <w:rsid w:val="6031133A"/>
    <w:rsid w:val="60CC405A"/>
    <w:rsid w:val="6147368A"/>
    <w:rsid w:val="61E215D8"/>
    <w:rsid w:val="621B3775"/>
    <w:rsid w:val="62202372"/>
    <w:rsid w:val="62276C6F"/>
    <w:rsid w:val="622E0A17"/>
    <w:rsid w:val="62364782"/>
    <w:rsid w:val="6280132C"/>
    <w:rsid w:val="636A0AB4"/>
    <w:rsid w:val="6394356A"/>
    <w:rsid w:val="63B7486A"/>
    <w:rsid w:val="63C61B2C"/>
    <w:rsid w:val="63D40BE9"/>
    <w:rsid w:val="64102431"/>
    <w:rsid w:val="64601386"/>
    <w:rsid w:val="64811153"/>
    <w:rsid w:val="64A5243A"/>
    <w:rsid w:val="64F531DE"/>
    <w:rsid w:val="65373578"/>
    <w:rsid w:val="656547F2"/>
    <w:rsid w:val="657A02B4"/>
    <w:rsid w:val="659C1DD3"/>
    <w:rsid w:val="661E1C6F"/>
    <w:rsid w:val="665800C3"/>
    <w:rsid w:val="667E5B82"/>
    <w:rsid w:val="671F124A"/>
    <w:rsid w:val="677A33C6"/>
    <w:rsid w:val="679D1C55"/>
    <w:rsid w:val="681F6961"/>
    <w:rsid w:val="68283854"/>
    <w:rsid w:val="6846633C"/>
    <w:rsid w:val="68477A1D"/>
    <w:rsid w:val="684B484D"/>
    <w:rsid w:val="68610A2F"/>
    <w:rsid w:val="68805514"/>
    <w:rsid w:val="68817B59"/>
    <w:rsid w:val="68B87E47"/>
    <w:rsid w:val="68E41FAF"/>
    <w:rsid w:val="69316E2F"/>
    <w:rsid w:val="694E2071"/>
    <w:rsid w:val="694F1A58"/>
    <w:rsid w:val="695D7149"/>
    <w:rsid w:val="69644194"/>
    <w:rsid w:val="69766163"/>
    <w:rsid w:val="697A3B33"/>
    <w:rsid w:val="697B51B7"/>
    <w:rsid w:val="69D44760"/>
    <w:rsid w:val="6A520EC7"/>
    <w:rsid w:val="6A5C60E2"/>
    <w:rsid w:val="6ABE72C7"/>
    <w:rsid w:val="6AF87E20"/>
    <w:rsid w:val="6B205B6E"/>
    <w:rsid w:val="6B322639"/>
    <w:rsid w:val="6B3C220F"/>
    <w:rsid w:val="6BD53312"/>
    <w:rsid w:val="6BEA68C2"/>
    <w:rsid w:val="6C636C38"/>
    <w:rsid w:val="6C870C12"/>
    <w:rsid w:val="6C937EAD"/>
    <w:rsid w:val="6CAD0F6F"/>
    <w:rsid w:val="6D0D00F8"/>
    <w:rsid w:val="6D2426B2"/>
    <w:rsid w:val="6D3F05A4"/>
    <w:rsid w:val="6D5E5795"/>
    <w:rsid w:val="6D9F0F9A"/>
    <w:rsid w:val="6DA5026C"/>
    <w:rsid w:val="6DB34098"/>
    <w:rsid w:val="6DB545B6"/>
    <w:rsid w:val="6DE02FB4"/>
    <w:rsid w:val="6E514CED"/>
    <w:rsid w:val="6E5E4200"/>
    <w:rsid w:val="6E7039B1"/>
    <w:rsid w:val="6EAD4E5A"/>
    <w:rsid w:val="6EB563D5"/>
    <w:rsid w:val="6ED92677"/>
    <w:rsid w:val="6EDF6926"/>
    <w:rsid w:val="6F225983"/>
    <w:rsid w:val="6FFC5590"/>
    <w:rsid w:val="70415189"/>
    <w:rsid w:val="706D1DD0"/>
    <w:rsid w:val="70856B87"/>
    <w:rsid w:val="70D13C2F"/>
    <w:rsid w:val="70D527EE"/>
    <w:rsid w:val="715B5300"/>
    <w:rsid w:val="71D27F8A"/>
    <w:rsid w:val="72394901"/>
    <w:rsid w:val="72553024"/>
    <w:rsid w:val="73122968"/>
    <w:rsid w:val="731F5D5E"/>
    <w:rsid w:val="733E664C"/>
    <w:rsid w:val="7358476E"/>
    <w:rsid w:val="73B10A90"/>
    <w:rsid w:val="73C51AD5"/>
    <w:rsid w:val="741E793C"/>
    <w:rsid w:val="745E3944"/>
    <w:rsid w:val="745F299D"/>
    <w:rsid w:val="75277E5B"/>
    <w:rsid w:val="752B3379"/>
    <w:rsid w:val="75C13FAA"/>
    <w:rsid w:val="75D1282D"/>
    <w:rsid w:val="761A519B"/>
    <w:rsid w:val="7635099D"/>
    <w:rsid w:val="769B4FF6"/>
    <w:rsid w:val="77163661"/>
    <w:rsid w:val="77707E71"/>
    <w:rsid w:val="77762421"/>
    <w:rsid w:val="779C1FB1"/>
    <w:rsid w:val="77AB0492"/>
    <w:rsid w:val="77B56B1F"/>
    <w:rsid w:val="77F9658B"/>
    <w:rsid w:val="780F09F4"/>
    <w:rsid w:val="78167F7C"/>
    <w:rsid w:val="78582854"/>
    <w:rsid w:val="788F2598"/>
    <w:rsid w:val="78A90480"/>
    <w:rsid w:val="78CD79B9"/>
    <w:rsid w:val="792F648E"/>
    <w:rsid w:val="79667E5D"/>
    <w:rsid w:val="79AE6327"/>
    <w:rsid w:val="79E23198"/>
    <w:rsid w:val="7A364017"/>
    <w:rsid w:val="7A8265E1"/>
    <w:rsid w:val="7AFB559C"/>
    <w:rsid w:val="7B4D71F4"/>
    <w:rsid w:val="7B686D42"/>
    <w:rsid w:val="7B825027"/>
    <w:rsid w:val="7B841746"/>
    <w:rsid w:val="7BBC6486"/>
    <w:rsid w:val="7BD61B65"/>
    <w:rsid w:val="7C327A69"/>
    <w:rsid w:val="7C6C5AC7"/>
    <w:rsid w:val="7CC6544B"/>
    <w:rsid w:val="7D0239FF"/>
    <w:rsid w:val="7D5E40CD"/>
    <w:rsid w:val="7D5F174C"/>
    <w:rsid w:val="7DCD56F2"/>
    <w:rsid w:val="7DFD6B7C"/>
    <w:rsid w:val="7DFE6D90"/>
    <w:rsid w:val="7E436B98"/>
    <w:rsid w:val="7F001CE7"/>
    <w:rsid w:val="7F892BE5"/>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0" w:semiHidden="0" w:name="toc 1" w:locked="1"/>
    <w:lsdException w:qFormat="1" w:unhideWhenUsed="0" w:uiPriority="0" w:semiHidden="0" w:name="toc 2" w:locked="1"/>
    <w:lsdException w:uiPriority="0" w:name="toc 3" w:locked="1"/>
    <w:lsdException w:uiPriority="0" w:name="toc 4" w:locked="1"/>
    <w:lsdException w:qFormat="1" w:unhideWhenUsed="0" w:uiPriority="0" w:semiHidden="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99" w:semiHidden="0" w:name="Normal (Web)"/>
    <w:lsdException w:uiPriority="0" w:name="HTML Acronym" w:locked="1"/>
    <w:lsdException w:uiPriority="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iPriority="0" w:name="HTML Preformatted" w:locked="1"/>
    <w:lsdException w:qFormat="1" w:unhideWhenUsed="0" w:uiPriority="0" w:semiHidden="0" w:name="HTML Sample" w:locked="1"/>
    <w:lsdException w:uiPriority="0" w:name="HTML Typewriter" w:locked="1"/>
    <w:lsdException w:qFormat="1"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locked/>
    <w:uiPriority w:val="0"/>
    <w:pPr>
      <w:keepNext/>
      <w:jc w:val="center"/>
      <w:outlineLvl w:val="2"/>
    </w:pPr>
    <w:rPr>
      <w:rFonts w:ascii="宋体" w:hAnsi="宋体"/>
      <w:b/>
      <w:bCs/>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pPr>
      <w:widowControl/>
      <w:snapToGrid w:val="0"/>
      <w:spacing w:before="60" w:after="160" w:line="259" w:lineRule="auto"/>
      <w:ind w:right="113"/>
    </w:pPr>
    <w:rPr>
      <w:kern w:val="0"/>
      <w:sz w:val="18"/>
      <w:szCs w:val="20"/>
    </w:rPr>
  </w:style>
  <w:style w:type="paragraph" w:styleId="5">
    <w:name w:val="List 3"/>
    <w:basedOn w:val="1"/>
    <w:next w:val="1"/>
    <w:qFormat/>
    <w:locked/>
    <w:uiPriority w:val="0"/>
    <w:pPr>
      <w:ind w:left="100" w:leftChars="400" w:hanging="200" w:hangingChars="200"/>
    </w:pPr>
  </w:style>
  <w:style w:type="paragraph" w:styleId="6">
    <w:name w:val="E-mail Signature"/>
    <w:basedOn w:val="1"/>
    <w:next w:val="7"/>
    <w:qFormat/>
    <w:locked/>
    <w:uiPriority w:val="0"/>
    <w:pPr>
      <w:spacing w:line="460" w:lineRule="exact"/>
      <w:ind w:firstLine="200"/>
    </w:pPr>
  </w:style>
  <w:style w:type="paragraph" w:customStyle="1" w:styleId="7">
    <w:name w:val="文章"/>
    <w:next w:val="8"/>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8">
    <w:name w:val="List"/>
    <w:basedOn w:val="1"/>
    <w:next w:val="9"/>
    <w:qFormat/>
    <w:locked/>
    <w:uiPriority w:val="0"/>
    <w:pPr>
      <w:ind w:left="200" w:hanging="200" w:hangingChars="200"/>
    </w:pPr>
  </w:style>
  <w:style w:type="paragraph" w:styleId="9">
    <w:name w:val="List Bullet 2"/>
    <w:basedOn w:val="1"/>
    <w:next w:val="10"/>
    <w:qFormat/>
    <w:locked/>
    <w:uiPriority w:val="0"/>
    <w:pPr>
      <w:numPr>
        <w:ilvl w:val="0"/>
        <w:numId w:val="1"/>
      </w:numPr>
    </w:pPr>
  </w:style>
  <w:style w:type="paragraph" w:customStyle="1" w:styleId="10">
    <w:name w:val="xl70"/>
    <w:basedOn w:val="1"/>
    <w:next w:val="1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szCs w:val="20"/>
    </w:rPr>
  </w:style>
  <w:style w:type="paragraph" w:customStyle="1" w:styleId="11">
    <w:name w:val="正文缩进1"/>
    <w:basedOn w:val="1"/>
    <w:next w:val="12"/>
    <w:qFormat/>
    <w:uiPriority w:val="0"/>
    <w:pPr>
      <w:spacing w:before="156" w:beforeLines="50" w:after="156" w:afterLines="50"/>
      <w:ind w:firstLine="1048" w:firstLineChars="435"/>
      <w:jc w:val="center"/>
    </w:pPr>
    <w:rPr>
      <w:rFonts w:ascii="宋体" w:hAnsi="宋体"/>
      <w:b/>
      <w:bCs/>
      <w:color w:val="000000"/>
      <w:kern w:val="24"/>
      <w:sz w:val="24"/>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unhideWhenUsed/>
    <w:qFormat/>
    <w:locked/>
    <w:uiPriority w:val="0"/>
    <w:pPr>
      <w:ind w:firstLine="420" w:firstLineChars="200"/>
    </w:pPr>
    <w:rPr>
      <w:rFonts w:ascii="宋体" w:hAnsi="宋体" w:cs="宋体"/>
      <w:kern w:val="0"/>
      <w:sz w:val="20"/>
      <w:szCs w:val="20"/>
    </w:rPr>
  </w:style>
  <w:style w:type="paragraph" w:styleId="14">
    <w:name w:val="Document Map"/>
    <w:basedOn w:val="1"/>
    <w:link w:val="72"/>
    <w:qFormat/>
    <w:locked/>
    <w:uiPriority w:val="0"/>
    <w:rPr>
      <w:rFonts w:ascii="宋体"/>
      <w:sz w:val="18"/>
      <w:szCs w:val="18"/>
    </w:rPr>
  </w:style>
  <w:style w:type="paragraph" w:styleId="15">
    <w:name w:val="annotation text"/>
    <w:basedOn w:val="1"/>
    <w:next w:val="16"/>
    <w:link w:val="68"/>
    <w:qFormat/>
    <w:uiPriority w:val="99"/>
    <w:pPr>
      <w:jc w:val="left"/>
    </w:pPr>
    <w:rPr>
      <w:kern w:val="0"/>
      <w:sz w:val="24"/>
      <w:szCs w:val="20"/>
    </w:rPr>
  </w:style>
  <w:style w:type="paragraph" w:styleId="16">
    <w:name w:val="toc 5"/>
    <w:basedOn w:val="1"/>
    <w:next w:val="1"/>
    <w:qFormat/>
    <w:locked/>
    <w:uiPriority w:val="0"/>
    <w:pPr>
      <w:ind w:left="1680" w:leftChars="800"/>
    </w:pPr>
  </w:style>
  <w:style w:type="paragraph" w:styleId="17">
    <w:name w:val="Body Text Indent"/>
    <w:basedOn w:val="1"/>
    <w:link w:val="60"/>
    <w:qFormat/>
    <w:uiPriority w:val="0"/>
    <w:pPr>
      <w:spacing w:after="120"/>
      <w:ind w:left="420" w:leftChars="200"/>
    </w:pPr>
    <w:rPr>
      <w:kern w:val="0"/>
      <w:sz w:val="24"/>
      <w:szCs w:val="20"/>
    </w:rPr>
  </w:style>
  <w:style w:type="paragraph" w:styleId="18">
    <w:name w:val="Plain Text"/>
    <w:basedOn w:val="1"/>
    <w:next w:val="19"/>
    <w:link w:val="98"/>
    <w:qFormat/>
    <w:locked/>
    <w:uiPriority w:val="0"/>
    <w:rPr>
      <w:rFonts w:ascii="宋体" w:hAnsi="Courier New"/>
      <w:szCs w:val="21"/>
    </w:rPr>
  </w:style>
  <w:style w:type="paragraph" w:styleId="19">
    <w:name w:val="toc 1"/>
    <w:basedOn w:val="1"/>
    <w:next w:val="1"/>
    <w:qFormat/>
    <w:locked/>
    <w:uiPriority w:val="0"/>
  </w:style>
  <w:style w:type="paragraph" w:styleId="20">
    <w:name w:val="Date"/>
    <w:basedOn w:val="1"/>
    <w:next w:val="1"/>
    <w:link w:val="51"/>
    <w:qFormat/>
    <w:uiPriority w:val="0"/>
    <w:pPr>
      <w:ind w:left="100" w:leftChars="2500"/>
    </w:pPr>
    <w:rPr>
      <w:kern w:val="0"/>
      <w:sz w:val="24"/>
      <w:szCs w:val="20"/>
    </w:rPr>
  </w:style>
  <w:style w:type="paragraph" w:styleId="21">
    <w:name w:val="Balloon Text"/>
    <w:basedOn w:val="1"/>
    <w:link w:val="71"/>
    <w:semiHidden/>
    <w:qFormat/>
    <w:uiPriority w:val="0"/>
    <w:rPr>
      <w:kern w:val="0"/>
      <w:sz w:val="18"/>
      <w:szCs w:val="20"/>
    </w:rPr>
  </w:style>
  <w:style w:type="paragraph" w:styleId="22">
    <w:name w:val="footer"/>
    <w:basedOn w:val="1"/>
    <w:link w:val="63"/>
    <w:qFormat/>
    <w:uiPriority w:val="99"/>
    <w:pPr>
      <w:tabs>
        <w:tab w:val="center" w:pos="4153"/>
        <w:tab w:val="right" w:pos="8306"/>
      </w:tabs>
      <w:snapToGrid w:val="0"/>
      <w:jc w:val="left"/>
    </w:pPr>
    <w:rPr>
      <w:kern w:val="0"/>
      <w:sz w:val="18"/>
      <w:szCs w:val="20"/>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toc 2"/>
    <w:basedOn w:val="1"/>
    <w:next w:val="6"/>
    <w:qFormat/>
    <w:locked/>
    <w:uiPriority w:val="0"/>
    <w:pPr>
      <w:adjustRightInd w:val="0"/>
      <w:spacing w:line="312" w:lineRule="atLeast"/>
      <w:ind w:left="420" w:leftChars="200"/>
      <w:textAlignment w:val="baseline"/>
    </w:pPr>
    <w:rPr>
      <w:kern w:val="0"/>
      <w:szCs w:val="20"/>
    </w:rPr>
  </w:style>
  <w:style w:type="paragraph" w:styleId="25">
    <w:name w:val="Normal (Web)"/>
    <w:basedOn w:val="1"/>
    <w:link w:val="62"/>
    <w:qFormat/>
    <w:uiPriority w:val="99"/>
    <w:pPr>
      <w:widowControl/>
      <w:spacing w:before="100" w:beforeAutospacing="1" w:after="100" w:afterAutospacing="1"/>
      <w:jc w:val="left"/>
    </w:pPr>
    <w:rPr>
      <w:rFonts w:ascii="宋体" w:hAnsi="宋体"/>
      <w:kern w:val="0"/>
      <w:sz w:val="24"/>
      <w:szCs w:val="20"/>
    </w:rPr>
  </w:style>
  <w:style w:type="paragraph" w:styleId="26">
    <w:name w:val="annotation subject"/>
    <w:basedOn w:val="15"/>
    <w:next w:val="15"/>
    <w:link w:val="58"/>
    <w:semiHidden/>
    <w:qFormat/>
    <w:uiPriority w:val="0"/>
    <w:rPr>
      <w:b/>
      <w:kern w:val="2"/>
    </w:rPr>
  </w:style>
  <w:style w:type="paragraph" w:styleId="27">
    <w:name w:val="Body Text First Indent 2"/>
    <w:basedOn w:val="17"/>
    <w:qFormat/>
    <w:locked/>
    <w:uiPriority w:val="0"/>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locked/>
    <w:uiPriority w:val="0"/>
    <w:rPr>
      <w:b/>
      <w:bCs/>
    </w:rPr>
  </w:style>
  <w:style w:type="character" w:styleId="32">
    <w:name w:val="page number"/>
    <w:basedOn w:val="30"/>
    <w:qFormat/>
    <w:locked/>
    <w:uiPriority w:val="0"/>
  </w:style>
  <w:style w:type="character" w:styleId="33">
    <w:name w:val="FollowedHyperlink"/>
    <w:qFormat/>
    <w:locked/>
    <w:uiPriority w:val="0"/>
    <w:rPr>
      <w:color w:val="666666"/>
      <w:u w:val="none"/>
    </w:rPr>
  </w:style>
  <w:style w:type="character" w:styleId="34">
    <w:name w:val="Emphasis"/>
    <w:qFormat/>
    <w:locked/>
    <w:uiPriority w:val="0"/>
  </w:style>
  <w:style w:type="character" w:styleId="35">
    <w:name w:val="HTML Definition"/>
    <w:qFormat/>
    <w:locked/>
    <w:uiPriority w:val="0"/>
  </w:style>
  <w:style w:type="character" w:styleId="36">
    <w:name w:val="HTML Variable"/>
    <w:qFormat/>
    <w:locked/>
    <w:uiPriority w:val="0"/>
  </w:style>
  <w:style w:type="character" w:styleId="37">
    <w:name w:val="Hyperlink"/>
    <w:qFormat/>
    <w:locked/>
    <w:uiPriority w:val="0"/>
    <w:rPr>
      <w:color w:val="666666"/>
      <w:u w:val="none"/>
    </w:rPr>
  </w:style>
  <w:style w:type="character" w:styleId="38">
    <w:name w:val="HTML Code"/>
    <w:qFormat/>
    <w:locked/>
    <w:uiPriority w:val="0"/>
    <w:rPr>
      <w:rFonts w:ascii="Consolas" w:hAnsi="Consolas" w:eastAsia="Consolas" w:cs="Consolas"/>
      <w:color w:val="C7254E"/>
      <w:sz w:val="21"/>
      <w:szCs w:val="21"/>
      <w:shd w:val="clear" w:color="auto" w:fill="F9F2F4"/>
    </w:rPr>
  </w:style>
  <w:style w:type="character" w:styleId="39">
    <w:name w:val="annotation reference"/>
    <w:qFormat/>
    <w:uiPriority w:val="0"/>
    <w:rPr>
      <w:sz w:val="21"/>
    </w:rPr>
  </w:style>
  <w:style w:type="character" w:styleId="40">
    <w:name w:val="HTML Cite"/>
    <w:qFormat/>
    <w:locked/>
    <w:uiPriority w:val="0"/>
  </w:style>
  <w:style w:type="character" w:styleId="41">
    <w:name w:val="HTML Keyboard"/>
    <w:qFormat/>
    <w:locked/>
    <w:uiPriority w:val="0"/>
    <w:rPr>
      <w:rFonts w:hint="default" w:ascii="Consolas" w:hAnsi="Consolas" w:eastAsia="Consolas" w:cs="Consolas"/>
      <w:color w:val="FFFFFF"/>
      <w:sz w:val="21"/>
      <w:szCs w:val="21"/>
      <w:shd w:val="clear" w:color="auto" w:fill="333333"/>
    </w:rPr>
  </w:style>
  <w:style w:type="character" w:styleId="42">
    <w:name w:val="HTML Sample"/>
    <w:qFormat/>
    <w:locked/>
    <w:uiPriority w:val="0"/>
    <w:rPr>
      <w:rFonts w:hint="default" w:ascii="Consolas" w:hAnsi="Consolas" w:eastAsia="Consolas" w:cs="Consolas"/>
      <w:sz w:val="21"/>
      <w:szCs w:val="21"/>
    </w:rPr>
  </w:style>
  <w:style w:type="paragraph" w:customStyle="1" w:styleId="43">
    <w:name w:val="Default"/>
    <w:basedOn w:val="44"/>
    <w:next w:val="5"/>
    <w:qFormat/>
    <w:uiPriority w:val="0"/>
    <w:pPr>
      <w:autoSpaceDE w:val="0"/>
      <w:autoSpaceDN w:val="0"/>
    </w:pPr>
    <w:rPr>
      <w:color w:val="000000"/>
      <w:sz w:val="24"/>
    </w:rPr>
  </w:style>
  <w:style w:type="paragraph" w:customStyle="1" w:styleId="44">
    <w:name w:val="纯文本1"/>
    <w:basedOn w:val="1"/>
    <w:qFormat/>
    <w:uiPriority w:val="0"/>
    <w:pPr>
      <w:adjustRightInd w:val="0"/>
      <w:jc w:val="center"/>
      <w:textAlignment w:val="baseline"/>
    </w:pPr>
    <w:rPr>
      <w:rFonts w:ascii="宋体" w:hAnsi="Courier New"/>
    </w:rPr>
  </w:style>
  <w:style w:type="character" w:customStyle="1" w:styleId="45">
    <w:name w:val="页脚 字符"/>
    <w:basedOn w:val="30"/>
    <w:qFormat/>
    <w:uiPriority w:val="99"/>
  </w:style>
  <w:style w:type="character" w:customStyle="1" w:styleId="46">
    <w:name w:val="正文文本 Char"/>
    <w:link w:val="2"/>
    <w:qFormat/>
    <w:locked/>
    <w:uiPriority w:val="0"/>
    <w:rPr>
      <w:sz w:val="18"/>
    </w:rPr>
  </w:style>
  <w:style w:type="character" w:customStyle="1" w:styleId="47">
    <w:name w:val="copyright1"/>
    <w:qFormat/>
    <w:uiPriority w:val="0"/>
    <w:rPr>
      <w:rFonts w:hint="default"/>
      <w:color w:val="000000"/>
    </w:rPr>
  </w:style>
  <w:style w:type="character" w:customStyle="1" w:styleId="48">
    <w:name w:val="font11"/>
    <w:qFormat/>
    <w:uiPriority w:val="0"/>
    <w:rPr>
      <w:rFonts w:hint="default" w:ascii="Times New Roman" w:hAnsi="Times New Roman" w:cs="Times New Roman"/>
      <w:color w:val="000000"/>
      <w:sz w:val="21"/>
      <w:szCs w:val="21"/>
      <w:u w:val="none"/>
    </w:rPr>
  </w:style>
  <w:style w:type="character" w:customStyle="1" w:styleId="49">
    <w:name w:val="font31"/>
    <w:qFormat/>
    <w:uiPriority w:val="0"/>
    <w:rPr>
      <w:rFonts w:hint="default" w:ascii="Times New Roman" w:hAnsi="Times New Roman" w:cs="Times New Roman"/>
      <w:b/>
      <w:color w:val="000000"/>
      <w:sz w:val="21"/>
      <w:szCs w:val="21"/>
      <w:u w:val="none"/>
    </w:rPr>
  </w:style>
  <w:style w:type="character" w:customStyle="1" w:styleId="50">
    <w:name w:val="amend-blacklist1"/>
    <w:qFormat/>
    <w:uiPriority w:val="0"/>
    <w:rPr>
      <w:color w:val="E60012"/>
    </w:rPr>
  </w:style>
  <w:style w:type="character" w:customStyle="1" w:styleId="51">
    <w:name w:val="日期 Char"/>
    <w:link w:val="20"/>
    <w:qFormat/>
    <w:locked/>
    <w:uiPriority w:val="0"/>
    <w:rPr>
      <w:rFonts w:ascii="Times New Roman" w:hAnsi="Times New Roman" w:eastAsia="宋体"/>
      <w:sz w:val="24"/>
    </w:rPr>
  </w:style>
  <w:style w:type="character" w:customStyle="1" w:styleId="52">
    <w:name w:val="页眉 Char"/>
    <w:link w:val="23"/>
    <w:qFormat/>
    <w:locked/>
    <w:uiPriority w:val="0"/>
    <w:rPr>
      <w:sz w:val="18"/>
    </w:rPr>
  </w:style>
  <w:style w:type="character" w:customStyle="1" w:styleId="53">
    <w:name w:val="批注文字 字符1"/>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日期 字符"/>
    <w:semiHidden/>
    <w:qFormat/>
    <w:uiPriority w:val="0"/>
    <w:rPr>
      <w:rFonts w:ascii="Times New Roman" w:hAnsi="Times New Roman" w:eastAsia="宋体"/>
      <w:sz w:val="24"/>
    </w:rPr>
  </w:style>
  <w:style w:type="character" w:customStyle="1" w:styleId="56">
    <w:name w:val="font61"/>
    <w:qFormat/>
    <w:uiPriority w:val="0"/>
    <w:rPr>
      <w:rFonts w:hint="eastAsia" w:ascii="宋体" w:hAnsi="宋体" w:eastAsia="宋体" w:cs="宋体"/>
      <w:color w:val="000000"/>
      <w:sz w:val="21"/>
      <w:szCs w:val="21"/>
      <w:u w:val="none"/>
    </w:rPr>
  </w:style>
  <w:style w:type="character" w:customStyle="1" w:styleId="57">
    <w:name w:val="amend-blacklist"/>
    <w:qFormat/>
    <w:uiPriority w:val="0"/>
    <w:rPr>
      <w:color w:val="E60012"/>
    </w:rPr>
  </w:style>
  <w:style w:type="character" w:customStyle="1" w:styleId="58">
    <w:name w:val="批注主题 Char"/>
    <w:link w:val="26"/>
    <w:semiHidden/>
    <w:qFormat/>
    <w:locked/>
    <w:uiPriority w:val="0"/>
    <w:rPr>
      <w:rFonts w:ascii="Times New Roman" w:hAnsi="Times New Roman" w:eastAsia="宋体"/>
      <w:b/>
      <w:kern w:val="2"/>
      <w:sz w:val="24"/>
    </w:rPr>
  </w:style>
  <w:style w:type="character" w:customStyle="1" w:styleId="59">
    <w:name w:val="font21"/>
    <w:qFormat/>
    <w:uiPriority w:val="0"/>
    <w:rPr>
      <w:rFonts w:hint="eastAsia" w:ascii="宋体" w:hAnsi="宋体" w:eastAsia="宋体" w:cs="宋体"/>
      <w:color w:val="000000"/>
      <w:sz w:val="21"/>
      <w:szCs w:val="21"/>
      <w:u w:val="none"/>
    </w:rPr>
  </w:style>
  <w:style w:type="character" w:customStyle="1" w:styleId="60">
    <w:name w:val="正文文本缩进 Char"/>
    <w:link w:val="17"/>
    <w:semiHidden/>
    <w:qFormat/>
    <w:locked/>
    <w:uiPriority w:val="0"/>
    <w:rPr>
      <w:rFonts w:ascii="Times New Roman" w:hAnsi="Times New Roman" w:eastAsia="宋体"/>
      <w:sz w:val="24"/>
    </w:rPr>
  </w:style>
  <w:style w:type="character" w:customStyle="1" w:styleId="61">
    <w:name w:val="amend-open"/>
    <w:qFormat/>
    <w:uiPriority w:val="0"/>
    <w:rPr>
      <w:color w:val="009944"/>
    </w:rPr>
  </w:style>
  <w:style w:type="character" w:customStyle="1" w:styleId="62">
    <w:name w:val="普通(网站) Char"/>
    <w:link w:val="25"/>
    <w:qFormat/>
    <w:locked/>
    <w:uiPriority w:val="0"/>
    <w:rPr>
      <w:rFonts w:ascii="宋体" w:hAnsi="宋体" w:eastAsia="宋体"/>
      <w:sz w:val="24"/>
    </w:rPr>
  </w:style>
  <w:style w:type="character" w:customStyle="1" w:styleId="63">
    <w:name w:val="页脚 Char"/>
    <w:link w:val="22"/>
    <w:qFormat/>
    <w:locked/>
    <w:uiPriority w:val="99"/>
    <w:rPr>
      <w:sz w:val="18"/>
    </w:rPr>
  </w:style>
  <w:style w:type="character" w:customStyle="1" w:styleId="64">
    <w:name w:val="font51"/>
    <w:qFormat/>
    <w:uiPriority w:val="0"/>
    <w:rPr>
      <w:rFonts w:hint="default" w:ascii="Times New Roman" w:hAnsi="Times New Roman" w:cs="Times New Roman"/>
      <w:color w:val="000000"/>
      <w:sz w:val="21"/>
      <w:szCs w:val="21"/>
      <w:u w:val="none"/>
    </w:rPr>
  </w:style>
  <w:style w:type="character" w:customStyle="1" w:styleId="65">
    <w:name w:val="amend-open1"/>
    <w:qFormat/>
    <w:uiPriority w:val="0"/>
    <w:rPr>
      <w:color w:val="009944"/>
    </w:rPr>
  </w:style>
  <w:style w:type="character" w:customStyle="1" w:styleId="66">
    <w:name w:val="表格 Char"/>
    <w:link w:val="67"/>
    <w:qFormat/>
    <w:locked/>
    <w:uiPriority w:val="0"/>
    <w:rPr>
      <w:rFonts w:ascii="宋体"/>
      <w:sz w:val="21"/>
    </w:rPr>
  </w:style>
  <w:style w:type="paragraph" w:customStyle="1" w:styleId="67">
    <w:name w:val="表格"/>
    <w:basedOn w:val="1"/>
    <w:next w:val="1"/>
    <w:link w:val="66"/>
    <w:qFormat/>
    <w:uiPriority w:val="0"/>
    <w:pPr>
      <w:adjustRightInd w:val="0"/>
      <w:snapToGrid w:val="0"/>
      <w:spacing w:beforeLines="10" w:afterLines="10" w:line="259" w:lineRule="auto"/>
      <w:jc w:val="center"/>
    </w:pPr>
    <w:rPr>
      <w:rFonts w:ascii="宋体"/>
      <w:kern w:val="0"/>
      <w:szCs w:val="20"/>
    </w:rPr>
  </w:style>
  <w:style w:type="character" w:customStyle="1" w:styleId="68">
    <w:name w:val="批注文字 Char"/>
    <w:link w:val="15"/>
    <w:qFormat/>
    <w:locked/>
    <w:uiPriority w:val="99"/>
    <w:rPr>
      <w:rFonts w:ascii="Times New Roman" w:hAnsi="Times New Roman" w:eastAsia="宋体"/>
      <w:sz w:val="24"/>
    </w:rPr>
  </w:style>
  <w:style w:type="character" w:customStyle="1" w:styleId="69">
    <w:name w:val="font41"/>
    <w:qFormat/>
    <w:uiPriority w:val="0"/>
    <w:rPr>
      <w:rFonts w:hint="eastAsia" w:ascii="宋体" w:hAnsi="宋体" w:eastAsia="宋体" w:cs="宋体"/>
      <w:b/>
      <w:color w:val="000000"/>
      <w:sz w:val="21"/>
      <w:szCs w:val="21"/>
      <w:u w:val="none"/>
    </w:rPr>
  </w:style>
  <w:style w:type="character" w:customStyle="1" w:styleId="70">
    <w:name w:val="font71"/>
    <w:qFormat/>
    <w:uiPriority w:val="0"/>
    <w:rPr>
      <w:rFonts w:hint="default" w:ascii="Times New Roman" w:hAnsi="Times New Roman" w:cs="Times New Roman"/>
      <w:color w:val="000000"/>
      <w:sz w:val="21"/>
      <w:szCs w:val="21"/>
      <w:u w:val="none"/>
      <w:vertAlign w:val="subscript"/>
    </w:rPr>
  </w:style>
  <w:style w:type="character" w:customStyle="1" w:styleId="71">
    <w:name w:val="批注框文本 Char"/>
    <w:link w:val="21"/>
    <w:semiHidden/>
    <w:qFormat/>
    <w:locked/>
    <w:uiPriority w:val="0"/>
    <w:rPr>
      <w:rFonts w:ascii="Times New Roman" w:hAnsi="Times New Roman" w:eastAsia="宋体"/>
      <w:sz w:val="18"/>
    </w:rPr>
  </w:style>
  <w:style w:type="character" w:customStyle="1" w:styleId="72">
    <w:name w:val="文档结构图 Char"/>
    <w:link w:val="14"/>
    <w:qFormat/>
    <w:uiPriority w:val="0"/>
    <w:rPr>
      <w:rFonts w:ascii="宋体"/>
      <w:kern w:val="2"/>
      <w:sz w:val="18"/>
      <w:szCs w:val="18"/>
    </w:rPr>
  </w:style>
  <w:style w:type="character" w:customStyle="1" w:styleId="73">
    <w:name w:val="批注文字 Char1"/>
    <w:semiHidden/>
    <w:qFormat/>
    <w:locked/>
    <w:uiPriority w:val="0"/>
    <w:rPr>
      <w:sz w:val="24"/>
    </w:rPr>
  </w:style>
  <w:style w:type="paragraph" w:customStyle="1" w:styleId="74">
    <w:name w:val="列出段落1"/>
    <w:basedOn w:val="1"/>
    <w:qFormat/>
    <w:uiPriority w:val="34"/>
    <w:pPr>
      <w:ind w:firstLine="420" w:firstLineChars="200"/>
    </w:pPr>
    <w:rPr>
      <w:szCs w:val="22"/>
    </w:rPr>
  </w:style>
  <w:style w:type="paragraph" w:customStyle="1" w:styleId="75">
    <w:name w:val="font6"/>
    <w:basedOn w:val="1"/>
    <w:next w:val="24"/>
    <w:qFormat/>
    <w:uiPriority w:val="0"/>
    <w:pPr>
      <w:widowControl/>
      <w:spacing w:before="100" w:beforeAutospacing="1" w:after="100" w:afterAutospacing="1"/>
      <w:jc w:val="left"/>
    </w:pPr>
    <w:rPr>
      <w:rFonts w:hint="eastAsia" w:ascii="宋体" w:hAnsi="宋体" w:cs="Arial Unicode MS"/>
      <w:sz w:val="18"/>
      <w:szCs w:val="18"/>
    </w:rPr>
  </w:style>
  <w:style w:type="paragraph" w:customStyle="1" w:styleId="76">
    <w:name w:val="报告表小段"/>
    <w:basedOn w:val="1"/>
    <w:qFormat/>
    <w:uiPriority w:val="0"/>
    <w:pPr>
      <w:snapToGrid w:val="0"/>
      <w:spacing w:before="120" w:line="360" w:lineRule="auto"/>
      <w:ind w:firstLine="470" w:firstLineChars="196"/>
    </w:pPr>
    <w:rPr>
      <w:rFonts w:ascii="宋体" w:hAnsi="Calibri"/>
      <w:bCs/>
      <w:sz w:val="24"/>
      <w:szCs w:val="20"/>
      <w:lang w:val="zh-CN"/>
    </w:rPr>
  </w:style>
  <w:style w:type="paragraph" w:customStyle="1" w:styleId="77">
    <w:name w:val="表 内容"/>
    <w:basedOn w:val="1"/>
    <w:qFormat/>
    <w:uiPriority w:val="0"/>
    <w:pPr>
      <w:adjustRightInd w:val="0"/>
      <w:snapToGrid w:val="0"/>
      <w:spacing w:beforeLines="15"/>
      <w:jc w:val="center"/>
    </w:pPr>
    <w:rPr>
      <w:kern w:val="0"/>
      <w:sz w:val="20"/>
      <w:szCs w:val="21"/>
    </w:rPr>
  </w:style>
  <w:style w:type="paragraph" w:customStyle="1" w:styleId="78">
    <w:name w:val="图表文字"/>
    <w:basedOn w:val="1"/>
    <w:qFormat/>
    <w:uiPriority w:val="0"/>
    <w:pPr>
      <w:widowControl/>
      <w:jc w:val="center"/>
    </w:pPr>
    <w:rPr>
      <w:kern w:val="0"/>
      <w:szCs w:val="21"/>
    </w:rPr>
  </w:style>
  <w:style w:type="paragraph" w:customStyle="1" w:styleId="79">
    <w:name w:val="正文内容"/>
    <w:basedOn w:val="1"/>
    <w:qFormat/>
    <w:uiPriority w:val="0"/>
    <w:pPr>
      <w:ind w:firstLine="200" w:firstLineChars="200"/>
    </w:pPr>
    <w:rPr>
      <w:kern w:val="0"/>
      <w:sz w:val="24"/>
    </w:rPr>
  </w:style>
  <w:style w:type="paragraph" w:customStyle="1" w:styleId="80">
    <w:name w:val="p0"/>
    <w:basedOn w:val="1"/>
    <w:qFormat/>
    <w:uiPriority w:val="0"/>
    <w:pPr>
      <w:widowControl/>
    </w:pPr>
    <w:rPr>
      <w:rFonts w:ascii="Calibri" w:hAnsi="Calibri" w:cs="宋体"/>
      <w:kern w:val="0"/>
      <w:szCs w:val="21"/>
    </w:rPr>
  </w:style>
  <w:style w:type="paragraph" w:customStyle="1" w:styleId="8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样式35"/>
    <w:basedOn w:val="77"/>
    <w:next w:val="75"/>
    <w:qFormat/>
    <w:uiPriority w:val="0"/>
    <w:pPr>
      <w:spacing w:line="312" w:lineRule="auto"/>
      <w:ind w:firstLine="567"/>
      <w:jc w:val="both"/>
    </w:pPr>
    <w:rPr>
      <w:rFonts w:ascii="宋体"/>
      <w:kern w:val="2"/>
      <w:sz w:val="21"/>
      <w:szCs w:val="22"/>
    </w:rPr>
  </w:style>
  <w:style w:type="paragraph" w:customStyle="1" w:styleId="83">
    <w:name w:val="表标题"/>
    <w:basedOn w:val="1"/>
    <w:link w:val="92"/>
    <w:qFormat/>
    <w:uiPriority w:val="0"/>
    <w:pPr>
      <w:spacing w:line="520" w:lineRule="exact"/>
      <w:jc w:val="center"/>
      <w:textAlignment w:val="baseline"/>
    </w:pPr>
    <w:rPr>
      <w:b/>
      <w:kern w:val="0"/>
      <w:szCs w:val="20"/>
    </w:rPr>
  </w:style>
  <w:style w:type="paragraph" w:customStyle="1" w:styleId="84">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8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7">
    <w:name w:val="样式 表格 32 + 首行缩进:  2 字符"/>
    <w:basedOn w:val="1"/>
    <w:qFormat/>
    <w:uiPriority w:val="0"/>
    <w:pPr>
      <w:autoSpaceDE w:val="0"/>
      <w:autoSpaceDN w:val="0"/>
      <w:adjustRightInd w:val="0"/>
      <w:spacing w:line="0" w:lineRule="atLeast"/>
      <w:jc w:val="center"/>
      <w:textAlignment w:val="baseline"/>
    </w:pPr>
    <w:rPr>
      <w:kern w:val="0"/>
      <w:sz w:val="24"/>
    </w:r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90">
    <w:name w:val="正文首行缩进 21"/>
    <w:basedOn w:val="17"/>
    <w:qFormat/>
    <w:uiPriority w:val="0"/>
    <w:pPr>
      <w:spacing w:before="100" w:beforeAutospacing="1"/>
      <w:ind w:firstLine="420" w:firstLineChars="200"/>
    </w:pPr>
    <w:rPr>
      <w:szCs w:val="24"/>
    </w:rPr>
  </w:style>
  <w:style w:type="paragraph" w:customStyle="1" w:styleId="91">
    <w:name w:val="报告表  段"/>
    <w:basedOn w:val="1"/>
    <w:qFormat/>
    <w:uiPriority w:val="0"/>
    <w:pPr>
      <w:adjustRightInd w:val="0"/>
      <w:spacing w:line="360" w:lineRule="auto"/>
      <w:ind w:firstLine="505"/>
      <w:textAlignment w:val="baseline"/>
    </w:pPr>
    <w:rPr>
      <w:kern w:val="0"/>
      <w:sz w:val="24"/>
    </w:rPr>
  </w:style>
  <w:style w:type="character" w:customStyle="1" w:styleId="92">
    <w:name w:val="表标题 Char"/>
    <w:link w:val="83"/>
    <w:qFormat/>
    <w:uiPriority w:val="0"/>
    <w:rPr>
      <w:b/>
      <w:sz w:val="21"/>
    </w:rPr>
  </w:style>
  <w:style w:type="paragraph" w:customStyle="1" w:styleId="93">
    <w:name w:val="正文 首行缩进:  2 字符"/>
    <w:basedOn w:val="1"/>
    <w:qFormat/>
    <w:uiPriority w:val="0"/>
    <w:pPr>
      <w:suppressAutoHyphens/>
      <w:ind w:firstLine="579" w:firstLineChars="200"/>
    </w:pPr>
    <w:rPr>
      <w:rFonts w:cs="宋体"/>
      <w:kern w:val="1"/>
      <w:lang w:eastAsia="ar-SA"/>
    </w:rPr>
  </w:style>
  <w:style w:type="paragraph" w:styleId="94">
    <w:name w:val="List Paragraph"/>
    <w:basedOn w:val="1"/>
    <w:qFormat/>
    <w:uiPriority w:val="99"/>
    <w:pPr>
      <w:ind w:firstLine="420" w:firstLineChars="200"/>
    </w:pPr>
  </w:style>
  <w:style w:type="character" w:customStyle="1" w:styleId="95">
    <w:name w:val="正本文字 Char"/>
    <w:link w:val="96"/>
    <w:qFormat/>
    <w:locked/>
    <w:uiPriority w:val="0"/>
    <w:rPr>
      <w:rFonts w:ascii="宋体" w:hAnsi="宋体"/>
      <w:kern w:val="18"/>
      <w:sz w:val="24"/>
    </w:rPr>
  </w:style>
  <w:style w:type="paragraph" w:customStyle="1" w:styleId="96">
    <w:name w:val="正本文字"/>
    <w:basedOn w:val="1"/>
    <w:link w:val="95"/>
    <w:qFormat/>
    <w:uiPriority w:val="0"/>
    <w:pPr>
      <w:adjustRightInd w:val="0"/>
      <w:snapToGrid w:val="0"/>
      <w:spacing w:line="360" w:lineRule="auto"/>
      <w:ind w:firstLine="200" w:firstLineChars="200"/>
      <w:jc w:val="left"/>
    </w:pPr>
    <w:rPr>
      <w:rFonts w:ascii="宋体" w:hAnsi="宋体"/>
      <w:kern w:val="18"/>
      <w:sz w:val="24"/>
      <w:szCs w:val="20"/>
    </w:rPr>
  </w:style>
  <w:style w:type="paragraph" w:customStyle="1" w:styleId="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纯文本 Char"/>
    <w:link w:val="18"/>
    <w:qFormat/>
    <w:uiPriority w:val="0"/>
    <w:rPr>
      <w:rFonts w:ascii="宋体" w:hAnsi="Courier New"/>
      <w:kern w:val="2"/>
      <w:sz w:val="21"/>
      <w:szCs w:val="21"/>
    </w:rPr>
  </w:style>
  <w:style w:type="paragraph" w:customStyle="1" w:styleId="99">
    <w:name w:val="Table Paragraph"/>
    <w:basedOn w:val="1"/>
    <w:link w:val="100"/>
    <w:qFormat/>
    <w:uiPriority w:val="0"/>
    <w:rPr>
      <w:rFonts w:ascii="宋体" w:hAnsi="宋体" w:cs="宋体"/>
      <w:szCs w:val="21"/>
      <w:lang w:val="zh-CN" w:bidi="zh-CN"/>
    </w:rPr>
  </w:style>
  <w:style w:type="character" w:customStyle="1" w:styleId="100">
    <w:name w:val="Table Paragraph Char"/>
    <w:link w:val="99"/>
    <w:qFormat/>
    <w:uiPriority w:val="1"/>
    <w:rPr>
      <w:rFonts w:ascii="宋体" w:hAnsi="宋体" w:cs="宋体"/>
      <w:kern w:val="2"/>
      <w:sz w:val="21"/>
      <w:szCs w:val="21"/>
      <w:lang w:val="zh-CN" w:bidi="zh-CN"/>
    </w:rPr>
  </w:style>
  <w:style w:type="character" w:customStyle="1" w:styleId="101">
    <w:name w:val="表格1 Char1"/>
    <w:link w:val="102"/>
    <w:qFormat/>
    <w:uiPriority w:val="0"/>
    <w:rPr>
      <w:rFonts w:ascii="CG Times (WN)"/>
      <w:sz w:val="24"/>
      <w:lang w:eastAsia="zh-TW"/>
    </w:rPr>
  </w:style>
  <w:style w:type="paragraph" w:customStyle="1" w:styleId="102">
    <w:name w:val="表格1"/>
    <w:basedOn w:val="1"/>
    <w:link w:val="101"/>
    <w:qFormat/>
    <w:uiPriority w:val="0"/>
    <w:pPr>
      <w:adjustRightInd w:val="0"/>
      <w:spacing w:line="360" w:lineRule="atLeast"/>
      <w:jc w:val="center"/>
      <w:textAlignment w:val="baseline"/>
    </w:pPr>
    <w:rPr>
      <w:rFonts w:ascii="CG Times (WN)"/>
      <w:kern w:val="0"/>
      <w:sz w:val="24"/>
      <w:szCs w:val="20"/>
      <w:lang w:eastAsia="zh-TW"/>
    </w:rPr>
  </w:style>
  <w:style w:type="character" w:customStyle="1" w:styleId="103">
    <w:name w:val="批注文字 字符"/>
    <w:qFormat/>
    <w:locked/>
    <w:uiPriority w:val="99"/>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5F95C-EB89-4A86-B17E-DA5870E64B4B}">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98</Pages>
  <Words>40505</Words>
  <Characters>46887</Characters>
  <Lines>366</Lines>
  <Paragraphs>103</Paragraphs>
  <TotalTime>45</TotalTime>
  <ScaleCrop>false</ScaleCrop>
  <LinksUpToDate>false</LinksUpToDate>
  <CharactersWithSpaces>47250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2022-01-10T01:19:00Z</dcterms:created>
  <dc:creator>lhj</dc:creator>
  <cp:lastModifiedBy>建熙</cp:lastModifiedBy>
  <cp:lastPrinted>2022-11-02T02:03:00Z</cp:lastPrinted>
  <dcterms:modified xsi:type="dcterms:W3CDTF">2022-11-08T02:37:47Z</dcterms:modified>
  <dc:title>附件2</dc:title>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5FDE8255BDF5429D8399343B2A30653A</vt:lpwstr>
  </property>
</Properties>
</file>