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highlight w:val="none"/>
        </w:rPr>
      </w:pPr>
    </w:p>
    <w:p>
      <w:pPr>
        <w:rPr>
          <w:rFonts w:hint="eastAsia" w:ascii="仿宋_GB2312" w:hAnsi="仿宋_GB2312" w:eastAsia="仿宋_GB2312" w:cs="仿宋_GB2312"/>
          <w:sz w:val="36"/>
          <w:szCs w:val="36"/>
          <w:highlight w:val="none"/>
        </w:rPr>
      </w:pPr>
    </w:p>
    <w:p>
      <w:pPr>
        <w:pStyle w:val="16"/>
        <w:rPr>
          <w:rFonts w:hint="eastAsia"/>
          <w:highlight w:val="none"/>
        </w:rPr>
      </w:pPr>
    </w:p>
    <w:p>
      <w:pPr>
        <w:pStyle w:val="16"/>
        <w:rPr>
          <w:rFonts w:hint="eastAsia"/>
          <w:highlight w:val="none"/>
        </w:rPr>
      </w:pPr>
    </w:p>
    <w:p>
      <w:pPr>
        <w:adjustRightInd w:val="0"/>
        <w:snapToGrid w:val="0"/>
        <w:jc w:val="center"/>
        <w:outlineLvl w:val="0"/>
        <w:rPr>
          <w:rFonts w:hint="eastAsia" w:ascii="方正小标宋_GBK" w:eastAsia="方正小标宋_GBK"/>
          <w:bCs/>
          <w:sz w:val="72"/>
          <w:szCs w:val="72"/>
          <w:highlight w:val="none"/>
        </w:rPr>
      </w:pPr>
      <w:r>
        <w:rPr>
          <w:rFonts w:hint="eastAsia" w:ascii="方正小标宋_GBK" w:eastAsia="方正小标宋_GBK"/>
          <w:bCs/>
          <w:sz w:val="72"/>
          <w:szCs w:val="72"/>
          <w:highlight w:val="none"/>
        </w:rPr>
        <w:t>建设项目环境影响报告表</w:t>
      </w:r>
    </w:p>
    <w:p>
      <w:pPr>
        <w:adjustRightInd w:val="0"/>
        <w:snapToGrid w:val="0"/>
        <w:spacing w:beforeLines="80"/>
        <w:jc w:val="center"/>
        <w:rPr>
          <w:rFonts w:hint="eastAsia" w:ascii="楷体_GB2312" w:eastAsia="楷体_GB2312"/>
          <w:bCs/>
          <w:sz w:val="48"/>
          <w:szCs w:val="48"/>
          <w:highlight w:val="none"/>
        </w:rPr>
      </w:pPr>
      <w:r>
        <w:rPr>
          <w:rFonts w:hint="eastAsia" w:ascii="楷体_GB2312" w:eastAsia="楷体_GB2312"/>
          <w:bCs/>
          <w:sz w:val="48"/>
          <w:szCs w:val="48"/>
          <w:highlight w:val="none"/>
        </w:rPr>
        <w:t>（污染影响类）</w:t>
      </w:r>
    </w:p>
    <w:p>
      <w:pPr>
        <w:adjustRightInd w:val="0"/>
        <w:snapToGrid w:val="0"/>
        <w:spacing w:line="288" w:lineRule="auto"/>
        <w:jc w:val="center"/>
        <w:rPr>
          <w:rFonts w:ascii="华文仿宋" w:hAnsi="华文仿宋" w:eastAsia="华文仿宋" w:cs="华文仿宋"/>
          <w:kern w:val="44"/>
          <w:sz w:val="44"/>
          <w:szCs w:val="44"/>
          <w:highlight w:val="none"/>
        </w:rPr>
      </w:pPr>
    </w:p>
    <w:p>
      <w:pPr>
        <w:ind w:firstLine="1040"/>
        <w:rPr>
          <w:rFonts w:eastAsia="仿宋"/>
          <w:sz w:val="44"/>
          <w:szCs w:val="44"/>
          <w:highlight w:val="none"/>
          <w:u w:val="single"/>
        </w:rPr>
      </w:pPr>
    </w:p>
    <w:p>
      <w:pPr>
        <w:ind w:firstLine="1040"/>
        <w:rPr>
          <w:rFonts w:eastAsia="仿宋"/>
          <w:sz w:val="44"/>
          <w:szCs w:val="44"/>
          <w:highlight w:val="none"/>
          <w:u w:val="single"/>
        </w:rPr>
      </w:pPr>
    </w:p>
    <w:p>
      <w:pPr>
        <w:ind w:firstLine="1040"/>
        <w:rPr>
          <w:rFonts w:eastAsia="仿宋"/>
          <w:sz w:val="44"/>
          <w:szCs w:val="44"/>
          <w:highlight w:val="none"/>
          <w:u w:val="single"/>
        </w:rPr>
      </w:pPr>
    </w:p>
    <w:p>
      <w:pPr>
        <w:pStyle w:val="2"/>
        <w:rPr>
          <w:rFonts w:eastAsia="仿宋"/>
          <w:sz w:val="44"/>
          <w:szCs w:val="44"/>
          <w:highlight w:val="none"/>
          <w:u w:val="single"/>
        </w:rPr>
      </w:pPr>
    </w:p>
    <w:p>
      <w:pPr>
        <w:rPr>
          <w:highlight w:val="none"/>
        </w:rPr>
      </w:pPr>
    </w:p>
    <w:p>
      <w:pPr>
        <w:pStyle w:val="2"/>
        <w:rPr>
          <w:highlight w:val="none"/>
        </w:rPr>
      </w:pPr>
    </w:p>
    <w:p>
      <w:pPr>
        <w:pStyle w:val="2"/>
        <w:rPr>
          <w:rFonts w:eastAsia="仿宋"/>
          <w:sz w:val="44"/>
          <w:szCs w:val="44"/>
          <w:highlight w:val="none"/>
          <w:u w:val="single"/>
        </w:rPr>
      </w:pPr>
    </w:p>
    <w:p>
      <w:pPr>
        <w:rPr>
          <w:highlight w:val="none"/>
        </w:rPr>
      </w:pPr>
    </w:p>
    <w:p>
      <w:pPr>
        <w:adjustRightInd w:val="0"/>
        <w:snapToGrid w:val="0"/>
        <w:spacing w:line="288" w:lineRule="auto"/>
        <w:ind w:firstLine="720" w:firstLineChars="200"/>
        <w:jc w:val="both"/>
        <w:rPr>
          <w:rFonts w:hint="eastAsia" w:ascii="宋体" w:hAnsi="宋体" w:eastAsia="宋体" w:cs="宋体"/>
          <w:kern w:val="21"/>
          <w:sz w:val="36"/>
          <w:szCs w:val="36"/>
          <w:highlight w:val="none"/>
          <w:u w:val="single"/>
        </w:rPr>
      </w:pPr>
      <w:r>
        <w:rPr>
          <w:rFonts w:hint="eastAsia" w:ascii="宋体" w:hAnsi="宋体" w:eastAsia="宋体" w:cs="宋体"/>
          <w:kern w:val="21"/>
          <w:sz w:val="36"/>
          <w:szCs w:val="36"/>
          <w:highlight w:val="none"/>
        </w:rPr>
        <w:t>项目名称：</w:t>
      </w:r>
      <w:r>
        <w:rPr>
          <w:rFonts w:hint="eastAsia" w:ascii="宋体" w:hAnsi="宋体" w:eastAsia="宋体" w:cs="宋体"/>
          <w:kern w:val="21"/>
          <w:sz w:val="36"/>
          <w:szCs w:val="36"/>
          <w:highlight w:val="none"/>
          <w:u w:val="single"/>
          <w:lang w:eastAsia="zh-CN"/>
        </w:rPr>
        <w:t>惠州市澜凌电子实业有限公司建设项目</w:t>
      </w:r>
    </w:p>
    <w:p>
      <w:pPr>
        <w:adjustRightInd w:val="0"/>
        <w:snapToGrid w:val="0"/>
        <w:spacing w:line="288" w:lineRule="auto"/>
        <w:ind w:firstLine="720" w:firstLineChars="200"/>
        <w:jc w:val="both"/>
        <w:rPr>
          <w:rFonts w:hint="eastAsia" w:ascii="宋体" w:hAnsi="宋体" w:eastAsia="宋体" w:cs="宋体"/>
          <w:kern w:val="21"/>
          <w:sz w:val="36"/>
          <w:szCs w:val="36"/>
          <w:highlight w:val="none"/>
        </w:rPr>
      </w:pPr>
      <w:r>
        <w:rPr>
          <w:rFonts w:hint="eastAsia" w:ascii="宋体" w:hAnsi="宋体" w:eastAsia="宋体" w:cs="宋体"/>
          <w:kern w:val="21"/>
          <w:sz w:val="36"/>
          <w:szCs w:val="36"/>
          <w:highlight w:val="none"/>
        </w:rPr>
        <w:t>建设单位（盖章）：</w:t>
      </w:r>
      <w:r>
        <w:rPr>
          <w:rFonts w:hint="eastAsia" w:ascii="宋体" w:hAnsi="宋体" w:eastAsia="宋体" w:cs="宋体"/>
          <w:kern w:val="21"/>
          <w:sz w:val="36"/>
          <w:szCs w:val="36"/>
          <w:highlight w:val="none"/>
          <w:u w:val="single"/>
          <w:lang w:eastAsia="zh-CN"/>
        </w:rPr>
        <w:t>惠州市澜凌电子实业有限公司</w:t>
      </w:r>
    </w:p>
    <w:p>
      <w:pPr>
        <w:adjustRightInd w:val="0"/>
        <w:snapToGrid w:val="0"/>
        <w:spacing w:line="288" w:lineRule="auto"/>
        <w:ind w:firstLine="720" w:firstLineChars="200"/>
        <w:jc w:val="both"/>
        <w:rPr>
          <w:rFonts w:hint="default" w:ascii="宋体" w:hAnsi="宋体" w:eastAsia="宋体" w:cs="宋体"/>
          <w:sz w:val="32"/>
          <w:szCs w:val="32"/>
          <w:highlight w:val="none"/>
          <w:u w:val="single"/>
          <w:lang w:val="en-US" w:eastAsia="zh-CN"/>
        </w:rPr>
      </w:pPr>
      <w:r>
        <w:rPr>
          <w:rFonts w:hint="eastAsia" w:ascii="宋体" w:hAnsi="宋体" w:eastAsia="宋体" w:cs="宋体"/>
          <w:kern w:val="21"/>
          <w:sz w:val="36"/>
          <w:szCs w:val="36"/>
          <w:highlight w:val="none"/>
        </w:rPr>
        <w:t>编制日期：</w:t>
      </w:r>
      <w:bookmarkStart w:id="0" w:name="_Hlk57884087"/>
      <w:r>
        <w:rPr>
          <w:rFonts w:hint="eastAsia" w:ascii="宋体" w:hAnsi="宋体" w:eastAsia="宋体" w:cs="宋体"/>
          <w:kern w:val="21"/>
          <w:sz w:val="36"/>
          <w:szCs w:val="36"/>
          <w:highlight w:val="none"/>
          <w:u w:val="single"/>
        </w:rPr>
        <w:t>202</w:t>
      </w:r>
      <w:r>
        <w:rPr>
          <w:rFonts w:hint="eastAsia" w:ascii="宋体" w:hAnsi="宋体" w:cs="宋体"/>
          <w:kern w:val="21"/>
          <w:sz w:val="36"/>
          <w:szCs w:val="36"/>
          <w:highlight w:val="none"/>
          <w:u w:val="single"/>
          <w:lang w:val="en-US" w:eastAsia="zh-CN"/>
        </w:rPr>
        <w:t>3</w:t>
      </w:r>
      <w:r>
        <w:rPr>
          <w:rFonts w:hint="eastAsia" w:ascii="宋体" w:hAnsi="宋体" w:eastAsia="宋体" w:cs="宋体"/>
          <w:kern w:val="21"/>
          <w:sz w:val="36"/>
          <w:szCs w:val="36"/>
          <w:highlight w:val="none"/>
          <w:u w:val="single"/>
        </w:rPr>
        <w:t>年</w:t>
      </w:r>
      <w:r>
        <w:rPr>
          <w:rFonts w:hint="eastAsia" w:ascii="宋体" w:hAnsi="宋体" w:cs="宋体"/>
          <w:kern w:val="21"/>
          <w:sz w:val="36"/>
          <w:szCs w:val="36"/>
          <w:highlight w:val="none"/>
          <w:u w:val="single"/>
          <w:lang w:val="en-US" w:eastAsia="zh-CN"/>
        </w:rPr>
        <w:t>4</w:t>
      </w:r>
      <w:r>
        <w:rPr>
          <w:rFonts w:hint="eastAsia" w:ascii="宋体" w:hAnsi="宋体" w:eastAsia="宋体" w:cs="宋体"/>
          <w:kern w:val="21"/>
          <w:sz w:val="36"/>
          <w:szCs w:val="36"/>
          <w:highlight w:val="none"/>
          <w:u w:val="single"/>
        </w:rPr>
        <w:t>月</w:t>
      </w:r>
    </w:p>
    <w:p>
      <w:pPr>
        <w:adjustRightInd w:val="0"/>
        <w:snapToGrid w:val="0"/>
        <w:spacing w:line="288" w:lineRule="auto"/>
        <w:rPr>
          <w:rFonts w:hint="eastAsia" w:ascii="仿宋_GB2312" w:eastAsia="仿宋_GB2312"/>
          <w:sz w:val="36"/>
          <w:szCs w:val="36"/>
          <w:highlight w:val="none"/>
        </w:rPr>
      </w:pPr>
    </w:p>
    <w:p>
      <w:pPr>
        <w:adjustRightInd w:val="0"/>
        <w:snapToGrid w:val="0"/>
        <w:spacing w:line="288" w:lineRule="auto"/>
        <w:rPr>
          <w:rFonts w:hint="eastAsia" w:ascii="仿宋_GB2312" w:eastAsia="仿宋_GB2312"/>
          <w:sz w:val="36"/>
          <w:szCs w:val="36"/>
          <w:highlight w:val="none"/>
        </w:rPr>
      </w:pPr>
    </w:p>
    <w:p>
      <w:pPr>
        <w:pStyle w:val="5"/>
        <w:rPr>
          <w:rFonts w:hint="eastAsia" w:ascii="仿宋_GB2312" w:eastAsia="仿宋_GB2312"/>
          <w:sz w:val="36"/>
          <w:szCs w:val="36"/>
          <w:highlight w:val="none"/>
        </w:rPr>
      </w:pPr>
    </w:p>
    <w:p>
      <w:pPr>
        <w:rPr>
          <w:rFonts w:hint="eastAsia"/>
          <w:highlight w:val="none"/>
        </w:rPr>
      </w:pPr>
    </w:p>
    <w:bookmarkEnd w:id="0"/>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楷体_GB2312" w:eastAsia="楷体_GB2312"/>
          <w:sz w:val="36"/>
          <w:szCs w:val="36"/>
          <w:highlight w:val="none"/>
        </w:rPr>
      </w:pPr>
      <w:r>
        <w:rPr>
          <w:rFonts w:hint="eastAsia" w:ascii="楷体_GB2312" w:eastAsia="楷体_GB2312"/>
          <w:sz w:val="36"/>
          <w:szCs w:val="36"/>
          <w:highlight w:val="none"/>
        </w:rPr>
        <w:t>中华人民共和国生态环境部制</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楷体_GB2312" w:eastAsia="楷体_GB2312"/>
          <w:sz w:val="36"/>
          <w:szCs w:val="36"/>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楷体_GB2312" w:eastAsia="楷体_GB2312"/>
          <w:sz w:val="36"/>
          <w:szCs w:val="36"/>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center"/>
        <w:textAlignment w:val="auto"/>
        <w:outlineLvl w:val="0"/>
        <w:rPr>
          <w:rFonts w:hint="eastAsia" w:ascii="楷体_GB2312" w:eastAsia="楷体_GB2312"/>
          <w:sz w:val="36"/>
          <w:szCs w:val="36"/>
          <w:highlight w:val="none"/>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jc w:val="both"/>
        <w:textAlignment w:val="auto"/>
        <w:outlineLvl w:val="0"/>
        <w:rPr>
          <w:rFonts w:hint="eastAsia" w:ascii="黑体" w:hAnsi="黑体" w:eastAsia="黑体"/>
          <w:snapToGrid w:val="0"/>
          <w:color w:val="auto"/>
          <w:sz w:val="30"/>
          <w:szCs w:val="30"/>
          <w:highlight w:val="none"/>
        </w:rPr>
        <w:sectPr>
          <w:pgSz w:w="11906" w:h="16838"/>
          <w:pgMar w:top="1440" w:right="1080" w:bottom="1440" w:left="1080" w:header="708" w:footer="708" w:gutter="0"/>
          <w:cols w:space="720" w:num="1"/>
          <w:docGrid w:linePitch="360" w:charSpace="0"/>
        </w:sectPr>
      </w:pPr>
    </w:p>
    <w:p>
      <w:pPr>
        <w:pStyle w:val="23"/>
        <w:adjustRightInd w:val="0"/>
        <w:snapToGrid w:val="0"/>
        <w:spacing w:before="0" w:beforeAutospacing="0" w:after="0" w:afterAutospacing="0"/>
        <w:jc w:val="center"/>
        <w:outlineLvl w:val="0"/>
      </w:pPr>
    </w:p>
    <w:p>
      <w:pPr>
        <w:pStyle w:val="23"/>
        <w:adjustRightInd w:val="0"/>
        <w:snapToGrid w:val="0"/>
        <w:spacing w:before="0" w:beforeAutospacing="0" w:after="0" w:afterAutospacing="0"/>
        <w:jc w:val="center"/>
        <w:outlineLvl w:val="0"/>
      </w:pPr>
    </w:p>
    <w:p>
      <w:pPr>
        <w:pStyle w:val="23"/>
        <w:adjustRightInd w:val="0"/>
        <w:snapToGrid w:val="0"/>
        <w:spacing w:before="0" w:beforeAutospacing="0" w:after="0" w:afterAutospacing="0"/>
        <w:jc w:val="center"/>
        <w:outlineLvl w:val="0"/>
      </w:pPr>
    </w:p>
    <w:p>
      <w:pPr>
        <w:pStyle w:val="23"/>
        <w:adjustRightInd w:val="0"/>
        <w:snapToGrid w:val="0"/>
        <w:spacing w:before="0" w:beforeAutospacing="0" w:after="0" w:afterAutospacing="0"/>
        <w:jc w:val="center"/>
        <w:outlineLvl w:val="0"/>
      </w:pPr>
    </w:p>
    <w:p>
      <w:pPr>
        <w:pStyle w:val="23"/>
        <w:adjustRightInd w:val="0"/>
        <w:snapToGrid w:val="0"/>
        <w:spacing w:before="0" w:beforeAutospacing="0" w:after="0" w:afterAutospacing="0"/>
        <w:jc w:val="center"/>
        <w:outlineLvl w:val="0"/>
      </w:pPr>
    </w:p>
    <w:p>
      <w:pPr>
        <w:pStyle w:val="23"/>
        <w:adjustRightInd w:val="0"/>
        <w:snapToGrid w:val="0"/>
        <w:spacing w:before="0" w:beforeAutospacing="0" w:after="0" w:afterAutospacing="0"/>
        <w:jc w:val="center"/>
        <w:outlineLvl w:val="0"/>
      </w:pPr>
    </w:p>
    <w:p>
      <w:pPr>
        <w:pStyle w:val="23"/>
        <w:adjustRightInd w:val="0"/>
        <w:snapToGrid w:val="0"/>
        <w:spacing w:before="0" w:beforeAutospacing="0" w:after="0" w:afterAutospacing="0"/>
        <w:jc w:val="center"/>
        <w:outlineLvl w:val="0"/>
        <w:rPr>
          <w:rFonts w:hint="eastAsia" w:ascii="宋体" w:hAnsi="宋体" w:eastAsia="宋体" w:cs="宋体"/>
          <w:b/>
          <w:bCs/>
          <w:snapToGrid w:val="0"/>
          <w:color w:val="auto"/>
          <w:sz w:val="30"/>
          <w:szCs w:val="30"/>
          <w:highlight w:val="none"/>
        </w:rPr>
      </w:pPr>
      <w:r>
        <w:rPr>
          <w:rFonts w:hint="eastAsia" w:ascii="宋体" w:hAnsi="宋体" w:eastAsia="宋体" w:cs="宋体"/>
          <w:b/>
          <w:bCs/>
          <w:snapToGrid w:val="0"/>
          <w:color w:val="auto"/>
          <w:sz w:val="30"/>
          <w:szCs w:val="30"/>
          <w:highlight w:val="none"/>
        </w:rPr>
        <w:t>一、建设项目基本情况</w:t>
      </w:r>
    </w:p>
    <w:tbl>
      <w:tblPr>
        <w:tblStyle w:val="24"/>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94"/>
        <w:gridCol w:w="2571"/>
        <w:gridCol w:w="1797"/>
        <w:gridCol w:w="34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建设项目名称</w:t>
            </w:r>
          </w:p>
        </w:tc>
        <w:tc>
          <w:tcPr>
            <w:tcW w:w="7786" w:type="dxa"/>
            <w:gridSpan w:val="3"/>
            <w:noWrap w:val="0"/>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highlight w:val="none"/>
                <w:lang w:eastAsia="zh-CN"/>
              </w:rPr>
              <w:t>惠州市澜凌电子实业有限公司建设项目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3"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项目代码</w:t>
            </w:r>
          </w:p>
        </w:tc>
        <w:tc>
          <w:tcPr>
            <w:tcW w:w="7786" w:type="dxa"/>
            <w:gridSpan w:val="3"/>
            <w:noWrap w:val="0"/>
            <w:vAlign w:val="center"/>
          </w:tcPr>
          <w:p>
            <w:pPr>
              <w:adjustRightInd w:val="0"/>
              <w:snapToGrid w:val="0"/>
              <w:jc w:val="center"/>
              <w:rPr>
                <w:rFonts w:hint="default" w:ascii="Times New Roman" w:hAnsi="Times New Roman" w:eastAsia="宋体" w:cs="Times New Roman"/>
                <w:color w:val="auto"/>
                <w:sz w:val="24"/>
                <w:szCs w:val="21"/>
                <w:highlight w:val="none"/>
                <w:lang w:eastAsia="zh-CN"/>
              </w:rPr>
            </w:pPr>
            <w:r>
              <w:rPr>
                <w:rFonts w:hint="default" w:ascii="Times New Roman" w:hAnsi="Times New Roman" w:eastAsia="宋体" w:cs="Times New Roman"/>
                <w:color w:val="auto"/>
                <w:sz w:val="24"/>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4"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建设单位联系人</w:t>
            </w:r>
          </w:p>
        </w:tc>
        <w:tc>
          <w:tcPr>
            <w:tcW w:w="2571" w:type="dxa"/>
            <w:noWrap w:val="0"/>
            <w:vAlign w:val="center"/>
          </w:tcPr>
          <w:p>
            <w:pPr>
              <w:adjustRightInd w:val="0"/>
              <w:snapToGrid w:val="0"/>
              <w:jc w:val="center"/>
              <w:rPr>
                <w:rFonts w:hint="eastAsia"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en-US" w:eastAsia="zh-CN"/>
              </w:rPr>
              <w:t>陈光</w:t>
            </w:r>
          </w:p>
        </w:tc>
        <w:tc>
          <w:tcPr>
            <w:tcW w:w="1797" w:type="dxa"/>
            <w:noWrap w:val="0"/>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联系方式</w:t>
            </w:r>
          </w:p>
        </w:tc>
        <w:tc>
          <w:tcPr>
            <w:tcW w:w="3418" w:type="dxa"/>
            <w:noWrap w:val="0"/>
            <w:vAlign w:val="center"/>
          </w:tcPr>
          <w:p>
            <w:pPr>
              <w:adjustRightInd w:val="0"/>
              <w:snapToGrid w:val="0"/>
              <w:jc w:val="center"/>
              <w:rPr>
                <w:rFonts w:hint="default" w:ascii="Times New Roman" w:hAnsi="Times New Roman" w:eastAsia="宋体" w:cs="Times New Roman"/>
                <w:color w:val="auto"/>
                <w:sz w:val="24"/>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建设地点</w:t>
            </w:r>
          </w:p>
        </w:tc>
        <w:tc>
          <w:tcPr>
            <w:tcW w:w="7786" w:type="dxa"/>
            <w:gridSpan w:val="3"/>
            <w:noWrap w:val="0"/>
            <w:vAlign w:val="center"/>
          </w:tcPr>
          <w:p>
            <w:pPr>
              <w:adjustRightInd w:val="0"/>
              <w:snapToGrid w:val="0"/>
              <w:jc w:val="center"/>
              <w:rPr>
                <w:rFonts w:hint="default" w:ascii="Times New Roman" w:hAnsi="Times New Roman" w:eastAsia="宋体" w:cs="Times New Roman"/>
                <w:color w:val="auto"/>
                <w:sz w:val="24"/>
                <w:szCs w:val="21"/>
                <w:highlight w:val="none"/>
                <w:lang w:val="en-US"/>
              </w:rPr>
            </w:pPr>
            <w:r>
              <w:rPr>
                <w:rFonts w:hint="eastAsia" w:ascii="Times New Roman" w:hAnsi="Times New Roman" w:eastAsia="宋体" w:cs="Times New Roman"/>
                <w:color w:val="auto"/>
                <w:sz w:val="24"/>
                <w:szCs w:val="21"/>
                <w:highlight w:val="none"/>
                <w:u w:val="single"/>
                <w:lang w:val="en-US" w:eastAsia="zh-CN"/>
              </w:rPr>
              <w:t>广东</w:t>
            </w:r>
            <w:r>
              <w:rPr>
                <w:rFonts w:hint="eastAsia" w:ascii="Times New Roman" w:hAnsi="Times New Roman" w:eastAsia="宋体" w:cs="Times New Roman"/>
                <w:color w:val="auto"/>
                <w:sz w:val="24"/>
                <w:szCs w:val="21"/>
                <w:highlight w:val="none"/>
                <w:lang w:val="en-US" w:eastAsia="zh-CN"/>
              </w:rPr>
              <w:t>省</w:t>
            </w:r>
            <w:r>
              <w:rPr>
                <w:rFonts w:hint="eastAsia" w:ascii="Times New Roman" w:hAnsi="Times New Roman" w:eastAsia="宋体" w:cs="Times New Roman"/>
                <w:color w:val="auto"/>
                <w:sz w:val="24"/>
                <w:szCs w:val="21"/>
                <w:highlight w:val="none"/>
                <w:u w:val="single"/>
                <w:lang w:val="en-US" w:eastAsia="zh-CN"/>
              </w:rPr>
              <w:t>惠州</w:t>
            </w:r>
            <w:r>
              <w:rPr>
                <w:rFonts w:hint="eastAsia" w:ascii="Times New Roman" w:hAnsi="Times New Roman" w:eastAsia="宋体" w:cs="Times New Roman"/>
                <w:color w:val="auto"/>
                <w:sz w:val="24"/>
                <w:szCs w:val="21"/>
                <w:highlight w:val="none"/>
                <w:lang w:val="en-US" w:eastAsia="zh-CN"/>
              </w:rPr>
              <w:t>市</w:t>
            </w:r>
            <w:r>
              <w:rPr>
                <w:rFonts w:hint="default" w:ascii="Times New Roman" w:hAnsi="Times New Roman" w:eastAsia="宋体" w:cs="Times New Roman"/>
                <w:i w:val="0"/>
                <w:iCs w:val="0"/>
                <w:color w:val="auto"/>
                <w:sz w:val="24"/>
                <w:szCs w:val="21"/>
                <w:highlight w:val="none"/>
                <w:u w:val="single"/>
                <w:lang w:val="en-US" w:eastAsia="zh-CN"/>
              </w:rPr>
              <w:t>博罗</w:t>
            </w:r>
            <w:r>
              <w:rPr>
                <w:rFonts w:hint="default" w:ascii="Times New Roman" w:hAnsi="Times New Roman" w:eastAsia="宋体" w:cs="Times New Roman"/>
                <w:color w:val="auto"/>
                <w:sz w:val="24"/>
                <w:szCs w:val="21"/>
                <w:highlight w:val="none"/>
                <w:lang w:val="en-US" w:eastAsia="zh-CN"/>
              </w:rPr>
              <w:t>县</w:t>
            </w:r>
            <w:r>
              <w:rPr>
                <w:rFonts w:hint="default" w:ascii="Times New Roman" w:hAnsi="Times New Roman" w:eastAsia="宋体" w:cs="Times New Roman"/>
                <w:color w:val="auto"/>
                <w:sz w:val="24"/>
                <w:szCs w:val="21"/>
                <w:highlight w:val="none"/>
                <w:u w:val="single"/>
                <w:lang w:val="en-US" w:eastAsia="zh-CN"/>
              </w:rPr>
              <w:t>龙溪街道龙岗村第四组白土（土名）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5"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地理坐标</w:t>
            </w:r>
          </w:p>
        </w:tc>
        <w:tc>
          <w:tcPr>
            <w:tcW w:w="7786" w:type="dxa"/>
            <w:gridSpan w:val="3"/>
            <w:noWrap w:val="0"/>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（东经：</w:t>
            </w:r>
            <w:r>
              <w:rPr>
                <w:rFonts w:hint="default" w:ascii="Times New Roman" w:hAnsi="Times New Roman" w:eastAsia="宋体" w:cs="Times New Roman"/>
                <w:color w:val="auto"/>
                <w:sz w:val="24"/>
                <w:szCs w:val="21"/>
                <w:highlight w:val="none"/>
                <w:u w:val="single"/>
              </w:rPr>
              <w:t>11</w:t>
            </w:r>
            <w:r>
              <w:rPr>
                <w:rFonts w:hint="eastAsia" w:ascii="Times New Roman" w:hAnsi="Times New Roman" w:eastAsia="宋体" w:cs="Times New Roman"/>
                <w:color w:val="auto"/>
                <w:sz w:val="24"/>
                <w:szCs w:val="21"/>
                <w:highlight w:val="none"/>
                <w:u w:val="single"/>
                <w:lang w:val="en-US" w:eastAsia="zh-CN"/>
              </w:rPr>
              <w:t>4</w:t>
            </w:r>
            <w:r>
              <w:rPr>
                <w:rFonts w:hint="default" w:ascii="Times New Roman" w:hAnsi="Times New Roman" w:eastAsia="宋体" w:cs="Times New Roman"/>
                <w:color w:val="auto"/>
                <w:sz w:val="24"/>
                <w:szCs w:val="21"/>
                <w:highlight w:val="none"/>
              </w:rPr>
              <w:t>度</w:t>
            </w:r>
            <w:r>
              <w:rPr>
                <w:rFonts w:hint="eastAsia" w:ascii="Times New Roman" w:hAnsi="Times New Roman" w:eastAsia="宋体" w:cs="Times New Roman"/>
                <w:color w:val="auto"/>
                <w:sz w:val="24"/>
                <w:szCs w:val="21"/>
                <w:highlight w:val="none"/>
                <w:u w:val="single"/>
                <w:lang w:val="en-US" w:eastAsia="zh-CN"/>
              </w:rPr>
              <w:t>8</w:t>
            </w:r>
            <w:r>
              <w:rPr>
                <w:rFonts w:hint="default" w:ascii="Times New Roman" w:hAnsi="Times New Roman" w:eastAsia="宋体" w:cs="Times New Roman"/>
                <w:color w:val="auto"/>
                <w:sz w:val="24"/>
                <w:szCs w:val="21"/>
                <w:highlight w:val="none"/>
              </w:rPr>
              <w:t>分</w:t>
            </w:r>
            <w:r>
              <w:rPr>
                <w:rFonts w:hint="eastAsia" w:ascii="Times New Roman" w:hAnsi="Times New Roman" w:eastAsia="宋体" w:cs="Times New Roman"/>
                <w:color w:val="auto"/>
                <w:sz w:val="24"/>
                <w:szCs w:val="21"/>
                <w:highlight w:val="none"/>
                <w:u w:val="single"/>
                <w:lang w:val="en-US" w:eastAsia="zh-CN"/>
              </w:rPr>
              <w:t>49.12</w:t>
            </w:r>
            <w:r>
              <w:rPr>
                <w:rFonts w:hint="default" w:ascii="Times New Roman" w:hAnsi="Times New Roman" w:eastAsia="宋体" w:cs="Times New Roman"/>
                <w:color w:val="auto"/>
                <w:sz w:val="24"/>
                <w:szCs w:val="21"/>
                <w:highlight w:val="none"/>
              </w:rPr>
              <w:t>秒，北纬：</w:t>
            </w:r>
            <w:r>
              <w:rPr>
                <w:rFonts w:hint="default" w:ascii="Times New Roman" w:hAnsi="Times New Roman" w:eastAsia="宋体" w:cs="Times New Roman"/>
                <w:color w:val="auto"/>
                <w:sz w:val="24"/>
                <w:szCs w:val="21"/>
                <w:highlight w:val="none"/>
                <w:u w:val="single"/>
              </w:rPr>
              <w:t>23</w:t>
            </w:r>
            <w:r>
              <w:rPr>
                <w:rFonts w:hint="default" w:ascii="Times New Roman" w:hAnsi="Times New Roman" w:eastAsia="宋体" w:cs="Times New Roman"/>
                <w:color w:val="auto"/>
                <w:sz w:val="24"/>
                <w:szCs w:val="21"/>
                <w:highlight w:val="none"/>
              </w:rPr>
              <w:t>度</w:t>
            </w:r>
            <w:r>
              <w:rPr>
                <w:rFonts w:hint="eastAsia" w:ascii="Times New Roman" w:hAnsi="Times New Roman" w:eastAsia="宋体" w:cs="Times New Roman"/>
                <w:color w:val="auto"/>
                <w:sz w:val="24"/>
                <w:szCs w:val="21"/>
                <w:highlight w:val="none"/>
                <w:u w:val="single"/>
                <w:lang w:val="en-US" w:eastAsia="zh-CN"/>
              </w:rPr>
              <w:t>8</w:t>
            </w:r>
            <w:r>
              <w:rPr>
                <w:rFonts w:hint="default" w:ascii="Times New Roman" w:hAnsi="Times New Roman" w:eastAsia="宋体" w:cs="Times New Roman"/>
                <w:color w:val="auto"/>
                <w:sz w:val="24"/>
                <w:szCs w:val="21"/>
                <w:highlight w:val="none"/>
              </w:rPr>
              <w:t>分</w:t>
            </w:r>
            <w:r>
              <w:rPr>
                <w:rFonts w:hint="eastAsia" w:ascii="Times New Roman" w:hAnsi="Times New Roman" w:eastAsia="宋体" w:cs="Times New Roman"/>
                <w:color w:val="auto"/>
                <w:sz w:val="24"/>
                <w:szCs w:val="21"/>
                <w:highlight w:val="none"/>
                <w:u w:val="single"/>
                <w:lang w:val="en-US" w:eastAsia="zh-CN"/>
              </w:rPr>
              <w:t>43.38</w:t>
            </w:r>
            <w:r>
              <w:rPr>
                <w:rFonts w:hint="default" w:ascii="Times New Roman" w:hAnsi="Times New Roman" w:eastAsia="宋体" w:cs="Times New Roman"/>
                <w:color w:val="auto"/>
                <w:sz w:val="24"/>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国民经济</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行业类别</w:t>
            </w:r>
          </w:p>
        </w:tc>
        <w:tc>
          <w:tcPr>
            <w:tcW w:w="2571" w:type="dxa"/>
            <w:noWrap w:val="0"/>
            <w:vAlign w:val="center"/>
          </w:tcPr>
          <w:p>
            <w:pPr>
              <w:adjustRightInd w:val="0"/>
              <w:snapToGrid w:val="0"/>
              <w:jc w:val="center"/>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sz w:val="24"/>
                <w:highlight w:val="none"/>
                <w:lang w:val="en-US" w:eastAsia="zh-CN"/>
              </w:rPr>
              <w:t>C</w:t>
            </w:r>
            <w:r>
              <w:rPr>
                <w:rFonts w:hint="default" w:ascii="Times New Roman" w:hAnsi="Times New Roman" w:eastAsia="宋体" w:cs="Times New Roman"/>
                <w:color w:val="auto"/>
                <w:sz w:val="24"/>
                <w:highlight w:val="none"/>
              </w:rPr>
              <w:t>292</w:t>
            </w:r>
            <w:r>
              <w:rPr>
                <w:rFonts w:hint="eastAsia" w:ascii="Times New Roman" w:hAnsi="Times New Roman" w:eastAsia="宋体" w:cs="Times New Roman"/>
                <w:color w:val="auto"/>
                <w:sz w:val="24"/>
                <w:highlight w:val="none"/>
                <w:lang w:val="en-US" w:eastAsia="zh-CN"/>
              </w:rPr>
              <w:t>9塑料零件及其他塑料制品制造</w:t>
            </w:r>
          </w:p>
        </w:tc>
        <w:tc>
          <w:tcPr>
            <w:tcW w:w="1797" w:type="dxa"/>
            <w:noWrap w:val="0"/>
            <w:vAlign w:val="center"/>
          </w:tcPr>
          <w:p>
            <w:pPr>
              <w:adjustRightInd w:val="0"/>
              <w:snapToGrid w:val="0"/>
              <w:jc w:val="center"/>
              <w:rPr>
                <w:rFonts w:hint="default" w:ascii="Times New Roman" w:hAnsi="Times New Roman" w:eastAsia="宋体" w:cs="Times New Roman"/>
                <w:color w:val="auto"/>
                <w:sz w:val="24"/>
                <w:szCs w:val="21"/>
                <w:highlight w:val="none"/>
              </w:rPr>
            </w:pPr>
            <w:bookmarkStart w:id="1" w:name="_Hlk49843745"/>
            <w:r>
              <w:rPr>
                <w:rFonts w:hint="default" w:ascii="Times New Roman" w:hAnsi="Times New Roman" w:eastAsia="宋体" w:cs="Times New Roman"/>
                <w:color w:val="auto"/>
                <w:sz w:val="24"/>
                <w:szCs w:val="21"/>
                <w:highlight w:val="none"/>
              </w:rPr>
              <w:t>建设项目</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行业类别</w:t>
            </w:r>
            <w:bookmarkEnd w:id="1"/>
          </w:p>
        </w:tc>
        <w:tc>
          <w:tcPr>
            <w:tcW w:w="3418" w:type="dxa"/>
            <w:noWrap w:val="0"/>
            <w:vAlign w:val="center"/>
          </w:tcPr>
          <w:p>
            <w:pPr>
              <w:adjustRightInd w:val="0"/>
              <w:snapToGrid w:val="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highlight w:val="none"/>
              </w:rPr>
              <w:t>53塑料制品业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建设性质</w:t>
            </w:r>
          </w:p>
        </w:tc>
        <w:tc>
          <w:tcPr>
            <w:tcW w:w="2571" w:type="dxa"/>
            <w:noWrap w:val="0"/>
            <w:vAlign w:val="center"/>
          </w:tcPr>
          <w:p>
            <w:pPr>
              <w:adjustRightInd w:val="0"/>
              <w:snapToGrid w:val="0"/>
              <w:jc w:val="left"/>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sym w:font="Wingdings" w:char="00FE"/>
            </w:r>
            <w:r>
              <w:rPr>
                <w:rFonts w:hint="default" w:ascii="Times New Roman" w:hAnsi="Times New Roman" w:eastAsia="宋体" w:cs="Times New Roman"/>
                <w:color w:val="auto"/>
                <w:sz w:val="24"/>
                <w:szCs w:val="21"/>
                <w:highlight w:val="none"/>
              </w:rPr>
              <w:t>新建（迁建）</w:t>
            </w:r>
          </w:p>
          <w:p>
            <w:pPr>
              <w:adjustRightInd w:val="0"/>
              <w:snapToGrid w:val="0"/>
              <w:jc w:val="left"/>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sym w:font="Wingdings" w:char="00A8"/>
            </w:r>
            <w:r>
              <w:rPr>
                <w:rFonts w:hint="default" w:ascii="Times New Roman" w:hAnsi="Times New Roman" w:eastAsia="宋体" w:cs="Times New Roman"/>
                <w:color w:val="auto"/>
                <w:sz w:val="24"/>
                <w:szCs w:val="21"/>
                <w:highlight w:val="none"/>
              </w:rPr>
              <w:t>改建</w:t>
            </w:r>
          </w:p>
          <w:p>
            <w:pPr>
              <w:adjustRightInd w:val="0"/>
              <w:snapToGrid w:val="0"/>
              <w:jc w:val="left"/>
              <w:rPr>
                <w:rFonts w:hint="eastAsia"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rPr>
              <w:sym w:font="Wingdings" w:char="00A8"/>
            </w:r>
            <w:r>
              <w:rPr>
                <w:rFonts w:hint="eastAsia" w:ascii="Times New Roman" w:hAnsi="Times New Roman" w:eastAsia="宋体" w:cs="Times New Roman"/>
                <w:color w:val="auto"/>
                <w:sz w:val="24"/>
                <w:szCs w:val="21"/>
                <w:highlight w:val="none"/>
                <w:lang w:val="en-US" w:eastAsia="zh-CN"/>
              </w:rPr>
              <w:t>扩建</w:t>
            </w:r>
          </w:p>
          <w:p>
            <w:pPr>
              <w:adjustRightInd w:val="0"/>
              <w:snapToGrid w:val="0"/>
              <w:jc w:val="left"/>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sym w:font="Wingdings" w:char="00A8"/>
            </w:r>
            <w:r>
              <w:rPr>
                <w:rFonts w:hint="default" w:ascii="Times New Roman" w:hAnsi="Times New Roman" w:eastAsia="宋体" w:cs="Times New Roman"/>
                <w:color w:val="auto"/>
                <w:sz w:val="24"/>
                <w:szCs w:val="21"/>
                <w:highlight w:val="none"/>
              </w:rPr>
              <w:t>技术改造</w:t>
            </w:r>
          </w:p>
        </w:tc>
        <w:tc>
          <w:tcPr>
            <w:tcW w:w="1797" w:type="dxa"/>
            <w:noWrap w:val="0"/>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建设项目</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申报情形</w:t>
            </w:r>
          </w:p>
        </w:tc>
        <w:tc>
          <w:tcPr>
            <w:tcW w:w="3418" w:type="dxa"/>
            <w:noWrap w:val="0"/>
            <w:vAlign w:val="center"/>
          </w:tcPr>
          <w:p>
            <w:pPr>
              <w:adjustRightInd w:val="0"/>
              <w:snapToGrid w:val="0"/>
              <w:jc w:val="left"/>
              <w:rPr>
                <w:rFonts w:hint="eastAsia" w:ascii="Times New Roman" w:hAnsi="Times New Roman" w:eastAsia="宋体" w:cs="Times New Roman"/>
                <w:color w:val="auto"/>
                <w:sz w:val="24"/>
                <w:szCs w:val="21"/>
                <w:highlight w:val="none"/>
                <w:lang w:eastAsia="zh-CN"/>
              </w:rPr>
            </w:pPr>
            <w:r>
              <w:rPr>
                <w:rFonts w:hint="default" w:ascii="Times New Roman" w:hAnsi="Times New Roman" w:eastAsia="宋体" w:cs="Times New Roman"/>
                <w:color w:val="auto"/>
                <w:sz w:val="24"/>
                <w:szCs w:val="21"/>
                <w:highlight w:val="none"/>
              </w:rPr>
              <w:sym w:font="Wingdings" w:char="00FE"/>
            </w:r>
            <w:r>
              <w:rPr>
                <w:rFonts w:hint="default" w:ascii="Times New Roman" w:hAnsi="Times New Roman" w:eastAsia="宋体" w:cs="Times New Roman"/>
                <w:color w:val="auto"/>
                <w:sz w:val="24"/>
                <w:szCs w:val="21"/>
                <w:highlight w:val="none"/>
              </w:rPr>
              <w:t>首次申报项目</w:t>
            </w:r>
          </w:p>
          <w:p>
            <w:pPr>
              <w:adjustRightInd w:val="0"/>
              <w:snapToGrid w:val="0"/>
              <w:jc w:val="left"/>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sym w:font="Wingdings" w:char="00A8"/>
            </w:r>
            <w:r>
              <w:rPr>
                <w:rFonts w:hint="default" w:ascii="Times New Roman" w:hAnsi="Times New Roman" w:eastAsia="宋体" w:cs="Times New Roman"/>
                <w:color w:val="auto"/>
                <w:sz w:val="24"/>
                <w:szCs w:val="21"/>
                <w:highlight w:val="none"/>
              </w:rPr>
              <w:t>不予批准后再次申报项目</w:t>
            </w:r>
          </w:p>
          <w:p>
            <w:pPr>
              <w:adjustRightInd w:val="0"/>
              <w:snapToGrid w:val="0"/>
              <w:jc w:val="left"/>
              <w:rPr>
                <w:rFonts w:hint="eastAsia" w:ascii="Times New Roman" w:hAnsi="Times New Roman" w:eastAsia="宋体" w:cs="Times New Roman"/>
                <w:color w:val="auto"/>
                <w:sz w:val="24"/>
                <w:szCs w:val="21"/>
                <w:highlight w:val="none"/>
                <w:lang w:eastAsia="zh-CN"/>
              </w:rPr>
            </w:pPr>
            <w:r>
              <w:rPr>
                <w:rFonts w:hint="default" w:ascii="Times New Roman" w:hAnsi="Times New Roman" w:eastAsia="宋体" w:cs="Times New Roman"/>
                <w:color w:val="auto"/>
                <w:sz w:val="24"/>
                <w:szCs w:val="21"/>
                <w:highlight w:val="none"/>
              </w:rPr>
              <w:sym w:font="Wingdings" w:char="00A8"/>
            </w:r>
            <w:r>
              <w:rPr>
                <w:rFonts w:hint="default" w:ascii="Times New Roman" w:hAnsi="Times New Roman" w:eastAsia="宋体" w:cs="Times New Roman"/>
                <w:color w:val="auto"/>
                <w:sz w:val="24"/>
                <w:szCs w:val="21"/>
                <w:highlight w:val="none"/>
              </w:rPr>
              <w:t>超五年重新审核项目</w:t>
            </w:r>
          </w:p>
          <w:p>
            <w:pPr>
              <w:adjustRightInd w:val="0"/>
              <w:snapToGrid w:val="0"/>
              <w:jc w:val="left"/>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sym w:font="Wingdings" w:char="00A8"/>
            </w:r>
            <w:r>
              <w:rPr>
                <w:rFonts w:hint="default" w:ascii="Times New Roman" w:hAnsi="Times New Roman" w:eastAsia="宋体" w:cs="Times New Roman"/>
                <w:color w:val="auto"/>
                <w:sz w:val="24"/>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4"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项目审批（核准/</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备案）部门</w:t>
            </w:r>
          </w:p>
        </w:tc>
        <w:tc>
          <w:tcPr>
            <w:tcW w:w="2571" w:type="dxa"/>
            <w:noWrap w:val="0"/>
            <w:vAlign w:val="center"/>
          </w:tcPr>
          <w:p>
            <w:pPr>
              <w:adjustRightInd w:val="0"/>
              <w:snapToGrid w:val="0"/>
              <w:jc w:val="center"/>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4"/>
                <w:highlight w:val="none"/>
                <w:lang w:val="en-US" w:eastAsia="zh-CN"/>
              </w:rPr>
              <w:t>/</w:t>
            </w:r>
          </w:p>
        </w:tc>
        <w:tc>
          <w:tcPr>
            <w:tcW w:w="1797" w:type="dxa"/>
            <w:noWrap w:val="0"/>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项目审批（核准/</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备案）文号</w:t>
            </w:r>
          </w:p>
        </w:tc>
        <w:tc>
          <w:tcPr>
            <w:tcW w:w="3418" w:type="dxa"/>
            <w:noWrap w:val="0"/>
            <w:vAlign w:val="center"/>
          </w:tcPr>
          <w:p>
            <w:pPr>
              <w:adjustRightInd w:val="0"/>
              <w:snapToGrid w:val="0"/>
              <w:jc w:val="center"/>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7"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总投资（万元）</w:t>
            </w:r>
          </w:p>
        </w:tc>
        <w:tc>
          <w:tcPr>
            <w:tcW w:w="2571" w:type="dxa"/>
            <w:noWrap w:val="0"/>
            <w:vAlign w:val="center"/>
          </w:tcPr>
          <w:p>
            <w:pPr>
              <w:adjustRightInd w:val="0"/>
              <w:snapToGrid w:val="0"/>
              <w:jc w:val="center"/>
              <w:rPr>
                <w:rFonts w:hint="default"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en-US" w:eastAsia="zh-CN"/>
              </w:rPr>
              <w:t>3</w:t>
            </w:r>
            <w:r>
              <w:rPr>
                <w:rFonts w:hint="default" w:ascii="Times New Roman" w:hAnsi="Times New Roman" w:eastAsia="宋体" w:cs="Times New Roman"/>
                <w:color w:val="auto"/>
                <w:sz w:val="24"/>
                <w:szCs w:val="21"/>
                <w:highlight w:val="none"/>
                <w:lang w:val="en-US" w:eastAsia="zh-CN"/>
              </w:rPr>
              <w:t>00.00</w:t>
            </w:r>
          </w:p>
        </w:tc>
        <w:tc>
          <w:tcPr>
            <w:tcW w:w="1797"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环保投资（万元）</w:t>
            </w:r>
          </w:p>
        </w:tc>
        <w:tc>
          <w:tcPr>
            <w:tcW w:w="3418" w:type="dxa"/>
            <w:noWrap w:val="0"/>
            <w:vAlign w:val="center"/>
          </w:tcPr>
          <w:p>
            <w:pPr>
              <w:adjustRightInd w:val="0"/>
              <w:snapToGrid w:val="0"/>
              <w:jc w:val="center"/>
              <w:rPr>
                <w:rFonts w:hint="default"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环保投资占比（%）</w:t>
            </w:r>
          </w:p>
        </w:tc>
        <w:tc>
          <w:tcPr>
            <w:tcW w:w="2571" w:type="dxa"/>
            <w:noWrap w:val="0"/>
            <w:vAlign w:val="center"/>
          </w:tcPr>
          <w:p>
            <w:pPr>
              <w:adjustRightInd w:val="0"/>
              <w:snapToGrid w:val="0"/>
              <w:jc w:val="center"/>
              <w:rPr>
                <w:rFonts w:hint="default"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en-US" w:eastAsia="zh-CN"/>
              </w:rPr>
              <w:t>5.</w:t>
            </w:r>
            <w:r>
              <w:rPr>
                <w:rFonts w:hint="default" w:ascii="Times New Roman" w:hAnsi="Times New Roman" w:eastAsia="宋体" w:cs="Times New Roman"/>
                <w:color w:val="auto"/>
                <w:sz w:val="24"/>
                <w:szCs w:val="21"/>
                <w:highlight w:val="none"/>
                <w:lang w:val="en-US" w:eastAsia="zh-CN"/>
              </w:rPr>
              <w:t>0</w:t>
            </w:r>
          </w:p>
        </w:tc>
        <w:tc>
          <w:tcPr>
            <w:tcW w:w="1797"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施工工期</w:t>
            </w:r>
          </w:p>
        </w:tc>
        <w:tc>
          <w:tcPr>
            <w:tcW w:w="3418" w:type="dxa"/>
            <w:noWrap w:val="0"/>
            <w:vAlign w:val="center"/>
          </w:tcPr>
          <w:p>
            <w:pPr>
              <w:adjustRightInd w:val="0"/>
              <w:snapToGrid w:val="0"/>
              <w:jc w:val="center"/>
              <w:rPr>
                <w:rFonts w:hint="default" w:ascii="Times New Roman" w:hAnsi="Times New Roman" w:eastAsia="宋体" w:cs="Times New Roman"/>
                <w:color w:val="auto"/>
                <w:sz w:val="24"/>
                <w:szCs w:val="21"/>
                <w:highlight w:val="none"/>
                <w:lang w:val="en-US" w:eastAsia="zh-CN"/>
              </w:rPr>
            </w:pPr>
            <w:r>
              <w:rPr>
                <w:rFonts w:hint="default" w:ascii="Times New Roman" w:hAnsi="Times New Roman" w:eastAsia="宋体" w:cs="Times New Roman"/>
                <w:color w:val="auto"/>
                <w:sz w:val="24"/>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94"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是否开工建设</w:t>
            </w:r>
          </w:p>
        </w:tc>
        <w:tc>
          <w:tcPr>
            <w:tcW w:w="2571" w:type="dxa"/>
            <w:noWrap w:val="0"/>
            <w:vAlign w:val="center"/>
          </w:tcPr>
          <w:p>
            <w:pPr>
              <w:adjustRightInd w:val="0"/>
              <w:snapToGrid w:val="0"/>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sym w:font="Wingdings" w:char="00FE"/>
            </w:r>
            <w:r>
              <w:rPr>
                <w:rFonts w:hint="default" w:ascii="Times New Roman" w:hAnsi="Times New Roman" w:eastAsia="宋体" w:cs="Times New Roman"/>
                <w:color w:val="auto"/>
                <w:sz w:val="24"/>
                <w:szCs w:val="21"/>
                <w:highlight w:val="none"/>
              </w:rPr>
              <w:t>否</w:t>
            </w:r>
          </w:p>
          <w:p>
            <w:pPr>
              <w:adjustRightInd w:val="0"/>
              <w:snapToGrid w:val="0"/>
              <w:rPr>
                <w:rFonts w:hint="eastAsia" w:ascii="Times New Roman" w:hAnsi="Times New Roman" w:eastAsia="宋体" w:cs="Times New Roman"/>
                <w:color w:val="auto"/>
                <w:sz w:val="24"/>
                <w:szCs w:val="21"/>
                <w:highlight w:val="none"/>
                <w:lang w:eastAsia="zh-CN"/>
              </w:rPr>
            </w:pPr>
            <w:r>
              <w:rPr>
                <w:rFonts w:hint="default" w:ascii="Times New Roman" w:hAnsi="Times New Roman" w:eastAsia="宋体" w:cs="Times New Roman"/>
                <w:color w:val="auto"/>
                <w:sz w:val="24"/>
                <w:szCs w:val="21"/>
                <w:highlight w:val="none"/>
              </w:rPr>
              <w:sym w:font="Wingdings" w:char="00A8"/>
            </w:r>
            <w:r>
              <w:rPr>
                <w:rFonts w:hint="default" w:ascii="Times New Roman" w:hAnsi="Times New Roman" w:eastAsia="宋体" w:cs="Times New Roman"/>
                <w:color w:val="auto"/>
                <w:sz w:val="24"/>
                <w:szCs w:val="21"/>
                <w:highlight w:val="none"/>
              </w:rPr>
              <w:t>是：</w:t>
            </w:r>
          </w:p>
        </w:tc>
        <w:tc>
          <w:tcPr>
            <w:tcW w:w="1797"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pacing w:val="-6"/>
                <w:sz w:val="24"/>
                <w:szCs w:val="21"/>
                <w:highlight w:val="none"/>
              </w:rPr>
            </w:pPr>
            <w:r>
              <w:rPr>
                <w:rFonts w:hint="default" w:ascii="Times New Roman" w:hAnsi="Times New Roman" w:eastAsia="宋体" w:cs="Times New Roman"/>
                <w:color w:val="auto"/>
                <w:spacing w:val="-6"/>
                <w:sz w:val="24"/>
                <w:szCs w:val="21"/>
                <w:highlight w:val="none"/>
              </w:rPr>
              <w:t>用地（用海）</w:t>
            </w:r>
          </w:p>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pacing w:val="-6"/>
                <w:sz w:val="24"/>
                <w:szCs w:val="21"/>
                <w:highlight w:val="none"/>
              </w:rPr>
              <w:t>面积（m</w:t>
            </w:r>
            <w:r>
              <w:rPr>
                <w:rFonts w:hint="default" w:ascii="Times New Roman" w:hAnsi="Times New Roman" w:eastAsia="宋体" w:cs="Times New Roman"/>
                <w:color w:val="auto"/>
                <w:spacing w:val="-6"/>
                <w:sz w:val="24"/>
                <w:szCs w:val="21"/>
                <w:highlight w:val="none"/>
                <w:vertAlign w:val="superscript"/>
              </w:rPr>
              <w:t>2</w:t>
            </w:r>
            <w:r>
              <w:rPr>
                <w:rFonts w:hint="default" w:ascii="Times New Roman" w:hAnsi="Times New Roman" w:eastAsia="宋体" w:cs="Times New Roman"/>
                <w:color w:val="auto"/>
                <w:spacing w:val="-6"/>
                <w:sz w:val="24"/>
                <w:szCs w:val="21"/>
                <w:highlight w:val="none"/>
              </w:rPr>
              <w:t>）</w:t>
            </w:r>
          </w:p>
        </w:tc>
        <w:tc>
          <w:tcPr>
            <w:tcW w:w="3418" w:type="dxa"/>
            <w:noWrap w:val="0"/>
            <w:vAlign w:val="center"/>
          </w:tcPr>
          <w:p>
            <w:pPr>
              <w:adjustRightInd w:val="0"/>
              <w:snapToGrid w:val="0"/>
              <w:jc w:val="center"/>
              <w:rPr>
                <w:rFonts w:hint="default" w:ascii="Times New Roman" w:hAnsi="Times New Roman" w:eastAsia="宋体" w:cs="Times New Roman"/>
                <w:color w:val="auto"/>
                <w:sz w:val="24"/>
                <w:szCs w:val="21"/>
                <w:highlight w:val="none"/>
                <w:lang w:val="en-US" w:eastAsia="zh-CN"/>
              </w:rPr>
            </w:pPr>
            <w:r>
              <w:rPr>
                <w:rFonts w:hint="eastAsia" w:ascii="Times New Roman" w:hAnsi="Times New Roman" w:eastAsia="宋体" w:cs="Times New Roman"/>
                <w:color w:val="auto"/>
                <w:sz w:val="24"/>
                <w:szCs w:val="21"/>
                <w:highlight w:val="none"/>
                <w:lang w:val="en-US" w:eastAsia="zh-CN"/>
              </w:rPr>
              <w:t>1000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2" w:hRule="atLeast"/>
          <w:jc w:val="center"/>
        </w:trPr>
        <w:tc>
          <w:tcPr>
            <w:tcW w:w="1194"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专项评价设置情况</w:t>
            </w:r>
          </w:p>
        </w:tc>
        <w:tc>
          <w:tcPr>
            <w:tcW w:w="7786" w:type="dxa"/>
            <w:gridSpan w:val="3"/>
            <w:noWrap w:val="0"/>
            <w:vAlign w:val="center"/>
          </w:tcPr>
          <w:p>
            <w:pPr>
              <w:autoSpaceDE w:val="0"/>
              <w:autoSpaceDN w:val="0"/>
              <w:adjustRightInd w:val="0"/>
              <w:snapToGrid w:val="0"/>
              <w:ind w:firstLine="240" w:firstLineChars="100"/>
              <w:jc w:val="center"/>
              <w:rPr>
                <w:rFonts w:hint="eastAsia" w:ascii="Times New Roman" w:hAnsi="Times New Roman" w:eastAsia="宋体" w:cs="Times New Roman"/>
                <w:color w:val="auto"/>
                <w:kern w:val="0"/>
                <w:sz w:val="24"/>
                <w:szCs w:val="21"/>
                <w:highlight w:val="none"/>
                <w:lang w:val="en-US" w:eastAsia="zh-CN"/>
              </w:rPr>
            </w:pPr>
            <w:r>
              <w:rPr>
                <w:rFonts w:hint="eastAsia" w:ascii="Times New Roman" w:hAnsi="Times New Roman" w:eastAsia="宋体" w:cs="Times New Roman"/>
                <w:color w:val="auto"/>
                <w:kern w:val="0"/>
                <w:sz w:val="24"/>
                <w:szCs w:val="21"/>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194"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sz w:val="24"/>
                <w:szCs w:val="21"/>
                <w:highlight w:val="none"/>
              </w:rPr>
              <w:t>规划情况</w:t>
            </w:r>
          </w:p>
        </w:tc>
        <w:tc>
          <w:tcPr>
            <w:tcW w:w="778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3600" w:firstLineChars="1500"/>
              <w:jc w:val="both"/>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kern w:val="0"/>
                <w:sz w:val="24"/>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194" w:type="dxa"/>
            <w:noWrap w:val="0"/>
            <w:vAlign w:val="center"/>
          </w:tcPr>
          <w:p>
            <w:pPr>
              <w:adjustRightInd w:val="0"/>
              <w:snapToGrid w:val="0"/>
              <w:jc w:val="center"/>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规划环境影响</w:t>
            </w:r>
          </w:p>
          <w:p>
            <w:pPr>
              <w:adjustRightInd w:val="0"/>
              <w:snapToGrid w:val="0"/>
              <w:jc w:val="center"/>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sz w:val="24"/>
                <w:szCs w:val="21"/>
                <w:highlight w:val="none"/>
              </w:rPr>
              <w:t>评价情况</w:t>
            </w:r>
          </w:p>
        </w:tc>
        <w:tc>
          <w:tcPr>
            <w:tcW w:w="7786"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1"/>
                <w:highlight w:val="none"/>
                <w:lang w:eastAsia="zh-CN"/>
              </w:rPr>
            </w:pPr>
            <w:r>
              <w:rPr>
                <w:rFonts w:hint="default" w:ascii="Times New Roman" w:hAnsi="Times New Roman" w:eastAsia="宋体" w:cs="Times New Roman"/>
                <w:color w:val="auto"/>
                <w:kern w:val="0"/>
                <w:sz w:val="24"/>
                <w:szCs w:val="21"/>
                <w:highlight w:val="none"/>
                <w:lang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194"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规划及规划环境影响评价符合性分析</w:t>
            </w:r>
          </w:p>
        </w:tc>
        <w:tc>
          <w:tcPr>
            <w:tcW w:w="7786" w:type="dxa"/>
            <w:gridSpan w:val="3"/>
            <w:noWrap w:val="0"/>
            <w:vAlign w:val="center"/>
          </w:tcPr>
          <w:p>
            <w:pPr>
              <w:autoSpaceDE w:val="0"/>
              <w:autoSpaceDN w:val="0"/>
              <w:adjustRightInd w:val="0"/>
              <w:snapToGrid w:val="0"/>
              <w:jc w:val="center"/>
              <w:rPr>
                <w:rFonts w:hint="eastAsia" w:ascii="Times New Roman" w:hAnsi="Times New Roman" w:eastAsia="宋体" w:cs="Times New Roman"/>
                <w:color w:val="auto"/>
                <w:kern w:val="0"/>
                <w:sz w:val="24"/>
                <w:szCs w:val="21"/>
                <w:highlight w:val="none"/>
                <w:lang w:val="en-US" w:eastAsia="zh-CN"/>
              </w:rPr>
            </w:pPr>
            <w:r>
              <w:rPr>
                <w:rFonts w:hint="eastAsia" w:ascii="Times New Roman" w:hAnsi="Times New Roman" w:eastAsia="宋体" w:cs="Times New Roman"/>
                <w:color w:val="auto"/>
                <w:kern w:val="0"/>
                <w:sz w:val="24"/>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94" w:type="dxa"/>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其他符合性分析</w:t>
            </w:r>
          </w:p>
        </w:tc>
        <w:tc>
          <w:tcPr>
            <w:tcW w:w="7786" w:type="dxa"/>
            <w:gridSpan w:val="3"/>
            <w:noWrap w:val="0"/>
            <w:vAlign w:val="center"/>
          </w:tcPr>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rPr>
            </w:pPr>
            <w:r>
              <w:rPr>
                <w:rFonts w:hint="default" w:ascii="Times New Roman" w:hAnsi="Times New Roman" w:eastAsia="宋体" w:cs="Times New Roman"/>
                <w:b/>
                <w:bCs/>
                <w:color w:val="auto"/>
                <w:kern w:val="0"/>
                <w:sz w:val="24"/>
                <w:szCs w:val="24"/>
                <w:highlight w:val="none"/>
                <w:lang w:val="en-US" w:eastAsia="zh-CN"/>
              </w:rPr>
              <w:t>1</w:t>
            </w:r>
            <w:r>
              <w:rPr>
                <w:rFonts w:hint="default" w:ascii="Times New Roman" w:hAnsi="Times New Roman" w:eastAsia="宋体" w:cs="Times New Roman"/>
                <w:b/>
                <w:bCs/>
                <w:color w:val="auto"/>
                <w:kern w:val="0"/>
                <w:sz w:val="24"/>
                <w:szCs w:val="24"/>
                <w:highlight w:val="none"/>
              </w:rPr>
              <w:t>、</w:t>
            </w:r>
            <w:r>
              <w:rPr>
                <w:rFonts w:hint="default" w:ascii="Times New Roman" w:hAnsi="Times New Roman" w:eastAsia="宋体" w:cs="Times New Roman"/>
                <w:b/>
                <w:bCs/>
                <w:color w:val="auto"/>
                <w:sz w:val="24"/>
                <w:szCs w:val="24"/>
                <w:highlight w:val="none"/>
                <w:lang w:val="en-US" w:eastAsia="zh-CN"/>
              </w:rPr>
              <w:t>与《</w:t>
            </w:r>
            <w:r>
              <w:rPr>
                <w:rFonts w:hint="default" w:ascii="Times New Roman" w:hAnsi="Times New Roman" w:eastAsia="宋体" w:cs="Times New Roman"/>
                <w:b/>
                <w:bCs/>
                <w:color w:val="auto"/>
                <w:kern w:val="0"/>
                <w:sz w:val="24"/>
                <w:szCs w:val="24"/>
                <w:highlight w:val="none"/>
                <w:lang w:eastAsia="zh-CN"/>
              </w:rPr>
              <w:t>博罗县“三线一单”生态环境分区管控方案</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bCs/>
                <w:color w:val="auto"/>
                <w:kern w:val="0"/>
                <w:sz w:val="24"/>
                <w:szCs w:val="24"/>
                <w:highlight w:val="none"/>
                <w:lang w:val="en-US" w:eastAsia="zh-CN"/>
              </w:rPr>
              <w:t>的</w:t>
            </w:r>
            <w:r>
              <w:rPr>
                <w:rFonts w:hint="default" w:ascii="Times New Roman" w:hAnsi="Times New Roman" w:eastAsia="宋体" w:cs="Times New Roman"/>
                <w:b/>
                <w:bCs/>
                <w:color w:val="auto"/>
                <w:kern w:val="0"/>
                <w:sz w:val="24"/>
                <w:szCs w:val="24"/>
                <w:highlight w:val="none"/>
              </w:rPr>
              <w:t>相符性分析</w:t>
            </w:r>
            <w:r>
              <w:rPr>
                <w:rFonts w:hint="default" w:ascii="Times New Roman" w:hAnsi="Times New Roman" w:eastAsia="宋体" w:cs="Times New Roman"/>
                <w:b/>
                <w:bCs/>
                <w:color w:val="auto"/>
                <w:kern w:val="0"/>
                <w:sz w:val="24"/>
                <w:szCs w:val="24"/>
                <w:highlight w:val="none"/>
                <w:lang w:eastAsia="zh-CN"/>
              </w:rPr>
              <w:t>。</w:t>
            </w:r>
          </w:p>
          <w:p>
            <w:pPr>
              <w:widowControl/>
              <w:adjustRightInd w:val="0"/>
              <w:snapToGrid w:val="0"/>
              <w:spacing w:line="360" w:lineRule="auto"/>
              <w:ind w:firstLine="480" w:firstLineChars="200"/>
              <w:rPr>
                <w:rFonts w:hint="default" w:ascii="Times New Roman" w:hAnsi="Times New Roman" w:eastAsia="宋体" w:cs="Times New Roman"/>
                <w:color w:val="auto"/>
                <w:kern w:val="44"/>
                <w:sz w:val="24"/>
                <w:szCs w:val="44"/>
                <w:highlight w:val="none"/>
              </w:rPr>
            </w:pPr>
            <w:r>
              <w:rPr>
                <w:rFonts w:hint="default" w:ascii="Times New Roman" w:hAnsi="Times New Roman" w:eastAsia="宋体" w:cs="Times New Roman"/>
                <w:color w:val="auto"/>
                <w:kern w:val="44"/>
                <w:sz w:val="24"/>
                <w:szCs w:val="44"/>
                <w:highlight w:val="none"/>
              </w:rPr>
              <w:t>根据《博罗县“三线一单”生态环境分区管控方案》，以下简称《方案》，“三线一单”即生态保护红线及一般生态空间、环境质量底线、资源利用上线、生态环境准入清单。</w:t>
            </w:r>
            <w:r>
              <w:rPr>
                <w:rFonts w:hint="default" w:ascii="Times New Roman" w:hAnsi="Times New Roman" w:eastAsia="宋体" w:cs="Times New Roman"/>
                <w:color w:val="auto"/>
                <w:kern w:val="44"/>
                <w:sz w:val="24"/>
                <w:szCs w:val="44"/>
                <w:highlight w:val="none"/>
                <w:lang w:eastAsia="zh-CN"/>
              </w:rPr>
              <w:t>本</w:t>
            </w:r>
            <w:r>
              <w:rPr>
                <w:rFonts w:hint="default" w:ascii="Times New Roman" w:hAnsi="Times New Roman" w:eastAsia="宋体" w:cs="Times New Roman"/>
                <w:color w:val="auto"/>
                <w:kern w:val="44"/>
                <w:sz w:val="24"/>
                <w:szCs w:val="44"/>
                <w:highlight w:val="none"/>
              </w:rPr>
              <w:t>项目“三线一单”管理要求的符合性分析见下表：</w:t>
            </w:r>
          </w:p>
          <w:p>
            <w:pPr>
              <w:pStyle w:val="2"/>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表1-1与博罗县“三线一单”相符性分析</w:t>
            </w:r>
          </w:p>
          <w:tbl>
            <w:tblPr>
              <w:tblStyle w:val="25"/>
              <w:tblW w:w="7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886"/>
              <w:gridCol w:w="3420"/>
              <w:gridCol w:w="2305"/>
              <w:gridCol w:w="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31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bidi="ar-SA"/>
                    </w:rPr>
                    <w:t>文件要求</w:t>
                  </w:r>
                </w:p>
              </w:tc>
              <w:tc>
                <w:tcPr>
                  <w:tcW w:w="14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eastAsia" w:ascii="Times New Roman" w:hAnsi="Times New Roman" w:eastAsia="宋体" w:cs="Times New Roman"/>
                      <w:b/>
                      <w:bCs/>
                      <w:color w:val="auto"/>
                      <w:kern w:val="0"/>
                      <w:sz w:val="21"/>
                      <w:szCs w:val="21"/>
                      <w:highlight w:val="none"/>
                      <w:vertAlign w:val="baseline"/>
                      <w:lang w:eastAsia="zh-CN"/>
                    </w:rPr>
                    <w:t>本项目</w:t>
                  </w:r>
                  <w:r>
                    <w:rPr>
                      <w:rFonts w:hint="default" w:ascii="Times New Roman" w:hAnsi="Times New Roman" w:eastAsia="宋体" w:cs="Times New Roman"/>
                      <w:b/>
                      <w:bCs/>
                      <w:color w:val="auto"/>
                      <w:kern w:val="0"/>
                      <w:sz w:val="21"/>
                      <w:szCs w:val="21"/>
                      <w:highlight w:val="none"/>
                      <w:vertAlign w:val="baseline"/>
                      <w:lang w:eastAsia="zh-CN"/>
                    </w:rPr>
                    <w:t>情况</w:t>
                  </w: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bCs/>
                      <w:color w:val="auto"/>
                      <w:kern w:val="0"/>
                      <w:sz w:val="21"/>
                      <w:szCs w:val="21"/>
                      <w:highlight w:val="none"/>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eastAsia="zh-CN"/>
                    </w:rPr>
                    <w:t>生态环保红线</w:t>
                  </w:r>
                </w:p>
              </w:tc>
              <w:tc>
                <w:tcPr>
                  <w:tcW w:w="2796" w:type="pct"/>
                  <w:gridSpan w:val="2"/>
                  <w:noWrap w:val="0"/>
                  <w:vAlign w:val="center"/>
                </w:tcPr>
                <w:p>
                  <w:pPr>
                    <w:pStyle w:val="33"/>
                    <w:rPr>
                      <w:rFonts w:hint="eastAsia"/>
                      <w:color w:val="auto"/>
                      <w:highlight w:val="none"/>
                    </w:rPr>
                  </w:pPr>
                  <w:r>
                    <w:rPr>
                      <w:rFonts w:hint="eastAsia"/>
                      <w:color w:val="auto"/>
                      <w:highlight w:val="none"/>
                    </w:rPr>
                    <w:t>生态保护红线和一般生态空间：</w:t>
                  </w:r>
                  <w:r>
                    <w:rPr>
                      <w:rFonts w:hint="eastAsia"/>
                      <w:color w:val="auto"/>
                      <w:highlight w:val="none"/>
                      <w:lang w:val="en-US" w:eastAsia="zh-CN"/>
                    </w:rPr>
                    <w:t>全县生态保护红线面积 408.014 平方公里，占全县国土面积的 14.29%；一般生态空间面积 344.5 平方公里，占全县 国土面积的 12.07%。</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rPr>
                  </w:pPr>
                </w:p>
              </w:tc>
              <w:tc>
                <w:tcPr>
                  <w:tcW w:w="14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eastAsia" w:ascii="Times New Roman" w:hAnsi="Times New Roman" w:eastAsia="宋体"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eastAsia="zh-CN"/>
                    </w:rPr>
                    <w:t>位于</w:t>
                  </w:r>
                  <w:r>
                    <w:rPr>
                      <w:rFonts w:hint="eastAsia" w:ascii="Times New Roman" w:hAnsi="Times New Roman" w:eastAsia="宋体" w:cs="Times New Roman"/>
                      <w:b w:val="0"/>
                      <w:bCs w:val="0"/>
                      <w:color w:val="auto"/>
                      <w:sz w:val="21"/>
                      <w:szCs w:val="21"/>
                      <w:highlight w:val="none"/>
                      <w:lang w:eastAsia="zh-CN"/>
                    </w:rPr>
                    <w:t>博罗县龙溪街道龙岗村第四组白土（土名）</w:t>
                  </w:r>
                  <w:r>
                    <w:rPr>
                      <w:rFonts w:hint="default" w:ascii="Times New Roman" w:hAnsi="Times New Roman" w:eastAsia="宋体" w:cs="Times New Roman"/>
                      <w:b w:val="0"/>
                      <w:bCs w:val="0"/>
                      <w:color w:val="auto"/>
                      <w:sz w:val="21"/>
                      <w:szCs w:val="21"/>
                      <w:highlight w:val="none"/>
                      <w:lang w:eastAsia="zh-CN"/>
                    </w:rPr>
                    <w:t>。根据</w:t>
                  </w:r>
                  <w:r>
                    <w:rPr>
                      <w:rFonts w:hint="default" w:ascii="Times New Roman" w:hAnsi="Times New Roman" w:eastAsia="宋体" w:cs="Times New Roman"/>
                      <w:b w:val="0"/>
                      <w:bCs w:val="0"/>
                      <w:color w:val="auto"/>
                      <w:sz w:val="21"/>
                      <w:szCs w:val="21"/>
                      <w:highlight w:val="none"/>
                      <w:lang w:val="en-US" w:eastAsia="zh-CN"/>
                    </w:rPr>
                    <w:t>附图1</w:t>
                  </w:r>
                  <w:r>
                    <w:rPr>
                      <w:rFonts w:hint="eastAsia" w:ascii="Times New Roman" w:hAnsi="Times New Roman" w:eastAsia="宋体" w:cs="Times New Roman"/>
                      <w:b w:val="0"/>
                      <w:bCs w:val="0"/>
                      <w:color w:val="auto"/>
                      <w:sz w:val="21"/>
                      <w:szCs w:val="21"/>
                      <w:highlight w:val="none"/>
                      <w:lang w:val="en-US" w:eastAsia="zh-CN"/>
                    </w:rPr>
                    <w:t>1</w:t>
                  </w:r>
                  <w:r>
                    <w:rPr>
                      <w:rFonts w:hint="default" w:ascii="Times New Roman" w:hAnsi="Times New Roman" w:eastAsia="宋体" w:cs="Times New Roman"/>
                      <w:b w:val="0"/>
                      <w:bCs w:val="0"/>
                      <w:color w:val="auto"/>
                      <w:sz w:val="21"/>
                      <w:szCs w:val="21"/>
                      <w:highlight w:val="none"/>
                      <w:lang w:val="en-US" w:eastAsia="zh-CN"/>
                    </w:rPr>
                    <w:t>，</w:t>
                  </w:r>
                  <w:r>
                    <w:rPr>
                      <w:rFonts w:hint="eastAsia" w:ascii="Times New Roman" w:hAnsi="Times New Roman" w:eastAsia="宋体"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lang w:val="en-US" w:eastAsia="zh-CN"/>
                    </w:rPr>
                    <w:t>不属于生态保护红线区和一般生态空间。</w:t>
                  </w: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9" w:hRule="atLeast"/>
                <w:jc w:val="center"/>
              </w:trPr>
              <w:tc>
                <w:tcPr>
                  <w:tcW w:w="40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eastAsia="zh-CN"/>
                    </w:rPr>
                    <w:t>环境质量底线</w:t>
                  </w:r>
                </w:p>
              </w:tc>
              <w:tc>
                <w:tcPr>
                  <w:tcW w:w="575"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大气环境质量底线及管控分</w:t>
                  </w:r>
                </w:p>
                <w:p>
                  <w:pPr>
                    <w:pStyle w:val="34"/>
                    <w:keepNext w:val="0"/>
                    <w:keepLines w:val="0"/>
                    <w:pageBreakBefore w:val="0"/>
                    <w:widowControl w:val="0"/>
                    <w:kinsoku/>
                    <w:wordWrap/>
                    <w:overflowPunct/>
                    <w:topLinePunct w:val="0"/>
                    <w:autoSpaceDE/>
                    <w:autoSpaceDN/>
                    <w:bidi w:val="0"/>
                    <w:adjustRightInd/>
                    <w:snapToGrid/>
                    <w:spacing w:line="240" w:lineRule="auto"/>
                    <w:ind w:left="0" w:leftChars="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区</w:t>
                  </w:r>
                </w:p>
              </w:tc>
              <w:tc>
                <w:tcPr>
                  <w:tcW w:w="2221" w:type="pct"/>
                  <w:noWrap w:val="0"/>
                  <w:vAlign w:val="center"/>
                </w:tcPr>
                <w:p>
                  <w:pPr>
                    <w:pStyle w:val="34"/>
                    <w:keepNext w:val="0"/>
                    <w:keepLines w:val="0"/>
                    <w:pageBreakBefore w:val="0"/>
                    <w:widowControl w:val="0"/>
                    <w:kinsoku/>
                    <w:wordWrap/>
                    <w:overflowPunct/>
                    <w:topLinePunct w:val="0"/>
                    <w:autoSpaceDE/>
                    <w:autoSpaceDN/>
                    <w:bidi w:val="0"/>
                    <w:spacing w:line="240" w:lineRule="auto"/>
                    <w:ind w:right="0"/>
                    <w:jc w:val="both"/>
                    <w:textAlignment w:val="auto"/>
                    <w:rPr>
                      <w:rFonts w:hint="default" w:ascii="Times New Roman" w:hAnsi="Times New Roman" w:eastAsia="宋体" w:cs="Times New Roman"/>
                      <w:b/>
                      <w:bCs/>
                      <w:color w:val="auto"/>
                      <w:kern w:val="0"/>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根据《博罗县生态保</w:t>
                  </w:r>
                  <w:r>
                    <w:rPr>
                      <w:rFonts w:hint="default" w:ascii="Times New Roman" w:hAnsi="Times New Roman" w:eastAsia="宋体" w:cs="Times New Roman"/>
                      <w:color w:val="auto"/>
                      <w:sz w:val="21"/>
                      <w:highlight w:val="none"/>
                    </w:rPr>
                    <w:t>护红线、</w:t>
                  </w:r>
                  <w:r>
                    <w:rPr>
                      <w:rFonts w:hint="default" w:ascii="Times New Roman" w:hAnsi="Times New Roman" w:eastAsia="宋体" w:cs="Times New Roman"/>
                      <w:color w:val="auto"/>
                      <w:spacing w:val="-10"/>
                      <w:sz w:val="21"/>
                      <w:highlight w:val="none"/>
                    </w:rPr>
                    <w:t>环境质量底线、资源利用上线和环</w:t>
                  </w:r>
                  <w:r>
                    <w:rPr>
                      <w:rFonts w:hint="default" w:ascii="Times New Roman" w:hAnsi="Times New Roman" w:eastAsia="宋体" w:cs="Times New Roman"/>
                      <w:color w:val="auto"/>
                      <w:spacing w:val="-17"/>
                      <w:sz w:val="21"/>
                      <w:highlight w:val="none"/>
                    </w:rPr>
                    <w:t>境准入清单研究报告》中表</w:t>
                  </w:r>
                  <w:r>
                    <w:rPr>
                      <w:rFonts w:hint="default" w:ascii="Times New Roman" w:hAnsi="Times New Roman" w:eastAsia="宋体" w:cs="Times New Roman"/>
                      <w:color w:val="auto"/>
                      <w:sz w:val="21"/>
                      <w:highlight w:val="none"/>
                    </w:rPr>
                    <w:t>5.4-2，</w:t>
                  </w:r>
                  <w:r>
                    <w:rPr>
                      <w:rFonts w:hint="eastAsia" w:ascii="Times New Roman" w:hAnsi="Times New Roman" w:eastAsia="宋体" w:cs="Times New Roman"/>
                      <w:color w:val="auto"/>
                      <w:sz w:val="21"/>
                      <w:highlight w:val="none"/>
                      <w:lang w:val="en-US" w:eastAsia="zh-CN"/>
                    </w:rPr>
                    <w:t>龙溪</w:t>
                  </w:r>
                  <w:r>
                    <w:rPr>
                      <w:rFonts w:hint="default" w:ascii="Times New Roman" w:hAnsi="Times New Roman" w:eastAsia="宋体" w:cs="Times New Roman"/>
                      <w:color w:val="auto"/>
                      <w:sz w:val="21"/>
                      <w:highlight w:val="none"/>
                    </w:rPr>
                    <w:t>镇大气环境优先保护区面积</w:t>
                  </w:r>
                  <w:r>
                    <w:rPr>
                      <w:rFonts w:hint="default"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km</w:t>
                  </w:r>
                  <w:r>
                    <w:rPr>
                      <w:rFonts w:hint="default" w:ascii="Times New Roman" w:hAnsi="Times New Roman" w:eastAsia="宋体" w:cs="Times New Roman"/>
                      <w:color w:val="auto"/>
                      <w:position w:val="7"/>
                      <w:sz w:val="13"/>
                      <w:highlight w:val="none"/>
                    </w:rPr>
                    <w:t>2</w:t>
                  </w:r>
                  <w:r>
                    <w:rPr>
                      <w:rFonts w:hint="default" w:ascii="Times New Roman" w:hAnsi="Times New Roman" w:eastAsia="宋体" w:cs="Times New Roman"/>
                      <w:color w:val="auto"/>
                      <w:sz w:val="21"/>
                      <w:highlight w:val="none"/>
                    </w:rPr>
                    <w:t>，大气环境高排放重点</w:t>
                  </w:r>
                  <w:r>
                    <w:rPr>
                      <w:rFonts w:hint="default" w:ascii="Times New Roman" w:hAnsi="Times New Roman" w:eastAsia="宋体" w:cs="Times New Roman"/>
                      <w:color w:val="auto"/>
                      <w:spacing w:val="-10"/>
                      <w:sz w:val="21"/>
                      <w:highlight w:val="none"/>
                    </w:rPr>
                    <w:t>管控区面积</w:t>
                  </w:r>
                  <w:r>
                    <w:rPr>
                      <w:rFonts w:hint="eastAsia" w:ascii="Times New Roman" w:hAnsi="Times New Roman" w:eastAsia="宋体" w:cs="Times New Roman"/>
                      <w:color w:val="auto"/>
                      <w:sz w:val="21"/>
                      <w:highlight w:val="none"/>
                      <w:lang w:val="en-US" w:eastAsia="zh-CN"/>
                    </w:rPr>
                    <w:t>104.005</w:t>
                  </w:r>
                  <w:r>
                    <w:rPr>
                      <w:rFonts w:hint="default" w:ascii="Times New Roman" w:hAnsi="Times New Roman" w:eastAsia="宋体" w:cs="Times New Roman"/>
                      <w:color w:val="auto"/>
                      <w:sz w:val="21"/>
                      <w:highlight w:val="none"/>
                    </w:rPr>
                    <w:t>km</w:t>
                  </w:r>
                  <w:r>
                    <w:rPr>
                      <w:rFonts w:hint="default" w:ascii="Times New Roman" w:hAnsi="Times New Roman" w:eastAsia="宋体" w:cs="Times New Roman"/>
                      <w:color w:val="auto"/>
                      <w:position w:val="7"/>
                      <w:sz w:val="13"/>
                      <w:highlight w:val="none"/>
                    </w:rPr>
                    <w:t>2</w:t>
                  </w:r>
                  <w:r>
                    <w:rPr>
                      <w:rFonts w:hint="default" w:ascii="Times New Roman" w:hAnsi="Times New Roman" w:eastAsia="宋体" w:cs="Times New Roman"/>
                      <w:color w:val="auto"/>
                      <w:sz w:val="21"/>
                      <w:highlight w:val="none"/>
                    </w:rPr>
                    <w:t>，大气环境一般管控区面积</w:t>
                  </w:r>
                  <w:r>
                    <w:rPr>
                      <w:rFonts w:hint="eastAsia" w:ascii="Times New Roman" w:hAnsi="Times New Roman" w:eastAsia="宋体" w:cs="Times New Roman"/>
                      <w:color w:val="auto"/>
                      <w:sz w:val="21"/>
                      <w:highlight w:val="none"/>
                      <w:lang w:val="en-US" w:eastAsia="zh-CN"/>
                    </w:rPr>
                    <w:t>11.824</w:t>
                  </w:r>
                  <w:r>
                    <w:rPr>
                      <w:rFonts w:hint="default" w:ascii="Times New Roman" w:hAnsi="Times New Roman" w:eastAsia="宋体" w:cs="Times New Roman"/>
                      <w:color w:val="auto"/>
                      <w:sz w:val="21"/>
                      <w:highlight w:val="none"/>
                    </w:rPr>
                    <w:t>km</w:t>
                  </w:r>
                  <w:r>
                    <w:rPr>
                      <w:rFonts w:hint="default" w:ascii="Times New Roman" w:hAnsi="Times New Roman" w:eastAsia="宋体" w:cs="Times New Roman"/>
                      <w:color w:val="auto"/>
                      <w:position w:val="7"/>
                      <w:sz w:val="13"/>
                      <w:highlight w:val="none"/>
                    </w:rPr>
                    <w:t>2</w:t>
                  </w:r>
                </w:p>
              </w:tc>
              <w:tc>
                <w:tcPr>
                  <w:tcW w:w="14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val="0"/>
                      <w:bCs w:val="0"/>
                      <w:i w:val="0"/>
                      <w:iCs w:val="0"/>
                      <w:color w:val="auto"/>
                      <w:kern w:val="0"/>
                      <w:sz w:val="21"/>
                      <w:szCs w:val="21"/>
                      <w:highlight w:val="none"/>
                      <w:vertAlign w:val="baseline"/>
                      <w:lang w:val="en-US" w:eastAsia="zh-CN" w:bidi="ar-SA"/>
                    </w:rPr>
                    <w:t>根据</w:t>
                  </w:r>
                  <w:r>
                    <w:rPr>
                      <w:rFonts w:hint="default" w:ascii="Times New Roman" w:hAnsi="Times New Roman" w:eastAsia="宋体" w:cs="Times New Roman"/>
                      <w:b w:val="0"/>
                      <w:bCs w:val="0"/>
                      <w:color w:val="auto"/>
                      <w:kern w:val="0"/>
                      <w:sz w:val="21"/>
                      <w:szCs w:val="21"/>
                      <w:highlight w:val="none"/>
                      <w:vertAlign w:val="baseline"/>
                      <w:lang w:val="en-US" w:eastAsia="zh-CN" w:bidi="ar-SA"/>
                    </w:rPr>
                    <w:t>附图14，</w:t>
                  </w:r>
                  <w:r>
                    <w:rPr>
                      <w:rFonts w:hint="eastAsia" w:ascii="Times New Roman" w:hAnsi="Times New Roman" w:eastAsia="宋体"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位于大气环境高排放重点管控区</w:t>
                  </w:r>
                  <w:r>
                    <w:rPr>
                      <w:rFonts w:hint="eastAsia" w:ascii="Times New Roman" w:hAnsi="Times New Roman" w:eastAsia="宋体" w:cs="Times New Roman"/>
                      <w:b w:val="0"/>
                      <w:bCs w:val="0"/>
                      <w:color w:val="auto"/>
                      <w:kern w:val="0"/>
                      <w:sz w:val="21"/>
                      <w:szCs w:val="21"/>
                      <w:highlight w:val="none"/>
                      <w:vertAlign w:val="baseline"/>
                      <w:lang w:val="en-US" w:eastAsia="zh-CN" w:bidi="ar-SA"/>
                    </w:rPr>
                    <w:t>，项目生产过程中产生的废气经收集处理后达标排放，对大气环境影响不大</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tc>
              <w:tc>
                <w:tcPr>
                  <w:tcW w:w="30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eastAsia="zh-CN"/>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rPr>
                  </w:pPr>
                </w:p>
              </w:tc>
              <w:tc>
                <w:tcPr>
                  <w:tcW w:w="575" w:type="pct"/>
                  <w:noWrap w:val="0"/>
                  <w:vAlign w:val="center"/>
                </w:tcPr>
                <w:p>
                  <w:pPr>
                    <w:pStyle w:val="34"/>
                    <w:keepNext w:val="0"/>
                    <w:keepLines w:val="0"/>
                    <w:pageBreakBefore w:val="0"/>
                    <w:widowControl w:val="0"/>
                    <w:kinsoku/>
                    <w:wordWrap/>
                    <w:overflowPunct/>
                    <w:topLinePunct w:val="0"/>
                    <w:autoSpaceDE/>
                    <w:autoSpaceDN/>
                    <w:bidi w:val="0"/>
                    <w:adjustRightInd/>
                    <w:snapToGrid/>
                    <w:spacing w:before="7" w:line="240" w:lineRule="auto"/>
                    <w:ind w:left="0" w:right="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p>
                <w:p>
                  <w:pPr>
                    <w:pStyle w:val="34"/>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地表水环境质量底线及管控分区</w:t>
                  </w:r>
                </w:p>
              </w:tc>
              <w:tc>
                <w:tcPr>
                  <w:tcW w:w="2221" w:type="pct"/>
                  <w:noWrap w:val="0"/>
                  <w:vAlign w:val="center"/>
                </w:tcPr>
                <w:p>
                  <w:pPr>
                    <w:pStyle w:val="34"/>
                    <w:keepNext w:val="0"/>
                    <w:keepLines w:val="0"/>
                    <w:pageBreakBefore w:val="0"/>
                    <w:widowControl w:val="0"/>
                    <w:kinsoku/>
                    <w:wordWrap/>
                    <w:overflowPunct/>
                    <w:topLinePunct w:val="0"/>
                    <w:autoSpaceDE/>
                    <w:autoSpaceDN/>
                    <w:bidi w:val="0"/>
                    <w:spacing w:line="240" w:lineRule="auto"/>
                    <w:ind w:right="0"/>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color w:val="auto"/>
                      <w:sz w:val="21"/>
                      <w:highlight w:val="none"/>
                    </w:rPr>
                    <w:t>根据《博罗县生态保护红线、</w:t>
                  </w:r>
                  <w:r>
                    <w:rPr>
                      <w:rFonts w:hint="default" w:ascii="Times New Roman" w:hAnsi="Times New Roman" w:eastAsia="宋体" w:cs="Times New Roman"/>
                      <w:color w:val="auto"/>
                      <w:spacing w:val="-10"/>
                      <w:sz w:val="21"/>
                      <w:highlight w:val="none"/>
                    </w:rPr>
                    <w:t>环境质量底线、资源利用上线和环</w:t>
                  </w:r>
                  <w:r>
                    <w:rPr>
                      <w:rFonts w:hint="default" w:ascii="Times New Roman" w:hAnsi="Times New Roman" w:eastAsia="宋体" w:cs="Times New Roman"/>
                      <w:color w:val="auto"/>
                      <w:spacing w:val="-17"/>
                      <w:sz w:val="21"/>
                      <w:highlight w:val="none"/>
                    </w:rPr>
                    <w:t>境准入清单研究报告》中表</w:t>
                  </w:r>
                  <w:r>
                    <w:rPr>
                      <w:rFonts w:hint="default" w:ascii="Times New Roman" w:hAnsi="Times New Roman" w:eastAsia="宋体" w:cs="Times New Roman"/>
                      <w:color w:val="auto"/>
                      <w:sz w:val="21"/>
                      <w:highlight w:val="none"/>
                    </w:rPr>
                    <w:t>4.8-2，</w:t>
                  </w:r>
                  <w:r>
                    <w:rPr>
                      <w:rFonts w:hint="eastAsia" w:ascii="Times New Roman" w:hAnsi="Times New Roman" w:eastAsia="宋体" w:cs="Times New Roman"/>
                      <w:color w:val="auto"/>
                      <w:sz w:val="21"/>
                      <w:highlight w:val="none"/>
                      <w:lang w:val="en-US" w:eastAsia="zh-CN"/>
                    </w:rPr>
                    <w:t>龙溪</w:t>
                  </w:r>
                  <w:r>
                    <w:rPr>
                      <w:rFonts w:hint="default" w:ascii="Times New Roman" w:hAnsi="Times New Roman" w:eastAsia="宋体" w:cs="Times New Roman"/>
                      <w:color w:val="auto"/>
                      <w:spacing w:val="-4"/>
                      <w:sz w:val="21"/>
                      <w:highlight w:val="none"/>
                    </w:rPr>
                    <w:t>镇水环境优先保护区面积</w:t>
                  </w:r>
                  <w:r>
                    <w:rPr>
                      <w:rFonts w:hint="eastAsia"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km</w:t>
                  </w:r>
                  <w:r>
                    <w:rPr>
                      <w:rFonts w:hint="default" w:ascii="Times New Roman" w:hAnsi="Times New Roman" w:eastAsia="宋体" w:cs="Times New Roman"/>
                      <w:color w:val="auto"/>
                      <w:position w:val="7"/>
                      <w:sz w:val="13"/>
                      <w:highlight w:val="none"/>
                    </w:rPr>
                    <w:t>2</w:t>
                  </w:r>
                  <w:r>
                    <w:rPr>
                      <w:rFonts w:hint="default" w:ascii="Times New Roman" w:hAnsi="Times New Roman" w:eastAsia="宋体" w:cs="Times New Roman"/>
                      <w:color w:val="auto"/>
                      <w:sz w:val="21"/>
                      <w:highlight w:val="none"/>
                    </w:rPr>
                    <w:t>，水环境生活污染重点管</w:t>
                  </w:r>
                  <w:r>
                    <w:rPr>
                      <w:rFonts w:hint="default" w:ascii="Times New Roman" w:hAnsi="Times New Roman" w:eastAsia="宋体" w:cs="Times New Roman"/>
                      <w:color w:val="auto"/>
                      <w:spacing w:val="-11"/>
                      <w:sz w:val="21"/>
                      <w:highlight w:val="none"/>
                    </w:rPr>
                    <w:t>控区面积</w:t>
                  </w:r>
                  <w:r>
                    <w:rPr>
                      <w:rFonts w:hint="eastAsia"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km</w:t>
                  </w:r>
                  <w:r>
                    <w:rPr>
                      <w:rFonts w:hint="default" w:ascii="Times New Roman" w:hAnsi="Times New Roman" w:eastAsia="宋体" w:cs="Times New Roman"/>
                      <w:color w:val="auto"/>
                      <w:position w:val="7"/>
                      <w:sz w:val="13"/>
                      <w:highlight w:val="none"/>
                    </w:rPr>
                    <w:t>2</w:t>
                  </w:r>
                  <w:r>
                    <w:rPr>
                      <w:rFonts w:hint="default" w:ascii="Times New Roman" w:hAnsi="Times New Roman" w:eastAsia="宋体" w:cs="Times New Roman"/>
                      <w:color w:val="auto"/>
                      <w:sz w:val="21"/>
                      <w:highlight w:val="none"/>
                    </w:rPr>
                    <w:t>，水环境工</w:t>
                  </w:r>
                  <w:r>
                    <w:rPr>
                      <w:rFonts w:hint="default" w:ascii="Times New Roman" w:hAnsi="Times New Roman" w:eastAsia="宋体" w:cs="Times New Roman"/>
                      <w:color w:val="auto"/>
                      <w:spacing w:val="-5"/>
                      <w:sz w:val="21"/>
                      <w:highlight w:val="none"/>
                    </w:rPr>
                    <w:t>业污染重点管控区</w:t>
                  </w:r>
                  <w:r>
                    <w:rPr>
                      <w:rFonts w:hint="eastAsia" w:ascii="Times New Roman" w:hAnsi="Times New Roman" w:eastAsia="宋体" w:cs="Times New Roman"/>
                      <w:color w:val="auto"/>
                      <w:spacing w:val="-5"/>
                      <w:sz w:val="21"/>
                      <w:highlight w:val="none"/>
                      <w:lang w:val="en-US" w:eastAsia="zh-CN"/>
                    </w:rPr>
                    <w:t>面积</w:t>
                  </w:r>
                  <w:r>
                    <w:rPr>
                      <w:rFonts w:hint="eastAsia" w:ascii="Times New Roman" w:hAnsi="Times New Roman" w:eastAsia="宋体" w:cs="Times New Roman"/>
                      <w:color w:val="auto"/>
                      <w:sz w:val="21"/>
                      <w:highlight w:val="none"/>
                      <w:lang w:val="en-US" w:eastAsia="zh-CN"/>
                    </w:rPr>
                    <w:t>115.830</w:t>
                  </w:r>
                  <w:r>
                    <w:rPr>
                      <w:rFonts w:hint="default" w:ascii="Times New Roman" w:hAnsi="Times New Roman" w:eastAsia="宋体" w:cs="Times New Roman"/>
                      <w:color w:val="auto"/>
                      <w:sz w:val="21"/>
                      <w:highlight w:val="none"/>
                    </w:rPr>
                    <w:t>km</w:t>
                  </w:r>
                  <w:r>
                    <w:rPr>
                      <w:rFonts w:hint="default" w:ascii="Times New Roman" w:hAnsi="Times New Roman" w:eastAsia="宋体" w:cs="Times New Roman"/>
                      <w:color w:val="auto"/>
                      <w:position w:val="7"/>
                      <w:sz w:val="13"/>
                      <w:highlight w:val="none"/>
                    </w:rPr>
                    <w:t>2</w:t>
                  </w:r>
                  <w:r>
                    <w:rPr>
                      <w:rFonts w:hint="default" w:ascii="Times New Roman" w:hAnsi="Times New Roman" w:eastAsia="宋体" w:cs="Times New Roman"/>
                      <w:color w:val="auto"/>
                      <w:sz w:val="21"/>
                      <w:highlight w:val="none"/>
                    </w:rPr>
                    <w:t>，水环境一般管控区面积</w:t>
                  </w:r>
                  <w:r>
                    <w:rPr>
                      <w:rFonts w:hint="eastAsia" w:ascii="Times New Roman" w:hAnsi="Times New Roman" w:eastAsia="宋体" w:cs="Times New Roman"/>
                      <w:color w:val="auto"/>
                      <w:sz w:val="21"/>
                      <w:highlight w:val="none"/>
                      <w:lang w:val="en-US" w:eastAsia="zh-CN"/>
                    </w:rPr>
                    <w:t>0</w:t>
                  </w:r>
                  <w:r>
                    <w:rPr>
                      <w:rFonts w:hint="default" w:ascii="Times New Roman" w:hAnsi="Times New Roman" w:eastAsia="宋体" w:cs="Times New Roman"/>
                      <w:color w:val="auto"/>
                      <w:sz w:val="21"/>
                      <w:highlight w:val="none"/>
                    </w:rPr>
                    <w:t>km</w:t>
                  </w:r>
                  <w:r>
                    <w:rPr>
                      <w:rFonts w:hint="default" w:ascii="Times New Roman" w:hAnsi="Times New Roman" w:eastAsia="宋体" w:cs="Times New Roman"/>
                      <w:color w:val="auto"/>
                      <w:position w:val="7"/>
                      <w:sz w:val="13"/>
                      <w:highlight w:val="none"/>
                    </w:rPr>
                    <w:t>2</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tc>
              <w:tc>
                <w:tcPr>
                  <w:tcW w:w="14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color w:val="auto"/>
                      <w:highlight w:val="none"/>
                    </w:rPr>
                    <w:t>根据</w:t>
                  </w:r>
                  <w:r>
                    <w:rPr>
                      <w:rFonts w:hint="default" w:ascii="Times New Roman" w:hAnsi="Times New Roman" w:eastAsia="宋体" w:cs="Times New Roman"/>
                      <w:b w:val="0"/>
                      <w:bCs w:val="0"/>
                      <w:color w:val="auto"/>
                      <w:kern w:val="0"/>
                      <w:sz w:val="21"/>
                      <w:szCs w:val="21"/>
                      <w:highlight w:val="none"/>
                      <w:vertAlign w:val="baseline"/>
                      <w:lang w:val="en-US" w:eastAsia="zh-CN" w:bidi="ar-SA"/>
                    </w:rPr>
                    <w:t>附图</w:t>
                  </w:r>
                  <w:r>
                    <w:rPr>
                      <w:rFonts w:hint="eastAsia" w:ascii="Times New Roman" w:hAnsi="Times New Roman" w:eastAsia="宋体" w:cs="Times New Roman"/>
                      <w:b w:val="0"/>
                      <w:bCs w:val="0"/>
                      <w:color w:val="auto"/>
                      <w:kern w:val="0"/>
                      <w:sz w:val="21"/>
                      <w:szCs w:val="21"/>
                      <w:highlight w:val="none"/>
                      <w:vertAlign w:val="baseline"/>
                      <w:lang w:val="en-US" w:eastAsia="zh-CN" w:bidi="ar-SA"/>
                    </w:rPr>
                    <w:t>13</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r>
                    <w:rPr>
                      <w:rFonts w:hint="eastAsia" w:ascii="Times New Roman" w:hAnsi="Times New Roman" w:eastAsia="宋体"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位于水环境工业污染重点管控区</w:t>
                  </w:r>
                  <w:r>
                    <w:rPr>
                      <w:rFonts w:hint="eastAsia" w:ascii="Times New Roman" w:hAnsi="Times New Roman" w:eastAsia="宋体" w:cs="Times New Roman"/>
                      <w:b w:val="0"/>
                      <w:bCs w:val="0"/>
                      <w:color w:val="auto"/>
                      <w:kern w:val="0"/>
                      <w:sz w:val="21"/>
                      <w:szCs w:val="21"/>
                      <w:highlight w:val="none"/>
                      <w:vertAlign w:val="baseline"/>
                      <w:lang w:val="en-US" w:eastAsia="zh-CN" w:bidi="ar-SA"/>
                    </w:rPr>
                    <w:t>，本项目没有工业废水排放，生活污水纳入市政管网进入博罗县龙溪镇污水处理厂统一处理</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p>
              </w:tc>
              <w:tc>
                <w:tcPr>
                  <w:tcW w:w="30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jc w:val="center"/>
              </w:trPr>
              <w:tc>
                <w:tcPr>
                  <w:tcW w:w="402"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p>
              </w:tc>
              <w:tc>
                <w:tcPr>
                  <w:tcW w:w="575" w:type="pct"/>
                  <w:noWrap w:val="0"/>
                  <w:vAlign w:val="center"/>
                </w:tcPr>
                <w:p>
                  <w:pPr>
                    <w:pStyle w:val="34"/>
                    <w:keepNext w:val="0"/>
                    <w:keepLines w:val="0"/>
                    <w:pageBreakBefore w:val="0"/>
                    <w:widowControl w:val="0"/>
                    <w:kinsoku/>
                    <w:wordWrap/>
                    <w:overflowPunct/>
                    <w:topLinePunct w:val="0"/>
                    <w:autoSpaceDE/>
                    <w:autoSpaceDN/>
                    <w:bidi w:val="0"/>
                    <w:adjustRightInd/>
                    <w:snapToGrid/>
                    <w:spacing w:before="161" w:line="240" w:lineRule="auto"/>
                    <w:ind w:left="0" w:leftChars="0" w:right="0" w:rightChars="0"/>
                    <w:jc w:val="both"/>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土壤环境安全利用底线</w:t>
                  </w:r>
                </w:p>
              </w:tc>
              <w:tc>
                <w:tcPr>
                  <w:tcW w:w="2221" w:type="pct"/>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根据《博罗县生态保护红线、环境质量底线、资源利用上线和环境准入清单研究报告》，博罗县建设用地重点管控分区共151个斑块，总面积3392504.113m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2</w:t>
                  </w:r>
                  <w:r>
                    <w:rPr>
                      <w:rFonts w:hint="default" w:ascii="Times New Roman" w:hAnsi="Times New Roman" w:eastAsia="宋体" w:cs="Times New Roman"/>
                      <w:b w:val="0"/>
                      <w:bCs w:val="0"/>
                      <w:color w:val="auto"/>
                      <w:kern w:val="0"/>
                      <w:sz w:val="21"/>
                      <w:szCs w:val="21"/>
                      <w:highlight w:val="none"/>
                      <w:vertAlign w:val="baseline"/>
                      <w:lang w:val="en-US" w:eastAsia="zh-CN" w:bidi="ar-SA"/>
                    </w:rPr>
                    <w:t>，占博罗县辖区面积的0.078119%，占博罗县辖区建设用地面积比例的1.391%。根据表6.1-6，</w:t>
                  </w:r>
                  <w:r>
                    <w:rPr>
                      <w:rFonts w:hint="eastAsia" w:ascii="Times New Roman" w:hAnsi="Times New Roman" w:eastAsia="宋体" w:cs="Times New Roman"/>
                      <w:b w:val="0"/>
                      <w:bCs w:val="0"/>
                      <w:color w:val="auto"/>
                      <w:kern w:val="0"/>
                      <w:sz w:val="21"/>
                      <w:szCs w:val="21"/>
                      <w:highlight w:val="none"/>
                      <w:vertAlign w:val="baseline"/>
                      <w:lang w:val="en-US" w:eastAsia="zh-CN" w:bidi="ar-SA"/>
                    </w:rPr>
                    <w:t>龙溪</w:t>
                  </w:r>
                  <w:r>
                    <w:rPr>
                      <w:rFonts w:hint="default" w:ascii="Times New Roman" w:hAnsi="Times New Roman" w:eastAsia="宋体" w:cs="Times New Roman"/>
                      <w:b w:val="0"/>
                      <w:bCs w:val="0"/>
                      <w:color w:val="auto"/>
                      <w:kern w:val="0"/>
                      <w:sz w:val="21"/>
                      <w:szCs w:val="21"/>
                      <w:highlight w:val="none"/>
                      <w:vertAlign w:val="baseline"/>
                      <w:lang w:val="en-US" w:eastAsia="zh-CN" w:bidi="ar-SA"/>
                    </w:rPr>
                    <w:t>镇建设用地一般管控区面积为</w:t>
                  </w:r>
                  <w:r>
                    <w:rPr>
                      <w:rFonts w:hint="eastAsia" w:ascii="Times New Roman" w:hAnsi="Times New Roman" w:eastAsia="宋体" w:cs="Times New Roman"/>
                      <w:b w:val="0"/>
                      <w:bCs w:val="0"/>
                      <w:color w:val="auto"/>
                      <w:kern w:val="0"/>
                      <w:sz w:val="21"/>
                      <w:szCs w:val="21"/>
                      <w:highlight w:val="none"/>
                      <w:vertAlign w:val="baseline"/>
                      <w:lang w:val="en-US" w:eastAsia="zh-CN" w:bidi="ar-SA"/>
                    </w:rPr>
                    <w:t>20.124</w:t>
                  </w:r>
                  <w:r>
                    <w:rPr>
                      <w:rFonts w:hint="default" w:ascii="Times New Roman" w:hAnsi="Times New Roman" w:eastAsia="宋体" w:cs="Times New Roman"/>
                      <w:b w:val="0"/>
                      <w:bCs w:val="0"/>
                      <w:color w:val="auto"/>
                      <w:kern w:val="0"/>
                      <w:sz w:val="21"/>
                      <w:szCs w:val="21"/>
                      <w:highlight w:val="none"/>
                      <w:vertAlign w:val="baseline"/>
                      <w:lang w:val="en-US" w:eastAsia="zh-CN" w:bidi="ar-SA"/>
                    </w:rPr>
                    <w:t>km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2</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tc>
              <w:tc>
                <w:tcPr>
                  <w:tcW w:w="14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根据附图</w:t>
                  </w:r>
                  <w:r>
                    <w:rPr>
                      <w:rFonts w:hint="eastAsia" w:ascii="Times New Roman" w:hAnsi="Times New Roman" w:eastAsia="宋体" w:cs="Times New Roman"/>
                      <w:b w:val="0"/>
                      <w:bCs w:val="0"/>
                      <w:color w:val="auto"/>
                      <w:kern w:val="0"/>
                      <w:sz w:val="21"/>
                      <w:szCs w:val="21"/>
                      <w:highlight w:val="none"/>
                      <w:vertAlign w:val="baseline"/>
                      <w:lang w:val="en-US" w:eastAsia="zh-CN" w:bidi="ar-SA"/>
                    </w:rPr>
                    <w:t>15本项目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位于</w:t>
                  </w:r>
                  <w:r>
                    <w:rPr>
                      <w:rFonts w:hint="eastAsia" w:ascii="Times New Roman" w:hAnsi="Times New Roman" w:eastAsia="宋体" w:cs="Times New Roman"/>
                      <w:b w:val="0"/>
                      <w:bCs w:val="0"/>
                      <w:color w:val="auto"/>
                      <w:kern w:val="0"/>
                      <w:sz w:val="21"/>
                      <w:szCs w:val="21"/>
                      <w:highlight w:val="none"/>
                      <w:vertAlign w:val="baseline"/>
                      <w:lang w:val="en-US" w:eastAsia="zh-CN" w:bidi="ar-SA"/>
                    </w:rPr>
                    <w:t>龙溪</w:t>
                  </w:r>
                  <w:r>
                    <w:rPr>
                      <w:rFonts w:hint="default" w:ascii="Times New Roman" w:hAnsi="Times New Roman" w:eastAsia="宋体" w:cs="Times New Roman"/>
                      <w:b w:val="0"/>
                      <w:bCs w:val="0"/>
                      <w:color w:val="auto"/>
                      <w:kern w:val="0"/>
                      <w:sz w:val="21"/>
                      <w:szCs w:val="21"/>
                      <w:highlight w:val="none"/>
                      <w:vertAlign w:val="baseline"/>
                      <w:lang w:val="en-US" w:eastAsia="zh-CN" w:bidi="ar-SA"/>
                    </w:rPr>
                    <w:t>镇建设用地一般管控区</w:t>
                  </w:r>
                  <w:r>
                    <w:rPr>
                      <w:rFonts w:hint="eastAsia" w:ascii="Times New Roman" w:hAnsi="Times New Roman" w:eastAsia="宋体" w:cs="Times New Roman"/>
                      <w:b w:val="0"/>
                      <w:bCs w:val="0"/>
                      <w:color w:val="auto"/>
                      <w:kern w:val="0"/>
                      <w:sz w:val="21"/>
                      <w:szCs w:val="21"/>
                      <w:highlight w:val="none"/>
                      <w:vertAlign w:val="baseline"/>
                      <w:lang w:val="en-US" w:eastAsia="zh-CN" w:bidi="ar-SA"/>
                    </w:rPr>
                    <w:t>，项目均已硬底化处理，项目生产不涉及重金属等危害物质，故没有土壤污染途径</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tc>
              <w:tc>
                <w:tcPr>
                  <w:tcW w:w="303"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402"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资源利用上线</w:t>
                  </w:r>
                </w:p>
              </w:tc>
              <w:tc>
                <w:tcPr>
                  <w:tcW w:w="2796" w:type="pct"/>
                  <w:gridSpan w:val="2"/>
                  <w:noWrap w:val="0"/>
                  <w:vAlign w:val="center"/>
                </w:tcPr>
                <w:p>
                  <w:pPr>
                    <w:pStyle w:val="34"/>
                    <w:keepNext w:val="0"/>
                    <w:keepLines w:val="0"/>
                    <w:pageBreakBefore w:val="0"/>
                    <w:widowControl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土地资源管控分区：</w:t>
                  </w:r>
                  <w:r>
                    <w:rPr>
                      <w:rFonts w:hint="default" w:ascii="Times New Roman" w:hAnsi="Times New Roman" w:eastAsia="宋体" w:cs="Times New Roman"/>
                      <w:b w:val="0"/>
                      <w:bCs w:val="0"/>
                      <w:color w:val="auto"/>
                      <w:kern w:val="0"/>
                      <w:sz w:val="21"/>
                      <w:szCs w:val="21"/>
                      <w:highlight w:val="none"/>
                      <w:vertAlign w:val="baseline"/>
                      <w:lang w:val="en-US" w:eastAsia="zh-CN" w:bidi="ar-SA"/>
                    </w:rPr>
                    <w:t>对于土地资源分区，将土地资源划分为优先保护区、重点管控区和一般管控区3类。其中，将生态保护红线和永久基本农田的图层叠加取并集形成优先保护区；将受污染建设用地作为重点管控区；其他区域为一般管控区。博罗县共划定土地资源优先保护区834.505k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2</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tc>
              <w:tc>
                <w:tcPr>
                  <w:tcW w:w="14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根据附图1</w:t>
                  </w:r>
                  <w:r>
                    <w:rPr>
                      <w:rFonts w:hint="eastAsia" w:ascii="Times New Roman" w:hAnsi="Times New Roman" w:eastAsia="宋体" w:cs="Times New Roman"/>
                      <w:b w:val="0"/>
                      <w:bCs w:val="0"/>
                      <w:color w:val="auto"/>
                      <w:kern w:val="0"/>
                      <w:sz w:val="21"/>
                      <w:szCs w:val="21"/>
                      <w:highlight w:val="none"/>
                      <w:vertAlign w:val="baseline"/>
                      <w:lang w:val="en-US" w:eastAsia="zh-CN" w:bidi="ar-SA"/>
                    </w:rPr>
                    <w:t>5</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r>
                    <w:rPr>
                      <w:rFonts w:hint="eastAsia" w:ascii="Times New Roman" w:hAnsi="Times New Roman" w:eastAsia="宋体"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博罗县资源利用上线—土地资源优先保护区划定情况，</w:t>
                  </w:r>
                  <w:r>
                    <w:rPr>
                      <w:rFonts w:hint="eastAsia" w:ascii="Times New Roman" w:hAnsi="Times New Roman" w:eastAsia="宋体"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不位于土地资源优先保护区，属于一般管控区。</w:t>
                  </w:r>
                </w:p>
              </w:tc>
              <w:tc>
                <w:tcPr>
                  <w:tcW w:w="303"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2" w:type="pct"/>
                  <w:vMerge w:val="continue"/>
                  <w:noWrap w:val="0"/>
                  <w:vAlign w:val="center"/>
                </w:tcPr>
                <w:p>
                  <w:pPr>
                    <w:pStyle w:val="34"/>
                    <w:keepNext w:val="0"/>
                    <w:keepLines w:val="0"/>
                    <w:pageBreakBefore w:val="0"/>
                    <w:widowControl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color w:val="auto"/>
                      <w:highlight w:val="none"/>
                    </w:rPr>
                  </w:pPr>
                </w:p>
              </w:tc>
              <w:tc>
                <w:tcPr>
                  <w:tcW w:w="2796" w:type="pct"/>
                  <w:gridSpan w:val="2"/>
                  <w:noWrap w:val="0"/>
                  <w:vAlign w:val="center"/>
                </w:tcPr>
                <w:p>
                  <w:pPr>
                    <w:pStyle w:val="34"/>
                    <w:keepNext w:val="0"/>
                    <w:keepLines w:val="0"/>
                    <w:pageBreakBefore w:val="0"/>
                    <w:widowControl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能源（煤炭）管控分区：</w:t>
                  </w:r>
                  <w:r>
                    <w:rPr>
                      <w:rFonts w:hint="default" w:ascii="Times New Roman" w:hAnsi="Times New Roman" w:eastAsia="宋体" w:cs="Times New Roman"/>
                      <w:b w:val="0"/>
                      <w:bCs w:val="0"/>
                      <w:color w:val="auto"/>
                      <w:kern w:val="0"/>
                      <w:sz w:val="21"/>
                      <w:szCs w:val="21"/>
                      <w:highlight w:val="none"/>
                      <w:vertAlign w:val="baseline"/>
                      <w:lang w:val="en-US" w:eastAsia="zh-CN" w:bidi="ar-SA"/>
                    </w:rPr>
                    <w:t>将《惠州市人民政府关于重新划定惠州市高污染燃料禁燃区的通告》（惠府</w:t>
                  </w:r>
                </w:p>
                <w:p>
                  <w:pPr>
                    <w:pStyle w:val="34"/>
                    <w:keepNext w:val="0"/>
                    <w:keepLines w:val="0"/>
                    <w:pageBreakBefore w:val="0"/>
                    <w:widowControl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〔2018〕2号）文件中Ⅲ类管控燃料控制区划入高污染燃料禁燃区，作为能源（煤炭）利用的重点管控区，总面积394.927km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2</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tc>
              <w:tc>
                <w:tcPr>
                  <w:tcW w:w="1497" w:type="pct"/>
                  <w:noWrap w:val="0"/>
                  <w:vAlign w:val="center"/>
                </w:tcPr>
                <w:p>
                  <w:pPr>
                    <w:pStyle w:val="34"/>
                    <w:keepNext w:val="0"/>
                    <w:keepLines w:val="0"/>
                    <w:pageBreakBefore w:val="0"/>
                    <w:widowControl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根据附图</w:t>
                  </w:r>
                  <w:r>
                    <w:rPr>
                      <w:rFonts w:hint="eastAsia" w:ascii="Times New Roman" w:hAnsi="Times New Roman" w:eastAsia="宋体" w:cs="Times New Roman"/>
                      <w:b w:val="0"/>
                      <w:bCs w:val="0"/>
                      <w:color w:val="auto"/>
                      <w:kern w:val="0"/>
                      <w:sz w:val="21"/>
                      <w:szCs w:val="21"/>
                      <w:highlight w:val="none"/>
                      <w:vertAlign w:val="baseline"/>
                      <w:lang w:val="en-US" w:eastAsia="zh-CN" w:bidi="ar-SA"/>
                    </w:rPr>
                    <w:t>16</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r>
                    <w:rPr>
                      <w:rFonts w:hint="eastAsia" w:ascii="Times New Roman" w:hAnsi="Times New Roman" w:eastAsia="宋体"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不位于</w:t>
                  </w:r>
                  <w:r>
                    <w:rPr>
                      <w:rFonts w:hint="eastAsia" w:ascii="Times New Roman" w:hAnsi="Times New Roman" w:eastAsia="宋体" w:cs="Times New Roman"/>
                      <w:b w:val="0"/>
                      <w:bCs w:val="0"/>
                      <w:color w:val="auto"/>
                      <w:kern w:val="0"/>
                      <w:sz w:val="21"/>
                      <w:szCs w:val="21"/>
                      <w:highlight w:val="none"/>
                      <w:vertAlign w:val="baseline"/>
                      <w:lang w:val="en-US" w:eastAsia="zh-CN" w:bidi="ar-SA"/>
                    </w:rPr>
                    <w:t>博</w:t>
                  </w:r>
                  <w:r>
                    <w:rPr>
                      <w:rFonts w:hint="default" w:ascii="Times New Roman" w:hAnsi="Times New Roman" w:eastAsia="宋体" w:cs="Times New Roman"/>
                      <w:b w:val="0"/>
                      <w:bCs w:val="0"/>
                      <w:color w:val="auto"/>
                      <w:kern w:val="0"/>
                      <w:sz w:val="21"/>
                      <w:szCs w:val="21"/>
                      <w:highlight w:val="none"/>
                      <w:vertAlign w:val="baseline"/>
                      <w:lang w:val="en-US" w:eastAsia="zh-CN" w:bidi="ar-SA"/>
                    </w:rPr>
                    <w:t>罗县高污染燃料禁燃区。</w:t>
                  </w:r>
                </w:p>
              </w:tc>
              <w:tc>
                <w:tcPr>
                  <w:tcW w:w="303" w:type="pct"/>
                  <w:vMerge w:val="continue"/>
                  <w:noWrap w:val="0"/>
                  <w:vAlign w:val="center"/>
                </w:tcPr>
                <w:p>
                  <w:pPr>
                    <w:pStyle w:val="34"/>
                    <w:keepNext w:val="0"/>
                    <w:keepLines w:val="0"/>
                    <w:pageBreakBefore w:val="0"/>
                    <w:widowControl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402" w:type="pct"/>
                  <w:vMerge w:val="continue"/>
                  <w:noWrap w:val="0"/>
                  <w:vAlign w:val="center"/>
                </w:tcPr>
                <w:p>
                  <w:pPr>
                    <w:pStyle w:val="34"/>
                    <w:keepNext w:val="0"/>
                    <w:keepLines w:val="0"/>
                    <w:pageBreakBefore w:val="0"/>
                    <w:widowControl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p>
              </w:tc>
              <w:tc>
                <w:tcPr>
                  <w:tcW w:w="2796" w:type="pct"/>
                  <w:gridSpan w:val="2"/>
                  <w:noWrap w:val="0"/>
                  <w:vAlign w:val="center"/>
                </w:tcPr>
                <w:p>
                  <w:pPr>
                    <w:pStyle w:val="34"/>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val="en-US" w:eastAsia="zh-CN" w:bidi="ar-SA"/>
                    </w:rPr>
                    <w:t>矿产资源管控分区：</w:t>
                  </w:r>
                  <w:r>
                    <w:rPr>
                      <w:rFonts w:hint="default" w:ascii="Times New Roman" w:hAnsi="Times New Roman" w:eastAsia="宋体" w:cs="Times New Roman"/>
                      <w:b w:val="0"/>
                      <w:bCs w:val="0"/>
                      <w:color w:val="auto"/>
                      <w:kern w:val="0"/>
                      <w:sz w:val="21"/>
                      <w:szCs w:val="21"/>
                      <w:highlight w:val="none"/>
                      <w:vertAlign w:val="baseline"/>
                      <w:lang w:val="en-US" w:eastAsia="zh-CN" w:bidi="ar-SA"/>
                    </w:rPr>
                    <w:t>对于矿产资源管控分区，衔接省市矿产资源总体规划中勘查及开采规划分区，划分优先保护区、重点管控区和一般管控区3类分区。其中，将生态保护红线和县级以上禁止开发区域叠加形成矿产资源开采敏感区，作为优先保护区；将重点勘查区中的连片山区（结合地类斑块进行边界落地）和重点矿区作为重点管控区；其他区域为一般管控区。博罗县划定为优先保护区和一般管控区2类，其中优先保护区面积为633.776km</w:t>
                  </w:r>
                  <w:r>
                    <w:rPr>
                      <w:rFonts w:hint="default" w:ascii="Times New Roman" w:hAnsi="Times New Roman" w:eastAsia="宋体" w:cs="Times New Roman"/>
                      <w:b w:val="0"/>
                      <w:bCs w:val="0"/>
                      <w:color w:val="auto"/>
                      <w:kern w:val="0"/>
                      <w:sz w:val="21"/>
                      <w:szCs w:val="21"/>
                      <w:highlight w:val="none"/>
                      <w:vertAlign w:val="superscript"/>
                      <w:lang w:val="en-US" w:eastAsia="zh-CN" w:bidi="ar-SA"/>
                    </w:rPr>
                    <w:t>2</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p>
              </w:tc>
              <w:tc>
                <w:tcPr>
                  <w:tcW w:w="1497" w:type="pct"/>
                  <w:noWrap w:val="0"/>
                  <w:vAlign w:val="center"/>
                </w:tcPr>
                <w:p>
                  <w:pPr>
                    <w:pStyle w:val="34"/>
                    <w:keepNext w:val="0"/>
                    <w:keepLines w:val="0"/>
                    <w:pageBreakBefore w:val="0"/>
                    <w:widowControl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r>
                    <w:rPr>
                      <w:rFonts w:hint="default" w:ascii="Times New Roman" w:hAnsi="Times New Roman" w:eastAsia="宋体" w:cs="Times New Roman"/>
                      <w:b w:val="0"/>
                      <w:bCs w:val="0"/>
                      <w:color w:val="auto"/>
                      <w:kern w:val="0"/>
                      <w:sz w:val="21"/>
                      <w:szCs w:val="21"/>
                      <w:highlight w:val="none"/>
                      <w:vertAlign w:val="baseline"/>
                      <w:lang w:val="en-US" w:eastAsia="zh-CN" w:bidi="ar-SA"/>
                    </w:rPr>
                    <w:t>根据附图</w:t>
                  </w:r>
                  <w:r>
                    <w:rPr>
                      <w:rFonts w:hint="eastAsia" w:ascii="Times New Roman" w:hAnsi="Times New Roman" w:eastAsia="宋体" w:cs="Times New Roman"/>
                      <w:b w:val="0"/>
                      <w:bCs w:val="0"/>
                      <w:color w:val="auto"/>
                      <w:kern w:val="0"/>
                      <w:sz w:val="21"/>
                      <w:szCs w:val="21"/>
                      <w:highlight w:val="none"/>
                      <w:vertAlign w:val="baseline"/>
                      <w:lang w:val="en-US" w:eastAsia="zh-CN" w:bidi="ar-SA"/>
                    </w:rPr>
                    <w:t>17</w:t>
                  </w:r>
                  <w:r>
                    <w:rPr>
                      <w:rFonts w:hint="default" w:ascii="Times New Roman" w:hAnsi="Times New Roman" w:eastAsia="宋体" w:cs="Times New Roman"/>
                      <w:b w:val="0"/>
                      <w:bCs w:val="0"/>
                      <w:color w:val="auto"/>
                      <w:kern w:val="0"/>
                      <w:sz w:val="21"/>
                      <w:szCs w:val="21"/>
                      <w:highlight w:val="none"/>
                      <w:vertAlign w:val="baseline"/>
                      <w:lang w:val="en-US" w:eastAsia="zh-CN" w:bidi="ar-SA"/>
                    </w:rPr>
                    <w:t>，</w:t>
                  </w:r>
                  <w:r>
                    <w:rPr>
                      <w:rFonts w:hint="eastAsia" w:ascii="Times New Roman" w:hAnsi="Times New Roman" w:eastAsia="宋体" w:cs="Times New Roman"/>
                      <w:b w:val="0"/>
                      <w:bCs w:val="0"/>
                      <w:color w:val="auto"/>
                      <w:kern w:val="0"/>
                      <w:sz w:val="21"/>
                      <w:szCs w:val="21"/>
                      <w:highlight w:val="none"/>
                      <w:vertAlign w:val="baseline"/>
                      <w:lang w:val="en-US" w:eastAsia="zh-CN" w:bidi="ar-SA"/>
                    </w:rPr>
                    <w:t>本项目</w:t>
                  </w:r>
                  <w:r>
                    <w:rPr>
                      <w:rFonts w:hint="default" w:ascii="Times New Roman" w:hAnsi="Times New Roman" w:eastAsia="宋体" w:cs="Times New Roman"/>
                      <w:b w:val="0"/>
                      <w:bCs w:val="0"/>
                      <w:color w:val="auto"/>
                      <w:kern w:val="0"/>
                      <w:sz w:val="21"/>
                      <w:szCs w:val="21"/>
                      <w:highlight w:val="none"/>
                      <w:vertAlign w:val="baseline"/>
                      <w:lang w:val="en-US" w:eastAsia="zh-CN" w:bidi="ar-SA"/>
                    </w:rPr>
                    <w:t>不位于矿产资源开发敏感区，属于一般管控区。</w:t>
                  </w:r>
                </w:p>
              </w:tc>
              <w:tc>
                <w:tcPr>
                  <w:tcW w:w="303" w:type="pct"/>
                  <w:vMerge w:val="continue"/>
                  <w:noWrap w:val="0"/>
                  <w:vAlign w:val="center"/>
                </w:tcPr>
                <w:p>
                  <w:pPr>
                    <w:pStyle w:val="34"/>
                    <w:keepNext w:val="0"/>
                    <w:keepLines w:val="0"/>
                    <w:pageBreakBefore w:val="0"/>
                    <w:widowControl w:val="0"/>
                    <w:kinsoku/>
                    <w:wordWrap/>
                    <w:overflowPunct/>
                    <w:topLinePunct w:val="0"/>
                    <w:autoSpaceDE/>
                    <w:autoSpaceDN/>
                    <w:bidi w:val="0"/>
                    <w:spacing w:line="240" w:lineRule="auto"/>
                    <w:ind w:left="0" w:right="0"/>
                    <w:textAlignment w:val="auto"/>
                    <w:rPr>
                      <w:rFonts w:hint="default" w:ascii="Times New Roman" w:hAnsi="Times New Roman" w:eastAsia="宋体" w:cs="Times New Roman"/>
                      <w:b w:val="0"/>
                      <w:bCs w:val="0"/>
                      <w:color w:val="auto"/>
                      <w:kern w:val="0"/>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000" w:type="pct"/>
                  <w:gridSpan w:val="5"/>
                  <w:noWrap w:val="0"/>
                  <w:vAlign w:val="center"/>
                </w:tcPr>
                <w:p>
                  <w:pPr>
                    <w:keepNext w:val="0"/>
                    <w:keepLines w:val="0"/>
                    <w:widowControl/>
                    <w:suppressLineNumbers w:val="0"/>
                    <w:jc w:val="left"/>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bCs/>
                      <w:color w:val="auto"/>
                      <w:sz w:val="21"/>
                      <w:highlight w:val="none"/>
                    </w:rPr>
                    <w:t>与</w:t>
                  </w:r>
                  <w:r>
                    <w:rPr>
                      <w:rFonts w:hint="default" w:ascii="Times New Roman" w:hAnsi="Times New Roman" w:eastAsia="宋体" w:cs="Times New Roman"/>
                      <w:b/>
                      <w:bCs/>
                      <w:color w:val="auto"/>
                      <w:sz w:val="21"/>
                      <w:highlight w:val="none"/>
                      <w:lang w:eastAsia="zh-CN"/>
                    </w:rPr>
                    <w:t>博</w:t>
                  </w:r>
                  <w:r>
                    <w:rPr>
                      <w:rFonts w:hint="default" w:ascii="Times New Roman" w:hAnsi="Times New Roman" w:eastAsia="宋体" w:cs="Times New Roman"/>
                      <w:b/>
                      <w:bCs/>
                      <w:color w:val="auto"/>
                      <w:sz w:val="21"/>
                      <w:szCs w:val="21"/>
                      <w:highlight w:val="none"/>
                      <w:lang w:eastAsia="zh-CN"/>
                    </w:rPr>
                    <w:t>罗</w:t>
                  </w:r>
                  <w:r>
                    <w:rPr>
                      <w:rFonts w:hint="eastAsia" w:ascii="Times New Roman" w:hAnsi="Times New Roman" w:eastAsia="宋体" w:cs="Times New Roman"/>
                      <w:b/>
                      <w:bCs/>
                      <w:color w:val="auto"/>
                      <w:sz w:val="21"/>
                      <w:szCs w:val="21"/>
                      <w:highlight w:val="none"/>
                      <w:lang w:val="en-US" w:eastAsia="zh-CN"/>
                    </w:rPr>
                    <w:t>东江干流重点管控单元</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kern w:val="0"/>
                      <w:sz w:val="21"/>
                      <w:szCs w:val="21"/>
                      <w:highlight w:val="none"/>
                      <w:lang w:val="en-US" w:eastAsia="zh-CN" w:bidi="ar"/>
                    </w:rPr>
                    <w:t>ZH44132220002</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highlight w:val="none"/>
                    </w:rPr>
                    <w:t>生态环境准入清单相符性分析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3198" w:type="pct"/>
                  <w:gridSpan w:val="3"/>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sz w:val="21"/>
                      <w:highlight w:val="none"/>
                      <w:lang w:eastAsia="zh-CN"/>
                    </w:rPr>
                    <w:t>文件内容</w:t>
                  </w:r>
                </w:p>
              </w:tc>
              <w:tc>
                <w:tcPr>
                  <w:tcW w:w="14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hAnsi="Times New Roman" w:eastAsia="宋体" w:cs="Times New Roman"/>
                      <w:b/>
                      <w:bCs/>
                      <w:color w:val="auto"/>
                      <w:kern w:val="0"/>
                      <w:sz w:val="21"/>
                      <w:szCs w:val="21"/>
                      <w:highlight w:val="none"/>
                      <w:vertAlign w:val="baseline"/>
                      <w:lang w:val="en-US" w:eastAsia="zh-CN"/>
                    </w:rPr>
                    <w:t>本项目</w:t>
                  </w:r>
                  <w:r>
                    <w:rPr>
                      <w:rFonts w:hint="default" w:ascii="Times New Roman" w:hAnsi="Times New Roman" w:eastAsia="宋体" w:cs="Times New Roman"/>
                      <w:b/>
                      <w:bCs/>
                      <w:color w:val="auto"/>
                      <w:kern w:val="0"/>
                      <w:sz w:val="21"/>
                      <w:szCs w:val="21"/>
                      <w:highlight w:val="none"/>
                      <w:vertAlign w:val="baseline"/>
                      <w:lang w:val="en-US" w:eastAsia="zh-CN"/>
                    </w:rPr>
                    <w:t>情况</w:t>
                  </w: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3"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bidi="ar-SA"/>
                    </w:rPr>
                  </w:pPr>
                  <w:r>
                    <w:rPr>
                      <w:rFonts w:hint="default" w:ascii="Times New Roman" w:hAnsi="Times New Roman" w:eastAsia="宋体" w:cs="Times New Roman"/>
                      <w:b/>
                      <w:bCs/>
                      <w:color w:val="auto"/>
                      <w:kern w:val="0"/>
                      <w:sz w:val="21"/>
                      <w:szCs w:val="21"/>
                      <w:highlight w:val="none"/>
                      <w:vertAlign w:val="baseline"/>
                      <w:lang w:eastAsia="zh-CN"/>
                    </w:rPr>
                    <w:t>区域布局管控</w:t>
                  </w:r>
                </w:p>
              </w:tc>
              <w:tc>
                <w:tcPr>
                  <w:tcW w:w="279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1-1. 【产业/鼓励引导类】饮用水水源保护区外的区域，重点发展先进制造业、高新技术产业、生态旅游等产业。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1-2. 【产业/禁止类】除国家产业政策规定的禁止项目外，还禁止新建农药、铬盐、钛白粉生产项目，禁止新建稀土分离、炼砒、炼铍、纸浆制造、氰化法提炼产品、开采和冶炼放射性矿产及其他严重污染水环境的项目；严格控制新建造纸、制革、味精、电镀、漂染、印染、炼油、发酵酿造、非放射性矿产冶炼以及使用含汞、砷、镉、铬、铅为原料的项目。禁止在东江水系岸边和水上拆船。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1-3. 【产业/限制类】严格限制化工、包装印刷、工业涂装等高 VOCs 排放建设项目。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1-4. 【生态/禁止类】生态保护红线执行《关于在国土空间规划中统筹划定落实三条控制线的指导意见》中的准入要求，红线内自然保护地核心保护区原则上禁止人为活动，其他区域严格禁止开发性、生产性建设活动，在符合现行法律法规前提下，除国家重大战略项目外，仅允许对生态功能不造成破坏的有限人为活动。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1-5. 【生态/限制类】一般生态空间内可开展生态保护红线内允许的活动，在不影响主导生态功能的前提下，还可开展国家和省规定不纳入环评管理的项目建设，以及生态旅游、基础设施建设、村庄建设等人为活动。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1-6. 【水/禁止类】饮用水水源保护区涉及罗阳镇东江饮用水水源保护区、潼湖镇东江饮用水水源保护区、龙溪镇东江饮用水水源保护区、东江龙溪新围村饮用水水源保护区、东江龙溪陈屋村饮用水水源保护区，饮用水水源保护区按照《广东省水污染防治条例》“第五章 饮用水水源保护和流域特别规定”进行管理。一级保护区内禁止新建、改建、扩建与供水设施和保护水源无关的建设项目；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已建成的与供水设施和保护水源无关的建设项目须拆除或者关闭。二级保护区内禁止新建、改建、扩建排放污染物的建设项目；已建成的排放污染物的建设项目须责令拆除或者关闭；不排放污染物的建设项目，除与供水设施和保护水源有关的外，应当尽量避让饮用水水源二级保护区；经组织论证确实无法避让的，应当依法严格审批。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1-7. 【水/禁止类】禁止在东江干流两岸最高水位线外延五百米范围内新建废弃物堆放场和处理场。已有的堆放场和处理场需采取有效的防治污染措施，危及水体水质安全的，由县级以上人民政府责令限期搬迁。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1-8. 【水/禁止类】畜禽禁养区内不得从事畜禽养殖业。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1-9. 【大气/限制类】大气环境受体敏感重点管控区内严格限制新建储油库项目、产生和排放有毒有害大气污染物的建设项目以及使用溶剂型油墨、涂料、清洗剂、胶黏剂等高挥发性有机物原辅材料项目，鼓励现有该类项目搬迁退出。 </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1-10. 【大气/鼓励引导类】大气环境高排放重点管控区内，强化达标监管，引导工业项目落地集聚发展，有序推进区域内行业企业提标改造。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1-11. 【土壤/禁止类】禁止在重金属重点防控区域内新建、改建、扩建增加重金属污染物排放总量的建设项目。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1-12. 【土壤/限制类】重金属污染防控非重点区新建、改扩建重金属排放项目，应落实重金属总量替代与削减要求，严格控制重点行业发展规模。强化涉重金属污染行业建设项目环评审批管理，严格执行环保“三同时”制度。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color w:val="auto"/>
                      <w:highlight w:val="none"/>
                      <w:lang w:val="en-US" w:eastAsia="zh-CN"/>
                    </w:rPr>
                    <w:t xml:space="preserve">1-13. 【岸线/综合类】严格水域岸线用途管制，土地开发利用应按照有关法律法规和技术标准要求，留足河道和湖库地带的管理和保护范围，非法挤占的应限期退出。 </w:t>
                  </w:r>
                </w:p>
              </w:tc>
              <w:tc>
                <w:tcPr>
                  <w:tcW w:w="14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1-1~1-3、</w:t>
                  </w: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本项目主要从事塑料制品的生产加工，不属于国家产业政策规定的禁止类项目，不属于农药、铬盐、钛白粉生产项目，不属于稀土分离、炼砒、炼铍、纸浆制造、氰化法提炼产品、开采和冶炼放射性矿产及其他严重污染水环境的项目；不属于造纸、制革、味精、电镀、漂染、印染、炼油、发酵酿造、非放射性矿产冶炼以及使用含汞、砷、镉、铬、铅为原料的项目；本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项目不属于化工、包装印刷、工业涂装等高 </w:t>
                  </w:r>
                  <w:r>
                    <w:rPr>
                      <w:rFonts w:hint="default" w:ascii="Times New Roman" w:hAnsi="Times New Roman" w:eastAsia="宋体" w:cs="Times New Roman"/>
                      <w:b w:val="0"/>
                      <w:bCs w:val="0"/>
                      <w:color w:val="auto"/>
                      <w:kern w:val="0"/>
                      <w:sz w:val="21"/>
                      <w:szCs w:val="21"/>
                      <w:highlight w:val="none"/>
                      <w:vertAlign w:val="baseline"/>
                      <w:lang w:val="en-US" w:eastAsia="zh-CN"/>
                    </w:rPr>
                    <w:t xml:space="preserve">VOCs </w:t>
                  </w: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排放建设项目。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1-4~1-5</w:t>
                  </w: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、本项目不涉及自然保护区、风景名胜区、饮用水源保护区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基本农田保护区及其它需要特殊保护的敏感区域。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1-6~1-8</w:t>
                  </w: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、本项目不涉及饮用水源保护区，不属于东江干流两岸最高水位线外延五百米范围内区域，不属于畜禽养殖业。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1-9~1-10</w:t>
                  </w: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、本项目属于不排放有毒有害大气污染物的建设项目，建设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过程中不使用溶剂型油墨、涂料、清洗剂、胶黏剂等高挥发性有机物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原辅材料。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1-11~1-12</w:t>
                  </w:r>
                  <w:r>
                    <w:rPr>
                      <w:rFonts w:hint="eastAsia" w:ascii="Times New Roman" w:hAnsi="Times New Roman" w:eastAsia="宋体" w:cs="Times New Roman"/>
                      <w:b w:val="0"/>
                      <w:bCs w:val="0"/>
                      <w:color w:val="auto"/>
                      <w:kern w:val="0"/>
                      <w:sz w:val="21"/>
                      <w:szCs w:val="21"/>
                      <w:highlight w:val="none"/>
                      <w:vertAlign w:val="baseline"/>
                      <w:lang w:val="en-US" w:eastAsia="zh-CN"/>
                    </w:rPr>
                    <w:t xml:space="preserve">、本项目不涉及重金属的产生与排放，不存在土壤环境污染途径。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1.13</w:t>
                  </w:r>
                  <w:r>
                    <w:rPr>
                      <w:rFonts w:hint="eastAsia" w:ascii="Times New Roman" w:hAnsi="Times New Roman" w:eastAsia="宋体" w:cs="Times New Roman"/>
                      <w:b w:val="0"/>
                      <w:bCs w:val="0"/>
                      <w:color w:val="auto"/>
                      <w:kern w:val="0"/>
                      <w:sz w:val="21"/>
                      <w:szCs w:val="21"/>
                      <w:highlight w:val="none"/>
                      <w:vertAlign w:val="baseline"/>
                      <w:lang w:val="en-US" w:eastAsia="zh-CN"/>
                    </w:rPr>
                    <w:t>、本项目的土地利用性质为工业用地，项目建设符合土地利用开发要求，不属于非法占有河道河岸等项目。</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kern w:val="0"/>
                      <w:sz w:val="21"/>
                      <w:szCs w:val="21"/>
                      <w:highlight w:val="none"/>
                      <w:vertAlign w:val="baseline"/>
                      <w:lang w:eastAsia="zh-CN"/>
                    </w:rPr>
                  </w:pPr>
                </w:p>
                <w:p>
                  <w:pPr>
                    <w:keepNext w:val="0"/>
                    <w:keepLines w:val="0"/>
                    <w:pageBreakBefore w:val="0"/>
                    <w:widowControl w:val="0"/>
                    <w:kinsoku/>
                    <w:wordWrap/>
                    <w:overflowPunct/>
                    <w:topLinePunct w:val="0"/>
                    <w:autoSpaceDE/>
                    <w:autoSpaceDN/>
                    <w:bidi w:val="0"/>
                    <w:adjustRightInd w:val="0"/>
                    <w:snapToGrid w:val="0"/>
                    <w:jc w:val="both"/>
                    <w:textAlignment w:val="auto"/>
                    <w:rPr>
                      <w:rFonts w:hint="default" w:ascii="Times New Roman" w:hAnsi="Times New Roman" w:eastAsia="宋体" w:cs="Times New Roman"/>
                      <w:color w:val="auto"/>
                      <w:highlight w:val="none"/>
                      <w:lang w:val="en-US" w:eastAsia="zh-CN"/>
                    </w:rPr>
                  </w:pP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bCs/>
                      <w:color w:val="auto"/>
                      <w:kern w:val="0"/>
                      <w:sz w:val="21"/>
                      <w:szCs w:val="21"/>
                      <w:highlight w:val="none"/>
                      <w:vertAlign w:val="baseline"/>
                      <w:lang w:eastAsia="zh-CN"/>
                    </w:rPr>
                    <w:t>能源资源利用</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rPr>
                  </w:pPr>
                </w:p>
              </w:tc>
              <w:tc>
                <w:tcPr>
                  <w:tcW w:w="2796"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2-1. 【能源/鼓励引导类】鼓励降低煤炭消耗、能源消耗，引导光伏等多种形式的新能源利用。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2-2. 【能源/综合类】根据本地区大气环境质量改善要求逐步扩大高污染燃料禁燃区范围。 </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p>
              </w:tc>
              <w:tc>
                <w:tcPr>
                  <w:tcW w:w="1497"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2.1、2.2</w:t>
                  </w:r>
                  <w:r>
                    <w:rPr>
                      <w:rFonts w:hint="eastAsia" w:ascii="Times New Roman" w:hAnsi="Times New Roman" w:eastAsia="宋体"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kern w:val="0"/>
                      <w:sz w:val="21"/>
                      <w:szCs w:val="21"/>
                      <w:highlight w:val="none"/>
                      <w:vertAlign w:val="baseline"/>
                      <w:lang w:eastAsia="zh-CN"/>
                    </w:rPr>
                    <w:t>使用的设备主要采用电能，符合能源资源利用要求。</w:t>
                  </w: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3"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bCs/>
                      <w:color w:val="auto"/>
                      <w:kern w:val="0"/>
                      <w:sz w:val="21"/>
                      <w:szCs w:val="21"/>
                      <w:highlight w:val="none"/>
                      <w:vertAlign w:val="baseline"/>
                      <w:lang w:eastAsia="zh-CN"/>
                    </w:rPr>
                    <w:t>污染物排放管控</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rPr>
                  </w:pPr>
                </w:p>
              </w:tc>
              <w:tc>
                <w:tcPr>
                  <w:tcW w:w="2796" w:type="pct"/>
                  <w:gridSpan w:val="2"/>
                  <w:noWrap w:val="0"/>
                  <w:vAlign w:val="center"/>
                </w:tcPr>
                <w:p>
                  <w:pPr>
                    <w:pStyle w:val="33"/>
                    <w:adjustRightInd w:val="0"/>
                    <w:snapToGrid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3-1. 【水/</w:t>
                  </w:r>
                  <w:r>
                    <w:rPr>
                      <w:rFonts w:hint="eastAsia" w:ascii="Times New Roman" w:hAnsi="Times New Roman" w:eastAsia="宋体" w:cs="Times New Roman"/>
                      <w:color w:val="auto"/>
                      <w:highlight w:val="none"/>
                      <w:lang w:val="en-US" w:eastAsia="zh-CN"/>
                    </w:rPr>
                    <w:t xml:space="preserve">限制类】严格控制稿树下水、马嘶河（龙溪水）、江东、榕溪沥（罗阳）、廖洞等直排东江的排水渠流域内增加水污染物排放或对东江水质、水环境安全构成影响的项目。 </w:t>
                  </w:r>
                </w:p>
                <w:p>
                  <w:pPr>
                    <w:pStyle w:val="33"/>
                    <w:adjustRightInd w:val="0"/>
                    <w:snapToGrid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 xml:space="preserve">3-2. </w:t>
                  </w:r>
                  <w:r>
                    <w:rPr>
                      <w:rFonts w:hint="eastAsia" w:ascii="Times New Roman" w:hAnsi="Times New Roman" w:eastAsia="宋体" w:cs="Times New Roman"/>
                      <w:color w:val="auto"/>
                      <w:highlight w:val="none"/>
                      <w:lang w:val="en-US" w:eastAsia="zh-CN"/>
                    </w:rPr>
                    <w:t>【水</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 xml:space="preserve">综合类】统筹规划农村环境基础设施建设，加强农村人居环境综合整治，采用集中与分散相结合的模式建设和完善农村污水、垃圾收集和处理设施，实施农村厕所改造，因地制宜实施雨污分流，将有条件的农村和城镇周边村庄纳入城镇污水、垃圾处理体系，并做好资金保障。 </w:t>
                  </w:r>
                </w:p>
                <w:p>
                  <w:pPr>
                    <w:pStyle w:val="33"/>
                    <w:adjustRightInd w:val="0"/>
                    <w:snapToGrid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 xml:space="preserve">3-3. </w:t>
                  </w:r>
                  <w:r>
                    <w:rPr>
                      <w:rFonts w:hint="eastAsia" w:ascii="Times New Roman" w:hAnsi="Times New Roman" w:eastAsia="宋体" w:cs="Times New Roman"/>
                      <w:color w:val="auto"/>
                      <w:highlight w:val="none"/>
                      <w:lang w:val="en-US" w:eastAsia="zh-CN"/>
                    </w:rPr>
                    <w:t>【水</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 xml:space="preserve">限制类】加强流域内涉重金属废水排放企业的管理，减少含重金属废水排放。 </w:t>
                  </w:r>
                </w:p>
                <w:p>
                  <w:pPr>
                    <w:pStyle w:val="33"/>
                    <w:adjustRightInd w:val="0"/>
                    <w:snapToGrid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 xml:space="preserve">3-4. </w:t>
                  </w:r>
                  <w:r>
                    <w:rPr>
                      <w:rFonts w:hint="eastAsia" w:ascii="Times New Roman" w:hAnsi="Times New Roman" w:eastAsia="宋体" w:cs="Times New Roman"/>
                      <w:color w:val="auto"/>
                      <w:highlight w:val="none"/>
                      <w:lang w:val="en-US" w:eastAsia="zh-CN"/>
                    </w:rPr>
                    <w:t>【水</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 xml:space="preserve">综合类】强化农业面源污染治理，控制农药化肥使用量。 </w:t>
                  </w:r>
                </w:p>
                <w:p>
                  <w:pPr>
                    <w:pStyle w:val="33"/>
                    <w:adjustRightInd w:val="0"/>
                    <w:snapToGrid w:val="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 xml:space="preserve">3-5. </w:t>
                  </w:r>
                  <w:r>
                    <w:rPr>
                      <w:rFonts w:hint="eastAsia" w:ascii="Times New Roman" w:hAnsi="Times New Roman" w:eastAsia="宋体" w:cs="Times New Roman"/>
                      <w:color w:val="auto"/>
                      <w:highlight w:val="none"/>
                      <w:lang w:val="en-US" w:eastAsia="zh-CN"/>
                    </w:rPr>
                    <w:t>【大气</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 xml:space="preserve">限制类】重点行业新建涉 </w:t>
                  </w:r>
                  <w:r>
                    <w:rPr>
                      <w:rFonts w:hint="default" w:ascii="Times New Roman" w:hAnsi="Times New Roman" w:eastAsia="宋体" w:cs="Times New Roman"/>
                      <w:color w:val="auto"/>
                      <w:highlight w:val="none"/>
                      <w:lang w:val="en-US" w:eastAsia="zh-CN"/>
                    </w:rPr>
                    <w:t xml:space="preserve">VOCs </w:t>
                  </w:r>
                  <w:r>
                    <w:rPr>
                      <w:rFonts w:hint="eastAsia" w:ascii="Times New Roman" w:hAnsi="Times New Roman" w:eastAsia="宋体" w:cs="Times New Roman"/>
                      <w:color w:val="auto"/>
                      <w:highlight w:val="none"/>
                      <w:lang w:val="en-US" w:eastAsia="zh-CN"/>
                    </w:rPr>
                    <w:t xml:space="preserve">排放的工业企业原则上应入园进区。新建项目 </w:t>
                  </w:r>
                  <w:r>
                    <w:rPr>
                      <w:rFonts w:hint="default" w:ascii="Times New Roman" w:hAnsi="Times New Roman" w:eastAsia="宋体" w:cs="Times New Roman"/>
                      <w:color w:val="auto"/>
                      <w:highlight w:val="none"/>
                      <w:lang w:val="en-US" w:eastAsia="zh-CN"/>
                    </w:rPr>
                    <w:t xml:space="preserve">VOCs </w:t>
                  </w:r>
                  <w:r>
                    <w:rPr>
                      <w:rFonts w:hint="eastAsia" w:ascii="Times New Roman" w:hAnsi="Times New Roman" w:eastAsia="宋体" w:cs="Times New Roman"/>
                      <w:color w:val="auto"/>
                      <w:highlight w:val="none"/>
                      <w:lang w:val="en-US" w:eastAsia="zh-CN"/>
                    </w:rPr>
                    <w:t xml:space="preserve">实施倍量替代。 </w:t>
                  </w:r>
                </w:p>
                <w:p>
                  <w:pPr>
                    <w:pStyle w:val="33"/>
                    <w:adjustRightInd w:val="0"/>
                    <w:snapToGrid w:val="0"/>
                    <w:jc w:val="both"/>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color w:val="auto"/>
                      <w:highlight w:val="none"/>
                      <w:lang w:val="en-US" w:eastAsia="zh-CN"/>
                    </w:rPr>
                    <w:t xml:space="preserve">3-6. </w:t>
                  </w:r>
                  <w:r>
                    <w:rPr>
                      <w:rFonts w:hint="eastAsia" w:ascii="Times New Roman" w:hAnsi="Times New Roman" w:eastAsia="宋体" w:cs="Times New Roman"/>
                      <w:color w:val="auto"/>
                      <w:highlight w:val="none"/>
                      <w:lang w:val="en-US" w:eastAsia="zh-CN"/>
                    </w:rPr>
                    <w:t>【土壤</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 xml:space="preserve">禁止类】禁止向农用地排放重金属或者其他有毒有害物质含量超标的污水、污泥，以及可能造成土壤污染的清淤底泥、尾矿、矿渣等。 </w:t>
                  </w:r>
                </w:p>
              </w:tc>
              <w:tc>
                <w:tcPr>
                  <w:tcW w:w="1497" w:type="pct"/>
                  <w:noWrap w:val="0"/>
                  <w:vAlign w:val="center"/>
                </w:tcPr>
                <w:p>
                  <w:pPr>
                    <w:pStyle w:val="2"/>
                    <w:keepNext w:val="0"/>
                    <w:keepLines w:val="0"/>
                    <w:pageBreakBefore w:val="0"/>
                    <w:widowControl w:val="0"/>
                    <w:kinsoku/>
                    <w:wordWrap/>
                    <w:overflowPunct/>
                    <w:topLinePunct w:val="0"/>
                    <w:bidi w:val="0"/>
                    <w:adjustRightInd w:val="0"/>
                    <w:jc w:val="both"/>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 xml:space="preserve">3.1~3.4项目生活污水经过三级化粪池预处理后，通过市政污水管网 </w:t>
                  </w:r>
                </w:p>
                <w:p>
                  <w:pPr>
                    <w:pStyle w:val="2"/>
                    <w:keepNext w:val="0"/>
                    <w:keepLines w:val="0"/>
                    <w:pageBreakBefore w:val="0"/>
                    <w:widowControl w:val="0"/>
                    <w:kinsoku/>
                    <w:wordWrap/>
                    <w:overflowPunct/>
                    <w:topLinePunct w:val="0"/>
                    <w:bidi w:val="0"/>
                    <w:adjustRightInd w:val="0"/>
                    <w:jc w:val="both"/>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 xml:space="preserve">接入博罗县龙溪镇生活污水处理厂处理达标后排放，属于间接排放。 </w:t>
                  </w:r>
                </w:p>
                <w:p>
                  <w:pPr>
                    <w:pStyle w:val="2"/>
                    <w:keepNext w:val="0"/>
                    <w:keepLines w:val="0"/>
                    <w:pageBreakBefore w:val="0"/>
                    <w:widowControl w:val="0"/>
                    <w:kinsoku/>
                    <w:wordWrap/>
                    <w:overflowPunct/>
                    <w:topLinePunct w:val="0"/>
                    <w:bidi w:val="0"/>
                    <w:adjustRightInd w:val="0"/>
                    <w:jc w:val="both"/>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 xml:space="preserve">项目所在区域已实施雨污分流。项目不涉及重金属废水的排放，不属 </w:t>
                  </w:r>
                </w:p>
                <w:p>
                  <w:pPr>
                    <w:pStyle w:val="2"/>
                    <w:keepNext w:val="0"/>
                    <w:keepLines w:val="0"/>
                    <w:pageBreakBefore w:val="0"/>
                    <w:widowControl w:val="0"/>
                    <w:kinsoku/>
                    <w:wordWrap/>
                    <w:overflowPunct/>
                    <w:topLinePunct w:val="0"/>
                    <w:bidi w:val="0"/>
                    <w:adjustRightInd w:val="0"/>
                    <w:jc w:val="both"/>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 xml:space="preserve">于农业面源污染类型。 </w:t>
                  </w:r>
                </w:p>
                <w:p>
                  <w:pPr>
                    <w:pStyle w:val="2"/>
                    <w:keepNext w:val="0"/>
                    <w:keepLines w:val="0"/>
                    <w:pageBreakBefore w:val="0"/>
                    <w:widowControl w:val="0"/>
                    <w:kinsoku/>
                    <w:wordWrap/>
                    <w:overflowPunct/>
                    <w:topLinePunct w:val="0"/>
                    <w:bidi w:val="0"/>
                    <w:adjustRightInd w:val="0"/>
                    <w:jc w:val="both"/>
                    <w:rPr>
                      <w:rFonts w:hint="default" w:ascii="Times New Roman" w:cs="Times New Roman"/>
                      <w:b w:val="0"/>
                      <w:bCs w:val="0"/>
                      <w:color w:val="auto"/>
                      <w:sz w:val="21"/>
                      <w:szCs w:val="21"/>
                      <w:highlight w:val="none"/>
                      <w:lang w:val="en-US" w:eastAsia="zh-CN"/>
                    </w:rPr>
                  </w:pPr>
                  <w:r>
                    <w:rPr>
                      <w:rFonts w:hint="default" w:ascii="Times New Roman" w:cs="Times New Roman"/>
                      <w:b w:val="0"/>
                      <w:bCs w:val="0"/>
                      <w:color w:val="auto"/>
                      <w:sz w:val="21"/>
                      <w:szCs w:val="21"/>
                      <w:highlight w:val="none"/>
                      <w:lang w:val="en-US" w:eastAsia="zh-CN"/>
                    </w:rPr>
                    <w:t>3.5</w:t>
                  </w:r>
                  <w:r>
                    <w:rPr>
                      <w:rFonts w:hint="eastAsia" w:ascii="Times New Roman" w:cs="Times New Roman"/>
                      <w:b w:val="0"/>
                      <w:bCs w:val="0"/>
                      <w:color w:val="auto"/>
                      <w:sz w:val="21"/>
                      <w:szCs w:val="21"/>
                      <w:highlight w:val="none"/>
                      <w:lang w:val="en-US" w:eastAsia="zh-CN"/>
                    </w:rPr>
                    <w:t>本项目</w:t>
                  </w:r>
                  <w:r>
                    <w:rPr>
                      <w:rFonts w:hint="default" w:ascii="Times New Roman" w:cs="Times New Roman"/>
                      <w:b w:val="0"/>
                      <w:bCs w:val="0"/>
                      <w:color w:val="auto"/>
                      <w:sz w:val="21"/>
                      <w:szCs w:val="21"/>
                      <w:highlight w:val="none"/>
                      <w:lang w:val="en-US" w:eastAsia="zh-CN"/>
                    </w:rPr>
                    <w:t>VOCs废气均收集处理后达标排放，并申请VOCs总量。</w:t>
                  </w:r>
                </w:p>
                <w:p>
                  <w:pPr>
                    <w:pStyle w:val="2"/>
                    <w:keepNext w:val="0"/>
                    <w:keepLines w:val="0"/>
                    <w:pageBreakBefore w:val="0"/>
                    <w:widowControl w:val="0"/>
                    <w:kinsoku/>
                    <w:wordWrap/>
                    <w:overflowPunct/>
                    <w:topLinePunct w:val="0"/>
                    <w:bidi w:val="0"/>
                    <w:adjustRightInd w:val="0"/>
                    <w:jc w:val="both"/>
                    <w:rPr>
                      <w:rFonts w:hint="default" w:ascii="Times New Roman" w:hAnsi="Times New Roman" w:eastAsia="宋体" w:cs="Times New Roman"/>
                      <w:color w:val="auto"/>
                      <w:highlight w:val="none"/>
                      <w:lang w:val="en-US" w:eastAsia="zh-CN"/>
                    </w:rPr>
                  </w:pPr>
                  <w:r>
                    <w:rPr>
                      <w:rFonts w:hint="default" w:ascii="Times New Roman" w:cs="Times New Roman"/>
                      <w:b w:val="0"/>
                      <w:bCs w:val="0"/>
                      <w:color w:val="auto"/>
                      <w:sz w:val="21"/>
                      <w:szCs w:val="21"/>
                      <w:highlight w:val="none"/>
                      <w:lang w:val="en-US" w:eastAsia="zh-CN"/>
                    </w:rPr>
                    <w:t>3.6</w:t>
                  </w:r>
                  <w:r>
                    <w:rPr>
                      <w:rFonts w:hint="eastAsia" w:ascii="Times New Roman" w:cs="Times New Roman"/>
                      <w:b w:val="0"/>
                      <w:bCs w:val="0"/>
                      <w:color w:val="auto"/>
                      <w:sz w:val="21"/>
                      <w:szCs w:val="21"/>
                      <w:highlight w:val="none"/>
                      <w:lang w:val="en-US" w:eastAsia="zh-CN"/>
                    </w:rPr>
                    <w:t>本项目</w:t>
                  </w:r>
                  <w:r>
                    <w:rPr>
                      <w:rFonts w:hint="default" w:ascii="Times New Roman" w:hAnsi="Times New Roman" w:eastAsia="宋体" w:cs="Times New Roman"/>
                      <w:color w:val="auto"/>
                      <w:kern w:val="2"/>
                      <w:sz w:val="21"/>
                      <w:szCs w:val="24"/>
                      <w:highlight w:val="none"/>
                      <w:lang w:val="en-US" w:eastAsia="zh-CN" w:bidi="ar-SA"/>
                    </w:rPr>
                    <w:t>不涉及此项。</w:t>
                  </w: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b w:val="0"/>
                      <w:bCs w:val="0"/>
                      <w:color w:val="auto"/>
                      <w:kern w:val="0"/>
                      <w:sz w:val="21"/>
                      <w:szCs w:val="21"/>
                      <w:highlight w:val="none"/>
                      <w:vertAlign w:val="baseline"/>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1" w:hRule="atLeast"/>
                <w:jc w:val="center"/>
              </w:trPr>
              <w:tc>
                <w:tcPr>
                  <w:tcW w:w="402"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rPr>
                  </w:pPr>
                  <w:r>
                    <w:rPr>
                      <w:rFonts w:hint="default" w:ascii="Times New Roman" w:hAnsi="Times New Roman" w:eastAsia="宋体" w:cs="Times New Roman"/>
                      <w:b/>
                      <w:bCs/>
                      <w:color w:val="auto"/>
                      <w:kern w:val="0"/>
                      <w:sz w:val="21"/>
                      <w:szCs w:val="21"/>
                      <w:highlight w:val="none"/>
                      <w:vertAlign w:val="baseline"/>
                      <w:lang w:eastAsia="zh-CN"/>
                    </w:rPr>
                    <w:t>环境风险防控要求</w:t>
                  </w:r>
                </w:p>
              </w:tc>
              <w:tc>
                <w:tcPr>
                  <w:tcW w:w="2796" w:type="pct"/>
                  <w:gridSpan w:val="2"/>
                  <w:noWrap w:val="0"/>
                  <w:vAlign w:val="center"/>
                </w:tcPr>
                <w:p>
                  <w:pPr>
                    <w:pStyle w:val="33"/>
                    <w:adjustRightInd w:val="0"/>
                    <w:snapToGrid w:val="0"/>
                    <w:jc w:val="both"/>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4-1. 【水</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 xml:space="preserve">综合类】城镇污水处理厂应采取有效措施，防止事故废水直接排入水体。 </w:t>
                  </w:r>
                </w:p>
                <w:p>
                  <w:pPr>
                    <w:pStyle w:val="33"/>
                    <w:adjustRightInd w:val="0"/>
                    <w:snapToGrid w:val="0"/>
                    <w:jc w:val="both"/>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4-2. </w:t>
                  </w:r>
                  <w:r>
                    <w:rPr>
                      <w:rFonts w:hint="eastAsia" w:ascii="Times New Roman" w:hAnsi="Times New Roman" w:eastAsia="宋体" w:cs="Times New Roman"/>
                      <w:color w:val="auto"/>
                      <w:highlight w:val="none"/>
                      <w:lang w:val="en-US" w:eastAsia="zh-CN"/>
                    </w:rPr>
                    <w:t>【水</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 xml:space="preserve">综合类】加强饮用水水源保护区内环境风险排查，开展风险评估、水环境预警监测以及水环境应急演练。 </w:t>
                  </w:r>
                </w:p>
                <w:p>
                  <w:pPr>
                    <w:pStyle w:val="33"/>
                    <w:adjustRightInd w:val="0"/>
                    <w:snapToGrid w:val="0"/>
                    <w:jc w:val="both"/>
                    <w:rPr>
                      <w:rFonts w:hint="default" w:ascii="Times New Roman" w:hAnsi="Times New Roman" w:eastAsia="宋体" w:cs="Times New Roman"/>
                      <w:b/>
                      <w:bCs/>
                      <w:color w:val="auto"/>
                      <w:kern w:val="0"/>
                      <w:sz w:val="21"/>
                      <w:szCs w:val="21"/>
                      <w:highlight w:val="none"/>
                      <w:vertAlign w:val="baseline"/>
                      <w:lang w:eastAsia="zh-CN"/>
                    </w:rPr>
                  </w:pPr>
                  <w:r>
                    <w:rPr>
                      <w:rFonts w:hint="default" w:ascii="Times New Roman" w:hAnsi="Times New Roman" w:eastAsia="宋体" w:cs="Times New Roman"/>
                      <w:color w:val="auto"/>
                      <w:highlight w:val="none"/>
                      <w:lang w:val="en-US" w:eastAsia="zh-CN"/>
                    </w:rPr>
                    <w:t xml:space="preserve">4-3. </w:t>
                  </w:r>
                  <w:r>
                    <w:rPr>
                      <w:rFonts w:hint="eastAsia" w:ascii="Times New Roman" w:hAnsi="Times New Roman" w:eastAsia="宋体" w:cs="Times New Roman"/>
                      <w:color w:val="auto"/>
                      <w:highlight w:val="none"/>
                      <w:lang w:val="en-US" w:eastAsia="zh-CN"/>
                    </w:rPr>
                    <w:t>【大气</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综合类】建立环境监测预警制度，加强污染天气预警预报；生产、储存和使用有毒有害气体的企业（有毒有害气体的企业指列入《有毒有害大气污染物名录》的、以及其他对人体健康和生态环境造成危害的气体），需建立有毒有害气体环境风险预警体系。</w:t>
                  </w:r>
                </w:p>
              </w:tc>
              <w:tc>
                <w:tcPr>
                  <w:tcW w:w="1497" w:type="pct"/>
                  <w:noWrap w:val="0"/>
                  <w:vAlign w:val="center"/>
                </w:tcPr>
                <w:p>
                  <w:pPr>
                    <w:pStyle w:val="2"/>
                    <w:keepNext w:val="0"/>
                    <w:keepLines w:val="0"/>
                    <w:pageBreakBefore w:val="0"/>
                    <w:widowControl w:val="0"/>
                    <w:kinsoku/>
                    <w:wordWrap/>
                    <w:overflowPunct/>
                    <w:topLinePunct w:val="0"/>
                    <w:bidi w:val="0"/>
                    <w:adjustRightInd w:val="0"/>
                    <w:jc w:val="both"/>
                    <w:rPr>
                      <w:rFonts w:hint="eastAsia" w:ascii="Times New Roman" w:cs="Times New Roman"/>
                      <w:b w:val="0"/>
                      <w:bCs w:val="0"/>
                      <w:color w:val="auto"/>
                      <w:sz w:val="21"/>
                      <w:szCs w:val="21"/>
                      <w:highlight w:val="none"/>
                      <w:lang w:val="en-US" w:eastAsia="zh-CN"/>
                    </w:rPr>
                  </w:pPr>
                  <w:r>
                    <w:rPr>
                      <w:rFonts w:hint="default" w:ascii="Times New Roman" w:cs="Times New Roman"/>
                      <w:b w:val="0"/>
                      <w:bCs w:val="0"/>
                      <w:color w:val="auto"/>
                      <w:sz w:val="21"/>
                      <w:szCs w:val="21"/>
                      <w:highlight w:val="none"/>
                      <w:lang w:val="en-US" w:eastAsia="zh-CN"/>
                    </w:rPr>
                    <w:t>4-1~4-2</w:t>
                  </w:r>
                  <w:r>
                    <w:rPr>
                      <w:rFonts w:hint="eastAsia" w:ascii="Times New Roman" w:cs="Times New Roman"/>
                      <w:b w:val="0"/>
                      <w:bCs w:val="0"/>
                      <w:color w:val="auto"/>
                      <w:sz w:val="21"/>
                      <w:szCs w:val="21"/>
                      <w:highlight w:val="none"/>
                      <w:lang w:val="en-US" w:eastAsia="zh-CN"/>
                    </w:rPr>
                    <w:t xml:space="preserve">、本项目不属于饮用水源保护区，项目无生产废水的排放，生 </w:t>
                  </w:r>
                </w:p>
                <w:p>
                  <w:pPr>
                    <w:pStyle w:val="2"/>
                    <w:keepNext w:val="0"/>
                    <w:keepLines w:val="0"/>
                    <w:pageBreakBefore w:val="0"/>
                    <w:widowControl w:val="0"/>
                    <w:kinsoku/>
                    <w:wordWrap/>
                    <w:overflowPunct/>
                    <w:topLinePunct w:val="0"/>
                    <w:bidi w:val="0"/>
                    <w:adjustRightInd w:val="0"/>
                    <w:jc w:val="both"/>
                    <w:rPr>
                      <w:rFonts w:hint="eastAsia" w:ascii="Times New Roman" w:cs="Times New Roman"/>
                      <w:b w:val="0"/>
                      <w:bCs w:val="0"/>
                      <w:color w:val="auto"/>
                      <w:sz w:val="21"/>
                      <w:szCs w:val="21"/>
                      <w:highlight w:val="none"/>
                      <w:lang w:val="en-US" w:eastAsia="zh-CN"/>
                    </w:rPr>
                  </w:pPr>
                  <w:r>
                    <w:rPr>
                      <w:rFonts w:hint="eastAsia" w:ascii="Times New Roman" w:cs="Times New Roman"/>
                      <w:b w:val="0"/>
                      <w:bCs w:val="0"/>
                      <w:color w:val="auto"/>
                      <w:sz w:val="21"/>
                      <w:szCs w:val="21"/>
                      <w:highlight w:val="none"/>
                      <w:lang w:val="en-US" w:eastAsia="zh-CN"/>
                    </w:rPr>
                    <w:t xml:space="preserve">活污水经过三级化粪池预处理后排入博罗县龙溪镇生活污水处理厂处理达标后排放。 </w:t>
                  </w:r>
                </w:p>
                <w:p>
                  <w:pPr>
                    <w:pStyle w:val="2"/>
                    <w:keepNext w:val="0"/>
                    <w:keepLines w:val="0"/>
                    <w:pageBreakBefore w:val="0"/>
                    <w:widowControl w:val="0"/>
                    <w:kinsoku/>
                    <w:wordWrap/>
                    <w:overflowPunct/>
                    <w:topLinePunct w:val="0"/>
                    <w:bidi w:val="0"/>
                    <w:adjustRightInd w:val="0"/>
                    <w:jc w:val="both"/>
                    <w:rPr>
                      <w:rFonts w:hint="eastAsia" w:ascii="Times New Roman" w:cs="Times New Roman"/>
                      <w:b w:val="0"/>
                      <w:bCs w:val="0"/>
                      <w:color w:val="auto"/>
                      <w:sz w:val="21"/>
                      <w:szCs w:val="21"/>
                      <w:highlight w:val="none"/>
                      <w:lang w:val="en-US" w:eastAsia="zh-CN"/>
                    </w:rPr>
                  </w:pPr>
                  <w:r>
                    <w:rPr>
                      <w:rFonts w:hint="default" w:ascii="Times New Roman" w:cs="Times New Roman"/>
                      <w:b w:val="0"/>
                      <w:bCs w:val="0"/>
                      <w:color w:val="auto"/>
                      <w:sz w:val="21"/>
                      <w:szCs w:val="21"/>
                      <w:highlight w:val="none"/>
                      <w:lang w:val="en-US" w:eastAsia="zh-CN"/>
                    </w:rPr>
                    <w:t>4-3</w:t>
                  </w:r>
                  <w:r>
                    <w:rPr>
                      <w:rFonts w:hint="eastAsia" w:ascii="Times New Roman" w:cs="Times New Roman"/>
                      <w:b w:val="0"/>
                      <w:bCs w:val="0"/>
                      <w:color w:val="auto"/>
                      <w:sz w:val="21"/>
                      <w:szCs w:val="21"/>
                      <w:highlight w:val="none"/>
                      <w:lang w:val="en-US" w:eastAsia="zh-CN"/>
                    </w:rPr>
                    <w:t xml:space="preserve">、本项目不涉及有毒有害气体的产生，在建设过程中，相应会做好 </w:t>
                  </w:r>
                </w:p>
                <w:p>
                  <w:pPr>
                    <w:pStyle w:val="2"/>
                    <w:keepNext w:val="0"/>
                    <w:keepLines w:val="0"/>
                    <w:pageBreakBefore w:val="0"/>
                    <w:widowControl w:val="0"/>
                    <w:kinsoku/>
                    <w:wordWrap/>
                    <w:overflowPunct/>
                    <w:topLinePunct w:val="0"/>
                    <w:bidi w:val="0"/>
                    <w:adjustRightInd w:val="0"/>
                    <w:jc w:val="both"/>
                    <w:rPr>
                      <w:rFonts w:hint="default" w:ascii="Times New Roman" w:hAnsi="Times New Roman" w:eastAsia="宋体" w:cs="Times New Roman"/>
                      <w:b/>
                      <w:bCs/>
                      <w:color w:val="auto"/>
                      <w:kern w:val="0"/>
                      <w:sz w:val="21"/>
                      <w:szCs w:val="21"/>
                      <w:highlight w:val="none"/>
                      <w:vertAlign w:val="baseline"/>
                      <w:lang w:val="en-US" w:eastAsia="zh-CN"/>
                    </w:rPr>
                  </w:pPr>
                  <w:r>
                    <w:rPr>
                      <w:rFonts w:hint="eastAsia" w:ascii="Times New Roman" w:cs="Times New Roman"/>
                      <w:b w:val="0"/>
                      <w:bCs w:val="0"/>
                      <w:color w:val="auto"/>
                      <w:sz w:val="21"/>
                      <w:szCs w:val="21"/>
                      <w:highlight w:val="none"/>
                      <w:lang w:val="en-US" w:eastAsia="zh-CN"/>
                    </w:rPr>
                    <w:t>环境风险防范措施。</w:t>
                  </w:r>
                </w:p>
              </w:tc>
              <w:tc>
                <w:tcPr>
                  <w:tcW w:w="303" w:type="pct"/>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kern w:val="0"/>
                      <w:sz w:val="21"/>
                      <w:szCs w:val="21"/>
                      <w:highlight w:val="none"/>
                      <w:vertAlign w:val="baseline"/>
                    </w:rPr>
                  </w:pPr>
                  <w:r>
                    <w:rPr>
                      <w:rFonts w:hint="default" w:ascii="Times New Roman" w:hAnsi="Times New Roman" w:eastAsia="宋体" w:cs="Times New Roman"/>
                      <w:b w:val="0"/>
                      <w:bCs w:val="0"/>
                      <w:color w:val="auto"/>
                      <w:kern w:val="0"/>
                      <w:sz w:val="21"/>
                      <w:szCs w:val="21"/>
                      <w:highlight w:val="none"/>
                      <w:vertAlign w:val="baseline"/>
                      <w:lang w:eastAsia="zh-CN"/>
                    </w:rPr>
                    <w:t>符合</w:t>
                  </w:r>
                </w:p>
              </w:tc>
            </w:tr>
          </w:tbl>
          <w:p>
            <w:pPr>
              <w:adjustRightInd w:val="0"/>
              <w:snapToGrid w:val="0"/>
              <w:spacing w:line="360" w:lineRule="auto"/>
              <w:ind w:firstLine="480" w:firstLineChars="200"/>
              <w:jc w:val="both"/>
              <w:rPr>
                <w:rFonts w:hint="default" w:ascii="Times New Roman" w:hAnsi="Times New Roman" w:eastAsia="宋体" w:cs="Times New Roman"/>
                <w:b w:val="0"/>
                <w:bCs w:val="0"/>
                <w:color w:val="auto"/>
                <w:kern w:val="0"/>
                <w:sz w:val="24"/>
                <w:szCs w:val="21"/>
                <w:highlight w:val="none"/>
              </w:rPr>
            </w:pPr>
            <w:r>
              <w:rPr>
                <w:rFonts w:hint="default" w:ascii="Times New Roman" w:hAnsi="Times New Roman" w:eastAsia="宋体" w:cs="Times New Roman"/>
                <w:color w:val="auto"/>
                <w:sz w:val="24"/>
                <w:highlight w:val="none"/>
              </w:rPr>
              <w:t>综上所述，</w:t>
            </w:r>
            <w:r>
              <w:rPr>
                <w:rFonts w:hint="eastAsia"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符合《博罗县“三线一单”生态环境分区管控方案》的</w:t>
            </w:r>
          </w:p>
          <w:p>
            <w:pPr>
              <w:adjustRightInd w:val="0"/>
              <w:snapToGrid w:val="0"/>
              <w:spacing w:line="360" w:lineRule="auto"/>
              <w:ind w:firstLine="482" w:firstLineChars="200"/>
              <w:jc w:val="both"/>
              <w:rPr>
                <w:rFonts w:hint="default" w:ascii="Times New Roman" w:hAnsi="Times New Roman" w:eastAsia="宋体" w:cs="Times New Roman"/>
                <w:b/>
                <w:bCs/>
                <w:color w:val="auto"/>
                <w:kern w:val="0"/>
                <w:sz w:val="24"/>
                <w:szCs w:val="21"/>
                <w:highlight w:val="none"/>
              </w:rPr>
            </w:pPr>
            <w:r>
              <w:rPr>
                <w:rFonts w:hint="eastAsia" w:ascii="Times New Roman" w:hAnsi="Times New Roman" w:eastAsia="宋体" w:cs="Times New Roman"/>
                <w:b/>
                <w:bCs/>
                <w:color w:val="auto"/>
                <w:kern w:val="0"/>
                <w:sz w:val="24"/>
                <w:szCs w:val="21"/>
                <w:highlight w:val="none"/>
                <w:lang w:val="en-US" w:eastAsia="zh-CN"/>
              </w:rPr>
              <w:t>2</w:t>
            </w:r>
            <w:r>
              <w:rPr>
                <w:rFonts w:hint="default" w:ascii="Times New Roman" w:hAnsi="Times New Roman" w:eastAsia="宋体" w:cs="Times New Roman"/>
                <w:b/>
                <w:bCs/>
                <w:color w:val="auto"/>
                <w:kern w:val="0"/>
                <w:sz w:val="24"/>
                <w:szCs w:val="21"/>
                <w:highlight w:val="none"/>
              </w:rPr>
              <w:t>、与产业政策合理性分析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lang w:val="en-US" w:eastAsia="zh-CN"/>
              </w:rPr>
              <w:t>本项目</w:t>
            </w:r>
            <w:r>
              <w:rPr>
                <w:rFonts w:hint="default" w:ascii="Times New Roman" w:hAnsi="Times New Roman" w:eastAsia="宋体" w:cs="Times New Roman"/>
                <w:color w:val="auto"/>
                <w:kern w:val="0"/>
                <w:sz w:val="24"/>
                <w:szCs w:val="21"/>
                <w:highlight w:val="none"/>
              </w:rPr>
              <w:t>主要</w:t>
            </w:r>
            <w:r>
              <w:rPr>
                <w:rFonts w:hint="eastAsia" w:ascii="Times New Roman" w:hAnsi="Times New Roman" w:eastAsia="宋体" w:cs="Times New Roman"/>
                <w:color w:val="auto"/>
                <w:kern w:val="0"/>
                <w:sz w:val="24"/>
                <w:szCs w:val="21"/>
                <w:highlight w:val="none"/>
                <w:lang w:eastAsia="zh-CN"/>
              </w:rPr>
              <w:t>从事塑料制品的生产</w:t>
            </w:r>
            <w:r>
              <w:rPr>
                <w:rFonts w:hint="default" w:ascii="Times New Roman" w:hAnsi="Times New Roman" w:eastAsia="宋体" w:cs="Times New Roman"/>
                <w:color w:val="auto"/>
                <w:kern w:val="0"/>
                <w:sz w:val="24"/>
                <w:szCs w:val="21"/>
                <w:highlight w:val="none"/>
              </w:rPr>
              <w:t>，属于《国民经济行业分类》(GB／T4754-2017)（按第1号修改单修订）中的</w:t>
            </w:r>
            <w:r>
              <w:rPr>
                <w:rFonts w:hint="eastAsia" w:ascii="Times New Roman" w:hAnsi="Times New Roman" w:eastAsia="宋体" w:cs="Times New Roman"/>
                <w:color w:val="auto"/>
                <w:kern w:val="0"/>
                <w:sz w:val="24"/>
                <w:szCs w:val="21"/>
                <w:highlight w:val="none"/>
                <w:lang w:eastAsia="zh-CN"/>
              </w:rPr>
              <w:t>C2929塑料零件及其他塑料制品制造</w:t>
            </w:r>
            <w:r>
              <w:rPr>
                <w:rFonts w:hint="default" w:ascii="Times New Roman" w:hAnsi="Times New Roman" w:eastAsia="宋体" w:cs="Times New Roman"/>
                <w:color w:val="auto"/>
                <w:kern w:val="0"/>
                <w:sz w:val="24"/>
                <w:szCs w:val="21"/>
                <w:highlight w:val="none"/>
              </w:rPr>
              <w:t>。项目不属于《产业结构调整指导目录（2019年本）及《国家发展改革委关于修改&lt;产业结构调整指导目录（2019年本）&gt;有关条款的决定》中的鼓励类、限制类和淘汰类项目；属于允许类生产项目。</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lang w:val="en-US" w:eastAsia="zh-CN"/>
              </w:rPr>
            </w:pPr>
            <w:r>
              <w:rPr>
                <w:rFonts w:hint="eastAsia" w:ascii="Times New Roman" w:hAnsi="Times New Roman" w:eastAsia="宋体" w:cs="Times New Roman"/>
                <w:b/>
                <w:bCs/>
                <w:color w:val="auto"/>
                <w:kern w:val="0"/>
                <w:sz w:val="24"/>
                <w:szCs w:val="21"/>
                <w:highlight w:val="none"/>
                <w:lang w:val="en-US" w:eastAsia="zh-CN"/>
              </w:rPr>
              <w:t>3</w:t>
            </w:r>
            <w:r>
              <w:rPr>
                <w:rFonts w:hint="default" w:ascii="Times New Roman" w:hAnsi="Times New Roman" w:eastAsia="宋体" w:cs="Times New Roman"/>
                <w:b/>
                <w:bCs/>
                <w:color w:val="auto"/>
                <w:kern w:val="0"/>
                <w:sz w:val="24"/>
                <w:szCs w:val="21"/>
                <w:highlight w:val="none"/>
                <w:lang w:val="en-US" w:eastAsia="zh-CN"/>
              </w:rPr>
              <w:t>、项目与《市场准入负面清单（2022年版）》（发改体改规〔2022〕397号）</w:t>
            </w:r>
          </w:p>
          <w:p>
            <w:pPr>
              <w:autoSpaceDE w:val="0"/>
              <w:autoSpaceDN w:val="0"/>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1"/>
                <w:highlight w:val="none"/>
                <w:lang w:val="en-US" w:eastAsia="zh-CN"/>
              </w:rPr>
            </w:pPr>
            <w:r>
              <w:rPr>
                <w:rFonts w:hint="default" w:ascii="Times New Roman" w:hAnsi="Times New Roman" w:eastAsia="宋体" w:cs="Times New Roman"/>
                <w:b w:val="0"/>
                <w:bCs w:val="0"/>
                <w:color w:val="auto"/>
                <w:kern w:val="0"/>
                <w:sz w:val="24"/>
                <w:szCs w:val="21"/>
                <w:highlight w:val="none"/>
                <w:lang w:val="en-US" w:eastAsia="zh-CN"/>
              </w:rPr>
              <w:t>根据《市场准入负面清单》（2022年版）内容：对禁止准入事项，市场主体不得进入，行政机关不予审批、核准，不得办理有关手续；对许可准入事项，包括有关资格的要求和程序、技术标准和许可要求等，由市场主体提出申请，行政机关依法依规作出是否予以准入的决定；或由市场主体依照政府规定的准入条件和准入方式合规进入；对市场准入负面清单以外的行业、领域、业务等，各类市场主体皆可依法平等进入。</w:t>
            </w:r>
          </w:p>
          <w:p>
            <w:pPr>
              <w:autoSpaceDE w:val="0"/>
              <w:autoSpaceDN w:val="0"/>
              <w:adjustRightInd w:val="0"/>
              <w:snapToGrid w:val="0"/>
              <w:spacing w:line="360" w:lineRule="auto"/>
              <w:ind w:firstLine="482" w:firstLineChars="200"/>
              <w:rPr>
                <w:rFonts w:hint="default" w:ascii="Times New Roman" w:hAnsi="Times New Roman" w:eastAsia="宋体" w:cs="Times New Roman"/>
                <w:b w:val="0"/>
                <w:bCs w:val="0"/>
                <w:color w:val="auto"/>
                <w:kern w:val="0"/>
                <w:sz w:val="24"/>
                <w:szCs w:val="21"/>
                <w:highlight w:val="none"/>
                <w:lang w:val="en-US" w:eastAsia="zh-CN"/>
              </w:rPr>
            </w:pPr>
            <w:r>
              <w:rPr>
                <w:rFonts w:hint="default" w:ascii="Times New Roman" w:hAnsi="Times New Roman" w:eastAsia="宋体" w:cs="Times New Roman"/>
                <w:b/>
                <w:bCs/>
                <w:color w:val="auto"/>
                <w:kern w:val="0"/>
                <w:sz w:val="24"/>
                <w:szCs w:val="21"/>
                <w:highlight w:val="none"/>
                <w:lang w:val="en-US" w:eastAsia="zh-CN"/>
              </w:rPr>
              <w:t>相符性分析：</w:t>
            </w:r>
            <w:r>
              <w:rPr>
                <w:rFonts w:hint="eastAsia" w:ascii="Times New Roman" w:hAnsi="Times New Roman" w:eastAsia="宋体" w:cs="Times New Roman"/>
                <w:b w:val="0"/>
                <w:bCs w:val="0"/>
                <w:color w:val="auto"/>
                <w:kern w:val="0"/>
                <w:sz w:val="24"/>
                <w:szCs w:val="21"/>
                <w:highlight w:val="none"/>
                <w:lang w:val="en-US" w:eastAsia="zh-CN"/>
              </w:rPr>
              <w:t>本项目</w:t>
            </w:r>
            <w:r>
              <w:rPr>
                <w:rFonts w:hint="default" w:ascii="Times New Roman" w:hAnsi="Times New Roman" w:eastAsia="宋体" w:cs="Times New Roman"/>
                <w:b w:val="0"/>
                <w:bCs w:val="0"/>
                <w:color w:val="auto"/>
                <w:kern w:val="0"/>
                <w:sz w:val="24"/>
                <w:szCs w:val="21"/>
                <w:highlight w:val="none"/>
                <w:lang w:val="en-US" w:eastAsia="zh-CN"/>
              </w:rPr>
              <w:t>主要</w:t>
            </w:r>
            <w:r>
              <w:rPr>
                <w:rFonts w:hint="eastAsia" w:ascii="Times New Roman" w:hAnsi="Times New Roman" w:eastAsia="宋体" w:cs="Times New Roman"/>
                <w:b w:val="0"/>
                <w:bCs w:val="0"/>
                <w:color w:val="auto"/>
                <w:kern w:val="0"/>
                <w:sz w:val="24"/>
                <w:szCs w:val="21"/>
                <w:highlight w:val="none"/>
                <w:lang w:val="en-US" w:eastAsia="zh-CN"/>
              </w:rPr>
              <w:t>从事塑料制品的生产</w:t>
            </w:r>
            <w:r>
              <w:rPr>
                <w:rFonts w:hint="default" w:ascii="Times New Roman" w:hAnsi="Times New Roman" w:eastAsia="宋体" w:cs="Times New Roman"/>
                <w:b w:val="0"/>
                <w:bCs w:val="0"/>
                <w:color w:val="auto"/>
                <w:kern w:val="0"/>
                <w:sz w:val="24"/>
                <w:szCs w:val="21"/>
                <w:highlight w:val="none"/>
                <w:lang w:val="en-US" w:eastAsia="zh-CN"/>
              </w:rPr>
              <w:t>，属于《国民经济行业分类》(GB／T4754-2017)（按第1号修改单修订）中的</w:t>
            </w:r>
            <w:r>
              <w:rPr>
                <w:rFonts w:hint="eastAsia" w:ascii="Times New Roman" w:hAnsi="Times New Roman" w:eastAsia="宋体" w:cs="Times New Roman"/>
                <w:b w:val="0"/>
                <w:bCs w:val="0"/>
                <w:color w:val="auto"/>
                <w:kern w:val="0"/>
                <w:sz w:val="24"/>
                <w:szCs w:val="21"/>
                <w:highlight w:val="none"/>
                <w:lang w:val="en-US" w:eastAsia="zh-CN"/>
              </w:rPr>
              <w:t>C2929塑料零件及其他塑料制品制造</w:t>
            </w:r>
            <w:r>
              <w:rPr>
                <w:rFonts w:hint="default" w:ascii="Times New Roman" w:hAnsi="Times New Roman" w:eastAsia="宋体" w:cs="Times New Roman"/>
                <w:b w:val="0"/>
                <w:bCs w:val="0"/>
                <w:color w:val="auto"/>
                <w:kern w:val="0"/>
                <w:sz w:val="24"/>
                <w:szCs w:val="21"/>
                <w:highlight w:val="none"/>
                <w:lang w:val="en-US" w:eastAsia="zh-CN"/>
              </w:rPr>
              <w:t>。不属于《市场准入负面清单（2022年版）》（发改体改规〔2022〕397号）禁止或需要许可的类别，项目建设符合《市场准入负面清单（2022年版）》。</w:t>
            </w:r>
          </w:p>
          <w:p>
            <w:pPr>
              <w:numPr>
                <w:ilvl w:val="0"/>
                <w:numId w:val="0"/>
              </w:num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lang w:val="en-US" w:eastAsia="zh-CN"/>
              </w:rPr>
            </w:pPr>
            <w:r>
              <w:rPr>
                <w:rFonts w:hint="eastAsia" w:ascii="Times New Roman" w:hAnsi="Times New Roman" w:eastAsia="宋体" w:cs="Times New Roman"/>
                <w:b/>
                <w:bCs/>
                <w:color w:val="auto"/>
                <w:kern w:val="0"/>
                <w:sz w:val="24"/>
                <w:szCs w:val="21"/>
                <w:highlight w:val="none"/>
                <w:lang w:val="en-US" w:eastAsia="zh-CN"/>
              </w:rPr>
              <w:t>4</w:t>
            </w:r>
            <w:r>
              <w:rPr>
                <w:rFonts w:hint="default" w:ascii="Times New Roman" w:hAnsi="Times New Roman" w:eastAsia="宋体" w:cs="Times New Roman"/>
                <w:b/>
                <w:bCs/>
                <w:color w:val="auto"/>
                <w:kern w:val="0"/>
                <w:sz w:val="24"/>
                <w:szCs w:val="21"/>
                <w:highlight w:val="none"/>
                <w:lang w:val="en-US" w:eastAsia="zh-CN"/>
              </w:rPr>
              <w:t>、用地性质相符性分析</w:t>
            </w:r>
          </w:p>
          <w:p>
            <w:pPr>
              <w:pStyle w:val="2"/>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360" w:lineRule="auto"/>
              <w:ind w:right="0" w:rightChars="0" w:firstLine="480" w:firstLineChars="200"/>
              <w:jc w:val="both"/>
              <w:textAlignment w:val="baseline"/>
              <w:rPr>
                <w:rFonts w:hint="default" w:ascii="Times New Roman" w:hAnsi="Times New Roman" w:eastAsia="宋体" w:cs="Times New Roman"/>
                <w:color w:val="auto"/>
                <w:highlight w:val="none"/>
                <w:lang w:val="en-US" w:eastAsia="zh-CN"/>
              </w:rPr>
            </w:pPr>
            <w:r>
              <w:rPr>
                <w:rFonts w:hint="eastAsia" w:asci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位于</w:t>
            </w:r>
            <w:r>
              <w:rPr>
                <w:rFonts w:hint="eastAsia" w:ascii="Times New Roman" w:cs="Times New Roman"/>
                <w:color w:val="auto"/>
                <w:highlight w:val="none"/>
                <w:lang w:val="en-US" w:eastAsia="zh-CN"/>
              </w:rPr>
              <w:t>博罗县龙溪街道龙岗村第四组白土（土名）</w:t>
            </w:r>
            <w:r>
              <w:rPr>
                <w:rFonts w:hint="default" w:ascii="Times New Roman" w:hAnsi="Times New Roman" w:eastAsia="宋体" w:cs="Times New Roman"/>
                <w:color w:val="auto"/>
                <w:highlight w:val="none"/>
                <w:lang w:val="en-US" w:eastAsia="zh-CN"/>
              </w:rPr>
              <w:t>，根据建设单位提供的不动产权证，显示</w:t>
            </w:r>
            <w:r>
              <w:rPr>
                <w:rFonts w:hint="eastAsia" w:asci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所在地为工业用地，用地性质符合要求。根据《博罗县</w:t>
            </w:r>
            <w:r>
              <w:rPr>
                <w:rFonts w:hint="eastAsia" w:ascii="Times New Roman" w:cs="Times New Roman"/>
                <w:color w:val="auto"/>
                <w:highlight w:val="none"/>
                <w:lang w:val="en-US" w:eastAsia="zh-CN"/>
              </w:rPr>
              <w:t>龙溪</w:t>
            </w:r>
            <w:r>
              <w:rPr>
                <w:rFonts w:hint="default" w:ascii="Times New Roman" w:hAnsi="Times New Roman" w:eastAsia="宋体" w:cs="Times New Roman"/>
                <w:color w:val="auto"/>
                <w:highlight w:val="none"/>
                <w:lang w:val="en-US" w:eastAsia="zh-CN"/>
              </w:rPr>
              <w:t>镇土地利用总体规划》（2010-2020年），</w:t>
            </w:r>
            <w:r>
              <w:rPr>
                <w:rFonts w:hint="eastAsia" w:ascii="Times New Roman" w:cs="Times New Roman"/>
                <w:color w:val="auto"/>
                <w:highlight w:val="none"/>
                <w:lang w:val="en-US" w:eastAsia="zh-CN"/>
              </w:rPr>
              <w:t>本项目</w:t>
            </w:r>
            <w:r>
              <w:rPr>
                <w:rFonts w:hint="default" w:ascii="Times New Roman" w:hAnsi="Times New Roman" w:eastAsia="宋体" w:cs="Times New Roman"/>
                <w:color w:val="auto"/>
                <w:highlight w:val="none"/>
                <w:lang w:val="en-US" w:eastAsia="zh-CN"/>
              </w:rPr>
              <w:t>位于允许建设区，与总体规划的土地利用规划相符。</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kern w:val="0"/>
                <w:sz w:val="24"/>
                <w:szCs w:val="21"/>
                <w:highlight w:val="none"/>
                <w:lang w:val="en-US" w:eastAsia="zh-CN"/>
              </w:rPr>
              <w:t>5</w:t>
            </w:r>
            <w:r>
              <w:rPr>
                <w:rFonts w:hint="default" w:ascii="Times New Roman" w:hAnsi="Times New Roman" w:eastAsia="宋体" w:cs="Times New Roman"/>
                <w:b/>
                <w:bCs/>
                <w:color w:val="auto"/>
                <w:kern w:val="0"/>
                <w:sz w:val="24"/>
                <w:szCs w:val="21"/>
                <w:highlight w:val="none"/>
                <w:lang w:val="en-US" w:eastAsia="zh-CN"/>
              </w:rPr>
              <w:t>、区域环境功能区划相符性分析</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◆水环境功能区划</w:t>
            </w:r>
          </w:p>
          <w:p>
            <w:pPr>
              <w:numPr>
                <w:ilvl w:val="0"/>
                <w:numId w:val="2"/>
              </w:num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惠州市饮用水源保护区划调整方案》（经广东省人民政府批准，粤府函〔2014〕188号）以及《广东省人民政府关于调整惠州市部分饮用水源保护区的批复》（粤府函[2019]270号），《惠州市人民政府关于&lt;惠州市乡镇级及以下集中式饮用水水源保护区规定（调整）方案&gt;的批复》(惠府函（2021)317号)，</w:t>
            </w:r>
            <w:r>
              <w:rPr>
                <w:rFonts w:hint="eastAsia"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所在地不属于饮用水源保护区。</w:t>
            </w:r>
          </w:p>
          <w:p>
            <w:pPr>
              <w:numPr>
                <w:ilvl w:val="0"/>
                <w:numId w:val="2"/>
              </w:num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根据《博罗县2022年水污染防治攻坚战实施方案》中2022年水质攻坚目标表，</w:t>
            </w:r>
            <w:r>
              <w:rPr>
                <w:rFonts w:hint="eastAsia" w:ascii="Times New Roman" w:hAnsi="Times New Roman" w:eastAsia="宋体" w:cs="Times New Roman"/>
                <w:color w:val="auto"/>
                <w:sz w:val="24"/>
                <w:szCs w:val="24"/>
                <w:highlight w:val="none"/>
                <w:lang w:val="en-US" w:eastAsia="zh-CN"/>
              </w:rPr>
              <w:t>本项目所在区域纳污水体银河排渠</w:t>
            </w:r>
            <w:r>
              <w:rPr>
                <w:rFonts w:hint="default" w:ascii="Times New Roman" w:hAnsi="Times New Roman" w:eastAsia="宋体" w:cs="Times New Roman"/>
                <w:color w:val="auto"/>
                <w:sz w:val="24"/>
                <w:szCs w:val="24"/>
                <w:highlight w:val="none"/>
                <w:lang w:val="en-US" w:eastAsia="zh-CN"/>
              </w:rPr>
              <w:t>水质保护目标为Ⅴ类功能水体，执行《地表水环境质量标准》（GB3838-2002）Ⅴ类标准。</w:t>
            </w:r>
          </w:p>
          <w:p>
            <w:pPr>
              <w:bidi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◆大气环境功能区划</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根据《惠州市环境空气质量功能区划》(2021年修订）的规定，项目所在区域属于环境空气质量二类功能区。</w:t>
            </w:r>
          </w:p>
          <w:p>
            <w:pPr>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◆声环境功能区划</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根据</w:t>
            </w:r>
            <w:r>
              <w:rPr>
                <w:rFonts w:hint="eastAsia" w:ascii="Times New Roman" w:hAnsi="Times New Roman" w:eastAsia="宋体" w:cs="Times New Roman"/>
                <w:color w:val="auto"/>
                <w:sz w:val="24"/>
                <w:szCs w:val="24"/>
                <w:highlight w:val="none"/>
                <w:lang w:val="en-US" w:eastAsia="zh-CN"/>
              </w:rPr>
              <w:t>惠州市生态环境局关于印发《惠州市声环境功能区划分方案（2022年）的通知》惠市环[2022] 33号</w:t>
            </w:r>
            <w:r>
              <w:rPr>
                <w:rFonts w:hint="default" w:ascii="Times New Roman" w:hAnsi="Times New Roman" w:eastAsia="宋体" w:cs="Times New Roman"/>
                <w:color w:val="auto"/>
                <w:sz w:val="24"/>
                <w:szCs w:val="24"/>
                <w:highlight w:val="none"/>
              </w:rPr>
              <w:t>中关于声环境功能区划规定，位于</w:t>
            </w:r>
            <w:r>
              <w:rPr>
                <w:rFonts w:hint="eastAsia" w:ascii="Times New Roman" w:hAnsi="Times New Roman" w:eastAsia="宋体" w:cs="Times New Roman"/>
                <w:color w:val="auto"/>
                <w:sz w:val="24"/>
                <w:szCs w:val="24"/>
                <w:highlight w:val="none"/>
                <w:lang w:val="en-US" w:eastAsia="zh-CN"/>
              </w:rPr>
              <w:t>以商业金融、集市贸易为主要功能，或者居住、商业、工业混杂，需要维护住宅安静的区域，</w:t>
            </w:r>
            <w:r>
              <w:rPr>
                <w:rFonts w:hint="default" w:ascii="Times New Roman" w:hAnsi="Times New Roman" w:eastAsia="宋体" w:cs="Times New Roman"/>
                <w:color w:val="auto"/>
                <w:sz w:val="24"/>
                <w:szCs w:val="24"/>
                <w:highlight w:val="none"/>
              </w:rPr>
              <w:t>声环境为2类功能区。项目位于</w:t>
            </w:r>
            <w:r>
              <w:rPr>
                <w:rFonts w:hint="eastAsia" w:ascii="Times New Roman" w:hAnsi="Times New Roman" w:eastAsia="宋体" w:cs="Times New Roman"/>
                <w:color w:val="auto"/>
                <w:sz w:val="24"/>
                <w:szCs w:val="24"/>
                <w:highlight w:val="none"/>
                <w:lang w:val="en-US" w:eastAsia="zh-CN"/>
              </w:rPr>
              <w:t>以商业金融、集市贸易为主要功能，或者居住、商业、工业混杂，需要维护住宅安静的区域</w:t>
            </w:r>
            <w:r>
              <w:rPr>
                <w:rFonts w:hint="default" w:ascii="Times New Roman" w:hAnsi="Times New Roman" w:eastAsia="宋体" w:cs="Times New Roman"/>
                <w:color w:val="auto"/>
                <w:sz w:val="24"/>
                <w:szCs w:val="24"/>
                <w:highlight w:val="none"/>
              </w:rPr>
              <w:t>，所在区域</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声环境为2类功能区。</w:t>
            </w:r>
            <w:r>
              <w:rPr>
                <w:rFonts w:hint="default" w:ascii="Times New Roman" w:hAnsi="Times New Roman" w:eastAsia="宋体" w:cs="Times New Roman"/>
                <w:color w:val="auto"/>
                <w:sz w:val="24"/>
                <w:szCs w:val="24"/>
                <w:highlight w:val="none"/>
                <w:lang w:val="en-US" w:eastAsia="zh-CN"/>
              </w:rPr>
              <w:t>故</w:t>
            </w:r>
            <w:r>
              <w:rPr>
                <w:rFonts w:hint="eastAsia" w:ascii="Times New Roman"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符合所在区域环境功能区划。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rPr>
            </w:pPr>
            <w:r>
              <w:rPr>
                <w:rFonts w:hint="eastAsia" w:ascii="Times New Roman" w:hAnsi="Times New Roman" w:eastAsia="宋体" w:cs="Times New Roman"/>
                <w:b/>
                <w:bCs/>
                <w:color w:val="auto"/>
                <w:kern w:val="0"/>
                <w:sz w:val="24"/>
                <w:szCs w:val="21"/>
                <w:highlight w:val="none"/>
                <w:lang w:val="en-US" w:eastAsia="zh-CN"/>
              </w:rPr>
              <w:t>6</w:t>
            </w:r>
            <w:r>
              <w:rPr>
                <w:rFonts w:hint="default" w:ascii="Times New Roman" w:hAnsi="Times New Roman" w:eastAsia="宋体" w:cs="Times New Roman"/>
                <w:b/>
                <w:bCs/>
                <w:color w:val="auto"/>
                <w:kern w:val="0"/>
                <w:sz w:val="24"/>
                <w:szCs w:val="21"/>
                <w:highlight w:val="none"/>
              </w:rPr>
              <w:t>、与《广东省人民政府关于严格限制东江流域水污染项目建设进一步做好东江水质保护工作的通知》（粤府函[2011]339号）及其补充通知（粤府函[2013]231号）的相符性分析</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1"/>
                <w:highlight w:val="none"/>
                <w:lang w:val="en-US" w:eastAsia="zh-CN"/>
              </w:rPr>
            </w:pPr>
            <w:r>
              <w:rPr>
                <w:rFonts w:hint="default" w:ascii="Times New Roman" w:hAnsi="Times New Roman" w:eastAsia="宋体" w:cs="Times New Roman"/>
                <w:color w:val="auto"/>
                <w:kern w:val="0"/>
                <w:sz w:val="24"/>
                <w:szCs w:val="21"/>
                <w:highlight w:val="none"/>
                <w:lang w:val="en-US" w:eastAsia="zh-CN"/>
              </w:rPr>
              <w:t>严格执行《广东省东江水系水质保护条例》等规定，在东江流域内严格控制建设造纸、制革、味精、电镀、漂染、印染、炼油、发酵酿造、非放射性矿产冶炼以及使用含汞、砷、镉、铬、铅原料的项目，禁止建设农药、铬盐、钛白粉、氟制冷剂生产项目，禁止建设稀土分离、炼砒、炼铍、纸浆制造业、氰化法提炼产品以及开采、冶炼放射性矿产的项目。</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1"/>
                <w:highlight w:val="none"/>
                <w:lang w:val="en-US" w:eastAsia="zh-CN"/>
              </w:rPr>
            </w:pPr>
            <w:r>
              <w:rPr>
                <w:rFonts w:hint="default" w:ascii="Times New Roman" w:hAnsi="Times New Roman" w:eastAsia="宋体" w:cs="Times New Roman"/>
                <w:color w:val="auto"/>
                <w:kern w:val="0"/>
                <w:sz w:val="24"/>
                <w:szCs w:val="21"/>
                <w:highlight w:val="none"/>
                <w:lang w:val="en-US" w:eastAsia="zh-CN"/>
              </w:rPr>
              <w:t>在淡水河（含龙岗河、坪山河等支流）、石马河（含观澜河、潼湖水等支流）、紧水河、稿树下水、马嘶河（龙溪水）等支流和东江惠州博罗段江东、榕溪沥（罗阳）、廖洞、合竹洲、永平等5个直接排往东江的排水渠流域内，禁止建设制浆造纸、电镀（含配套电镀和线路板）、印染、制革、发酵酿造、规模化养殖和危险废物综合利用或处置等重污染项目，暂停审批电氧化、化工和含酸洗、磷化、表面处理工艺以及其他新增超标或超总量污染物的项目。上述流域内，在污水未纳入污水处理厂收集管网的城镇中心区域，不得审批洗车、餐饮、沐足桑拿等耗水性项目。</w:t>
            </w:r>
          </w:p>
          <w:p>
            <w:pPr>
              <w:autoSpaceDE w:val="0"/>
              <w:autoSpaceDN w:val="0"/>
              <w:adjustRightInd w:val="0"/>
              <w:snapToGrid w:val="0"/>
              <w:spacing w:line="360" w:lineRule="auto"/>
              <w:ind w:firstLine="482" w:firstLineChars="200"/>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b/>
                <w:bCs/>
                <w:color w:val="auto"/>
                <w:sz w:val="24"/>
                <w:szCs w:val="32"/>
                <w:highlight w:val="none"/>
              </w:rPr>
              <w:t>相符性分析：</w:t>
            </w:r>
            <w:r>
              <w:rPr>
                <w:rFonts w:hint="eastAsia" w:ascii="Times New Roman" w:hAnsi="Times New Roman" w:eastAsia="宋体" w:cs="Times New Roman"/>
                <w:color w:val="auto"/>
                <w:kern w:val="0"/>
                <w:sz w:val="24"/>
                <w:szCs w:val="21"/>
                <w:highlight w:val="none"/>
                <w:lang w:val="en-US" w:eastAsia="zh-CN"/>
              </w:rPr>
              <w:t>本项目无生产废水产生、排放</w:t>
            </w:r>
            <w:r>
              <w:rPr>
                <w:rFonts w:hint="default" w:ascii="Times New Roman" w:hAnsi="Times New Roman" w:eastAsia="宋体" w:cs="Times New Roman"/>
                <w:color w:val="auto"/>
                <w:kern w:val="0"/>
                <w:sz w:val="24"/>
                <w:szCs w:val="21"/>
                <w:highlight w:val="none"/>
                <w:lang w:val="en-US" w:eastAsia="zh-CN"/>
              </w:rPr>
              <w:t>。</w:t>
            </w:r>
            <w:r>
              <w:rPr>
                <w:rFonts w:hint="eastAsia" w:ascii="Times New Roman" w:hAnsi="Times New Roman" w:eastAsia="宋体" w:cs="Times New Roman"/>
                <w:color w:val="auto"/>
                <w:kern w:val="0"/>
                <w:sz w:val="24"/>
                <w:szCs w:val="21"/>
                <w:highlight w:val="none"/>
                <w:lang w:val="en-US" w:eastAsia="zh-CN"/>
              </w:rPr>
              <w:t>本项目</w:t>
            </w:r>
            <w:r>
              <w:rPr>
                <w:rFonts w:hint="default" w:ascii="Times New Roman" w:hAnsi="Times New Roman" w:eastAsia="宋体" w:cs="Times New Roman"/>
                <w:color w:val="auto"/>
                <w:kern w:val="0"/>
                <w:sz w:val="24"/>
                <w:szCs w:val="21"/>
                <w:highlight w:val="none"/>
                <w:lang w:val="en-US" w:eastAsia="zh-CN"/>
              </w:rPr>
              <w:t>外排废水主要为员工生活污水，经三级化粪池预处理</w:t>
            </w:r>
            <w:r>
              <w:rPr>
                <w:rFonts w:hint="eastAsia" w:ascii="Times New Roman" w:hAnsi="Times New Roman" w:eastAsia="宋体" w:cs="Times New Roman"/>
                <w:color w:val="auto"/>
                <w:kern w:val="0"/>
                <w:sz w:val="24"/>
                <w:szCs w:val="21"/>
                <w:highlight w:val="none"/>
                <w:lang w:val="en-US" w:eastAsia="zh-CN"/>
              </w:rPr>
              <w:t>后</w:t>
            </w:r>
            <w:r>
              <w:rPr>
                <w:rFonts w:hint="default" w:ascii="Times New Roman" w:hAnsi="Times New Roman" w:eastAsia="宋体" w:cs="Times New Roman"/>
                <w:color w:val="auto"/>
                <w:kern w:val="0"/>
                <w:sz w:val="24"/>
                <w:szCs w:val="21"/>
                <w:highlight w:val="none"/>
                <w:lang w:val="en-US" w:eastAsia="zh-CN"/>
              </w:rPr>
              <w:t>通过市政污水管网排入</w:t>
            </w:r>
            <w:r>
              <w:rPr>
                <w:rFonts w:hint="eastAsia" w:ascii="Times New Roman" w:hAnsi="Times New Roman" w:eastAsia="宋体" w:cs="Times New Roman"/>
                <w:color w:val="auto"/>
                <w:kern w:val="0"/>
                <w:sz w:val="24"/>
                <w:szCs w:val="21"/>
                <w:highlight w:val="none"/>
                <w:lang w:val="en-US" w:eastAsia="zh-CN"/>
              </w:rPr>
              <w:t>博罗县龙溪镇污水处理厂进行深度处理</w:t>
            </w:r>
            <w:r>
              <w:rPr>
                <w:rFonts w:hint="default" w:ascii="Times New Roman" w:hAnsi="Times New Roman" w:eastAsia="宋体" w:cs="Times New Roman"/>
                <w:color w:val="auto"/>
                <w:kern w:val="0"/>
                <w:sz w:val="24"/>
                <w:szCs w:val="21"/>
                <w:highlight w:val="none"/>
                <w:lang w:val="en-US" w:eastAsia="zh-CN"/>
              </w:rPr>
              <w:t>，</w:t>
            </w:r>
            <w:r>
              <w:rPr>
                <w:rFonts w:hint="eastAsia" w:ascii="Times New Roman" w:hAnsi="Times New Roman" w:eastAsia="宋体" w:cs="Times New Roman"/>
                <w:color w:val="auto"/>
                <w:kern w:val="0"/>
                <w:sz w:val="24"/>
                <w:szCs w:val="21"/>
                <w:highlight w:val="none"/>
                <w:lang w:val="en-US" w:eastAsia="zh-CN"/>
              </w:rPr>
              <w:t>本项目</w:t>
            </w:r>
            <w:r>
              <w:rPr>
                <w:rFonts w:hint="default" w:ascii="Times New Roman" w:hAnsi="Times New Roman" w:eastAsia="宋体" w:cs="Times New Roman"/>
                <w:color w:val="auto"/>
                <w:kern w:val="0"/>
                <w:sz w:val="24"/>
                <w:szCs w:val="21"/>
                <w:highlight w:val="none"/>
                <w:lang w:val="en-US" w:eastAsia="zh-CN"/>
              </w:rPr>
              <w:t>不属于以上禁批或限批行业</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1"/>
                <w:highlight w:val="none"/>
              </w:rPr>
              <w:t>因此，</w:t>
            </w:r>
            <w:r>
              <w:rPr>
                <w:rFonts w:hint="eastAsia" w:ascii="Times New Roman" w:hAnsi="Times New Roman" w:eastAsia="宋体" w:cs="Times New Roman"/>
                <w:color w:val="auto"/>
                <w:kern w:val="0"/>
                <w:sz w:val="24"/>
                <w:szCs w:val="21"/>
                <w:highlight w:val="none"/>
                <w:lang w:eastAsia="zh-CN"/>
              </w:rPr>
              <w:t>本项目</w:t>
            </w:r>
            <w:r>
              <w:rPr>
                <w:rFonts w:hint="default" w:ascii="Times New Roman" w:hAnsi="Times New Roman" w:eastAsia="宋体" w:cs="Times New Roman"/>
                <w:color w:val="auto"/>
                <w:kern w:val="0"/>
                <w:sz w:val="24"/>
                <w:szCs w:val="21"/>
                <w:highlight w:val="none"/>
              </w:rPr>
              <w:t>符合《广东省人民政府关于严格限制东江流域水污染项目建设进一步做好东江水质保护工作的通知》（粤府函〔2011〕339号）及其补充通知（粤府函〔2013〕231号）的要求。</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rPr>
            </w:pPr>
            <w:r>
              <w:rPr>
                <w:rFonts w:hint="eastAsia" w:ascii="Times New Roman" w:hAnsi="Times New Roman" w:eastAsia="宋体" w:cs="Times New Roman"/>
                <w:b/>
                <w:bCs/>
                <w:color w:val="auto"/>
                <w:kern w:val="0"/>
                <w:sz w:val="24"/>
                <w:szCs w:val="21"/>
                <w:highlight w:val="none"/>
                <w:lang w:val="en-US" w:eastAsia="zh-CN"/>
              </w:rPr>
              <w:t>7</w:t>
            </w:r>
            <w:r>
              <w:rPr>
                <w:rFonts w:hint="default" w:ascii="Times New Roman" w:hAnsi="Times New Roman" w:eastAsia="宋体" w:cs="Times New Roman"/>
                <w:b/>
                <w:bCs/>
                <w:color w:val="auto"/>
                <w:kern w:val="0"/>
                <w:sz w:val="24"/>
                <w:szCs w:val="21"/>
                <w:highlight w:val="none"/>
              </w:rPr>
              <w:t>、</w:t>
            </w:r>
            <w:r>
              <w:rPr>
                <w:rFonts w:hint="default" w:ascii="Times New Roman" w:hAnsi="Times New Roman" w:eastAsia="宋体" w:cs="Times New Roman"/>
                <w:b/>
                <w:bCs/>
                <w:color w:val="auto"/>
                <w:kern w:val="0"/>
                <w:sz w:val="24"/>
                <w:szCs w:val="21"/>
                <w:highlight w:val="none"/>
                <w:lang w:val="en-US" w:eastAsia="zh-CN"/>
              </w:rPr>
              <w:t>项目与《</w:t>
            </w:r>
            <w:r>
              <w:rPr>
                <w:rFonts w:hint="default" w:ascii="Times New Roman" w:hAnsi="Times New Roman" w:eastAsia="宋体" w:cs="Times New Roman"/>
                <w:b/>
                <w:bCs/>
                <w:color w:val="auto"/>
                <w:kern w:val="0"/>
                <w:sz w:val="24"/>
                <w:szCs w:val="21"/>
                <w:highlight w:val="none"/>
              </w:rPr>
              <w:t>广东省水污染防治条例</w:t>
            </w:r>
            <w:r>
              <w:rPr>
                <w:rFonts w:hint="default" w:ascii="Times New Roman" w:hAnsi="Times New Roman" w:eastAsia="宋体" w:cs="Times New Roman"/>
                <w:b/>
                <w:bCs/>
                <w:color w:val="auto"/>
                <w:kern w:val="0"/>
                <w:sz w:val="24"/>
                <w:szCs w:val="21"/>
                <w:highlight w:val="none"/>
                <w:lang w:val="en-US" w:eastAsia="zh-CN"/>
              </w:rPr>
              <w:t>》（广东省第十三届人民代表大会常务委员会公告（第73号）</w:t>
            </w:r>
            <w:r>
              <w:rPr>
                <w:rFonts w:hint="default" w:ascii="Times New Roman" w:hAnsi="Times New Roman" w:eastAsia="宋体" w:cs="Times New Roman"/>
                <w:b/>
                <w:bCs/>
                <w:color w:val="auto"/>
                <w:kern w:val="0"/>
                <w:sz w:val="24"/>
                <w:szCs w:val="21"/>
                <w:highlight w:val="none"/>
              </w:rPr>
              <w:t>的相符性分析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1"/>
                <w:highlight w:val="none"/>
                <w:lang w:bidi="ar"/>
              </w:rPr>
            </w:pPr>
            <w:r>
              <w:rPr>
                <w:rFonts w:hint="default" w:ascii="Times New Roman" w:hAnsi="Times New Roman" w:eastAsia="宋体" w:cs="Times New Roman"/>
                <w:color w:val="auto"/>
                <w:kern w:val="0"/>
                <w:sz w:val="24"/>
                <w:szCs w:val="21"/>
                <w:highlight w:val="none"/>
                <w:lang w:bidi="ar"/>
              </w:rPr>
              <w:t>引用条例部分内容如下：</w:t>
            </w:r>
          </w:p>
          <w:p>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baseline"/>
              <w:rPr>
                <w:rFonts w:hint="eastAsia" w:ascii="Times New Roman" w:hAnsi="Times New Roman" w:eastAsia="宋体" w:cs="Times New Roman"/>
                <w:color w:val="auto"/>
                <w:kern w:val="0"/>
                <w:sz w:val="24"/>
                <w:szCs w:val="21"/>
                <w:highlight w:val="none"/>
                <w:lang w:eastAsia="zh-CN" w:bidi="ar"/>
              </w:rPr>
            </w:pPr>
            <w:r>
              <w:rPr>
                <w:rFonts w:hint="default" w:ascii="Times New Roman" w:hAnsi="Times New Roman" w:eastAsia="宋体" w:cs="Times New Roman"/>
                <w:color w:val="auto"/>
                <w:kern w:val="0"/>
                <w:sz w:val="24"/>
                <w:szCs w:val="21"/>
                <w:highlight w:val="none"/>
                <w:lang w:bidi="ar"/>
              </w:rPr>
              <w:t>第四十九条禁止在江河、湖泊、运河、渠道、水库最高水位线以下的滩地和岸坡堆放、存贮固体废弃物和其他污染物。</w:t>
            </w:r>
          </w:p>
          <w:p>
            <w:pPr>
              <w:autoSpaceDE w:val="0"/>
              <w:autoSpaceDN w:val="0"/>
              <w:adjustRightInd w:val="0"/>
              <w:spacing w:line="360" w:lineRule="auto"/>
              <w:ind w:firstLine="480" w:firstLineChars="200"/>
              <w:textAlignment w:val="baseline"/>
              <w:rPr>
                <w:rFonts w:hint="eastAsia" w:ascii="Times New Roman" w:hAnsi="Times New Roman" w:eastAsia="宋体" w:cs="Times New Roman"/>
                <w:color w:val="auto"/>
                <w:kern w:val="0"/>
                <w:sz w:val="24"/>
                <w:szCs w:val="21"/>
                <w:highlight w:val="none"/>
                <w:lang w:eastAsia="zh-CN" w:bidi="ar"/>
              </w:rPr>
            </w:pPr>
            <w:r>
              <w:rPr>
                <w:rFonts w:hint="default" w:ascii="Times New Roman" w:hAnsi="Times New Roman" w:eastAsia="宋体" w:cs="Times New Roman"/>
                <w:color w:val="auto"/>
                <w:kern w:val="0"/>
                <w:sz w:val="24"/>
                <w:szCs w:val="21"/>
                <w:highlight w:val="none"/>
                <w:lang w:bidi="ar"/>
              </w:rPr>
              <w:t>禁止在东江干流和一级支流两岸最高水位线水平外延五百米范围内新建废弃物堆放场和处理场。</w:t>
            </w:r>
          </w:p>
          <w:p>
            <w:pPr>
              <w:autoSpaceDE w:val="0"/>
              <w:autoSpaceDN w:val="0"/>
              <w:adjustRightInd w:val="0"/>
              <w:spacing w:line="360" w:lineRule="auto"/>
              <w:ind w:firstLine="480" w:firstLineChars="200"/>
              <w:textAlignment w:val="baseline"/>
              <w:rPr>
                <w:rFonts w:hint="eastAsia" w:ascii="Times New Roman" w:hAnsi="Times New Roman" w:eastAsia="宋体" w:cs="Times New Roman"/>
                <w:color w:val="auto"/>
                <w:kern w:val="0"/>
                <w:sz w:val="24"/>
                <w:szCs w:val="21"/>
                <w:highlight w:val="none"/>
                <w:lang w:eastAsia="zh-CN" w:bidi="ar"/>
              </w:rPr>
            </w:pPr>
            <w:r>
              <w:rPr>
                <w:rFonts w:hint="default" w:ascii="Times New Roman" w:hAnsi="Times New Roman" w:eastAsia="宋体" w:cs="Times New Roman"/>
                <w:color w:val="auto"/>
                <w:kern w:val="0"/>
                <w:sz w:val="24"/>
                <w:szCs w:val="21"/>
                <w:highlight w:val="none"/>
                <w:lang w:bidi="ar"/>
              </w:rPr>
              <w:t>禁止在西江干流、一级支流两岸及流域内湖泊、水库最高水位线水平外延五百米范围内新建、废弃物堆放场和处理场。</w:t>
            </w:r>
          </w:p>
          <w:p>
            <w:pPr>
              <w:autoSpaceDE w:val="0"/>
              <w:autoSpaceDN w:val="0"/>
              <w:adjustRightInd w:val="0"/>
              <w:spacing w:line="360" w:lineRule="auto"/>
              <w:ind w:firstLine="480" w:firstLineChars="200"/>
              <w:textAlignment w:val="baseline"/>
              <w:rPr>
                <w:rFonts w:hint="eastAsia" w:ascii="Times New Roman" w:hAnsi="Times New Roman" w:eastAsia="宋体" w:cs="Times New Roman"/>
                <w:color w:val="auto"/>
                <w:kern w:val="0"/>
                <w:sz w:val="24"/>
                <w:szCs w:val="21"/>
                <w:highlight w:val="none"/>
                <w:lang w:eastAsia="zh-CN" w:bidi="ar"/>
              </w:rPr>
            </w:pPr>
            <w:r>
              <w:rPr>
                <w:rFonts w:hint="default" w:ascii="Times New Roman" w:hAnsi="Times New Roman" w:eastAsia="宋体" w:cs="Times New Roman"/>
                <w:color w:val="auto"/>
                <w:kern w:val="0"/>
                <w:sz w:val="24"/>
                <w:szCs w:val="21"/>
                <w:highlight w:val="none"/>
                <w:lang w:bidi="ar"/>
              </w:rPr>
              <w:t>禁止在韩江干流和一级、二级支流两岸最高水位线水平外延五百米范围内新建废弃物堆放场和处理场。</w:t>
            </w:r>
          </w:p>
          <w:p>
            <w:pPr>
              <w:autoSpaceDE w:val="0"/>
              <w:autoSpaceDN w:val="0"/>
              <w:adjustRightInd w:val="0"/>
              <w:spacing w:line="360" w:lineRule="auto"/>
              <w:ind w:firstLine="480" w:firstLineChars="200"/>
              <w:textAlignment w:val="baseline"/>
              <w:rPr>
                <w:rFonts w:hint="default" w:ascii="Times New Roman" w:hAnsi="Times New Roman" w:eastAsia="宋体" w:cs="Times New Roman"/>
                <w:color w:val="auto"/>
                <w:kern w:val="0"/>
                <w:sz w:val="24"/>
                <w:szCs w:val="21"/>
                <w:highlight w:val="none"/>
                <w:lang w:bidi="ar"/>
              </w:rPr>
            </w:pPr>
            <w:r>
              <w:rPr>
                <w:rFonts w:hint="default" w:ascii="Times New Roman" w:hAnsi="Times New Roman" w:eastAsia="宋体" w:cs="Times New Roman"/>
                <w:color w:val="auto"/>
                <w:kern w:val="0"/>
                <w:sz w:val="24"/>
                <w:szCs w:val="21"/>
                <w:highlight w:val="none"/>
                <w:lang w:bidi="ar"/>
              </w:rPr>
              <w:t>已有的堆放场和处理场应当采取有效的防治污染措施，危及水体水质安全的，由县级以上人民政府责令限期搬迁。</w:t>
            </w:r>
          </w:p>
          <w:p>
            <w:pPr>
              <w:autoSpaceDE w:val="0"/>
              <w:autoSpaceDN w:val="0"/>
              <w:adjustRightInd w:val="0"/>
              <w:spacing w:line="360" w:lineRule="auto"/>
              <w:ind w:firstLine="480" w:firstLineChars="200"/>
              <w:textAlignment w:val="baseline"/>
              <w:rPr>
                <w:rFonts w:hint="default" w:ascii="Times New Roman" w:hAnsi="Times New Roman" w:eastAsia="宋体" w:cs="Times New Roman"/>
                <w:color w:val="auto"/>
                <w:kern w:val="0"/>
                <w:sz w:val="24"/>
                <w:szCs w:val="21"/>
                <w:highlight w:val="none"/>
                <w:lang w:bidi="ar"/>
              </w:rPr>
            </w:pPr>
            <w:r>
              <w:rPr>
                <w:rFonts w:hint="default" w:ascii="Times New Roman" w:hAnsi="Times New Roman" w:eastAsia="宋体" w:cs="Times New Roman"/>
                <w:color w:val="auto"/>
                <w:kern w:val="0"/>
                <w:sz w:val="24"/>
                <w:szCs w:val="21"/>
                <w:highlight w:val="none"/>
                <w:lang w:bidi="ar"/>
              </w:rPr>
              <w:t>第五十条新建、改建、的项目应当符合国家产业政策规定。</w:t>
            </w:r>
          </w:p>
          <w:p>
            <w:pPr>
              <w:autoSpaceDE w:val="0"/>
              <w:autoSpaceDN w:val="0"/>
              <w:adjustRightInd w:val="0"/>
              <w:spacing w:line="360" w:lineRule="auto"/>
              <w:ind w:firstLine="480" w:firstLineChars="200"/>
              <w:textAlignment w:val="baseline"/>
              <w:rPr>
                <w:rFonts w:hint="default" w:ascii="Times New Roman" w:hAnsi="Times New Roman" w:eastAsia="宋体" w:cs="Times New Roman"/>
                <w:color w:val="auto"/>
                <w:kern w:val="0"/>
                <w:sz w:val="24"/>
                <w:szCs w:val="21"/>
                <w:highlight w:val="none"/>
                <w:lang w:bidi="ar"/>
              </w:rPr>
            </w:pPr>
            <w:r>
              <w:rPr>
                <w:rFonts w:hint="default" w:ascii="Times New Roman" w:hAnsi="Times New Roman" w:eastAsia="宋体" w:cs="Times New Roman"/>
                <w:color w:val="auto"/>
                <w:kern w:val="0"/>
                <w:sz w:val="24"/>
                <w:szCs w:val="21"/>
                <w:highlight w:val="none"/>
                <w:lang w:bidi="ar"/>
              </w:rPr>
              <w:t>在东江流域内，除国家产业政策规定的禁止项目外，还禁止新建农药、铬盐、钛白粉生产项目，禁止新建稀土分离、炼砒、炼铍、纸浆制造、氰化法提炼产品、开采和冶炼放射性矿产及其他严重污染水环境的项目；严格控制新建造纸、制革、味精、电镀、漂染、印染、炼油、发酵酿造、非放射性矿产冶炼以及使用含汞、砷、镉、铬、铅为原料的项目。禁止在东江水系岸边和水上拆船。</w:t>
            </w:r>
          </w:p>
          <w:p>
            <w:pPr>
              <w:autoSpaceDE w:val="0"/>
              <w:autoSpaceDN w:val="0"/>
              <w:adjustRightInd w:val="0"/>
              <w:snapToGrid w:val="0"/>
              <w:spacing w:line="360" w:lineRule="auto"/>
              <w:ind w:firstLine="480" w:firstLineChars="200"/>
              <w:rPr>
                <w:rFonts w:hint="default" w:ascii="Times New Roman" w:hAnsi="Times New Roman" w:eastAsia="宋体" w:cs="Times New Roman"/>
                <w:color w:val="auto"/>
                <w:kern w:val="0"/>
                <w:sz w:val="24"/>
                <w:szCs w:val="21"/>
                <w:highlight w:val="none"/>
              </w:rPr>
            </w:pPr>
            <w:r>
              <w:rPr>
                <w:rFonts w:hint="default" w:ascii="Times New Roman" w:hAnsi="Times New Roman" w:eastAsia="宋体" w:cs="Times New Roman"/>
                <w:color w:val="auto"/>
                <w:kern w:val="0"/>
                <w:sz w:val="24"/>
                <w:szCs w:val="21"/>
                <w:highlight w:val="none"/>
              </w:rPr>
              <w:t>北江流域实行重金属污染物排放总量控制，严格控制新建涉重金属排放的项目，新建、改建、的项目严格实行重金属等特征污染物排放减量置换。</w:t>
            </w:r>
          </w:p>
          <w:p>
            <w:pPr>
              <w:spacing w:line="360" w:lineRule="auto"/>
              <w:ind w:firstLine="482" w:firstLineChars="200"/>
              <w:rPr>
                <w:rFonts w:hint="default" w:ascii="Times New Roman" w:hAnsi="Times New Roman" w:eastAsia="宋体" w:cs="Times New Roman"/>
                <w:b/>
                <w:bCs/>
                <w:color w:val="auto"/>
                <w:kern w:val="0"/>
                <w:sz w:val="24"/>
                <w:szCs w:val="21"/>
                <w:highlight w:val="none"/>
              </w:rPr>
            </w:pPr>
            <w:r>
              <w:rPr>
                <w:rFonts w:hint="default" w:ascii="Times New Roman" w:hAnsi="Times New Roman" w:eastAsia="宋体" w:cs="Times New Roman"/>
                <w:b/>
                <w:bCs/>
                <w:color w:val="auto"/>
                <w:kern w:val="0"/>
                <w:sz w:val="24"/>
                <w:szCs w:val="21"/>
                <w:highlight w:val="none"/>
              </w:rPr>
              <w:t>相符性分析：</w:t>
            </w:r>
            <w:r>
              <w:rPr>
                <w:rFonts w:hint="eastAsia" w:ascii="Times New Roman" w:hAnsi="Times New Roman" w:eastAsia="宋体" w:cs="Times New Roman"/>
                <w:color w:val="auto"/>
                <w:kern w:val="0"/>
                <w:sz w:val="24"/>
                <w:szCs w:val="21"/>
                <w:highlight w:val="none"/>
                <w:lang w:eastAsia="zh-CN"/>
              </w:rPr>
              <w:t>本项目</w:t>
            </w:r>
            <w:r>
              <w:rPr>
                <w:rFonts w:hint="eastAsia" w:ascii="Times New Roman" w:hAnsi="Times New Roman" w:eastAsia="宋体" w:cs="Times New Roman"/>
                <w:color w:val="auto"/>
                <w:kern w:val="0"/>
                <w:sz w:val="24"/>
                <w:szCs w:val="21"/>
                <w:highlight w:val="none"/>
                <w:lang w:val="en-US" w:eastAsia="zh-CN"/>
              </w:rPr>
              <w:t>无生产废水产生、排放</w:t>
            </w:r>
            <w:r>
              <w:rPr>
                <w:rFonts w:hint="default" w:ascii="Times New Roman" w:hAnsi="Times New Roman" w:eastAsia="宋体" w:cs="Times New Roman"/>
                <w:color w:val="auto"/>
                <w:kern w:val="0"/>
                <w:sz w:val="24"/>
                <w:szCs w:val="21"/>
                <w:highlight w:val="none"/>
              </w:rPr>
              <w:t>；</w:t>
            </w:r>
            <w:r>
              <w:rPr>
                <w:rFonts w:hint="eastAsia" w:ascii="Times New Roman" w:hAnsi="Times New Roman" w:eastAsia="宋体" w:cs="Times New Roman"/>
                <w:color w:val="auto"/>
                <w:sz w:val="24"/>
                <w:szCs w:val="32"/>
                <w:highlight w:val="none"/>
                <w:lang w:eastAsia="zh-CN"/>
              </w:rPr>
              <w:t>本项目</w:t>
            </w:r>
            <w:r>
              <w:rPr>
                <w:rFonts w:hint="default" w:ascii="Times New Roman" w:hAnsi="Times New Roman" w:eastAsia="宋体" w:cs="Times New Roman"/>
                <w:color w:val="auto"/>
                <w:sz w:val="24"/>
                <w:szCs w:val="32"/>
                <w:highlight w:val="none"/>
              </w:rPr>
              <w:t>外排废水主要为员工生活污水，经三级化粪池预处理</w:t>
            </w:r>
            <w:r>
              <w:rPr>
                <w:rFonts w:hint="default" w:ascii="Times New Roman" w:hAnsi="Times New Roman" w:eastAsia="宋体" w:cs="Times New Roman"/>
                <w:color w:val="auto"/>
                <w:kern w:val="0"/>
                <w:sz w:val="24"/>
                <w:szCs w:val="21"/>
                <w:highlight w:val="none"/>
                <w:lang w:val="en-US" w:eastAsia="zh-CN"/>
              </w:rPr>
              <w:t>达到《广东省水污染排放限值》（DB44/26-2001）第二时段三级标准通过市政污水管网排入</w:t>
            </w:r>
            <w:r>
              <w:rPr>
                <w:rFonts w:hint="eastAsia" w:ascii="Times New Roman" w:hAnsi="Times New Roman" w:eastAsia="宋体" w:cs="Times New Roman"/>
                <w:color w:val="auto"/>
                <w:kern w:val="0"/>
                <w:sz w:val="24"/>
                <w:szCs w:val="21"/>
                <w:highlight w:val="none"/>
                <w:lang w:val="en-US" w:eastAsia="zh-CN"/>
              </w:rPr>
              <w:t>博罗县龙溪镇污水处理厂进行深度处理</w:t>
            </w:r>
            <w:r>
              <w:rPr>
                <w:rFonts w:hint="default" w:ascii="Times New Roman" w:hAnsi="Times New Roman" w:eastAsia="宋体" w:cs="Times New Roman"/>
                <w:color w:val="auto"/>
                <w:sz w:val="24"/>
                <w:szCs w:val="32"/>
                <w:highlight w:val="none"/>
              </w:rPr>
              <w:t>。</w:t>
            </w:r>
            <w:r>
              <w:rPr>
                <w:rFonts w:hint="eastAsia" w:ascii="Times New Roman" w:hAnsi="Times New Roman" w:eastAsia="宋体" w:cs="Times New Roman"/>
                <w:color w:val="auto"/>
                <w:sz w:val="24"/>
                <w:szCs w:val="21"/>
                <w:highlight w:val="none"/>
                <w:lang w:eastAsia="zh-CN"/>
              </w:rPr>
              <w:t>本项目</w:t>
            </w:r>
            <w:r>
              <w:rPr>
                <w:rFonts w:hint="default" w:ascii="Times New Roman" w:hAnsi="Times New Roman" w:eastAsia="宋体" w:cs="Times New Roman"/>
                <w:color w:val="auto"/>
                <w:sz w:val="24"/>
                <w:szCs w:val="21"/>
                <w:highlight w:val="none"/>
              </w:rPr>
              <w:t>符合《广东省水污染防治条例》（广东省第十三届人民代表大会常务委员会公告（第73号）</w:t>
            </w:r>
            <w:r>
              <w:rPr>
                <w:rFonts w:hint="default" w:ascii="Times New Roman" w:hAnsi="Times New Roman" w:eastAsia="宋体" w:cs="Times New Roman"/>
                <w:bCs/>
                <w:color w:val="auto"/>
                <w:sz w:val="24"/>
                <w:highlight w:val="none"/>
              </w:rPr>
              <w:t>相关政策要求。</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rPr>
            </w:pPr>
            <w:r>
              <w:rPr>
                <w:rFonts w:hint="eastAsia" w:ascii="Times New Roman" w:hAnsi="Times New Roman" w:eastAsia="宋体" w:cs="Times New Roman"/>
                <w:b/>
                <w:bCs/>
                <w:color w:val="auto"/>
                <w:kern w:val="0"/>
                <w:sz w:val="24"/>
                <w:szCs w:val="21"/>
                <w:highlight w:val="none"/>
                <w:lang w:val="en-US" w:eastAsia="zh-CN"/>
              </w:rPr>
              <w:t>8</w:t>
            </w:r>
            <w:r>
              <w:rPr>
                <w:rFonts w:hint="default" w:ascii="Times New Roman" w:hAnsi="Times New Roman" w:eastAsia="宋体" w:cs="Times New Roman"/>
                <w:b/>
                <w:bCs/>
                <w:color w:val="auto"/>
                <w:kern w:val="0"/>
                <w:sz w:val="24"/>
                <w:szCs w:val="21"/>
                <w:highlight w:val="none"/>
              </w:rPr>
              <w:t>、《关于印发&lt;重点行业挥发性有机物综合治理方案）&gt;的通知》（环大气[2019]53号）的相符性分析</w:t>
            </w:r>
          </w:p>
          <w:p>
            <w:pPr>
              <w:widowControl/>
              <w:adjustRightInd w:val="0"/>
              <w:snapToGrid w:val="0"/>
              <w:spacing w:line="360" w:lineRule="auto"/>
              <w:ind w:firstLine="480" w:firstLineChars="200"/>
              <w:rPr>
                <w:rFonts w:hint="default" w:ascii="Times New Roman" w:hAnsi="Times New Roman" w:eastAsia="宋体" w:cs="Times New Roman"/>
                <w:color w:val="auto"/>
                <w:kern w:val="44"/>
                <w:sz w:val="24"/>
                <w:szCs w:val="44"/>
                <w:highlight w:val="none"/>
              </w:rPr>
            </w:pPr>
            <w:r>
              <w:rPr>
                <w:rFonts w:hint="default" w:ascii="Times New Roman" w:hAnsi="Times New Roman" w:eastAsia="宋体" w:cs="Times New Roman"/>
                <w:color w:val="auto"/>
                <w:kern w:val="44"/>
                <w:sz w:val="24"/>
                <w:szCs w:val="44"/>
                <w:highlight w:val="none"/>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pPr>
              <w:widowControl/>
              <w:adjustRightInd w:val="0"/>
              <w:snapToGrid w:val="0"/>
              <w:spacing w:line="360" w:lineRule="auto"/>
              <w:ind w:firstLine="480" w:firstLineChars="200"/>
              <w:rPr>
                <w:rFonts w:hint="default" w:ascii="Times New Roman" w:hAnsi="Times New Roman" w:eastAsia="宋体" w:cs="Times New Roman"/>
                <w:color w:val="auto"/>
                <w:kern w:val="44"/>
                <w:sz w:val="24"/>
                <w:szCs w:val="44"/>
                <w:highlight w:val="none"/>
              </w:rPr>
            </w:pPr>
            <w:r>
              <w:rPr>
                <w:rFonts w:hint="default" w:ascii="Times New Roman" w:hAnsi="Times New Roman" w:eastAsia="宋体" w:cs="Times New Roman"/>
                <w:color w:val="auto"/>
                <w:kern w:val="44"/>
                <w:sz w:val="24"/>
                <w:szCs w:val="44"/>
                <w:highlight w:val="none"/>
              </w:rPr>
              <w:t>全面</w:t>
            </w:r>
            <w:r>
              <w:rPr>
                <w:rFonts w:hint="default" w:ascii="Times New Roman" w:hAnsi="Times New Roman" w:eastAsia="宋体" w:cs="Times New Roman"/>
                <w:color w:val="auto"/>
                <w:kern w:val="44"/>
                <w:sz w:val="24"/>
                <w:szCs w:val="44"/>
                <w:highlight w:val="none"/>
                <w:lang w:val="en-US" w:eastAsia="zh-CN"/>
              </w:rPr>
              <w:t>加强</w:t>
            </w:r>
            <w:r>
              <w:rPr>
                <w:rFonts w:hint="default" w:ascii="Times New Roman" w:hAnsi="Times New Roman" w:eastAsia="宋体" w:cs="Times New Roman"/>
                <w:color w:val="auto"/>
                <w:kern w:val="44"/>
                <w:sz w:val="24"/>
                <w:szCs w:val="44"/>
                <w:highlight w:val="none"/>
              </w:rPr>
              <w:t>无组织排放控制。重点对含VOCs物料（包括含VOCs原辅材料、含VOCs产品、含VOCs废料以及有机聚合物材料等）储存、转移和输送、设备与管线组件泄露、敞开液体逸散以及工艺过程等五类排放源实施管控，通过采取设备与场所密闭、工艺改进、废气有效收集等措施，削减VOCs无组织排放。</w:t>
            </w:r>
          </w:p>
          <w:p>
            <w:pPr>
              <w:widowControl/>
              <w:adjustRightInd w:val="0"/>
              <w:snapToGrid w:val="0"/>
              <w:spacing w:line="360" w:lineRule="auto"/>
              <w:ind w:firstLine="480" w:firstLineChars="200"/>
              <w:rPr>
                <w:rFonts w:hint="default" w:ascii="Times New Roman" w:hAnsi="Times New Roman" w:eastAsia="宋体" w:cs="Times New Roman"/>
                <w:color w:val="auto"/>
                <w:kern w:val="44"/>
                <w:sz w:val="24"/>
                <w:szCs w:val="44"/>
                <w:highlight w:val="none"/>
              </w:rPr>
            </w:pPr>
            <w:r>
              <w:rPr>
                <w:rFonts w:hint="default" w:ascii="Times New Roman" w:hAnsi="Times New Roman" w:eastAsia="宋体" w:cs="Times New Roman"/>
                <w:color w:val="auto"/>
                <w:kern w:val="44"/>
                <w:sz w:val="24"/>
                <w:szCs w:val="44"/>
                <w:highlight w:val="none"/>
              </w:rPr>
              <w:t>加强设备与场所密闭管理。含VOCs物料应储存于密闭容器、包装袋，高效密封储罐，封闭式储库、料仓等。含VOCs物料转移和输送，应采用密闭管道或密闭容器、罐车等。</w:t>
            </w:r>
          </w:p>
          <w:p>
            <w:pPr>
              <w:widowControl/>
              <w:adjustRightInd w:val="0"/>
              <w:snapToGrid w:val="0"/>
              <w:spacing w:line="360" w:lineRule="auto"/>
              <w:ind w:firstLine="480" w:firstLineChars="200"/>
              <w:rPr>
                <w:rFonts w:hint="default" w:ascii="Times New Roman" w:hAnsi="Times New Roman" w:eastAsia="宋体" w:cs="Times New Roman"/>
                <w:color w:val="auto"/>
                <w:kern w:val="44"/>
                <w:sz w:val="24"/>
                <w:szCs w:val="44"/>
                <w:highlight w:val="none"/>
              </w:rPr>
            </w:pPr>
            <w:r>
              <w:rPr>
                <w:rFonts w:hint="default" w:ascii="Times New Roman" w:hAnsi="Times New Roman" w:eastAsia="宋体" w:cs="Times New Roman"/>
                <w:color w:val="auto"/>
                <w:kern w:val="44"/>
                <w:sz w:val="24"/>
                <w:szCs w:val="44"/>
                <w:highlight w:val="none"/>
              </w:rPr>
              <w:t>推进使用先进生产工艺通过采用全密闭、连续化、自动化等生产技术，以及高效工艺与设备等，减少工艺过程无组织排放。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kern w:val="44"/>
                <w:sz w:val="24"/>
                <w:szCs w:val="44"/>
                <w:highlight w:val="none"/>
              </w:rPr>
            </w:pPr>
            <w:r>
              <w:rPr>
                <w:rFonts w:hint="default" w:ascii="Times New Roman" w:hAnsi="Times New Roman" w:eastAsia="宋体" w:cs="Times New Roman"/>
                <w:color w:val="auto"/>
                <w:kern w:val="44"/>
                <w:sz w:val="24"/>
                <w:szCs w:val="44"/>
                <w:highlight w:val="none"/>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推进建设适宜高效的治污设施。企业新建治污设施或对现有治污设施实施改造，应依据排放废气的浓度、组分、风量、温度、湿度、压力，以及生产工况等，合理选择治理技术。鼓励企业采用多种技术的组合工艺，提高VOCs治理效率。</w:t>
            </w:r>
          </w:p>
          <w:p>
            <w:pPr>
              <w:pStyle w:val="11"/>
              <w:keepNext w:val="0"/>
              <w:keepLines w:val="0"/>
              <w:pageBreakBefore w:val="0"/>
              <w:widowControl/>
              <w:kinsoku/>
              <w:wordWrap/>
              <w:overflowPunct/>
              <w:topLinePunct w:val="0"/>
              <w:autoSpaceDE/>
              <w:autoSpaceDN/>
              <w:bidi w:val="0"/>
              <w:spacing w:before="0" w:after="0" w:line="360" w:lineRule="auto"/>
              <w:ind w:firstLine="482" w:firstLineChars="200"/>
              <w:textAlignment w:val="auto"/>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相符性分析</w:t>
            </w:r>
            <w:r>
              <w:rPr>
                <w:rFonts w:hint="default" w:ascii="Times New Roman" w:hAnsi="Times New Roman" w:eastAsia="宋体" w:cs="Times New Roman"/>
                <w:b/>
                <w:bCs/>
                <w:color w:val="auto"/>
                <w:kern w:val="0"/>
                <w:sz w:val="24"/>
                <w:highlight w:val="none"/>
                <w:lang w:val="en-US" w:eastAsia="zh-CN"/>
              </w:rPr>
              <w:t>:</w:t>
            </w:r>
            <w:r>
              <w:rPr>
                <w:rFonts w:hint="eastAsia" w:ascii="Times New Roman" w:hAnsi="Times New Roman" w:cs="Times New Roman"/>
                <w:color w:val="auto"/>
                <w:sz w:val="24"/>
                <w:highlight w:val="none"/>
                <w:lang w:val="en-US" w:eastAsia="zh-CN"/>
              </w:rPr>
              <w:t>项目注塑废气产生的非甲烷总烃以及破碎工序产生的颗粒物经收集处理后</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排放</w:t>
            </w:r>
            <w:r>
              <w:rPr>
                <w:rFonts w:hint="eastAsia" w:ascii="Times New Roman" w:hAnsi="Times New Roman" w:cs="Times New Roman"/>
                <w:color w:val="auto"/>
                <w:sz w:val="24"/>
                <w:highlight w:val="none"/>
                <w:lang w:val="en-US" w:eastAsia="zh-CN"/>
              </w:rPr>
              <w:t>均</w:t>
            </w:r>
            <w:r>
              <w:rPr>
                <w:rFonts w:hint="default" w:ascii="Times New Roman" w:hAnsi="Times New Roman" w:eastAsia="宋体" w:cs="Times New Roman"/>
                <w:color w:val="auto"/>
                <w:sz w:val="24"/>
                <w:highlight w:val="none"/>
              </w:rPr>
              <w:t>满足</w:t>
            </w:r>
            <w:r>
              <w:rPr>
                <w:rFonts w:hint="default" w:ascii="Times New Roman" w:hAnsi="Times New Roman" w:eastAsia="宋体" w:cs="Times New Roman"/>
                <w:color w:val="auto"/>
                <w:sz w:val="24"/>
                <w:highlight w:val="none"/>
                <w:lang w:eastAsia="zh-CN"/>
              </w:rPr>
              <w:t>《合成树脂工业污染物排放标准》（GB31572-2015）</w:t>
            </w:r>
            <w:r>
              <w:rPr>
                <w:rFonts w:hint="default" w:ascii="Times New Roman" w:hAnsi="Times New Roman" w:eastAsia="宋体" w:cs="Times New Roman"/>
                <w:color w:val="auto"/>
                <w:sz w:val="24"/>
                <w:highlight w:val="none"/>
              </w:rPr>
              <w:t>表5大气污染物特别排放限值及表9企业边界大气污染物浓度限值</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厂区内VOCs无组织排放</w:t>
            </w:r>
            <w:r>
              <w:rPr>
                <w:rFonts w:hint="eastAsia" w:ascii="Times New Roman" w:hAnsi="Times New Roman" w:cs="Times New Roman"/>
                <w:color w:val="auto"/>
                <w:sz w:val="24"/>
                <w:highlight w:val="none"/>
                <w:lang w:eastAsia="zh-CN"/>
              </w:rPr>
              <w:t>满足</w:t>
            </w:r>
            <w:r>
              <w:rPr>
                <w:rFonts w:hint="default" w:ascii="Times New Roman" w:hAnsi="Times New Roman" w:eastAsia="宋体" w:cs="Times New Roman"/>
                <w:color w:val="auto"/>
                <w:sz w:val="24"/>
                <w:szCs w:val="24"/>
                <w:highlight w:val="none"/>
                <w:lang w:eastAsia="zh-CN"/>
              </w:rPr>
              <w:t>广东省《固定污染源挥发性有机物综合排放标准》（</w:t>
            </w:r>
            <w:r>
              <w:rPr>
                <w:rFonts w:hint="default" w:ascii="Times New Roman" w:hAnsi="Times New Roman" w:eastAsia="宋体" w:cs="Times New Roman"/>
                <w:color w:val="auto"/>
                <w:sz w:val="24"/>
                <w:szCs w:val="24"/>
                <w:highlight w:val="none"/>
                <w:lang w:val="en-US" w:eastAsia="zh-CN"/>
              </w:rPr>
              <w:t>DB44/2367-2022</w:t>
            </w:r>
            <w:r>
              <w:rPr>
                <w:rFonts w:hint="default" w:ascii="Times New Roman" w:hAnsi="Times New Roman" w:eastAsia="宋体" w:cs="Times New Roman"/>
                <w:color w:val="auto"/>
                <w:sz w:val="24"/>
                <w:szCs w:val="24"/>
                <w:highlight w:val="none"/>
                <w:lang w:eastAsia="zh-CN"/>
              </w:rPr>
              <w:t>）中表</w:t>
            </w:r>
            <w:r>
              <w:rPr>
                <w:rFonts w:hint="default" w:ascii="Times New Roman" w:hAnsi="Times New Roman" w:eastAsia="宋体" w:cs="Times New Roman"/>
                <w:color w:val="auto"/>
                <w:sz w:val="24"/>
                <w:szCs w:val="24"/>
                <w:highlight w:val="none"/>
                <w:lang w:val="en-US" w:eastAsia="zh-CN"/>
              </w:rPr>
              <w:t>3厂区内VOCs无组织排放限值</w:t>
            </w:r>
            <w:r>
              <w:rPr>
                <w:rFonts w:hint="default" w:ascii="Times New Roman" w:hAnsi="Times New Roman" w:eastAsia="宋体" w:cs="Times New Roman"/>
                <w:color w:val="auto"/>
                <w:kern w:val="2"/>
                <w:sz w:val="24"/>
                <w:szCs w:val="24"/>
                <w:highlight w:val="none"/>
                <w:lang w:val="en-US" w:eastAsia="zh-CN" w:bidi="ar-SA"/>
              </w:rPr>
              <w:t>要求。</w:t>
            </w:r>
            <w:r>
              <w:rPr>
                <w:rFonts w:hint="default" w:ascii="Times New Roman" w:hAnsi="Times New Roman" w:eastAsia="宋体" w:cs="Times New Roman"/>
                <w:color w:val="auto"/>
                <w:sz w:val="24"/>
                <w:highlight w:val="none"/>
              </w:rPr>
              <w:t>符合文件要求。</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rPr>
            </w:pPr>
            <w:r>
              <w:rPr>
                <w:rFonts w:hint="default" w:ascii="Times New Roman" w:hAnsi="Times New Roman" w:eastAsia="宋体" w:cs="Times New Roman"/>
                <w:b/>
                <w:bCs/>
                <w:color w:val="auto"/>
                <w:kern w:val="0"/>
                <w:sz w:val="24"/>
                <w:szCs w:val="21"/>
                <w:highlight w:val="none"/>
              </w:rPr>
              <w:t>1</w:t>
            </w:r>
            <w:r>
              <w:rPr>
                <w:rFonts w:hint="default" w:ascii="Times New Roman" w:hAnsi="Times New Roman" w:eastAsia="宋体" w:cs="Times New Roman"/>
                <w:b/>
                <w:bCs/>
                <w:color w:val="auto"/>
                <w:kern w:val="0"/>
                <w:sz w:val="24"/>
                <w:szCs w:val="21"/>
                <w:highlight w:val="none"/>
                <w:lang w:val="en-US" w:eastAsia="zh-CN"/>
              </w:rPr>
              <w:t>1</w:t>
            </w:r>
            <w:r>
              <w:rPr>
                <w:rFonts w:hint="default" w:ascii="Times New Roman" w:hAnsi="Times New Roman" w:eastAsia="宋体" w:cs="Times New Roman"/>
                <w:b/>
                <w:bCs/>
                <w:color w:val="auto"/>
                <w:kern w:val="0"/>
                <w:sz w:val="24"/>
                <w:szCs w:val="21"/>
                <w:highlight w:val="none"/>
              </w:rPr>
              <w:t>、与《广东省大气污染防治条例》相符性分析</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根据《广东省大气污染防治条例》：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eastAsia" w:ascii="Times New Roman" w:hAnsi="Times New Roman" w:eastAsia="宋体" w:cs="Times New Roman"/>
                <w:color w:val="auto"/>
                <w:kern w:val="2"/>
                <w:sz w:val="24"/>
                <w:szCs w:val="21"/>
                <w:highlight w:val="none"/>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第十三条新建、改建、新增排放重点大气污染物的建设项目，建设单位应当在报批环境影响评价文件前按照规定向生态环境主管部门申请取得重点大气污染物排放总量控制指标。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生态环境主管部门按照等量或者减量替代的原则核定重点大气污染物排放总量控制指标。新增重点大气污染物排放总量控制指标可以通过实施工程治理减排、结构调整减排项目或者排污权交易等方式取得。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第十七条珠江三角洲区域禁止新建、燃煤燃油火电机组或者企业燃煤燃油自备电站。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珠江三角洲区域禁止新建、国家规划外的钢铁、原油加工、乙烯生产、造纸、水泥、平板玻璃、除特种陶瓷以外的陶瓷、有色金属冶炼等大气重污染项目。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eastAsia="宋体" w:cs="Times New Roman"/>
                <w:b/>
                <w:bCs/>
                <w:color w:val="auto"/>
                <w:kern w:val="0"/>
                <w:sz w:val="24"/>
                <w:szCs w:val="21"/>
                <w:highlight w:val="none"/>
              </w:rPr>
              <w:t>相符性分析：</w:t>
            </w:r>
            <w:r>
              <w:rPr>
                <w:rFonts w:hint="eastAsia" w:ascii="Times New Roman" w:hAnsi="Times New Roman" w:eastAsia="宋体" w:cs="Times New Roman"/>
                <w:color w:val="auto"/>
                <w:kern w:val="2"/>
                <w:sz w:val="24"/>
                <w:szCs w:val="21"/>
                <w:highlight w:val="none"/>
                <w:lang w:val="en-US" w:eastAsia="zh-CN" w:bidi="ar-SA"/>
              </w:rPr>
              <w:t>本项目</w:t>
            </w:r>
            <w:r>
              <w:rPr>
                <w:rFonts w:hint="default" w:ascii="Times New Roman" w:hAnsi="Times New Roman" w:eastAsia="宋体" w:cs="Times New Roman"/>
                <w:color w:val="auto"/>
                <w:kern w:val="2"/>
                <w:sz w:val="24"/>
                <w:szCs w:val="21"/>
                <w:highlight w:val="none"/>
                <w:lang w:val="en-US" w:eastAsia="zh-CN" w:bidi="ar-SA"/>
              </w:rPr>
              <w:t>属于《国民经济行业分类》（GB/T4754-2017）及第1号修改单中</w:t>
            </w:r>
            <w:r>
              <w:rPr>
                <w:rFonts w:hint="eastAsia" w:ascii="Times New Roman" w:hAnsi="Times New Roman" w:eastAsia="宋体" w:cs="Times New Roman"/>
                <w:color w:val="auto"/>
                <w:sz w:val="24"/>
                <w:highlight w:val="none"/>
                <w:lang w:val="en-US" w:eastAsia="zh-CN"/>
              </w:rPr>
              <w:t>C2929塑料零件及其他塑料制品制造</w:t>
            </w:r>
            <w:r>
              <w:rPr>
                <w:rFonts w:hint="default" w:ascii="Times New Roman" w:hAnsi="Times New Roman" w:eastAsia="宋体" w:cs="Times New Roman"/>
                <w:color w:val="auto"/>
                <w:kern w:val="2"/>
                <w:sz w:val="24"/>
                <w:szCs w:val="21"/>
                <w:highlight w:val="none"/>
                <w:lang w:val="en-US" w:eastAsia="zh-CN" w:bidi="ar-SA"/>
              </w:rPr>
              <w:t>，不属于上述禁止行业，不属于大气重污染项目，</w:t>
            </w:r>
            <w:r>
              <w:rPr>
                <w:rFonts w:hint="eastAsia" w:ascii="Times New Roman" w:hAnsi="Times New Roman" w:eastAsia="宋体" w:cs="Times New Roman"/>
                <w:color w:val="auto"/>
                <w:kern w:val="2"/>
                <w:sz w:val="24"/>
                <w:szCs w:val="21"/>
                <w:highlight w:val="none"/>
                <w:lang w:val="en-US" w:eastAsia="zh-CN" w:bidi="ar-SA"/>
              </w:rPr>
              <w:t>本项目</w:t>
            </w:r>
            <w:r>
              <w:rPr>
                <w:rFonts w:hint="default" w:ascii="Times New Roman" w:hAnsi="Times New Roman" w:eastAsia="宋体" w:cs="Times New Roman"/>
                <w:color w:val="auto"/>
                <w:kern w:val="2"/>
                <w:sz w:val="24"/>
                <w:szCs w:val="21"/>
                <w:highlight w:val="none"/>
                <w:lang w:val="en-US" w:eastAsia="zh-CN" w:bidi="ar-SA"/>
              </w:rPr>
              <w:t>运营期排放重点大气污染物（挥发性有机物），挥发性有机物总量按减量替代原则核定。项目不设锅炉，设备均使用电能。因此，</w:t>
            </w:r>
            <w:r>
              <w:rPr>
                <w:rFonts w:hint="eastAsia" w:ascii="Times New Roman" w:hAnsi="Times New Roman" w:eastAsia="宋体" w:cs="Times New Roman"/>
                <w:color w:val="auto"/>
                <w:kern w:val="2"/>
                <w:sz w:val="24"/>
                <w:szCs w:val="21"/>
                <w:highlight w:val="none"/>
                <w:lang w:val="en-US" w:eastAsia="zh-CN" w:bidi="ar-SA"/>
              </w:rPr>
              <w:t>本项目</w:t>
            </w:r>
            <w:r>
              <w:rPr>
                <w:rFonts w:hint="default" w:ascii="Times New Roman" w:hAnsi="Times New Roman" w:eastAsia="宋体" w:cs="Times New Roman"/>
                <w:color w:val="auto"/>
                <w:kern w:val="2"/>
                <w:sz w:val="24"/>
                <w:szCs w:val="21"/>
                <w:highlight w:val="none"/>
                <w:lang w:val="en-US" w:eastAsia="zh-CN" w:bidi="ar-SA"/>
              </w:rPr>
              <w:t>符合《广东省大气污染防治条例》的相关规定。</w:t>
            </w:r>
          </w:p>
          <w:p>
            <w:pPr>
              <w:pStyle w:val="12"/>
              <w:spacing w:line="360" w:lineRule="auto"/>
              <w:ind w:left="0" w:leftChars="0" w:firstLine="482" w:firstLineChars="200"/>
              <w:rPr>
                <w:rFonts w:hint="default" w:ascii="Times New Roman" w:hAnsi="Times New Roman" w:eastAsia="宋体" w:cs="Times New Roman"/>
                <w:color w:val="auto"/>
                <w:kern w:val="44"/>
                <w:sz w:val="24"/>
                <w:szCs w:val="44"/>
                <w:highlight w:val="none"/>
              </w:rPr>
            </w:pPr>
            <w:r>
              <w:rPr>
                <w:rFonts w:hint="default" w:ascii="Times New Roman" w:hAnsi="Times New Roman" w:eastAsia="宋体" w:cs="Times New Roman"/>
                <w:b/>
                <w:bCs/>
                <w:color w:val="auto"/>
                <w:kern w:val="0"/>
                <w:sz w:val="24"/>
                <w:szCs w:val="21"/>
                <w:highlight w:val="none"/>
              </w:rPr>
              <w:t>1</w:t>
            </w:r>
            <w:r>
              <w:rPr>
                <w:rFonts w:hint="default" w:ascii="Times New Roman" w:hAnsi="Times New Roman" w:eastAsia="宋体" w:cs="Times New Roman"/>
                <w:b/>
                <w:bCs/>
                <w:color w:val="auto"/>
                <w:kern w:val="0"/>
                <w:sz w:val="24"/>
                <w:szCs w:val="21"/>
                <w:highlight w:val="none"/>
                <w:lang w:val="en-US" w:eastAsia="zh-CN"/>
              </w:rPr>
              <w:t>5</w:t>
            </w:r>
            <w:r>
              <w:rPr>
                <w:rFonts w:hint="default" w:ascii="Times New Roman" w:hAnsi="Times New Roman" w:eastAsia="宋体" w:cs="Times New Roman"/>
                <w:b/>
                <w:bCs/>
                <w:color w:val="auto"/>
                <w:kern w:val="0"/>
                <w:sz w:val="24"/>
                <w:szCs w:val="21"/>
                <w:highlight w:val="none"/>
              </w:rPr>
              <w:t>、与《广东省涉挥发性有机物（VOCs）重点行业治理指引》（粤环办〔2021〕43号）</w:t>
            </w:r>
          </w:p>
          <w:p>
            <w:pPr>
              <w:widowControl/>
              <w:adjustRightInd w:val="0"/>
              <w:snapToGrid w:val="0"/>
              <w:spacing w:line="360" w:lineRule="auto"/>
              <w:ind w:firstLine="480" w:firstLineChars="200"/>
              <w:rPr>
                <w:rFonts w:hint="default" w:ascii="Times New Roman" w:hAnsi="Times New Roman" w:eastAsia="宋体" w:cs="Times New Roman"/>
                <w:color w:val="auto"/>
                <w:kern w:val="44"/>
                <w:sz w:val="24"/>
                <w:szCs w:val="44"/>
                <w:highlight w:val="none"/>
              </w:rPr>
            </w:pPr>
            <w:r>
              <w:rPr>
                <w:rFonts w:hint="eastAsia" w:ascii="Times New Roman" w:hAnsi="Times New Roman" w:eastAsia="宋体" w:cs="Times New Roman"/>
                <w:color w:val="auto"/>
                <w:kern w:val="44"/>
                <w:sz w:val="24"/>
                <w:szCs w:val="44"/>
                <w:highlight w:val="none"/>
                <w:lang w:eastAsia="zh-CN"/>
              </w:rPr>
              <w:t>本项目</w:t>
            </w:r>
            <w:r>
              <w:rPr>
                <w:rFonts w:hint="default" w:ascii="Times New Roman" w:hAnsi="Times New Roman" w:eastAsia="宋体" w:cs="Times New Roman"/>
                <w:color w:val="auto"/>
                <w:kern w:val="44"/>
                <w:sz w:val="24"/>
                <w:szCs w:val="44"/>
                <w:highlight w:val="none"/>
              </w:rPr>
              <w:t>主要</w:t>
            </w:r>
            <w:r>
              <w:rPr>
                <w:rFonts w:hint="eastAsia" w:ascii="Times New Roman" w:hAnsi="Times New Roman" w:eastAsia="宋体" w:cs="Times New Roman"/>
                <w:color w:val="auto"/>
                <w:kern w:val="44"/>
                <w:sz w:val="24"/>
                <w:szCs w:val="44"/>
                <w:highlight w:val="none"/>
                <w:lang w:eastAsia="zh-CN"/>
              </w:rPr>
              <w:t>从事塑料制品的生产</w:t>
            </w:r>
            <w:r>
              <w:rPr>
                <w:rFonts w:hint="default" w:ascii="Times New Roman" w:hAnsi="Times New Roman" w:eastAsia="宋体" w:cs="Times New Roman"/>
                <w:color w:val="auto"/>
                <w:kern w:val="44"/>
                <w:sz w:val="24"/>
                <w:szCs w:val="44"/>
                <w:highlight w:val="none"/>
              </w:rPr>
              <w:t>，属于</w:t>
            </w:r>
            <w:r>
              <w:rPr>
                <w:rFonts w:hint="default" w:ascii="Times New Roman" w:hAnsi="Times New Roman" w:eastAsia="宋体" w:cs="Times New Roman"/>
                <w:color w:val="auto"/>
                <w:kern w:val="44"/>
                <w:sz w:val="24"/>
                <w:szCs w:val="44"/>
                <w:highlight w:val="none"/>
                <w:lang w:val="en-US" w:eastAsia="zh-CN"/>
              </w:rPr>
              <w:t>《国民经济行业分类》(GB／T4754-2017)（按第1号修改单修订）中的</w:t>
            </w:r>
            <w:r>
              <w:rPr>
                <w:rFonts w:hint="eastAsia" w:ascii="Times New Roman" w:hAnsi="Times New Roman" w:eastAsia="宋体" w:cs="Times New Roman"/>
                <w:color w:val="auto"/>
                <w:kern w:val="44"/>
                <w:sz w:val="24"/>
                <w:szCs w:val="44"/>
                <w:highlight w:val="none"/>
                <w:lang w:val="en-US" w:eastAsia="zh-CN"/>
              </w:rPr>
              <w:t>C2929塑料零件及其他塑料制品制造</w:t>
            </w:r>
            <w:r>
              <w:rPr>
                <w:rFonts w:hint="default" w:ascii="Times New Roman" w:hAnsi="Times New Roman" w:eastAsia="宋体" w:cs="Times New Roman"/>
                <w:color w:val="auto"/>
                <w:kern w:val="44"/>
                <w:sz w:val="24"/>
                <w:szCs w:val="44"/>
                <w:highlight w:val="none"/>
              </w:rPr>
              <w:t>。属于该文件第</w:t>
            </w:r>
            <w:r>
              <w:rPr>
                <w:rFonts w:hint="default" w:ascii="Times New Roman" w:hAnsi="Times New Roman" w:eastAsia="宋体" w:cs="Times New Roman"/>
                <w:color w:val="auto"/>
                <w:kern w:val="44"/>
                <w:sz w:val="24"/>
                <w:szCs w:val="44"/>
                <w:highlight w:val="none"/>
                <w:lang w:val="en-US" w:eastAsia="zh-CN"/>
              </w:rPr>
              <w:t>六</w:t>
            </w:r>
            <w:r>
              <w:rPr>
                <w:rFonts w:hint="default" w:ascii="Times New Roman" w:hAnsi="Times New Roman" w:eastAsia="宋体" w:cs="Times New Roman"/>
                <w:color w:val="auto"/>
                <w:kern w:val="44"/>
                <w:sz w:val="24"/>
                <w:szCs w:val="44"/>
                <w:highlight w:val="none"/>
              </w:rPr>
              <w:t>小节</w:t>
            </w:r>
            <w:r>
              <w:rPr>
                <w:rFonts w:hint="default" w:ascii="Times New Roman" w:hAnsi="Times New Roman" w:eastAsia="宋体" w:cs="Times New Roman"/>
                <w:color w:val="auto"/>
                <w:kern w:val="44"/>
                <w:sz w:val="24"/>
                <w:szCs w:val="44"/>
                <w:highlight w:val="none"/>
                <w:lang w:val="en-US" w:eastAsia="zh-CN"/>
              </w:rPr>
              <w:t>橡胶和塑料制品业VOCs治理指引</w:t>
            </w:r>
            <w:r>
              <w:rPr>
                <w:rFonts w:hint="default" w:ascii="Times New Roman" w:hAnsi="Times New Roman" w:eastAsia="宋体" w:cs="Times New Roman"/>
                <w:color w:val="auto"/>
                <w:kern w:val="44"/>
                <w:sz w:val="24"/>
                <w:szCs w:val="44"/>
                <w:highlight w:val="none"/>
              </w:rPr>
              <w:t>。根据《广东省涉挥发性有机物（VOCs）重点行业治理指引》（粤环办〔2021〕43号），</w:t>
            </w:r>
            <w:r>
              <w:rPr>
                <w:rFonts w:hint="eastAsia" w:ascii="Times New Roman" w:hAnsi="Times New Roman" w:eastAsia="宋体" w:cs="Times New Roman"/>
                <w:color w:val="auto"/>
                <w:kern w:val="44"/>
                <w:sz w:val="24"/>
                <w:szCs w:val="44"/>
                <w:highlight w:val="none"/>
                <w:lang w:eastAsia="zh-CN"/>
              </w:rPr>
              <w:t>本项目</w:t>
            </w:r>
            <w:r>
              <w:rPr>
                <w:rFonts w:hint="default" w:ascii="Times New Roman" w:hAnsi="Times New Roman" w:eastAsia="宋体" w:cs="Times New Roman"/>
                <w:color w:val="auto"/>
                <w:kern w:val="44"/>
                <w:sz w:val="24"/>
                <w:szCs w:val="44"/>
                <w:highlight w:val="none"/>
              </w:rPr>
              <w:t>VOCs无组织排放控制要求见下表：</w:t>
            </w:r>
          </w:p>
          <w:p>
            <w:pPr>
              <w:widowControl/>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表1-</w:t>
            </w:r>
            <w:r>
              <w:rPr>
                <w:rFonts w:hint="eastAsia"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《广东省涉挥发性有机物（VOCs）重点行业治理指引》对照分析情况</w:t>
            </w:r>
          </w:p>
          <w:tbl>
            <w:tblPr>
              <w:tblStyle w:val="24"/>
              <w:tblW w:w="7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2"/>
              <w:gridCol w:w="3264"/>
              <w:gridCol w:w="3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2712" w:type="pct"/>
                  <w:gridSpan w:val="2"/>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（粤环办〔2021〕43号）要求</w:t>
                  </w:r>
                </w:p>
              </w:tc>
              <w:tc>
                <w:tcPr>
                  <w:tcW w:w="2287" w:type="pct"/>
                  <w:noWrap w:val="0"/>
                  <w:vAlign w:val="center"/>
                </w:tcPr>
                <w:p>
                  <w:pPr>
                    <w:jc w:val="center"/>
                    <w:rPr>
                      <w:rFonts w:hint="default"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lang w:eastAsia="zh-CN"/>
                    </w:rPr>
                    <w:t>本项目</w:t>
                  </w:r>
                  <w:r>
                    <w:rPr>
                      <w:rFonts w:hint="default" w:ascii="Times New Roman" w:hAnsi="Times New Roman" w:eastAsia="宋体" w:cs="Times New Roman"/>
                      <w:b/>
                      <w:bCs/>
                      <w:color w:val="auto"/>
                      <w:highlight w:val="none"/>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000" w:type="pct"/>
                  <w:gridSpan w:val="3"/>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highlight w:val="none"/>
                      <w:lang w:val="en-US" w:eastAsia="zh-CN"/>
                    </w:rPr>
                    <w:t>过程控制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2" w:type="pct"/>
                  <w:vMerge w:val="restart"/>
                  <w:noWrap w:val="0"/>
                  <w:vAlign w:val="center"/>
                </w:tcPr>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VOCs物料储存</w:t>
                  </w:r>
                </w:p>
              </w:tc>
              <w:tc>
                <w:tcPr>
                  <w:tcW w:w="2119" w:type="pct"/>
                  <w:noWrap w:val="0"/>
                  <w:vAlign w:val="center"/>
                </w:tcPr>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VOCs物料应存储与密闭的容器、包装袋、储罐、储库、料仓中</w:t>
                  </w:r>
                </w:p>
              </w:tc>
              <w:tc>
                <w:tcPr>
                  <w:tcW w:w="2287"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本项目使用的</w:t>
                  </w:r>
                  <w:r>
                    <w:rPr>
                      <w:rFonts w:hint="eastAsia" w:cs="Times New Roman"/>
                      <w:color w:val="auto"/>
                      <w:highlight w:val="none"/>
                      <w:lang w:eastAsia="zh-CN"/>
                    </w:rPr>
                    <w:t>塑料粒</w:t>
                  </w:r>
                  <w:r>
                    <w:rPr>
                      <w:rFonts w:hint="default" w:ascii="Times New Roman" w:hAnsi="Times New Roman" w:eastAsia="宋体" w:cs="Times New Roman"/>
                      <w:color w:val="auto"/>
                      <w:highlight w:val="none"/>
                      <w:lang w:eastAsia="zh-CN"/>
                    </w:rPr>
                    <w:t>，储存于密封包装</w:t>
                  </w:r>
                  <w:r>
                    <w:rPr>
                      <w:rFonts w:hint="eastAsia" w:cs="Times New Roman"/>
                      <w:color w:val="auto"/>
                      <w:highlight w:val="none"/>
                      <w:lang w:eastAsia="zh-CN"/>
                    </w:rPr>
                    <w:t>袋</w:t>
                  </w:r>
                  <w:r>
                    <w:rPr>
                      <w:rFonts w:hint="default" w:ascii="Times New Roman" w:hAnsi="Times New Roman" w:eastAsia="宋体" w:cs="Times New Roman"/>
                      <w:color w:val="auto"/>
                      <w:highlight w:val="none"/>
                      <w:lang w:eastAsia="zh-CN"/>
                    </w:rPr>
                    <w:t>内</w:t>
                  </w:r>
                  <w:r>
                    <w:rPr>
                      <w:rFonts w:hint="eastAsia" w:cs="Times New Roman"/>
                      <w:color w:val="auto"/>
                      <w:highlight w:val="none"/>
                      <w:lang w:eastAsia="zh-CN"/>
                    </w:rPr>
                    <w:t>，助焊剂存于密封桶中</w:t>
                  </w:r>
                  <w:r>
                    <w:rPr>
                      <w:rFonts w:hint="default" w:ascii="Times New Roman" w:hAnsi="Times New Roman" w:eastAsia="宋体" w:cs="Times New Roman"/>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592" w:type="pct"/>
                  <w:vMerge w:val="continue"/>
                  <w:noWrap w:val="0"/>
                  <w:vAlign w:val="center"/>
                </w:tcPr>
                <w:p>
                  <w:pPr>
                    <w:rPr>
                      <w:rFonts w:hint="default" w:ascii="Times New Roman" w:hAnsi="Times New Roman" w:eastAsia="宋体" w:cs="Times New Roman"/>
                      <w:color w:val="auto"/>
                      <w:highlight w:val="none"/>
                    </w:rPr>
                  </w:pPr>
                </w:p>
              </w:tc>
              <w:tc>
                <w:tcPr>
                  <w:tcW w:w="2119"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盛装VOCs物料的容器是否存放于室内，或存放于设置有雨棚、遮阳和防渗设施的专用场地。盛装VOCs物料的容器在非取用状态时应加盖、封口，保持密闭。</w:t>
                  </w:r>
                </w:p>
              </w:tc>
              <w:tc>
                <w:tcPr>
                  <w:tcW w:w="2287"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盛装</w:t>
                  </w:r>
                  <w:r>
                    <w:rPr>
                      <w:rFonts w:hint="eastAsia" w:cs="Times New Roman"/>
                      <w:color w:val="auto"/>
                      <w:highlight w:val="none"/>
                      <w:lang w:eastAsia="zh-CN"/>
                    </w:rPr>
                    <w:t>塑料粒</w:t>
                  </w:r>
                  <w:r>
                    <w:rPr>
                      <w:rFonts w:hint="eastAsia" w:ascii="Times New Roman" w:hAnsi="Times New Roman" w:eastAsia="宋体" w:cs="Times New Roman"/>
                      <w:color w:val="auto"/>
                      <w:highlight w:val="none"/>
                      <w:lang w:eastAsia="zh-CN"/>
                    </w:rPr>
                    <w:t>的</w:t>
                  </w:r>
                  <w:r>
                    <w:rPr>
                      <w:rFonts w:hint="default" w:ascii="Times New Roman" w:hAnsi="Times New Roman" w:eastAsia="宋体" w:cs="Times New Roman"/>
                      <w:color w:val="auto"/>
                      <w:highlight w:val="none"/>
                      <w:lang w:eastAsia="zh-CN"/>
                    </w:rPr>
                    <w:t>包装</w:t>
                  </w:r>
                  <w:r>
                    <w:rPr>
                      <w:rFonts w:hint="eastAsia" w:cs="Times New Roman"/>
                      <w:color w:val="auto"/>
                      <w:highlight w:val="none"/>
                      <w:lang w:eastAsia="zh-CN"/>
                    </w:rPr>
                    <w:t>袋及盛装助焊剂的包装桶</w:t>
                  </w:r>
                  <w:r>
                    <w:rPr>
                      <w:rFonts w:hint="default" w:ascii="Times New Roman" w:hAnsi="Times New Roman" w:eastAsia="宋体" w:cs="Times New Roman"/>
                      <w:color w:val="auto"/>
                      <w:highlight w:val="none"/>
                      <w:lang w:eastAsia="zh-CN"/>
                    </w:rPr>
                    <w:t>储存于仓库内，且在非取用状态时封口密闭。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6" w:hRule="atLeast"/>
                <w:jc w:val="center"/>
              </w:trPr>
              <w:tc>
                <w:tcPr>
                  <w:tcW w:w="592" w:type="pct"/>
                  <w:vMerge w:val="restart"/>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VOCs物料转移和输送</w:t>
                  </w:r>
                </w:p>
              </w:tc>
              <w:tc>
                <w:tcPr>
                  <w:tcW w:w="2119"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液体VOCs物料应采用管道密闭输送。采用非管道输送方式转移液态VOCs物料时，应采用密闭容器或罐车。</w:t>
                  </w:r>
                </w:p>
              </w:tc>
              <w:tc>
                <w:tcPr>
                  <w:tcW w:w="2287" w:type="pct"/>
                  <w:noWrap w:val="0"/>
                  <w:vAlign w:val="center"/>
                </w:tcPr>
                <w:p>
                  <w:pP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项目没有使用</w:t>
                  </w:r>
                  <w:r>
                    <w:rPr>
                      <w:rFonts w:hint="default" w:ascii="Times New Roman" w:hAnsi="Times New Roman" w:eastAsia="宋体" w:cs="Times New Roman"/>
                      <w:color w:val="auto"/>
                      <w:highlight w:val="none"/>
                    </w:rPr>
                    <w:t>液体VOCs物料。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9" w:hRule="atLeast"/>
                <w:jc w:val="center"/>
              </w:trPr>
              <w:tc>
                <w:tcPr>
                  <w:tcW w:w="592" w:type="pct"/>
                  <w:vMerge w:val="continue"/>
                  <w:noWrap w:val="0"/>
                  <w:vAlign w:val="center"/>
                </w:tcPr>
                <w:p>
                  <w:pPr>
                    <w:rPr>
                      <w:rFonts w:hint="default" w:ascii="Times New Roman" w:hAnsi="Times New Roman" w:eastAsia="宋体" w:cs="Times New Roman"/>
                      <w:color w:val="auto"/>
                      <w:highlight w:val="none"/>
                    </w:rPr>
                  </w:pPr>
                </w:p>
              </w:tc>
              <w:tc>
                <w:tcPr>
                  <w:tcW w:w="2119"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粉状、粒状VOCs物料采用气力输送设备、管状带式输送机、螺旋输送机等密闭输送方式，或者采用密闭的包装袋、容器或罐车进行物料转移。</w:t>
                  </w:r>
                </w:p>
              </w:tc>
              <w:tc>
                <w:tcPr>
                  <w:tcW w:w="2287" w:type="pct"/>
                  <w:noWrap w:val="0"/>
                  <w:vAlign w:val="center"/>
                </w:tcPr>
                <w:p>
                  <w:pP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项目使用的塑胶粒采用密闭的包装袋进行物料转移</w:t>
                  </w:r>
                  <w:r>
                    <w:rPr>
                      <w:rFonts w:hint="default" w:ascii="Times New Roman" w:hAnsi="Times New Roman" w:eastAsia="宋体" w:cs="Times New Roman"/>
                      <w:color w:val="auto"/>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592" w:type="pct"/>
                  <w:vMerge w:val="restar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工艺过程</w:t>
                  </w:r>
                </w:p>
              </w:tc>
              <w:tc>
                <w:tcPr>
                  <w:tcW w:w="2119"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液态VOCs物料采用密闭管道输送方式或采用高位槽（罐）、桶泵等给料方式密闭投加；无法密闭投加的，在密闭空间内操作，或进行局部气体收集，废气排至VOCs废气收集处理系统。</w:t>
                  </w:r>
                </w:p>
              </w:tc>
              <w:tc>
                <w:tcPr>
                  <w:tcW w:w="2287" w:type="pct"/>
                  <w:noWrap w:val="0"/>
                  <w:vAlign w:val="center"/>
                </w:tcPr>
                <w:p>
                  <w:pPr>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eastAsia="zh-CN"/>
                    </w:rPr>
                    <w:t>本项目</w:t>
                  </w:r>
                  <w:r>
                    <w:rPr>
                      <w:rFonts w:hint="eastAsia" w:ascii="Times New Roman" w:hAnsi="Times New Roman" w:eastAsia="宋体" w:cs="Times New Roman"/>
                      <w:color w:val="auto"/>
                      <w:highlight w:val="none"/>
                      <w:lang w:val="en-US" w:eastAsia="zh-CN"/>
                    </w:rPr>
                    <w:t>生产中产生的非甲烷总烃收集后经“二级活性炭吸附设施”处理后高空排放。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592" w:type="pct"/>
                  <w:vMerge w:val="continue"/>
                  <w:noWrap w:val="0"/>
                  <w:vAlign w:val="center"/>
                </w:tcPr>
                <w:p>
                  <w:pPr>
                    <w:rPr>
                      <w:rFonts w:hint="default" w:ascii="Times New Roman" w:hAnsi="Times New Roman" w:eastAsia="宋体" w:cs="Times New Roman"/>
                      <w:color w:val="auto"/>
                      <w:highlight w:val="none"/>
                    </w:rPr>
                  </w:pPr>
                </w:p>
              </w:tc>
              <w:tc>
                <w:tcPr>
                  <w:tcW w:w="2119"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粉状、粒状VOCs物料采用气力输送方式或采用密闭固体投料器等给料方式密闭投加；无法密闭投加的，在密闭空间内操作，或进行局部气体收集，废气排至除尘设施、VOCs废气收集处理系统。</w:t>
                  </w:r>
                </w:p>
              </w:tc>
              <w:tc>
                <w:tcPr>
                  <w:tcW w:w="2287" w:type="pct"/>
                  <w:noWrap w:val="0"/>
                  <w:vAlign w:val="center"/>
                </w:tcPr>
                <w:p>
                  <w:pPr>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项目使用的塑胶粒采用密闭的包装袋进行物料转移</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有机废气经“二级活性炭吸附设施”处理后高空排放。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592" w:type="pct"/>
                  <w:vMerge w:val="continue"/>
                  <w:noWrap w:val="0"/>
                  <w:vAlign w:val="center"/>
                </w:tcPr>
                <w:p>
                  <w:pPr>
                    <w:rPr>
                      <w:rFonts w:hint="default" w:ascii="Times New Roman" w:hAnsi="Times New Roman" w:eastAsia="宋体" w:cs="Times New Roman"/>
                      <w:color w:val="auto"/>
                      <w:highlight w:val="none"/>
                    </w:rPr>
                  </w:pPr>
                </w:p>
              </w:tc>
              <w:tc>
                <w:tcPr>
                  <w:tcW w:w="2119"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在混合/混炼、塑炼/塑化/熔化、加工成型（挤出、注射、压制、压延、发泡、纺丝等）、硫化等作业中应采用密闭设备或在密闭空间中操作，废气应排至VOCs废气收集处理系统；无法密闭的，应采取局部气体收集措施，废气应排至VOCs废气收集处理系统。</w:t>
                  </w:r>
                </w:p>
              </w:tc>
              <w:tc>
                <w:tcPr>
                  <w:tcW w:w="2287"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本项目</w:t>
                  </w:r>
                  <w:r>
                    <w:rPr>
                      <w:rFonts w:hint="eastAsia" w:cs="Times New Roman"/>
                      <w:color w:val="auto"/>
                      <w:highlight w:val="none"/>
                      <w:lang w:val="en-US" w:eastAsia="zh-CN"/>
                    </w:rPr>
                    <w:t>有机废气</w:t>
                  </w:r>
                  <w:r>
                    <w:rPr>
                      <w:rFonts w:hint="default" w:ascii="Times New Roman" w:hAnsi="Times New Roman" w:eastAsia="宋体" w:cs="Times New Roman"/>
                      <w:color w:val="auto"/>
                      <w:highlight w:val="none"/>
                      <w:lang w:val="en-US" w:eastAsia="zh-CN"/>
                    </w:rPr>
                    <w:t>经</w:t>
                  </w:r>
                  <w:r>
                    <w:rPr>
                      <w:rFonts w:hint="eastAsia" w:ascii="Times New Roman" w:hAnsi="Times New Roman" w:cs="Times New Roman"/>
                      <w:color w:val="auto"/>
                      <w:highlight w:val="none"/>
                      <w:lang w:val="en-US" w:eastAsia="zh-CN"/>
                    </w:rPr>
                    <w:t>集气罩局部收集后使用</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二级</w:t>
                  </w:r>
                  <w:r>
                    <w:rPr>
                      <w:rFonts w:hint="default" w:ascii="Times New Roman" w:hAnsi="Times New Roman" w:eastAsia="宋体" w:cs="Times New Roman"/>
                      <w:color w:val="auto"/>
                      <w:highlight w:val="none"/>
                      <w:lang w:val="en-US" w:eastAsia="zh-CN"/>
                    </w:rPr>
                    <w:t>活性炭吸附装置</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处理后</w:t>
                  </w:r>
                  <w:r>
                    <w:rPr>
                      <w:rFonts w:hint="eastAsia" w:ascii="Times New Roman" w:hAnsi="Times New Roman" w:eastAsia="宋体" w:cs="Times New Roman"/>
                      <w:color w:val="auto"/>
                      <w:highlight w:val="none"/>
                      <w:lang w:val="en-US" w:eastAsia="zh-CN"/>
                    </w:rPr>
                    <w:t>高空</w:t>
                  </w:r>
                  <w:r>
                    <w:rPr>
                      <w:rFonts w:hint="default" w:ascii="Times New Roman" w:hAnsi="Times New Roman" w:eastAsia="宋体" w:cs="Times New Roman"/>
                      <w:color w:val="auto"/>
                      <w:highlight w:val="none"/>
                      <w:lang w:val="en-US" w:eastAsia="zh-CN"/>
                    </w:rPr>
                    <w:t>排放</w:t>
                  </w:r>
                  <w:r>
                    <w:rPr>
                      <w:rFonts w:hint="eastAsia" w:ascii="Times New Roman" w:hAnsi="Times New Roman" w:eastAsia="宋体" w:cs="Times New Roman"/>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592" w:type="pct"/>
                  <w:vMerge w:val="continue"/>
                  <w:noWrap w:val="0"/>
                  <w:vAlign w:val="center"/>
                </w:tcPr>
                <w:p>
                  <w:pPr>
                    <w:rPr>
                      <w:rFonts w:hint="default" w:ascii="Times New Roman" w:hAnsi="Times New Roman" w:eastAsia="宋体" w:cs="Times New Roman"/>
                      <w:color w:val="auto"/>
                      <w:highlight w:val="none"/>
                    </w:rPr>
                  </w:pPr>
                </w:p>
              </w:tc>
              <w:tc>
                <w:tcPr>
                  <w:tcW w:w="2119"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浸胶、胶浆喷涂、涂胶、喷漆、印刷、清洗等工序使用VOCs质量占比大于等于10%的原辅材料时，其使用过程应采用密闭设备或在密闭空间内操作，废气应排至VOCs废气收集处理系统；无法密闭的，应采取局部气体收集措施，废气应排至VOCs废气收集处理系统。</w:t>
                  </w:r>
                </w:p>
              </w:tc>
              <w:tc>
                <w:tcPr>
                  <w:tcW w:w="2287" w:type="pct"/>
                  <w:noWrap w:val="0"/>
                  <w:vAlign w:val="center"/>
                </w:tcPr>
                <w:p>
                  <w:pPr>
                    <w:jc w:val="center"/>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本项目</w:t>
                  </w:r>
                  <w:r>
                    <w:rPr>
                      <w:rFonts w:hint="default" w:ascii="Times New Roman" w:hAnsi="Times New Roman" w:eastAsia="宋体" w:cs="Times New Roman"/>
                      <w:color w:val="auto"/>
                      <w:highlight w:val="none"/>
                      <w:lang w:eastAsia="zh-CN"/>
                    </w:rPr>
                    <w:t>不涉及浸胶、喷漆等工序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000" w:type="pct"/>
                  <w:gridSpan w:val="3"/>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highlight w:val="none"/>
                      <w:lang w:val="en-US" w:eastAsia="zh-CN"/>
                    </w:rPr>
                    <w:t>末端治理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592" w:type="pct"/>
                  <w:vMerge w:val="restart"/>
                  <w:noWrap w:val="0"/>
                  <w:vAlign w:val="center"/>
                </w:tcPr>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废气收集要求</w:t>
                  </w:r>
                </w:p>
              </w:tc>
              <w:tc>
                <w:tcPr>
                  <w:tcW w:w="2119" w:type="pct"/>
                  <w:noWrap w:val="0"/>
                  <w:vAlign w:val="center"/>
                </w:tcPr>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采用外部集气罩的，距集气罩开口面最远处的VOCs无组织排放位置，控制风速不低0.3m/s。</w:t>
                  </w:r>
                </w:p>
              </w:tc>
              <w:tc>
                <w:tcPr>
                  <w:tcW w:w="2287" w:type="pct"/>
                  <w:noWrap w:val="0"/>
                  <w:vAlign w:val="center"/>
                </w:tcPr>
                <w:p>
                  <w:pP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本项目</w:t>
                  </w:r>
                  <w:r>
                    <w:rPr>
                      <w:rFonts w:hint="default" w:ascii="Times New Roman" w:hAnsi="Times New Roman" w:eastAsia="宋体" w:cs="Times New Roman"/>
                      <w:color w:val="auto"/>
                      <w:highlight w:val="none"/>
                    </w:rPr>
                    <w:t>风速控制在0.</w:t>
                  </w:r>
                  <w:r>
                    <w:rPr>
                      <w:rFonts w:hint="default"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m/s</w:t>
                  </w:r>
                  <w:r>
                    <w:rPr>
                      <w:rFonts w:hint="default" w:ascii="Times New Roman" w:hAnsi="Times New Roman" w:eastAsia="宋体" w:cs="Times New Roman"/>
                      <w:color w:val="auto"/>
                      <w:highlight w:val="none"/>
                      <w:lang w:eastAsia="zh-CN"/>
                    </w:rPr>
                    <w:t>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592" w:type="pct"/>
                  <w:vMerge w:val="continue"/>
                  <w:noWrap w:val="0"/>
                  <w:vAlign w:val="center"/>
                </w:tcPr>
                <w:p>
                  <w:pPr>
                    <w:rPr>
                      <w:rFonts w:hint="default" w:ascii="Times New Roman" w:hAnsi="Times New Roman" w:eastAsia="宋体" w:cs="Times New Roman"/>
                      <w:color w:val="auto"/>
                      <w:highlight w:val="none"/>
                    </w:rPr>
                  </w:pPr>
                </w:p>
              </w:tc>
              <w:tc>
                <w:tcPr>
                  <w:tcW w:w="2119"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废气收集系统的输送管道应密闭。废气收集系统应在负压下运行，若处于正压状态，应对管道组件的密封点进行泄漏检测，泄漏检测值不应超过500μmol/mol，亦不应有感官可察觉泄漏。</w:t>
                  </w:r>
                </w:p>
              </w:tc>
              <w:tc>
                <w:tcPr>
                  <w:tcW w:w="2287" w:type="pct"/>
                  <w:noWrap w:val="0"/>
                  <w:vAlign w:val="center"/>
                </w:tcPr>
                <w:p>
                  <w:pPr>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本项目</w:t>
                  </w:r>
                  <w:r>
                    <w:rPr>
                      <w:rFonts w:hint="default" w:ascii="Times New Roman" w:hAnsi="Times New Roman" w:eastAsia="宋体" w:cs="Times New Roman"/>
                      <w:color w:val="auto"/>
                      <w:highlight w:val="none"/>
                    </w:rPr>
                    <w:t>废气收集系统的输送管道为密闭管道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jc w:val="center"/>
              </w:trPr>
              <w:tc>
                <w:tcPr>
                  <w:tcW w:w="592"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排放水平</w:t>
                  </w:r>
                </w:p>
                <w:p>
                  <w:pPr>
                    <w:rPr>
                      <w:rFonts w:hint="default" w:ascii="Times New Roman" w:hAnsi="Times New Roman" w:eastAsia="宋体" w:cs="Times New Roman"/>
                      <w:color w:val="auto"/>
                      <w:highlight w:val="none"/>
                    </w:rPr>
                  </w:pPr>
                </w:p>
              </w:tc>
              <w:tc>
                <w:tcPr>
                  <w:tcW w:w="2119" w:type="pct"/>
                  <w:noWrap w:val="0"/>
                  <w:vAlign w:val="center"/>
                </w:tcPr>
                <w:p>
                  <w:pP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塑料制品行业：a）有机废气排气筒排放浓度不高于广东省《大气污染物排放限值》（DB44/27-2001）第Ⅱ时段排放限值，合成革和人造革制造企业排放浓度不高于《合成革与人造革工业污染物排放标准》（GB21902-2008）排放限值，若国家和我省出台并实施适用于塑料制品制造业的大气污染物排放标准，则有机废气排气筒排放浓度不高于相应的排放限值；车间或生产设施排气中NMHC初始排放速率≥3kg/h时，建设VOCs处理设施且处理效率≥80%；b）厂区内无组织排放监控点NMHC的小时平均浓度值不超过6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，任意一次浓度值不超过20mg/m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2287" w:type="pct"/>
                  <w:noWrap w:val="0"/>
                  <w:vAlign w:val="center"/>
                </w:tcPr>
                <w:p>
                  <w:pPr>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项目</w:t>
                  </w:r>
                  <w:r>
                    <w:rPr>
                      <w:rFonts w:hint="default" w:ascii="Times New Roman" w:hAnsi="Times New Roman" w:eastAsia="宋体" w:cs="Times New Roman"/>
                      <w:color w:val="auto"/>
                      <w:highlight w:val="none"/>
                    </w:rPr>
                    <w:t>产生的</w:t>
                  </w:r>
                  <w:r>
                    <w:rPr>
                      <w:rFonts w:hint="eastAsia" w:ascii="Times New Roman" w:hAnsi="Times New Roman" w:eastAsia="宋体" w:cs="Times New Roman"/>
                      <w:color w:val="auto"/>
                      <w:highlight w:val="none"/>
                      <w:lang w:val="en-US" w:eastAsia="zh-CN"/>
                    </w:rPr>
                    <w:t>有机废气</w:t>
                  </w:r>
                  <w:r>
                    <w:rPr>
                      <w:rFonts w:hint="default" w:ascii="Times New Roman" w:hAnsi="Times New Roman" w:eastAsia="宋体" w:cs="Times New Roman"/>
                      <w:color w:val="auto"/>
                      <w:highlight w:val="none"/>
                    </w:rPr>
                    <w:t>经收集</w:t>
                  </w:r>
                  <w:r>
                    <w:rPr>
                      <w:rFonts w:hint="eastAsia" w:ascii="Times New Roman" w:hAnsi="Times New Roman" w:eastAsia="宋体" w:cs="Times New Roman"/>
                      <w:color w:val="auto"/>
                      <w:highlight w:val="none"/>
                      <w:lang w:val="en-US" w:eastAsia="zh-CN"/>
                    </w:rPr>
                    <w:t>后处理达标排放</w:t>
                  </w:r>
                  <w:r>
                    <w:rPr>
                      <w:rFonts w:hint="default" w:ascii="Times New Roman" w:hAnsi="Times New Roman" w:eastAsia="宋体" w:cs="Times New Roman"/>
                      <w:color w:val="auto"/>
                      <w:highlight w:val="none"/>
                    </w:rPr>
                    <w:t>。厂区内无组织排放监控点NMHC的小时平均浓度值不超过6mg/m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，任意一次浓度值不超过20mg/m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tc>
            </w:tr>
          </w:tbl>
          <w:p>
            <w:pPr>
              <w:autoSpaceDE w:val="0"/>
              <w:autoSpaceDN w:val="0"/>
              <w:spacing w:line="360" w:lineRule="auto"/>
              <w:ind w:firstLine="480" w:firstLineChars="200"/>
              <w:rPr>
                <w:rFonts w:hint="default" w:ascii="Times New Roman" w:hAnsi="Times New Roman" w:eastAsia="宋体" w:cs="Times New Roman"/>
                <w:color w:val="auto"/>
                <w:sz w:val="24"/>
                <w:szCs w:val="21"/>
                <w:highlight w:val="none"/>
              </w:rPr>
            </w:pPr>
            <w:r>
              <w:rPr>
                <w:rFonts w:hint="default" w:ascii="Times New Roman" w:hAnsi="Times New Roman" w:eastAsia="宋体" w:cs="Times New Roman"/>
                <w:color w:val="auto"/>
                <w:sz w:val="24"/>
                <w:szCs w:val="21"/>
                <w:highlight w:val="none"/>
              </w:rPr>
              <w:t>综上所述，</w:t>
            </w:r>
            <w:r>
              <w:rPr>
                <w:rFonts w:hint="eastAsia" w:ascii="Times New Roman" w:hAnsi="Times New Roman" w:eastAsia="宋体" w:cs="Times New Roman"/>
                <w:color w:val="auto"/>
                <w:sz w:val="24"/>
                <w:szCs w:val="21"/>
                <w:highlight w:val="none"/>
                <w:lang w:eastAsia="zh-CN"/>
              </w:rPr>
              <w:t>本项目</w:t>
            </w:r>
            <w:r>
              <w:rPr>
                <w:rFonts w:hint="default" w:ascii="Times New Roman" w:hAnsi="Times New Roman" w:eastAsia="宋体" w:cs="Times New Roman"/>
                <w:color w:val="auto"/>
                <w:sz w:val="24"/>
                <w:szCs w:val="21"/>
                <w:highlight w:val="none"/>
              </w:rPr>
              <w:t>与《广东省涉挥发性有机物（VOCs）重点行业治理指引》是相符的。</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rPr>
            </w:pPr>
            <w:r>
              <w:rPr>
                <w:rFonts w:hint="default" w:ascii="Times New Roman" w:hAnsi="Times New Roman" w:eastAsia="宋体" w:cs="Times New Roman"/>
                <w:b/>
                <w:bCs/>
                <w:color w:val="auto"/>
                <w:kern w:val="0"/>
                <w:sz w:val="24"/>
                <w:szCs w:val="21"/>
                <w:highlight w:val="none"/>
              </w:rPr>
              <w:t>1</w:t>
            </w:r>
            <w:r>
              <w:rPr>
                <w:rFonts w:hint="default" w:ascii="Times New Roman" w:hAnsi="Times New Roman" w:eastAsia="宋体" w:cs="Times New Roman"/>
                <w:b/>
                <w:bCs/>
                <w:color w:val="auto"/>
                <w:kern w:val="0"/>
                <w:sz w:val="24"/>
                <w:szCs w:val="21"/>
                <w:highlight w:val="none"/>
                <w:lang w:val="en-US" w:eastAsia="zh-CN"/>
              </w:rPr>
              <w:t>4</w:t>
            </w:r>
            <w:r>
              <w:rPr>
                <w:rFonts w:hint="default" w:ascii="Times New Roman" w:hAnsi="Times New Roman" w:eastAsia="宋体" w:cs="Times New Roman"/>
                <w:b/>
                <w:bCs/>
                <w:color w:val="auto"/>
                <w:kern w:val="0"/>
                <w:sz w:val="24"/>
                <w:szCs w:val="21"/>
                <w:highlight w:val="none"/>
              </w:rPr>
              <w:t>、与《关于印发《惠州市2021年大气污染防治工作方案》的通知》（惠市环〔2021〕14号）的相符性分析</w:t>
            </w:r>
          </w:p>
          <w:p>
            <w:pPr>
              <w:pStyle w:val="35"/>
              <w:adjustRightInd w:val="0"/>
              <w:snapToGrid w:val="0"/>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b w:val="0"/>
                <w:bCs/>
                <w:color w:val="auto"/>
                <w:highlight w:val="none"/>
              </w:rPr>
              <w:t>持续推进挥发性有机物（VOCs）综合治理；实施低VOCs含量产品源头替代工程，严格落实国家产品VOCs含量限值标准要求，除现阶段确无法实施替代的工序外，禁止新建生产和使用高VOCs原辅材料项目。鼓励在生产和流通环节推广使用低VOCs含量原辅材料。落实国家、省低VOCs含量原辅材料企业相关的正面清单和政府绿色采购清单。督促企业开展含VOCs物料（包含VOCs原辅材料、含VOCs产品、含VOCs废料以及有机聚合物材料等）储存、转移和输送、设备与管线组建泄漏、敞开液面溢散以及工艺过程等无组织排放环节排查。指导企业采用一次性活性炭吸附治理技术的企业，明确活性炭装载量和更换频次，记录更换时间和使用量。</w:t>
            </w:r>
          </w:p>
          <w:p>
            <w:pPr>
              <w:pStyle w:val="9"/>
              <w:spacing w:line="360" w:lineRule="auto"/>
              <w:ind w:left="0"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相符性分析：</w:t>
            </w:r>
            <w:r>
              <w:rPr>
                <w:rFonts w:hint="eastAsia" w:ascii="Times New Roman" w:hAnsi="Times New Roman" w:eastAsia="宋体" w:cs="Times New Roman"/>
                <w:b w:val="0"/>
                <w:bCs/>
                <w:color w:val="auto"/>
                <w:kern w:val="44"/>
                <w:sz w:val="24"/>
                <w:szCs w:val="44"/>
                <w:highlight w:val="none"/>
                <w:lang w:val="en-US" w:eastAsia="zh-CN" w:bidi="ar-SA"/>
              </w:rPr>
              <w:t>本项目粉碎</w:t>
            </w:r>
            <w:r>
              <w:rPr>
                <w:rFonts w:hint="default" w:ascii="Times New Roman" w:hAnsi="Times New Roman" w:eastAsia="宋体" w:cs="Times New Roman"/>
                <w:b w:val="0"/>
                <w:bCs/>
                <w:color w:val="auto"/>
                <w:kern w:val="44"/>
                <w:sz w:val="24"/>
                <w:szCs w:val="44"/>
                <w:highlight w:val="none"/>
                <w:lang w:val="en-US" w:eastAsia="zh-CN" w:bidi="ar-SA"/>
              </w:rPr>
              <w:t>过程产生的</w:t>
            </w:r>
            <w:r>
              <w:rPr>
                <w:rFonts w:hint="eastAsia" w:ascii="Times New Roman" w:hAnsi="Times New Roman" w:eastAsia="宋体" w:cs="Times New Roman"/>
                <w:b w:val="0"/>
                <w:bCs/>
                <w:color w:val="auto"/>
                <w:kern w:val="44"/>
                <w:sz w:val="24"/>
                <w:szCs w:val="44"/>
                <w:highlight w:val="none"/>
                <w:lang w:val="en-US" w:eastAsia="zh-CN" w:bidi="ar-SA"/>
              </w:rPr>
              <w:t>颗粒物</w:t>
            </w:r>
            <w:r>
              <w:rPr>
                <w:rFonts w:hint="default" w:ascii="Times New Roman" w:hAnsi="Times New Roman" w:eastAsia="宋体" w:cs="Times New Roman"/>
                <w:b w:val="0"/>
                <w:bCs/>
                <w:color w:val="auto"/>
                <w:kern w:val="44"/>
                <w:sz w:val="24"/>
                <w:szCs w:val="44"/>
                <w:highlight w:val="none"/>
                <w:lang w:val="en-US" w:eastAsia="zh-CN" w:bidi="ar-SA"/>
              </w:rPr>
              <w:t>收集后经布袋除尘装置</w:t>
            </w:r>
            <w:r>
              <w:rPr>
                <w:rFonts w:hint="eastAsia" w:ascii="Times New Roman" w:hAnsi="Times New Roman" w:eastAsia="宋体" w:cs="Times New Roman"/>
                <w:b w:val="0"/>
                <w:bCs/>
                <w:color w:val="auto"/>
                <w:kern w:val="44"/>
                <w:sz w:val="24"/>
                <w:szCs w:val="44"/>
                <w:highlight w:val="none"/>
                <w:lang w:val="en-US" w:eastAsia="zh-CN" w:bidi="ar-SA"/>
              </w:rPr>
              <w:t>处理</w:t>
            </w:r>
            <w:r>
              <w:rPr>
                <w:rFonts w:hint="default" w:ascii="Times New Roman" w:hAnsi="Times New Roman" w:eastAsia="宋体" w:cs="Times New Roman"/>
                <w:b w:val="0"/>
                <w:bCs/>
                <w:color w:val="auto"/>
                <w:kern w:val="44"/>
                <w:sz w:val="24"/>
                <w:szCs w:val="44"/>
                <w:highlight w:val="none"/>
                <w:lang w:val="en-US" w:eastAsia="zh-CN" w:bidi="ar-SA"/>
              </w:rPr>
              <w:t>后于1根15m高排气筒（DA00</w:t>
            </w:r>
            <w:r>
              <w:rPr>
                <w:rFonts w:hint="eastAsia" w:ascii="Times New Roman" w:hAnsi="Times New Roman" w:eastAsia="宋体" w:cs="Times New Roman"/>
                <w:b w:val="0"/>
                <w:bCs/>
                <w:color w:val="auto"/>
                <w:kern w:val="44"/>
                <w:sz w:val="24"/>
                <w:szCs w:val="44"/>
                <w:highlight w:val="none"/>
                <w:lang w:val="en-US" w:eastAsia="zh-CN" w:bidi="ar-SA"/>
              </w:rPr>
              <w:t>2</w:t>
            </w:r>
            <w:r>
              <w:rPr>
                <w:rFonts w:hint="default" w:ascii="Times New Roman" w:hAnsi="Times New Roman" w:eastAsia="宋体" w:cs="Times New Roman"/>
                <w:b w:val="0"/>
                <w:bCs/>
                <w:color w:val="auto"/>
                <w:kern w:val="44"/>
                <w:sz w:val="24"/>
                <w:szCs w:val="44"/>
                <w:highlight w:val="none"/>
                <w:lang w:val="en-US" w:eastAsia="zh-CN" w:bidi="ar-SA"/>
              </w:rPr>
              <w:t>）排放；</w:t>
            </w:r>
            <w:r>
              <w:rPr>
                <w:rFonts w:hint="eastAsia" w:ascii="Times New Roman" w:hAnsi="Times New Roman" w:eastAsia="宋体" w:cs="Times New Roman"/>
                <w:b w:val="0"/>
                <w:bCs/>
                <w:color w:val="auto"/>
                <w:kern w:val="44"/>
                <w:sz w:val="24"/>
                <w:szCs w:val="44"/>
                <w:highlight w:val="none"/>
                <w:lang w:val="en-US" w:eastAsia="zh-CN" w:bidi="ar-SA"/>
              </w:rPr>
              <w:t>注塑废气经集气罩收集后由一套二级活性炭吸附设施处理后于1根15m高排气筒（DA001）排放</w:t>
            </w:r>
            <w:r>
              <w:rPr>
                <w:rFonts w:hint="default" w:ascii="Times New Roman" w:hAnsi="Times New Roman" w:eastAsia="宋体" w:cs="Times New Roman"/>
                <w:b w:val="0"/>
                <w:bCs/>
                <w:color w:val="auto"/>
                <w:kern w:val="44"/>
                <w:sz w:val="24"/>
                <w:szCs w:val="44"/>
                <w:highlight w:val="none"/>
                <w:lang w:val="en-US" w:eastAsia="zh-CN" w:bidi="ar-SA"/>
              </w:rPr>
              <w:t>。符合文件《关于印发《惠州市2021年大气污染防治工作方案》的通知》（惠市环〔2021〕14号）的相关要求。</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auto"/>
                <w:kern w:val="0"/>
                <w:sz w:val="24"/>
                <w:szCs w:val="21"/>
                <w:highlight w:val="none"/>
              </w:rPr>
            </w:pPr>
            <w:r>
              <w:rPr>
                <w:rFonts w:hint="default" w:ascii="Times New Roman" w:hAnsi="Times New Roman" w:eastAsia="宋体" w:cs="Times New Roman"/>
                <w:b/>
                <w:bCs/>
                <w:color w:val="auto"/>
                <w:kern w:val="0"/>
                <w:sz w:val="24"/>
                <w:szCs w:val="21"/>
                <w:highlight w:val="none"/>
              </w:rPr>
              <w:t>1</w:t>
            </w:r>
            <w:r>
              <w:rPr>
                <w:rFonts w:hint="default" w:ascii="Times New Roman" w:hAnsi="Times New Roman" w:eastAsia="宋体" w:cs="Times New Roman"/>
                <w:b/>
                <w:bCs/>
                <w:color w:val="auto"/>
                <w:kern w:val="0"/>
                <w:sz w:val="24"/>
                <w:szCs w:val="21"/>
                <w:highlight w:val="none"/>
                <w:lang w:val="en-US" w:eastAsia="zh-CN"/>
              </w:rPr>
              <w:t>5</w:t>
            </w:r>
            <w:r>
              <w:rPr>
                <w:rFonts w:hint="default" w:ascii="Times New Roman" w:hAnsi="Times New Roman" w:eastAsia="宋体" w:cs="Times New Roman"/>
                <w:b/>
                <w:bCs/>
                <w:color w:val="auto"/>
                <w:kern w:val="0"/>
                <w:sz w:val="24"/>
                <w:szCs w:val="21"/>
                <w:highlight w:val="none"/>
              </w:rPr>
              <w:t>、与《博罗县2021年大气污染防治工作方案》相符性分析</w:t>
            </w:r>
          </w:p>
          <w:p>
            <w:pPr>
              <w:pStyle w:val="2"/>
              <w:widowControl/>
              <w:snapToGrid w:val="0"/>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持续优化产业结构：聚焦减污降碳，大力发展先进制造业，推行产品绿色设计和清洁生产，依法依规加快推动落后产能关停退出，持续推进工业绿色升级。按省部署，开展“散乱污”企业综合整治，分类实施关停取缔、整合搬迁、整改升级等措施，杜绝“散乱污”企业异地转移、死灰复燃。</w:t>
            </w:r>
          </w:p>
          <w:p>
            <w:pPr>
              <w:pStyle w:val="2"/>
              <w:widowControl/>
              <w:snapToGrid w:val="0"/>
              <w:spacing w:line="360" w:lineRule="auto"/>
              <w:ind w:firstLine="480" w:firstLineChars="20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深入调整产业布局：按照省“一核一带一区”区域发展格局，落实“三线一单”生态环境分区管控和主体功能区定位等要求，持续优化产业布局。引导钢铁、石化、燃煤燃油火电等项目在大气受体敏感区、布局敏感区、弱扩散区外布局。</w:t>
            </w:r>
          </w:p>
          <w:p>
            <w:pPr>
              <w:autoSpaceDE w:val="0"/>
              <w:autoSpaceDN w:val="0"/>
              <w:adjustRightInd w:val="0"/>
              <w:snapToGrid w:val="0"/>
              <w:spacing w:line="360" w:lineRule="auto"/>
              <w:ind w:firstLine="480" w:firstLineChars="200"/>
              <w:rPr>
                <w:rFonts w:hint="default" w:ascii="Times New Roman" w:hAnsi="Times New Roman" w:eastAsia="宋体" w:cs="Times New Roman"/>
                <w:b/>
                <w:bCs/>
                <w:color w:val="auto"/>
                <w:kern w:val="0"/>
                <w:sz w:val="24"/>
                <w:szCs w:val="21"/>
                <w:highlight w:val="none"/>
              </w:rPr>
            </w:pPr>
            <w:r>
              <w:rPr>
                <w:rFonts w:hint="default" w:ascii="Times New Roman" w:hAnsi="Times New Roman" w:eastAsia="宋体" w:cs="Times New Roman"/>
                <w:color w:val="auto"/>
                <w:kern w:val="0"/>
                <w:sz w:val="24"/>
                <w:szCs w:val="20"/>
                <w:highlight w:val="none"/>
                <w:lang w:bidi="ar"/>
              </w:rPr>
              <w:t>规范强化扬尘执法：严格实施《惠州市扬尘污染防治条例》，各有关部门加大扬尘执法力度，并将处罚结果及时反馈至行业主管部门和属地政府，加强扬尘执法相关信息公开，曝光违法行为。各行业主管部门定期通报本行业施工工地扬尘管控措施落实情况，定期更新工作台账。对问题严重的项目责任单位，采取通报、约谈、评优限制、招标限制、降级资质等措施，督促整改到位。</w:t>
            </w:r>
          </w:p>
          <w:p>
            <w:pPr>
              <w:pStyle w:val="9"/>
              <w:spacing w:line="360" w:lineRule="auto"/>
              <w:ind w:left="0" w:firstLine="482" w:firstLineChars="200"/>
              <w:rPr>
                <w:rFonts w:hint="default" w:ascii="Times New Roman" w:hAnsi="Times New Roman" w:eastAsia="宋体" w:cs="Times New Roman"/>
                <w:b/>
                <w:bCs/>
                <w:color w:val="auto"/>
                <w:kern w:val="0"/>
                <w:sz w:val="24"/>
                <w:szCs w:val="21"/>
                <w:highlight w:val="none"/>
                <w:lang w:val="en-US" w:eastAsia="zh-CN"/>
              </w:rPr>
            </w:pPr>
            <w:r>
              <w:rPr>
                <w:rFonts w:hint="default" w:ascii="Times New Roman" w:hAnsi="Times New Roman" w:eastAsia="宋体" w:cs="Times New Roman"/>
                <w:b/>
                <w:bCs/>
                <w:color w:val="auto"/>
                <w:kern w:val="0"/>
                <w:sz w:val="24"/>
                <w:highlight w:val="none"/>
              </w:rPr>
              <w:t>相符性分析：</w:t>
            </w:r>
            <w:r>
              <w:rPr>
                <w:rFonts w:hint="eastAsia" w:ascii="Times New Roman" w:hAnsi="Times New Roman" w:eastAsia="宋体" w:cs="Times New Roman"/>
                <w:color w:val="auto"/>
                <w:sz w:val="24"/>
                <w:szCs w:val="24"/>
                <w:highlight w:val="none"/>
                <w:lang w:eastAsia="zh-CN"/>
              </w:rPr>
              <w:t>本项目从事塑料制品的生产</w:t>
            </w:r>
            <w:r>
              <w:rPr>
                <w:rFonts w:hint="default" w:ascii="Times New Roman" w:hAnsi="Times New Roman" w:eastAsia="宋体" w:cs="Times New Roman"/>
                <w:color w:val="auto"/>
                <w:sz w:val="24"/>
                <w:szCs w:val="24"/>
                <w:highlight w:val="none"/>
              </w:rPr>
              <w:t>，位于</w:t>
            </w:r>
            <w:r>
              <w:rPr>
                <w:rFonts w:hint="eastAsia" w:ascii="Times New Roman" w:hAnsi="Times New Roman" w:eastAsia="宋体" w:cs="Times New Roman"/>
                <w:color w:val="auto"/>
                <w:sz w:val="24"/>
                <w:szCs w:val="24"/>
                <w:highlight w:val="none"/>
                <w:lang w:eastAsia="zh-CN"/>
              </w:rPr>
              <w:t>博罗县龙溪街道龙岗村第四组白土（土名）</w:t>
            </w:r>
            <w:r>
              <w:rPr>
                <w:rFonts w:hint="default" w:ascii="Times New Roman" w:hAnsi="Times New Roman" w:eastAsia="宋体" w:cs="Times New Roman"/>
                <w:color w:val="auto"/>
                <w:sz w:val="24"/>
                <w:szCs w:val="24"/>
                <w:highlight w:val="none"/>
              </w:rPr>
              <w:t>，不位于饮用水源保护区，不属于禁止审批和限制审批的行业，不属于重污染项目，符合博罗县“三线一单”生态环境分区管控要求。</w:t>
            </w:r>
            <w:r>
              <w:rPr>
                <w:rFonts w:hint="eastAsia" w:ascii="Times New Roman" w:hAnsi="Times New Roman" w:eastAsia="宋体" w:cs="Times New Roman"/>
                <w:b w:val="0"/>
                <w:bCs/>
                <w:color w:val="auto"/>
                <w:kern w:val="44"/>
                <w:sz w:val="24"/>
                <w:szCs w:val="44"/>
                <w:highlight w:val="none"/>
                <w:lang w:val="en-US" w:eastAsia="zh-CN" w:bidi="ar-SA"/>
              </w:rPr>
              <w:t>本项目粉碎</w:t>
            </w:r>
            <w:r>
              <w:rPr>
                <w:rFonts w:hint="default" w:ascii="Times New Roman" w:hAnsi="Times New Roman" w:eastAsia="宋体" w:cs="Times New Roman"/>
                <w:b w:val="0"/>
                <w:bCs/>
                <w:color w:val="auto"/>
                <w:kern w:val="44"/>
                <w:sz w:val="24"/>
                <w:szCs w:val="44"/>
                <w:highlight w:val="none"/>
                <w:lang w:val="en-US" w:eastAsia="zh-CN" w:bidi="ar-SA"/>
              </w:rPr>
              <w:t>过程产生的</w:t>
            </w:r>
            <w:r>
              <w:rPr>
                <w:rFonts w:hint="eastAsia" w:ascii="Times New Roman" w:hAnsi="Times New Roman" w:eastAsia="宋体" w:cs="Times New Roman"/>
                <w:b w:val="0"/>
                <w:bCs/>
                <w:color w:val="auto"/>
                <w:kern w:val="44"/>
                <w:sz w:val="24"/>
                <w:szCs w:val="44"/>
                <w:highlight w:val="none"/>
                <w:lang w:val="en-US" w:eastAsia="zh-CN" w:bidi="ar-SA"/>
              </w:rPr>
              <w:t>颗粒物</w:t>
            </w:r>
            <w:r>
              <w:rPr>
                <w:rFonts w:hint="default" w:ascii="Times New Roman" w:hAnsi="Times New Roman" w:eastAsia="宋体" w:cs="Times New Roman"/>
                <w:b w:val="0"/>
                <w:bCs/>
                <w:color w:val="auto"/>
                <w:kern w:val="44"/>
                <w:sz w:val="24"/>
                <w:szCs w:val="44"/>
                <w:highlight w:val="none"/>
                <w:lang w:val="en-US" w:eastAsia="zh-CN" w:bidi="ar-SA"/>
              </w:rPr>
              <w:t>收集后经布袋除尘装置</w:t>
            </w:r>
            <w:r>
              <w:rPr>
                <w:rFonts w:hint="eastAsia" w:ascii="Times New Roman" w:hAnsi="Times New Roman" w:eastAsia="宋体" w:cs="Times New Roman"/>
                <w:b w:val="0"/>
                <w:bCs/>
                <w:color w:val="auto"/>
                <w:kern w:val="44"/>
                <w:sz w:val="24"/>
                <w:szCs w:val="44"/>
                <w:highlight w:val="none"/>
                <w:lang w:val="en-US" w:eastAsia="zh-CN" w:bidi="ar-SA"/>
              </w:rPr>
              <w:t>处理</w:t>
            </w:r>
            <w:r>
              <w:rPr>
                <w:rFonts w:hint="default" w:ascii="Times New Roman" w:hAnsi="Times New Roman" w:eastAsia="宋体" w:cs="Times New Roman"/>
                <w:b w:val="0"/>
                <w:bCs/>
                <w:color w:val="auto"/>
                <w:kern w:val="44"/>
                <w:sz w:val="24"/>
                <w:szCs w:val="44"/>
                <w:highlight w:val="none"/>
                <w:lang w:val="en-US" w:eastAsia="zh-CN" w:bidi="ar-SA"/>
              </w:rPr>
              <w:t>后于1根15m高排气筒（DA00</w:t>
            </w:r>
            <w:r>
              <w:rPr>
                <w:rFonts w:hint="eastAsia" w:ascii="Times New Roman" w:hAnsi="Times New Roman" w:eastAsia="宋体" w:cs="Times New Roman"/>
                <w:b w:val="0"/>
                <w:bCs/>
                <w:color w:val="auto"/>
                <w:kern w:val="44"/>
                <w:sz w:val="24"/>
                <w:szCs w:val="44"/>
                <w:highlight w:val="none"/>
                <w:lang w:val="en-US" w:eastAsia="zh-CN" w:bidi="ar-SA"/>
              </w:rPr>
              <w:t>2</w:t>
            </w:r>
            <w:r>
              <w:rPr>
                <w:rFonts w:hint="default" w:ascii="Times New Roman" w:hAnsi="Times New Roman" w:eastAsia="宋体" w:cs="Times New Roman"/>
                <w:b w:val="0"/>
                <w:bCs/>
                <w:color w:val="auto"/>
                <w:kern w:val="44"/>
                <w:sz w:val="24"/>
                <w:szCs w:val="44"/>
                <w:highlight w:val="none"/>
                <w:lang w:val="en-US" w:eastAsia="zh-CN" w:bidi="ar-SA"/>
              </w:rPr>
              <w:t>）排放；</w:t>
            </w:r>
            <w:r>
              <w:rPr>
                <w:rFonts w:hint="eastAsia" w:ascii="Times New Roman" w:hAnsi="Times New Roman" w:eastAsia="宋体" w:cs="Times New Roman"/>
                <w:b w:val="0"/>
                <w:bCs/>
                <w:color w:val="auto"/>
                <w:kern w:val="44"/>
                <w:sz w:val="24"/>
                <w:szCs w:val="44"/>
                <w:highlight w:val="none"/>
                <w:lang w:val="en-US" w:eastAsia="zh-CN" w:bidi="ar-SA"/>
              </w:rPr>
              <w:t>注塑废气经集气罩收集后由一套二级活性炭吸附设施处理后于1根15m高排气筒（DA001）排放</w:t>
            </w:r>
            <w:r>
              <w:rPr>
                <w:rFonts w:hint="default" w:ascii="Times New Roman" w:hAnsi="Times New Roman" w:eastAsia="宋体" w:cs="Times New Roman"/>
                <w:b w:val="0"/>
                <w:bCs/>
                <w:color w:val="auto"/>
                <w:kern w:val="44"/>
                <w:sz w:val="24"/>
                <w:szCs w:val="44"/>
                <w:highlight w:val="none"/>
                <w:lang w:val="en-US" w:eastAsia="zh-CN" w:bidi="ar-SA"/>
              </w:rPr>
              <w:t>。</w:t>
            </w:r>
            <w:r>
              <w:rPr>
                <w:rFonts w:hint="default" w:ascii="Times New Roman" w:hAnsi="Times New Roman" w:eastAsia="宋体" w:cs="Times New Roman"/>
                <w:bCs/>
                <w:color w:val="auto"/>
                <w:sz w:val="24"/>
                <w:szCs w:val="24"/>
                <w:highlight w:val="none"/>
              </w:rPr>
              <w:t>符合文件《博罗县2021年大气污染防治工作方案》的相关要求。</w:t>
            </w:r>
          </w:p>
          <w:p>
            <w:pPr>
              <w:autoSpaceDE w:val="0"/>
              <w:autoSpaceDN w:val="0"/>
              <w:adjustRightInd w:val="0"/>
              <w:snapToGrid w:val="0"/>
              <w:spacing w:line="360" w:lineRule="auto"/>
              <w:rPr>
                <w:rFonts w:hint="default" w:ascii="Times New Roman" w:hAnsi="Times New Roman" w:eastAsia="宋体" w:cs="Times New Roman"/>
                <w:color w:val="auto"/>
                <w:kern w:val="0"/>
                <w:sz w:val="24"/>
                <w:szCs w:val="21"/>
                <w:highlight w:val="none"/>
              </w:rPr>
            </w:pPr>
          </w:p>
        </w:tc>
      </w:tr>
    </w:tbl>
    <w:p>
      <w:pPr>
        <w:pStyle w:val="23"/>
        <w:adjustRightInd w:val="0"/>
        <w:snapToGrid w:val="0"/>
        <w:spacing w:before="0" w:beforeAutospacing="0" w:after="0" w:afterAutospacing="0"/>
        <w:jc w:val="center"/>
        <w:outlineLvl w:val="0"/>
        <w:rPr>
          <w:rFonts w:hint="default" w:ascii="Times New Roman" w:hAnsi="Times New Roman" w:eastAsia="黑体" w:cs="Times New Roman"/>
          <w:snapToGrid w:val="0"/>
          <w:color w:val="auto"/>
          <w:sz w:val="30"/>
          <w:szCs w:val="30"/>
          <w:highlight w:val="none"/>
        </w:rPr>
      </w:pPr>
    </w:p>
    <w:p>
      <w:pPr>
        <w:pStyle w:val="23"/>
        <w:adjustRightInd w:val="0"/>
        <w:snapToGrid w:val="0"/>
        <w:spacing w:before="0" w:beforeAutospacing="0" w:after="0" w:afterAutospacing="0"/>
        <w:jc w:val="center"/>
        <w:outlineLvl w:val="0"/>
        <w:rPr>
          <w:rFonts w:hint="default" w:ascii="Times New Roman" w:hAnsi="Times New Roman" w:eastAsia="黑体" w:cs="Times New Roman"/>
          <w:snapToGrid w:val="0"/>
          <w:color w:val="auto"/>
          <w:sz w:val="30"/>
          <w:szCs w:val="30"/>
          <w:highlight w:val="none"/>
        </w:rPr>
      </w:pPr>
    </w:p>
    <w:p>
      <w:pPr>
        <w:pStyle w:val="23"/>
        <w:adjustRightInd w:val="0"/>
        <w:snapToGrid w:val="0"/>
        <w:spacing w:before="0" w:beforeAutospacing="0" w:after="0" w:afterAutospacing="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74"/>
        <w:gridCol w:w="85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871" w:hRule="atLeast"/>
          <w:jc w:val="center"/>
        </w:trPr>
        <w:tc>
          <w:tcPr>
            <w:tcW w:w="474" w:type="dxa"/>
            <w:noWrap w:val="0"/>
            <w:vAlign w:val="center"/>
          </w:tcPr>
          <w:p>
            <w:pPr>
              <w:pStyle w:val="23"/>
              <w:adjustRightInd w:val="0"/>
              <w:snapToGrid w:val="0"/>
              <w:spacing w:before="0" w:beforeAutospacing="0" w:after="0" w:afterAutospacing="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建设内容</w:t>
            </w:r>
          </w:p>
        </w:tc>
        <w:tc>
          <w:tcPr>
            <w:tcW w:w="8586" w:type="dxa"/>
            <w:noWrap w:val="0"/>
            <w:vAlign w:val="top"/>
          </w:tcPr>
          <w:p>
            <w:pPr>
              <w:numPr>
                <w:ilvl w:val="0"/>
                <w:numId w:val="0"/>
              </w:numPr>
              <w:adjustRightInd w:val="0"/>
              <w:snapToGrid w:val="0"/>
              <w:spacing w:line="360" w:lineRule="auto"/>
              <w:ind w:firstLine="482" w:firstLineChars="200"/>
              <w:rPr>
                <w:rFonts w:hint="default" w:ascii="Times New Roman" w:hAnsi="Times New Roman" w:cs="Times New Roman"/>
                <w:b/>
                <w:color w:val="auto"/>
                <w:sz w:val="24"/>
                <w:szCs w:val="21"/>
                <w:highlight w:val="none"/>
              </w:rPr>
            </w:pPr>
            <w:r>
              <w:rPr>
                <w:rFonts w:hint="eastAsia" w:ascii="Times New Roman" w:hAnsi="Times New Roman" w:cs="Times New Roman"/>
                <w:b/>
                <w:color w:val="auto"/>
                <w:sz w:val="24"/>
                <w:szCs w:val="21"/>
                <w:highlight w:val="none"/>
                <w:lang w:val="en-US" w:eastAsia="zh-CN"/>
              </w:rPr>
              <w:t>1、</w:t>
            </w:r>
            <w:r>
              <w:rPr>
                <w:rFonts w:hint="default" w:ascii="Times New Roman" w:hAnsi="Times New Roman" w:cs="Times New Roman"/>
                <w:b/>
                <w:color w:val="auto"/>
                <w:sz w:val="24"/>
                <w:szCs w:val="21"/>
                <w:highlight w:val="none"/>
              </w:rPr>
              <w:t>项目组成</w:t>
            </w:r>
          </w:p>
          <w:p>
            <w:pPr>
              <w:adjustRightInd w:val="0"/>
              <w:snapToGrid w:val="0"/>
              <w:spacing w:line="360" w:lineRule="auto"/>
              <w:ind w:firstLine="480" w:firstLineChars="200"/>
              <w:rPr>
                <w:rFonts w:hint="default" w:ascii="Times New Roman" w:hAnsi="Times New Roman" w:cs="Times New Roman"/>
                <w:bCs/>
                <w:color w:val="auto"/>
                <w:sz w:val="24"/>
                <w:szCs w:val="21"/>
                <w:highlight w:val="none"/>
              </w:rPr>
            </w:pPr>
            <w:r>
              <w:rPr>
                <w:rFonts w:hint="default" w:ascii="Times New Roman" w:hAnsi="Times New Roman" w:cs="Times New Roman"/>
                <w:bCs/>
                <w:color w:val="auto"/>
                <w:sz w:val="24"/>
                <w:szCs w:val="21"/>
                <w:highlight w:val="none"/>
              </w:rPr>
              <w:t>本项目位于</w:t>
            </w:r>
            <w:r>
              <w:rPr>
                <w:rFonts w:hint="eastAsia" w:ascii="Times New Roman" w:hAnsi="Times New Roman" w:cs="Times New Roman"/>
                <w:color w:val="auto"/>
                <w:kern w:val="0"/>
                <w:sz w:val="24"/>
                <w:szCs w:val="21"/>
                <w:highlight w:val="none"/>
                <w:lang w:eastAsia="zh-CN"/>
              </w:rPr>
              <w:t>博罗县龙溪街道龙岗村第四组白土（土名）</w:t>
            </w:r>
            <w:r>
              <w:rPr>
                <w:rFonts w:hint="default" w:ascii="Times New Roman" w:hAnsi="Times New Roman" w:cs="Times New Roman"/>
                <w:bCs/>
                <w:color w:val="auto"/>
                <w:sz w:val="24"/>
                <w:szCs w:val="21"/>
                <w:highlight w:val="none"/>
              </w:rPr>
              <w:t>，</w:t>
            </w:r>
            <w:r>
              <w:rPr>
                <w:rFonts w:hint="default" w:ascii="Times New Roman" w:hAnsi="Times New Roman" w:cs="Times New Roman"/>
                <w:bCs/>
                <w:color w:val="auto"/>
                <w:sz w:val="24"/>
                <w:szCs w:val="21"/>
                <w:highlight w:val="none"/>
                <w:lang w:val="en-US" w:eastAsia="zh-CN"/>
              </w:rPr>
              <w:t>项目厂房</w:t>
            </w:r>
            <w:r>
              <w:rPr>
                <w:rFonts w:hint="default" w:ascii="Times New Roman" w:hAnsi="Times New Roman" w:cs="Times New Roman"/>
                <w:bCs/>
                <w:color w:val="auto"/>
                <w:sz w:val="24"/>
                <w:szCs w:val="21"/>
                <w:highlight w:val="none"/>
              </w:rPr>
              <w:t>占地面积约为</w:t>
            </w:r>
            <w:r>
              <w:rPr>
                <w:rFonts w:hint="eastAsia" w:ascii="Times New Roman" w:hAnsi="Times New Roman" w:cs="Times New Roman"/>
                <w:bCs/>
                <w:color w:val="auto"/>
                <w:sz w:val="24"/>
                <w:szCs w:val="21"/>
                <w:highlight w:val="none"/>
                <w:lang w:val="en-US" w:eastAsia="zh-CN"/>
              </w:rPr>
              <w:t>10</w:t>
            </w:r>
            <w:r>
              <w:rPr>
                <w:rFonts w:hint="default" w:ascii="Times New Roman" w:hAnsi="Times New Roman" w:cs="Times New Roman"/>
                <w:bCs/>
                <w:color w:val="auto"/>
                <w:sz w:val="24"/>
                <w:szCs w:val="21"/>
                <w:highlight w:val="none"/>
                <w:lang w:val="en-US" w:eastAsia="zh-CN"/>
              </w:rPr>
              <w:t>00</w:t>
            </w:r>
            <w:r>
              <w:rPr>
                <w:rFonts w:hint="default" w:ascii="Times New Roman" w:hAnsi="Times New Roman" w:cs="Times New Roman"/>
                <w:bCs/>
                <w:color w:val="auto"/>
                <w:sz w:val="24"/>
                <w:szCs w:val="21"/>
                <w:highlight w:val="none"/>
              </w:rPr>
              <w:t>m</w:t>
            </w:r>
            <w:r>
              <w:rPr>
                <w:rFonts w:hint="default" w:ascii="Times New Roman" w:hAnsi="Times New Roman" w:cs="Times New Roman"/>
                <w:bCs/>
                <w:color w:val="auto"/>
                <w:sz w:val="24"/>
                <w:szCs w:val="21"/>
                <w:highlight w:val="none"/>
                <w:vertAlign w:val="superscript"/>
              </w:rPr>
              <w:t>2</w:t>
            </w:r>
            <w:r>
              <w:rPr>
                <w:rFonts w:hint="default" w:ascii="Times New Roman" w:hAnsi="Times New Roman" w:cs="Times New Roman"/>
                <w:bCs/>
                <w:color w:val="auto"/>
                <w:sz w:val="24"/>
                <w:szCs w:val="21"/>
                <w:highlight w:val="none"/>
              </w:rPr>
              <w:t>，建筑面积约为</w:t>
            </w:r>
            <w:r>
              <w:rPr>
                <w:rFonts w:hint="eastAsia" w:ascii="Times New Roman" w:hAnsi="Times New Roman" w:cs="Times New Roman"/>
                <w:bCs/>
                <w:color w:val="auto"/>
                <w:sz w:val="24"/>
                <w:szCs w:val="21"/>
                <w:highlight w:val="none"/>
                <w:lang w:val="en-US" w:eastAsia="zh-CN"/>
              </w:rPr>
              <w:t>10</w:t>
            </w:r>
            <w:r>
              <w:rPr>
                <w:rFonts w:hint="default" w:ascii="Times New Roman" w:hAnsi="Times New Roman" w:cs="Times New Roman"/>
                <w:bCs/>
                <w:color w:val="auto"/>
                <w:sz w:val="24"/>
                <w:szCs w:val="21"/>
                <w:highlight w:val="none"/>
                <w:lang w:val="en-US" w:eastAsia="zh-CN"/>
              </w:rPr>
              <w:t>00</w:t>
            </w:r>
            <w:r>
              <w:rPr>
                <w:rFonts w:hint="default" w:ascii="Times New Roman" w:hAnsi="Times New Roman" w:cs="Times New Roman"/>
                <w:bCs/>
                <w:color w:val="auto"/>
                <w:sz w:val="24"/>
                <w:szCs w:val="21"/>
                <w:highlight w:val="none"/>
              </w:rPr>
              <w:t>m</w:t>
            </w:r>
            <w:r>
              <w:rPr>
                <w:rFonts w:hint="default" w:ascii="Times New Roman" w:hAnsi="Times New Roman" w:cs="Times New Roman"/>
                <w:bCs/>
                <w:color w:val="auto"/>
                <w:sz w:val="24"/>
                <w:szCs w:val="21"/>
                <w:highlight w:val="none"/>
                <w:vertAlign w:val="superscript"/>
              </w:rPr>
              <w:t>2</w:t>
            </w:r>
            <w:r>
              <w:rPr>
                <w:rFonts w:hint="default" w:ascii="Times New Roman" w:hAnsi="Times New Roman" w:cs="Times New Roman"/>
                <w:bCs/>
                <w:color w:val="auto"/>
                <w:sz w:val="24"/>
                <w:szCs w:val="21"/>
                <w:highlight w:val="none"/>
              </w:rPr>
              <w:t>。</w:t>
            </w:r>
            <w:r>
              <w:rPr>
                <w:rFonts w:hint="default" w:ascii="Times New Roman" w:hAnsi="Times New Roman" w:cs="Times New Roman"/>
                <w:bCs/>
                <w:color w:val="auto"/>
                <w:sz w:val="24"/>
                <w:szCs w:val="21"/>
                <w:highlight w:val="none"/>
                <w:lang w:val="en-US" w:eastAsia="zh-CN"/>
              </w:rPr>
              <w:t>项目</w:t>
            </w:r>
            <w:r>
              <w:rPr>
                <w:rFonts w:hint="default" w:ascii="Times New Roman" w:hAnsi="Times New Roman" w:cs="Times New Roman"/>
                <w:bCs/>
                <w:color w:val="auto"/>
                <w:sz w:val="24"/>
                <w:szCs w:val="21"/>
                <w:highlight w:val="none"/>
              </w:rPr>
              <w:t>主要</w:t>
            </w:r>
            <w:r>
              <w:rPr>
                <w:rFonts w:hint="default" w:ascii="Times New Roman" w:hAnsi="Times New Roman" w:cs="Times New Roman"/>
                <w:bCs/>
                <w:color w:val="auto"/>
                <w:sz w:val="24"/>
                <w:szCs w:val="21"/>
                <w:highlight w:val="none"/>
                <w:lang w:val="en-US" w:eastAsia="zh-CN"/>
              </w:rPr>
              <w:t>从事</w:t>
            </w:r>
            <w:r>
              <w:rPr>
                <w:rFonts w:hint="eastAsia" w:ascii="Times New Roman" w:hAnsi="Times New Roman" w:cs="Times New Roman"/>
                <w:bCs/>
                <w:color w:val="auto"/>
                <w:sz w:val="24"/>
                <w:szCs w:val="21"/>
                <w:highlight w:val="none"/>
                <w:lang w:val="en-US" w:eastAsia="zh-CN"/>
              </w:rPr>
              <w:t>塑料制品</w:t>
            </w:r>
            <w:r>
              <w:rPr>
                <w:rFonts w:hint="eastAsia" w:ascii="Times New Roman" w:hAnsi="Times New Roman" w:cs="Times New Roman"/>
                <w:bCs/>
                <w:color w:val="auto"/>
                <w:sz w:val="24"/>
                <w:szCs w:val="21"/>
                <w:highlight w:val="none"/>
                <w:lang w:eastAsia="zh-CN"/>
              </w:rPr>
              <w:t>的生产</w:t>
            </w:r>
            <w:r>
              <w:rPr>
                <w:rFonts w:hint="default" w:ascii="Times New Roman" w:hAnsi="Times New Roman" w:eastAsia="宋体" w:cs="Times New Roman"/>
                <w:bCs/>
                <w:color w:val="auto"/>
                <w:sz w:val="24"/>
                <w:szCs w:val="21"/>
                <w:highlight w:val="none"/>
                <w:lang w:eastAsia="zh-CN"/>
              </w:rPr>
              <w:t>，年生产</w:t>
            </w:r>
            <w:r>
              <w:rPr>
                <w:rFonts w:hint="eastAsia" w:ascii="Times New Roman" w:hAnsi="Times New Roman" w:eastAsia="宋体" w:cs="Times New Roman"/>
                <w:bCs/>
                <w:color w:val="auto"/>
                <w:sz w:val="24"/>
                <w:szCs w:val="21"/>
                <w:highlight w:val="none"/>
                <w:lang w:val="en-US" w:eastAsia="zh-CN"/>
              </w:rPr>
              <w:t>塑料制品约55吨</w:t>
            </w:r>
            <w:r>
              <w:rPr>
                <w:rFonts w:hint="default" w:ascii="Times New Roman" w:hAnsi="Times New Roman" w:cs="Times New Roman"/>
                <w:bCs/>
                <w:color w:val="auto"/>
                <w:sz w:val="24"/>
                <w:szCs w:val="21"/>
                <w:highlight w:val="none"/>
                <w:lang w:eastAsia="zh-CN"/>
              </w:rPr>
              <w:t>。</w:t>
            </w:r>
            <w:r>
              <w:rPr>
                <w:rFonts w:hint="default" w:ascii="Times New Roman" w:hAnsi="Times New Roman" w:cs="Times New Roman"/>
                <w:bCs/>
                <w:color w:val="auto"/>
                <w:sz w:val="24"/>
                <w:szCs w:val="21"/>
                <w:highlight w:val="none"/>
              </w:rPr>
              <w:t>项目组成情况详见下表，具体平面布置详见附图</w:t>
            </w:r>
            <w:r>
              <w:rPr>
                <w:rFonts w:hint="default" w:ascii="Times New Roman" w:hAnsi="Times New Roman" w:cs="Times New Roman"/>
                <w:bCs/>
                <w:color w:val="auto"/>
                <w:sz w:val="24"/>
                <w:szCs w:val="21"/>
                <w:highlight w:val="none"/>
                <w:lang w:val="en-US" w:eastAsia="zh-CN"/>
              </w:rPr>
              <w:t>3</w:t>
            </w:r>
            <w:r>
              <w:rPr>
                <w:rFonts w:hint="default" w:ascii="Times New Roman" w:hAnsi="Times New Roman" w:cs="Times New Roman"/>
                <w:bCs/>
                <w:color w:val="auto"/>
                <w:sz w:val="24"/>
                <w:szCs w:val="21"/>
                <w:highlight w:val="none"/>
              </w:rPr>
              <w:t>。</w:t>
            </w:r>
          </w:p>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rPr>
              <w:t>1</w:t>
            </w:r>
            <w:r>
              <w:rPr>
                <w:rFonts w:hint="eastAsia" w:ascii="Times New Roman" w:hAnsi="Times New Roman" w:cs="Times New Roman"/>
                <w:b/>
                <w:color w:val="auto"/>
                <w:szCs w:val="21"/>
                <w:highlight w:val="none"/>
                <w:lang w:val="en-US" w:eastAsia="zh-CN"/>
              </w:rPr>
              <w:t xml:space="preserve"> </w:t>
            </w:r>
            <w:r>
              <w:rPr>
                <w:rFonts w:hint="default" w:ascii="Times New Roman" w:hAnsi="Times New Roman" w:cs="Times New Roman"/>
                <w:b/>
                <w:color w:val="auto"/>
                <w:szCs w:val="21"/>
                <w:highlight w:val="none"/>
                <w:lang w:eastAsia="zh-CN"/>
              </w:rPr>
              <w:t>本</w:t>
            </w:r>
            <w:r>
              <w:rPr>
                <w:rFonts w:hint="default" w:ascii="Times New Roman" w:hAnsi="Times New Roman" w:cs="Times New Roman"/>
                <w:b/>
                <w:color w:val="auto"/>
                <w:szCs w:val="21"/>
                <w:highlight w:val="none"/>
              </w:rPr>
              <w:t>项目主要工程组成</w:t>
            </w:r>
          </w:p>
          <w:tbl>
            <w:tblPr>
              <w:tblStyle w:val="24"/>
              <w:tblW w:w="50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042"/>
              <w:gridCol w:w="658"/>
              <w:gridCol w:w="1202"/>
              <w:gridCol w:w="2055"/>
              <w:gridCol w:w="3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6" w:hRule="atLeast"/>
                <w:tblHeader/>
                <w:jc w:val="center"/>
              </w:trPr>
              <w:tc>
                <w:tcPr>
                  <w:tcW w:w="613" w:type="pct"/>
                  <w:noWrap w:val="0"/>
                  <w:vAlign w:val="center"/>
                </w:tcPr>
                <w:p>
                  <w:pPr>
                    <w:pStyle w:val="8"/>
                    <w:spacing w:after="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工程名称</w:t>
                  </w:r>
                </w:p>
              </w:tc>
              <w:tc>
                <w:tcPr>
                  <w:tcW w:w="1094" w:type="pct"/>
                  <w:gridSpan w:val="2"/>
                  <w:noWrap w:val="0"/>
                  <w:vAlign w:val="center"/>
                </w:tcPr>
                <w:p>
                  <w:pPr>
                    <w:pStyle w:val="8"/>
                    <w:spacing w:after="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工程名称</w:t>
                  </w:r>
                </w:p>
              </w:tc>
              <w:tc>
                <w:tcPr>
                  <w:tcW w:w="3292" w:type="pct"/>
                  <w:gridSpan w:val="2"/>
                  <w:noWrap w:val="0"/>
                  <w:vAlign w:val="center"/>
                </w:tcPr>
                <w:p>
                  <w:pPr>
                    <w:pStyle w:val="8"/>
                    <w:spacing w:after="0"/>
                    <w:ind w:left="0" w:left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86" w:hRule="atLeast"/>
                <w:tblHeader/>
                <w:jc w:val="center"/>
              </w:trPr>
              <w:tc>
                <w:tcPr>
                  <w:tcW w:w="613" w:type="pct"/>
                  <w:noWrap w:val="0"/>
                  <w:vAlign w:val="center"/>
                </w:tcPr>
                <w:p>
                  <w:pPr>
                    <w:pStyle w:val="8"/>
                    <w:spacing w:after="0"/>
                    <w:ind w:left="0" w:lef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color w:val="auto"/>
                      <w:sz w:val="21"/>
                      <w:szCs w:val="21"/>
                      <w:highlight w:val="none"/>
                    </w:rPr>
                    <w:t>主体工程</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储运工程</w:t>
                  </w:r>
                </w:p>
              </w:tc>
              <w:tc>
                <w:tcPr>
                  <w:tcW w:w="1094" w:type="pct"/>
                  <w:gridSpan w:val="2"/>
                  <w:noWrap w:val="0"/>
                  <w:vAlign w:val="center"/>
                </w:tcPr>
                <w:p>
                  <w:pPr>
                    <w:tabs>
                      <w:tab w:val="left" w:pos="1081"/>
                    </w:tabs>
                    <w:adjustRightInd w:val="0"/>
                    <w:snapToGrid w:val="0"/>
                    <w:jc w:val="center"/>
                    <w:rPr>
                      <w:rFonts w:hint="eastAsia"/>
                      <w:lang w:val="en-US" w:eastAsia="zh-CN"/>
                    </w:rPr>
                  </w:pPr>
                  <w:r>
                    <w:rPr>
                      <w:rFonts w:hint="eastAsia"/>
                      <w:lang w:eastAsia="zh-CN"/>
                    </w:rPr>
                    <w:t>生产车间</w:t>
                  </w:r>
                  <w:r>
                    <w:rPr>
                      <w:rFonts w:hint="eastAsia"/>
                      <w:lang w:val="en-US" w:eastAsia="zh-CN"/>
                    </w:rPr>
                    <w:t>/办公室/仓库</w:t>
                  </w:r>
                </w:p>
                <w:p>
                  <w:pPr>
                    <w:pStyle w:val="2"/>
                    <w:jc w:val="center"/>
                    <w:rPr>
                      <w:rFonts w:hint="default"/>
                      <w:lang w:val="en-US" w:eastAsia="zh-CN"/>
                    </w:rPr>
                  </w:pPr>
                  <w:r>
                    <w:rPr>
                      <w:rFonts w:hint="eastAsia" w:ascii="Times New Roman" w:hAnsi="Times New Roman" w:eastAsia="宋体" w:cs="Times New Roman"/>
                      <w:color w:val="auto"/>
                      <w:kern w:val="2"/>
                      <w:sz w:val="21"/>
                      <w:szCs w:val="24"/>
                      <w:lang w:val="en-US" w:eastAsia="zh-CN" w:bidi="ar-SA"/>
                    </w:rPr>
                    <w:t>1栋1层的建筑，占地10</w:t>
                  </w:r>
                  <w:r>
                    <w:rPr>
                      <w:rFonts w:hint="default" w:ascii="Times New Roman" w:hAnsi="Times New Roman" w:eastAsia="宋体" w:cs="Times New Roman"/>
                      <w:color w:val="auto"/>
                      <w:kern w:val="2"/>
                      <w:sz w:val="21"/>
                      <w:szCs w:val="24"/>
                      <w:lang w:val="en-US" w:eastAsia="zh-CN" w:bidi="ar-SA"/>
                    </w:rPr>
                    <w:t>00m</w:t>
                  </w:r>
                  <w:r>
                    <w:rPr>
                      <w:rFonts w:hint="default" w:ascii="Times New Roman" w:hAnsi="Times New Roman" w:eastAsia="宋体" w:cs="Times New Roman"/>
                      <w:color w:val="auto"/>
                      <w:kern w:val="2"/>
                      <w:sz w:val="21"/>
                      <w:szCs w:val="24"/>
                      <w:vertAlign w:val="superscript"/>
                      <w:lang w:val="en-US" w:eastAsia="zh-CN" w:bidi="ar-SA"/>
                    </w:rPr>
                    <w:t>2</w:t>
                  </w:r>
                </w:p>
              </w:tc>
              <w:tc>
                <w:tcPr>
                  <w:tcW w:w="3292" w:type="pct"/>
                  <w:gridSpan w:val="2"/>
                  <w:noWrap w:val="0"/>
                  <w:vAlign w:val="center"/>
                </w:tcPr>
                <w:p>
                  <w:pPr>
                    <w:pStyle w:val="8"/>
                    <w:spacing w:after="0"/>
                    <w:ind w:left="0" w:leftChars="0"/>
                    <w:jc w:val="center"/>
                    <w:rPr>
                      <w:rFonts w:hint="default" w:ascii="Times New Roman" w:hAnsi="Times New Roman" w:eastAsia="宋体" w:cs="Times New Roman"/>
                      <w:bCs/>
                      <w:color w:val="auto"/>
                      <w:kern w:val="2"/>
                      <w:sz w:val="21"/>
                      <w:szCs w:val="21"/>
                      <w:highlight w:val="none"/>
                      <w:lang w:eastAsia="zh-CN"/>
                    </w:rPr>
                  </w:pPr>
                  <w:r>
                    <w:rPr>
                      <w:rFonts w:hint="eastAsia" w:ascii="Times New Roman" w:hAnsi="Times New Roman" w:cs="Times New Roman"/>
                      <w:bCs/>
                      <w:color w:val="auto"/>
                      <w:kern w:val="2"/>
                      <w:sz w:val="21"/>
                      <w:szCs w:val="21"/>
                      <w:highlight w:val="none"/>
                      <w:lang w:val="en-US" w:eastAsia="zh-CN"/>
                    </w:rPr>
                    <w:t>建筑面积</w:t>
                  </w:r>
                  <w:r>
                    <w:rPr>
                      <w:rFonts w:hint="eastAsia" w:ascii="Times New Roman" w:hAnsi="Times New Roman" w:eastAsia="宋体" w:cs="Times New Roman"/>
                      <w:color w:val="auto"/>
                      <w:kern w:val="2"/>
                      <w:sz w:val="21"/>
                      <w:szCs w:val="24"/>
                      <w:lang w:val="en-US" w:eastAsia="zh-CN" w:bidi="ar-SA"/>
                    </w:rPr>
                    <w:t>10</w:t>
                  </w:r>
                  <w:r>
                    <w:rPr>
                      <w:rFonts w:hint="default" w:ascii="Times New Roman" w:hAnsi="Times New Roman" w:eastAsia="宋体" w:cs="Times New Roman"/>
                      <w:color w:val="auto"/>
                      <w:kern w:val="2"/>
                      <w:sz w:val="21"/>
                      <w:szCs w:val="24"/>
                      <w:lang w:val="en-US" w:eastAsia="zh-CN" w:bidi="ar-SA"/>
                    </w:rPr>
                    <w:t>00m</w:t>
                  </w:r>
                  <w:r>
                    <w:rPr>
                      <w:rFonts w:hint="default" w:ascii="Times New Roman" w:hAnsi="Times New Roman" w:eastAsia="宋体" w:cs="Times New Roman"/>
                      <w:color w:val="auto"/>
                      <w:kern w:val="2"/>
                      <w:sz w:val="21"/>
                      <w:szCs w:val="24"/>
                      <w:vertAlign w:val="superscript"/>
                      <w:lang w:val="en-US" w:eastAsia="zh-CN" w:bidi="ar-SA"/>
                    </w:rPr>
                    <w:t>2</w:t>
                  </w:r>
                  <w:r>
                    <w:rPr>
                      <w:rFonts w:hint="default" w:ascii="Times New Roman" w:hAnsi="Times New Roman" w:cs="Times New Roman"/>
                      <w:bCs/>
                      <w:color w:val="auto"/>
                      <w:kern w:val="2"/>
                      <w:sz w:val="21"/>
                      <w:szCs w:val="21"/>
                      <w:highlight w:val="none"/>
                      <w:lang w:val="en-US" w:eastAsia="zh-CN"/>
                    </w:rPr>
                    <w:t>，</w:t>
                  </w:r>
                  <w:r>
                    <w:rPr>
                      <w:rFonts w:hint="eastAsia" w:ascii="Times New Roman" w:hAnsi="Times New Roman" w:cs="Times New Roman"/>
                      <w:bCs/>
                      <w:color w:val="auto"/>
                      <w:kern w:val="2"/>
                      <w:sz w:val="21"/>
                      <w:szCs w:val="21"/>
                      <w:highlight w:val="none"/>
                      <w:lang w:val="en-US" w:eastAsia="zh-CN"/>
                    </w:rPr>
                    <w:t>包含注塑区</w:t>
                  </w:r>
                  <w:r>
                    <w:rPr>
                      <w:rFonts w:hint="default" w:ascii="Times New Roman" w:hAnsi="Times New Roman" w:cs="Times New Roman"/>
                      <w:bCs/>
                      <w:color w:val="auto"/>
                      <w:kern w:val="2"/>
                      <w:sz w:val="21"/>
                      <w:szCs w:val="21"/>
                      <w:highlight w:val="none"/>
                      <w:lang w:val="en-US" w:eastAsia="zh-CN"/>
                    </w:rPr>
                    <w:t>、</w:t>
                  </w:r>
                  <w:r>
                    <w:rPr>
                      <w:rFonts w:hint="eastAsia" w:ascii="Times New Roman" w:hAnsi="Times New Roman" w:cs="Times New Roman"/>
                      <w:bCs/>
                      <w:color w:val="auto"/>
                      <w:kern w:val="2"/>
                      <w:sz w:val="21"/>
                      <w:szCs w:val="21"/>
                      <w:highlight w:val="none"/>
                      <w:lang w:val="en-US" w:eastAsia="zh-CN"/>
                    </w:rPr>
                    <w:t>破碎区、原料仓库、</w:t>
                  </w:r>
                  <w:r>
                    <w:rPr>
                      <w:rFonts w:hint="default" w:ascii="Times New Roman" w:hAnsi="Times New Roman" w:cs="Times New Roman"/>
                      <w:bCs/>
                      <w:color w:val="auto"/>
                      <w:kern w:val="2"/>
                      <w:sz w:val="21"/>
                      <w:szCs w:val="21"/>
                      <w:highlight w:val="none"/>
                      <w:lang w:val="en-US" w:eastAsia="zh-CN"/>
                    </w:rPr>
                    <w:t>一般固废暂存区、危险废物暂存</w:t>
                  </w:r>
                  <w:r>
                    <w:rPr>
                      <w:rFonts w:hint="eastAsia" w:ascii="Times New Roman" w:hAnsi="Times New Roman" w:cs="Times New Roman"/>
                      <w:bCs/>
                      <w:color w:val="auto"/>
                      <w:kern w:val="2"/>
                      <w:sz w:val="21"/>
                      <w:szCs w:val="21"/>
                      <w:highlight w:val="none"/>
                      <w:lang w:val="en-US" w:eastAsia="zh-CN"/>
                    </w:rPr>
                    <w:t>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78" w:hRule="atLeast"/>
                <w:jc w:val="center"/>
              </w:trPr>
              <w:tc>
                <w:tcPr>
                  <w:tcW w:w="613" w:type="pct"/>
                  <w:vMerge w:val="restart"/>
                  <w:noWrap w:val="0"/>
                  <w:vAlign w:val="center"/>
                </w:tcPr>
                <w:p>
                  <w:pPr>
                    <w:pStyle w:val="8"/>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公共工程</w:t>
                  </w:r>
                </w:p>
              </w:tc>
              <w:tc>
                <w:tcPr>
                  <w:tcW w:w="1094" w:type="pct"/>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供水</w:t>
                  </w:r>
                </w:p>
              </w:tc>
              <w:tc>
                <w:tcPr>
                  <w:tcW w:w="3292" w:type="pct"/>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由市政管网供给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444" w:hRule="atLeast"/>
                <w:jc w:val="center"/>
              </w:trPr>
              <w:tc>
                <w:tcPr>
                  <w:tcW w:w="613" w:type="pct"/>
                  <w:vMerge w:val="continue"/>
                  <w:noWrap w:val="0"/>
                  <w:vAlign w:val="center"/>
                </w:tcPr>
                <w:p>
                  <w:pPr>
                    <w:pStyle w:val="8"/>
                    <w:spacing w:after="0"/>
                    <w:ind w:left="0" w:leftChars="0"/>
                    <w:jc w:val="center"/>
                    <w:rPr>
                      <w:rFonts w:hint="default" w:ascii="Times New Roman" w:hAnsi="Times New Roman" w:cs="Times New Roman"/>
                      <w:color w:val="auto"/>
                      <w:sz w:val="21"/>
                      <w:szCs w:val="21"/>
                      <w:highlight w:val="none"/>
                    </w:rPr>
                  </w:pPr>
                </w:p>
              </w:tc>
              <w:tc>
                <w:tcPr>
                  <w:tcW w:w="1094" w:type="pct"/>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排水</w:t>
                  </w:r>
                </w:p>
              </w:tc>
              <w:tc>
                <w:tcPr>
                  <w:tcW w:w="3292" w:type="pct"/>
                  <w:gridSpan w:val="2"/>
                  <w:noWrap w:val="0"/>
                  <w:vAlign w:val="center"/>
                </w:tcPr>
                <w:p>
                  <w:pPr>
                    <w:ind w:left="840" w:hanging="840" w:hangingChars="4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厂区排水采用雨污分流制系统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91" w:hRule="atLeast"/>
                <w:jc w:val="center"/>
              </w:trPr>
              <w:tc>
                <w:tcPr>
                  <w:tcW w:w="613" w:type="pct"/>
                  <w:vMerge w:val="continue"/>
                  <w:noWrap w:val="0"/>
                  <w:vAlign w:val="center"/>
                </w:tcPr>
                <w:p>
                  <w:pPr>
                    <w:pStyle w:val="8"/>
                    <w:spacing w:after="0"/>
                    <w:ind w:left="0" w:leftChars="0"/>
                    <w:jc w:val="center"/>
                    <w:rPr>
                      <w:rFonts w:hint="default" w:ascii="Times New Roman" w:hAnsi="Times New Roman" w:cs="Times New Roman"/>
                      <w:color w:val="auto"/>
                      <w:sz w:val="21"/>
                      <w:szCs w:val="21"/>
                      <w:highlight w:val="none"/>
                    </w:rPr>
                  </w:pPr>
                </w:p>
              </w:tc>
              <w:tc>
                <w:tcPr>
                  <w:tcW w:w="1094" w:type="pct"/>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供电</w:t>
                  </w:r>
                </w:p>
              </w:tc>
              <w:tc>
                <w:tcPr>
                  <w:tcW w:w="3292" w:type="pct"/>
                  <w:gridSpan w:val="2"/>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市政供电网供电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3" w:hRule="atLeast"/>
                <w:jc w:val="center"/>
              </w:trPr>
              <w:tc>
                <w:tcPr>
                  <w:tcW w:w="613" w:type="pct"/>
                  <w:noWrap w:val="0"/>
                  <w:vAlign w:val="center"/>
                </w:tcPr>
                <w:p>
                  <w:pPr>
                    <w:pStyle w:val="8"/>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依托工程</w:t>
                  </w:r>
                </w:p>
              </w:tc>
              <w:tc>
                <w:tcPr>
                  <w:tcW w:w="1094" w:type="pct"/>
                  <w:gridSpan w:val="2"/>
                  <w:noWrap w:val="0"/>
                  <w:vAlign w:val="center"/>
                </w:tcPr>
                <w:p>
                  <w:pPr>
                    <w:ind w:firstLine="420" w:firstLineChars="200"/>
                    <w:jc w:val="both"/>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污水处理厂</w:t>
                  </w:r>
                </w:p>
              </w:tc>
              <w:tc>
                <w:tcPr>
                  <w:tcW w:w="3292" w:type="pct"/>
                  <w:gridSpan w:val="2"/>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博罗县龙溪镇污水处理厂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26" w:hRule="atLeast"/>
                <w:jc w:val="center"/>
              </w:trPr>
              <w:tc>
                <w:tcPr>
                  <w:tcW w:w="613"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环保工程</w:t>
                  </w:r>
                </w:p>
              </w:tc>
              <w:tc>
                <w:tcPr>
                  <w:tcW w:w="387" w:type="pct"/>
                  <w:noWrap w:val="0"/>
                  <w:vAlign w:val="center"/>
                </w:tcPr>
                <w:p>
                  <w:pPr>
                    <w:pStyle w:val="8"/>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p>
                  <w:pPr>
                    <w:pStyle w:val="8"/>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w:t>
                  </w:r>
                </w:p>
              </w:tc>
              <w:tc>
                <w:tcPr>
                  <w:tcW w:w="707" w:type="pct"/>
                  <w:noWrap w:val="0"/>
                  <w:vAlign w:val="center"/>
                </w:tcPr>
                <w:p>
                  <w:pPr>
                    <w:pStyle w:val="8"/>
                    <w:spacing w:after="0"/>
                    <w:ind w:left="0" w:lef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注塑废气</w:t>
                  </w:r>
                </w:p>
              </w:tc>
              <w:tc>
                <w:tcPr>
                  <w:tcW w:w="3292" w:type="pct"/>
                  <w:gridSpan w:val="2"/>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eastAsia="zh-CN"/>
                    </w:rPr>
                    <w:t>注塑废气经“二级活性炭吸附装置”处理后于</w:t>
                  </w:r>
                  <w:r>
                    <w:rPr>
                      <w:rFonts w:hint="eastAsia" w:ascii="Times New Roman" w:hAnsi="Times New Roman" w:cs="Times New Roman"/>
                      <w:color w:val="auto"/>
                      <w:szCs w:val="21"/>
                      <w:highlight w:val="none"/>
                      <w:lang w:val="en-US" w:eastAsia="zh-CN"/>
                    </w:rPr>
                    <w:t>15m排气筒DA001排放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08" w:hRule="atLeast"/>
                <w:jc w:val="center"/>
              </w:trPr>
              <w:tc>
                <w:tcPr>
                  <w:tcW w:w="613" w:type="pct"/>
                  <w:vMerge w:val="continue"/>
                  <w:noWrap w:val="0"/>
                  <w:vAlign w:val="center"/>
                </w:tcPr>
                <w:p>
                  <w:pPr>
                    <w:jc w:val="center"/>
                    <w:rPr>
                      <w:rFonts w:hint="default" w:ascii="Times New Roman" w:hAnsi="Times New Roman" w:cs="Times New Roman"/>
                      <w:color w:val="auto"/>
                      <w:szCs w:val="21"/>
                      <w:highlight w:val="none"/>
                    </w:rPr>
                  </w:pPr>
                </w:p>
              </w:tc>
              <w:tc>
                <w:tcPr>
                  <w:tcW w:w="387" w:type="pct"/>
                  <w:noWrap w:val="0"/>
                  <w:vAlign w:val="center"/>
                </w:tcPr>
                <w:p>
                  <w:pPr>
                    <w:pStyle w:val="8"/>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p>
                  <w:pPr>
                    <w:pStyle w:val="8"/>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处理</w:t>
                  </w:r>
                </w:p>
              </w:tc>
              <w:tc>
                <w:tcPr>
                  <w:tcW w:w="707" w:type="pct"/>
                  <w:noWrap w:val="0"/>
                  <w:vAlign w:val="center"/>
                </w:tcPr>
                <w:p>
                  <w:pPr>
                    <w:pStyle w:val="8"/>
                    <w:spacing w:after="0"/>
                    <w:ind w:left="0" w:lef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生活污水</w:t>
                  </w:r>
                </w:p>
              </w:tc>
              <w:tc>
                <w:tcPr>
                  <w:tcW w:w="3292" w:type="pct"/>
                  <w:gridSpan w:val="2"/>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1"/>
                      <w:szCs w:val="21"/>
                      <w:highlight w:val="none"/>
                      <w:lang w:eastAsia="zh-CN" w:bidi="ar"/>
                    </w:rPr>
                    <w:t>经三级化粪池处理后通过市政管网排入</w:t>
                  </w:r>
                  <w:r>
                    <w:rPr>
                      <w:rFonts w:hint="eastAsia" w:ascii="Times New Roman" w:hAnsi="Times New Roman" w:cs="Times New Roman"/>
                      <w:color w:val="auto"/>
                      <w:szCs w:val="21"/>
                      <w:highlight w:val="none"/>
                      <w:lang w:val="en-US" w:eastAsia="zh-CN"/>
                    </w:rPr>
                    <w:t>博罗县龙溪镇污水处理厂</w:t>
                  </w:r>
                  <w:r>
                    <w:rPr>
                      <w:rFonts w:hint="default" w:ascii="Times New Roman" w:hAnsi="Times New Roman" w:cs="Times New Roman"/>
                      <w:color w:val="auto"/>
                      <w:sz w:val="21"/>
                      <w:szCs w:val="21"/>
                      <w:highlight w:val="none"/>
                      <w:lang w:eastAsia="zh-CN" w:bidi="ar"/>
                    </w:rPr>
                    <w:t>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76" w:hRule="atLeast"/>
                <w:jc w:val="center"/>
              </w:trPr>
              <w:tc>
                <w:tcPr>
                  <w:tcW w:w="613" w:type="pct"/>
                  <w:vMerge w:val="continue"/>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p>
              </w:tc>
              <w:tc>
                <w:tcPr>
                  <w:tcW w:w="1094" w:type="pct"/>
                  <w:gridSpan w:val="2"/>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噪声控制</w:t>
                  </w:r>
                </w:p>
              </w:tc>
              <w:tc>
                <w:tcPr>
                  <w:tcW w:w="3292" w:type="pct"/>
                  <w:gridSpan w:val="2"/>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隔声、基础减振等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85" w:hRule="atLeast"/>
                <w:jc w:val="center"/>
              </w:trPr>
              <w:tc>
                <w:tcPr>
                  <w:tcW w:w="613" w:type="pct"/>
                  <w:vMerge w:val="continue"/>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p>
              </w:tc>
              <w:tc>
                <w:tcPr>
                  <w:tcW w:w="1094" w:type="pct"/>
                  <w:gridSpan w:val="2"/>
                  <w:vMerge w:val="restart"/>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固废处理</w:t>
                  </w:r>
                </w:p>
              </w:tc>
              <w:tc>
                <w:tcPr>
                  <w:tcW w:w="1209" w:type="pct"/>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危险废物暂存间</w:t>
                  </w:r>
                </w:p>
              </w:tc>
              <w:tc>
                <w:tcPr>
                  <w:tcW w:w="2083" w:type="pct"/>
                  <w:noWrap w:val="0"/>
                  <w:vAlign w:val="center"/>
                </w:tcPr>
                <w:p>
                  <w:pPr>
                    <w:pStyle w:val="8"/>
                    <w:snapToGrid w:val="0"/>
                    <w:spacing w:after="0"/>
                    <w:ind w:left="0" w:lef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eastAsia="zh-CN"/>
                    </w:rPr>
                    <w:t>储存危险废物，占地面积</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71" w:hRule="atLeast"/>
                <w:jc w:val="center"/>
              </w:trPr>
              <w:tc>
                <w:tcPr>
                  <w:tcW w:w="613" w:type="pct"/>
                  <w:vMerge w:val="continue"/>
                  <w:noWrap w:val="0"/>
                  <w:vAlign w:val="center"/>
                </w:tcPr>
                <w:p>
                  <w:pPr>
                    <w:pStyle w:val="8"/>
                    <w:snapToGrid w:val="0"/>
                    <w:spacing w:after="0"/>
                    <w:ind w:left="0" w:leftChars="0"/>
                    <w:jc w:val="center"/>
                    <w:rPr>
                      <w:rFonts w:hint="default" w:ascii="Times New Roman" w:hAnsi="Times New Roman" w:cs="Times New Roman"/>
                      <w:color w:val="auto"/>
                      <w:highlight w:val="none"/>
                    </w:rPr>
                  </w:pPr>
                </w:p>
              </w:tc>
              <w:tc>
                <w:tcPr>
                  <w:tcW w:w="1094" w:type="pct"/>
                  <w:gridSpan w:val="2"/>
                  <w:vMerge w:val="continue"/>
                  <w:noWrap w:val="0"/>
                  <w:vAlign w:val="center"/>
                </w:tcPr>
                <w:p>
                  <w:pPr>
                    <w:pStyle w:val="8"/>
                    <w:snapToGrid w:val="0"/>
                    <w:spacing w:after="0"/>
                    <w:ind w:left="0" w:leftChars="0"/>
                    <w:jc w:val="center"/>
                    <w:rPr>
                      <w:rFonts w:hint="default" w:ascii="Times New Roman" w:hAnsi="Times New Roman" w:cs="Times New Roman"/>
                      <w:color w:val="auto"/>
                      <w:highlight w:val="none"/>
                    </w:rPr>
                  </w:pPr>
                </w:p>
              </w:tc>
              <w:tc>
                <w:tcPr>
                  <w:tcW w:w="1209" w:type="pct"/>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一般固体废物暂存间</w:t>
                  </w:r>
                </w:p>
              </w:tc>
              <w:tc>
                <w:tcPr>
                  <w:tcW w:w="2083" w:type="pct"/>
                  <w:noWrap w:val="0"/>
                  <w:vAlign w:val="center"/>
                </w:tcPr>
                <w:p>
                  <w:pPr>
                    <w:pStyle w:val="8"/>
                    <w:snapToGrid w:val="0"/>
                    <w:spacing w:after="0"/>
                    <w:ind w:left="0" w:left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储存一般固体废物，占地面积</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51" w:hRule="atLeast"/>
                <w:jc w:val="center"/>
              </w:trPr>
              <w:tc>
                <w:tcPr>
                  <w:tcW w:w="613" w:type="pct"/>
                  <w:vMerge w:val="continue"/>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p>
              </w:tc>
              <w:tc>
                <w:tcPr>
                  <w:tcW w:w="1094" w:type="pct"/>
                  <w:gridSpan w:val="2"/>
                  <w:vMerge w:val="continue"/>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p>
              </w:tc>
              <w:tc>
                <w:tcPr>
                  <w:tcW w:w="1209" w:type="pct"/>
                  <w:noWrap w:val="0"/>
                  <w:vAlign w:val="center"/>
                </w:tcPr>
                <w:p>
                  <w:pPr>
                    <w:pStyle w:val="8"/>
                    <w:snapToGrid w:val="0"/>
                    <w:spacing w:after="0"/>
                    <w:ind w:left="0" w:lef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生活垃圾桶</w:t>
                  </w:r>
                </w:p>
              </w:tc>
              <w:tc>
                <w:tcPr>
                  <w:tcW w:w="2083" w:type="pct"/>
                  <w:noWrap w:val="0"/>
                  <w:vAlign w:val="center"/>
                </w:tcPr>
                <w:p>
                  <w:pPr>
                    <w:pStyle w:val="8"/>
                    <w:snapToGrid w:val="0"/>
                    <w:spacing w:after="0"/>
                    <w:ind w:left="0" w:leftChars="0"/>
                    <w:jc w:val="both"/>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用途：储存生活垃圾</w:t>
                  </w:r>
                </w:p>
              </w:tc>
            </w:tr>
          </w:tbl>
          <w:p>
            <w:pPr>
              <w:adjustRightInd w:val="0"/>
              <w:snapToGrid w:val="0"/>
              <w:spacing w:line="360" w:lineRule="auto"/>
              <w:ind w:firstLine="482" w:firstLineChars="200"/>
              <w:rPr>
                <w:rFonts w:hint="default" w:ascii="Times New Roman" w:hAnsi="Times New Roman" w:cs="Times New Roman"/>
                <w:b/>
                <w:color w:val="auto"/>
                <w:sz w:val="24"/>
                <w:szCs w:val="21"/>
                <w:highlight w:val="none"/>
              </w:rPr>
            </w:pPr>
            <w:r>
              <w:rPr>
                <w:rFonts w:hint="default" w:ascii="Times New Roman" w:hAnsi="Times New Roman" w:cs="Times New Roman"/>
                <w:b/>
                <w:color w:val="auto"/>
                <w:sz w:val="24"/>
                <w:szCs w:val="21"/>
                <w:highlight w:val="none"/>
              </w:rPr>
              <w:t>2、主要产品及产能</w:t>
            </w:r>
          </w:p>
          <w:p>
            <w:pPr>
              <w:adjustRightInd w:val="0"/>
              <w:snapToGrid w:val="0"/>
              <w:ind w:firstLine="422" w:firstLineChars="200"/>
              <w:jc w:val="center"/>
              <w:rPr>
                <w:rFonts w:hint="default" w:ascii="Times New Roman" w:hAnsi="Times New Roman" w:eastAsia="宋体" w:cs="Times New Roman"/>
                <w:b/>
                <w:color w:val="auto"/>
                <w:szCs w:val="21"/>
                <w:highlight w:val="none"/>
                <w:lang w:eastAsia="zh-CN"/>
              </w:rPr>
            </w:pPr>
            <w:r>
              <w:rPr>
                <w:rFonts w:hint="default" w:ascii="Times New Roman" w:hAnsi="Times New Roman" w:cs="Times New Roman"/>
                <w:b/>
                <w:color w:val="auto"/>
                <w:szCs w:val="21"/>
                <w:highlight w:val="none"/>
              </w:rPr>
              <w:t>表2</w:t>
            </w:r>
            <w:r>
              <w:rPr>
                <w:rFonts w:hint="default" w:ascii="Times New Roman" w:hAnsi="Times New Roman" w:cs="Times New Roman"/>
                <w:b/>
                <w:color w:val="auto"/>
                <w:szCs w:val="21"/>
                <w:highlight w:val="none"/>
                <w:lang w:val="en-US" w:eastAsia="zh-CN"/>
              </w:rPr>
              <w:t>-2</w:t>
            </w:r>
            <w:r>
              <w:rPr>
                <w:rFonts w:hint="default" w:ascii="Times New Roman" w:hAnsi="Times New Roman" w:cs="Times New Roman"/>
                <w:b/>
                <w:color w:val="auto"/>
                <w:szCs w:val="21"/>
                <w:highlight w:val="none"/>
                <w:lang w:eastAsia="zh-CN"/>
              </w:rPr>
              <w:t>项目</w:t>
            </w:r>
            <w:r>
              <w:rPr>
                <w:rFonts w:hint="default" w:ascii="Times New Roman" w:hAnsi="Times New Roman" w:cs="Times New Roman"/>
                <w:b/>
                <w:color w:val="auto"/>
                <w:szCs w:val="21"/>
                <w:highlight w:val="none"/>
              </w:rPr>
              <w:t>产品</w:t>
            </w:r>
            <w:r>
              <w:rPr>
                <w:rFonts w:hint="default" w:ascii="Times New Roman" w:hAnsi="Times New Roman" w:cs="Times New Roman"/>
                <w:b/>
                <w:color w:val="auto"/>
                <w:szCs w:val="21"/>
                <w:highlight w:val="none"/>
                <w:lang w:eastAsia="zh-CN"/>
              </w:rPr>
              <w:t>规模</w:t>
            </w:r>
          </w:p>
          <w:tbl>
            <w:tblPr>
              <w:tblStyle w:val="24"/>
              <w:tblW w:w="5070" w:type="pct"/>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85"/>
              <w:gridCol w:w="3255"/>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685" w:type="pct"/>
                  <w:noWrap w:val="0"/>
                  <w:vAlign w:val="center"/>
                </w:tcPr>
                <w:p>
                  <w:pPr>
                    <w:tabs>
                      <w:tab w:val="left" w:pos="1081"/>
                    </w:tabs>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875" w:type="pct"/>
                  <w:noWrap w:val="0"/>
                  <w:vAlign w:val="center"/>
                </w:tcPr>
                <w:p>
                  <w:pPr>
                    <w:tabs>
                      <w:tab w:val="left" w:pos="1081"/>
                    </w:tabs>
                    <w:adjustRightInd w:val="0"/>
                    <w:snapToGrid w:val="0"/>
                    <w:jc w:val="center"/>
                    <w:rPr>
                      <w:rFonts w:hint="eastAsia" w:ascii="Times New Roman" w:hAnsi="Times New Roman" w:eastAsia="宋体" w:cs="Times New Roman"/>
                      <w:b/>
                      <w:color w:val="auto"/>
                      <w:szCs w:val="21"/>
                      <w:highlight w:val="none"/>
                      <w:lang w:val="en-US" w:eastAsia="zh-CN"/>
                    </w:rPr>
                  </w:pPr>
                  <w:r>
                    <w:rPr>
                      <w:rFonts w:hint="eastAsia" w:ascii="Times New Roman" w:hAnsi="Times New Roman" w:eastAsia="宋体" w:cs="Times New Roman"/>
                      <w:b/>
                      <w:color w:val="auto"/>
                      <w:szCs w:val="21"/>
                      <w:highlight w:val="none"/>
                      <w:lang w:val="en-US" w:eastAsia="zh-CN"/>
                    </w:rPr>
                    <w:t>产品平均单重</w:t>
                  </w:r>
                </w:p>
              </w:tc>
              <w:tc>
                <w:tcPr>
                  <w:tcW w:w="1919" w:type="pct"/>
                  <w:noWrap w:val="0"/>
                  <w:vAlign w:val="center"/>
                </w:tcPr>
                <w:p>
                  <w:pPr>
                    <w:tabs>
                      <w:tab w:val="left" w:pos="1081"/>
                    </w:tabs>
                    <w:adjustRightInd w:val="0"/>
                    <w:snapToGrid w:val="0"/>
                    <w:jc w:val="center"/>
                    <w:rPr>
                      <w:rFonts w:hint="eastAsia" w:ascii="Times New Roman" w:hAnsi="Times New Roman" w:eastAsia="宋体" w:cs="Times New Roman"/>
                      <w:b/>
                      <w:color w:val="auto"/>
                      <w:szCs w:val="21"/>
                      <w:highlight w:val="none"/>
                      <w:lang w:eastAsia="zh-CN"/>
                    </w:rPr>
                  </w:pPr>
                  <w:r>
                    <w:rPr>
                      <w:rFonts w:hint="default" w:ascii="Times New Roman" w:hAnsi="Times New Roman" w:cs="Times New Roman"/>
                      <w:b/>
                      <w:bCs/>
                      <w:color w:val="auto"/>
                      <w:szCs w:val="21"/>
                      <w:highlight w:val="none"/>
                      <w:lang w:eastAsia="zh-CN"/>
                    </w:rPr>
                    <w:t>生产能力</w:t>
                  </w:r>
                </w:p>
              </w:tc>
              <w:tc>
                <w:tcPr>
                  <w:tcW w:w="1518" w:type="pct"/>
                  <w:noWrap w:val="0"/>
                  <w:vAlign w:val="center"/>
                </w:tcPr>
                <w:p>
                  <w:pPr>
                    <w:tabs>
                      <w:tab w:val="left" w:pos="1081"/>
                    </w:tabs>
                    <w:adjustRightInd w:val="0"/>
                    <w:snapToGrid w:val="0"/>
                    <w:jc w:val="center"/>
                    <w:rPr>
                      <w:rFonts w:hint="default" w:ascii="Times New Roman" w:hAnsi="Times New Roman" w:cs="Times New Roman"/>
                      <w:b/>
                      <w:bCs/>
                      <w:color w:val="auto"/>
                      <w:szCs w:val="21"/>
                      <w:highlight w:val="none"/>
                      <w:lang w:eastAsia="zh-CN"/>
                    </w:rPr>
                  </w:pPr>
                  <w:r>
                    <w:rPr>
                      <w:rFonts w:hint="default" w:ascii="Times New Roman" w:hAnsi="Times New Roman" w:cs="Times New Roman"/>
                      <w:b/>
                      <w:color w:val="auto"/>
                      <w:szCs w:val="21"/>
                      <w:highlight w:val="none"/>
                    </w:rPr>
                    <w:t>设计年生产时间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685" w:type="pct"/>
                  <w:noWrap w:val="0"/>
                  <w:vAlign w:val="center"/>
                </w:tcPr>
                <w:p>
                  <w:pPr>
                    <w:tabs>
                      <w:tab w:val="left" w:pos="1081"/>
                    </w:tabs>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塑料制品</w:t>
                  </w:r>
                </w:p>
              </w:tc>
              <w:tc>
                <w:tcPr>
                  <w:tcW w:w="875" w:type="pct"/>
                  <w:noWrap w:val="0"/>
                  <w:vAlign w:val="center"/>
                </w:tcPr>
                <w:p>
                  <w:pPr>
                    <w:tabs>
                      <w:tab w:val="left" w:pos="1081"/>
                    </w:tabs>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55g</w:t>
                  </w:r>
                </w:p>
              </w:tc>
              <w:tc>
                <w:tcPr>
                  <w:tcW w:w="1919" w:type="pct"/>
                  <w:noWrap w:val="0"/>
                  <w:vAlign w:val="center"/>
                </w:tcPr>
                <w:p>
                  <w:pPr>
                    <w:tabs>
                      <w:tab w:val="left" w:pos="1081"/>
                    </w:tabs>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100万个/年（55吨）</w:t>
                  </w:r>
                </w:p>
              </w:tc>
              <w:tc>
                <w:tcPr>
                  <w:tcW w:w="1518" w:type="pct"/>
                  <w:noWrap w:val="0"/>
                  <w:vAlign w:val="center"/>
                </w:tcPr>
                <w:p>
                  <w:pPr>
                    <w:tabs>
                      <w:tab w:val="left" w:pos="1081"/>
                    </w:tabs>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3600</w:t>
                  </w:r>
                  <w:r>
                    <w:rPr>
                      <w:rFonts w:hint="default" w:ascii="Times New Roman" w:hAnsi="Times New Roman" w:eastAsia="宋体" w:cs="Times New Roman"/>
                      <w:color w:val="auto"/>
                      <w:szCs w:val="21"/>
                      <w:highlight w:val="none"/>
                      <w:lang w:val="en-US" w:eastAsia="zh-CN"/>
                    </w:rPr>
                    <w:t>h</w:t>
                  </w:r>
                </w:p>
              </w:tc>
            </w:tr>
          </w:tbl>
          <w:p>
            <w:pPr>
              <w:adjustRightInd w:val="0"/>
              <w:snapToGrid w:val="0"/>
              <w:jc w:val="center"/>
              <w:rPr>
                <w:rFonts w:hint="default" w:ascii="Times New Roman" w:hAnsi="Times New Roman" w:cs="Times New Roman"/>
                <w:b/>
                <w:color w:val="auto"/>
                <w:szCs w:val="21"/>
                <w:highlight w:val="none"/>
              </w:rPr>
            </w:pPr>
          </w:p>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2-3</w:t>
            </w:r>
            <w:r>
              <w:rPr>
                <w:rFonts w:hint="eastAsia" w:ascii="Times New Roman" w:hAnsi="Times New Roman" w:cs="Times New Roman"/>
                <w:b/>
                <w:color w:val="auto"/>
                <w:szCs w:val="21"/>
                <w:highlight w:val="none"/>
                <w:lang w:val="en-US" w:eastAsia="zh-CN"/>
              </w:rPr>
              <w:t xml:space="preserve"> </w:t>
            </w:r>
            <w:r>
              <w:rPr>
                <w:rFonts w:hint="default" w:ascii="Times New Roman" w:hAnsi="Times New Roman" w:cs="Times New Roman"/>
                <w:b/>
                <w:color w:val="auto"/>
                <w:szCs w:val="21"/>
                <w:highlight w:val="none"/>
              </w:rPr>
              <w:t>项目主要生产单元、主要工艺及生产设施名称、设施参数表</w:t>
            </w:r>
          </w:p>
          <w:tbl>
            <w:tblPr>
              <w:tblStyle w:val="24"/>
              <w:tblW w:w="5058" w:type="pct"/>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2"/>
              <w:gridCol w:w="1185"/>
              <w:gridCol w:w="1320"/>
              <w:gridCol w:w="1695"/>
              <w:gridCol w:w="1534"/>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41" w:type="pct"/>
                  <w:noWrap w:val="0"/>
                  <w:vAlign w:val="center"/>
                </w:tcPr>
                <w:p>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主要生产单元</w:t>
                  </w:r>
                </w:p>
              </w:tc>
              <w:tc>
                <w:tcPr>
                  <w:tcW w:w="700" w:type="pct"/>
                  <w:noWrap w:val="0"/>
                  <w:vAlign w:val="center"/>
                </w:tcPr>
                <w:p>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主要工艺</w:t>
                  </w:r>
                </w:p>
              </w:tc>
              <w:tc>
                <w:tcPr>
                  <w:tcW w:w="780" w:type="pct"/>
                  <w:noWrap w:val="0"/>
                  <w:vAlign w:val="center"/>
                </w:tcPr>
                <w:p>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生产设备</w:t>
                  </w:r>
                </w:p>
              </w:tc>
              <w:tc>
                <w:tcPr>
                  <w:tcW w:w="1002" w:type="pct"/>
                  <w:noWrap w:val="0"/>
                  <w:vAlign w:val="center"/>
                </w:tcPr>
                <w:p>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设施参数</w:t>
                  </w:r>
                </w:p>
              </w:tc>
              <w:tc>
                <w:tcPr>
                  <w:tcW w:w="906" w:type="pct"/>
                  <w:noWrap w:val="0"/>
                  <w:vAlign w:val="center"/>
                </w:tcPr>
                <w:p>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单位</w:t>
                  </w:r>
                </w:p>
              </w:tc>
              <w:tc>
                <w:tcPr>
                  <w:tcW w:w="568" w:type="pct"/>
                  <w:noWrap w:val="0"/>
                  <w:vAlign w:val="center"/>
                </w:tcPr>
                <w:p>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041" w:type="pct"/>
                  <w:noWrap w:val="0"/>
                  <w:vAlign w:val="center"/>
                </w:tcPr>
                <w:p>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注塑成型</w:t>
                  </w:r>
                </w:p>
              </w:tc>
              <w:tc>
                <w:tcPr>
                  <w:tcW w:w="700" w:type="pct"/>
                  <w:noWrap w:val="0"/>
                  <w:vAlign w:val="center"/>
                </w:tcPr>
                <w:p>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lang w:eastAsia="zh-CN"/>
                    </w:rPr>
                    <w:t>注塑成型</w:t>
                  </w:r>
                </w:p>
              </w:tc>
              <w:tc>
                <w:tcPr>
                  <w:tcW w:w="780" w:type="pct"/>
                  <w:noWrap w:val="0"/>
                  <w:vAlign w:val="center"/>
                </w:tcPr>
                <w:p>
                  <w:pPr>
                    <w:pStyle w:val="2"/>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注塑机</w:t>
                  </w:r>
                </w:p>
              </w:tc>
              <w:tc>
                <w:tcPr>
                  <w:tcW w:w="1002" w:type="pct"/>
                  <w:noWrap w:val="0"/>
                  <w:vAlign w:val="center"/>
                </w:tcPr>
                <w:p>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处理能力</w:t>
                  </w:r>
                </w:p>
              </w:tc>
              <w:tc>
                <w:tcPr>
                  <w:tcW w:w="906" w:type="pct"/>
                  <w:noWrap w:val="0"/>
                  <w:vAlign w:val="center"/>
                </w:tcPr>
                <w:p>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w:t>
                  </w:r>
                  <w:r>
                    <w:rPr>
                      <w:rFonts w:hint="eastAsia" w:ascii="Times New Roman" w:hAnsi="Times New Roman" w:eastAsia="宋体" w:cs="Times New Roman"/>
                      <w:bCs/>
                      <w:color w:val="auto"/>
                      <w:sz w:val="21"/>
                      <w:szCs w:val="21"/>
                      <w:highlight w:val="none"/>
                      <w:lang w:val="en-US" w:eastAsia="zh-CN"/>
                    </w:rPr>
                    <w:t>1</w:t>
                  </w:r>
                  <w:r>
                    <w:rPr>
                      <w:rFonts w:hint="default" w:ascii="Times New Roman" w:hAnsi="Times New Roman" w:eastAsia="宋体" w:cs="Times New Roman"/>
                      <w:bCs/>
                      <w:color w:val="auto"/>
                      <w:sz w:val="21"/>
                      <w:szCs w:val="21"/>
                      <w:highlight w:val="none"/>
                      <w:lang w:val="en-US" w:eastAsia="zh-CN"/>
                    </w:rPr>
                    <w:t>t/h</w:t>
                  </w:r>
                </w:p>
              </w:tc>
              <w:tc>
                <w:tcPr>
                  <w:tcW w:w="568" w:type="pct"/>
                  <w:noWrap w:val="0"/>
                  <w:vAlign w:val="center"/>
                </w:tcPr>
                <w:p>
                  <w:pPr>
                    <w:widowControl/>
                    <w:ind w:left="-115" w:leftChars="-55" w:right="-99" w:rightChars="-47"/>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20</w:t>
                  </w:r>
                  <w:r>
                    <w:rPr>
                      <w:rFonts w:hint="default" w:ascii="Times New Roman" w:hAnsi="Times New Roman" w:eastAsia="宋体" w:cs="Times New Roman"/>
                      <w:color w:val="auto"/>
                      <w:kern w:val="2"/>
                      <w:sz w:val="21"/>
                      <w:szCs w:val="21"/>
                      <w:highlight w:val="none"/>
                      <w:lang w:val="en-US" w:eastAsia="zh-CN" w:bidi="ar-S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041" w:type="pct"/>
                  <w:noWrap w:val="0"/>
                  <w:vAlign w:val="center"/>
                </w:tcPr>
                <w:p>
                  <w:pPr>
                    <w:adjustRightInd w:val="0"/>
                    <w:snapToGrid w:val="0"/>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破碎</w:t>
                  </w:r>
                </w:p>
              </w:tc>
              <w:tc>
                <w:tcPr>
                  <w:tcW w:w="700" w:type="pct"/>
                  <w:noWrap w:val="0"/>
                  <w:vAlign w:val="center"/>
                </w:tcPr>
                <w:p>
                  <w:pPr>
                    <w:adjustRightInd w:val="0"/>
                    <w:snapToGrid w:val="0"/>
                    <w:jc w:val="center"/>
                    <w:rPr>
                      <w:rFonts w:hint="default" w:ascii="Times New Roman" w:hAnsi="Times New Roman" w:cs="Times New Roman"/>
                      <w:bCs/>
                      <w:color w:val="auto"/>
                      <w:sz w:val="21"/>
                      <w:szCs w:val="21"/>
                      <w:highlight w:val="none"/>
                      <w:lang w:eastAsia="zh-CN"/>
                    </w:rPr>
                  </w:pPr>
                  <w:r>
                    <w:rPr>
                      <w:rFonts w:hint="default" w:ascii="Times New Roman" w:hAnsi="Times New Roman" w:eastAsia="宋体" w:cs="Times New Roman"/>
                      <w:bCs/>
                      <w:color w:val="auto"/>
                      <w:sz w:val="21"/>
                      <w:szCs w:val="21"/>
                      <w:highlight w:val="none"/>
                      <w:lang w:eastAsia="zh-CN"/>
                    </w:rPr>
                    <w:t>破碎</w:t>
                  </w:r>
                </w:p>
              </w:tc>
              <w:tc>
                <w:tcPr>
                  <w:tcW w:w="780" w:type="pct"/>
                  <w:noWrap w:val="0"/>
                  <w:vAlign w:val="center"/>
                </w:tcPr>
                <w:p>
                  <w:pPr>
                    <w:pStyle w:val="2"/>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Cs/>
                      <w:color w:val="auto"/>
                      <w:sz w:val="21"/>
                      <w:szCs w:val="21"/>
                      <w:highlight w:val="none"/>
                      <w:lang w:eastAsia="zh-CN"/>
                    </w:rPr>
                    <w:t>破碎</w:t>
                  </w:r>
                  <w:r>
                    <w:rPr>
                      <w:rFonts w:hint="default" w:ascii="Times New Roman" w:hAnsi="Times New Roman" w:eastAsia="宋体" w:cs="Times New Roman"/>
                      <w:color w:val="auto"/>
                      <w:kern w:val="0"/>
                      <w:sz w:val="21"/>
                      <w:szCs w:val="21"/>
                      <w:highlight w:val="none"/>
                      <w:lang w:val="en-US" w:eastAsia="zh-CN" w:bidi="ar"/>
                    </w:rPr>
                    <w:t>机</w:t>
                  </w:r>
                </w:p>
              </w:tc>
              <w:tc>
                <w:tcPr>
                  <w:tcW w:w="1002"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eastAsia="zh-CN"/>
                    </w:rPr>
                    <w:t>处理能力</w:t>
                  </w:r>
                </w:p>
              </w:tc>
              <w:tc>
                <w:tcPr>
                  <w:tcW w:w="906" w:type="pct"/>
                  <w:noWrap w:val="0"/>
                  <w:vAlign w:val="center"/>
                </w:tcPr>
                <w:p>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w:t>
                  </w:r>
                  <w:r>
                    <w:rPr>
                      <w:rFonts w:hint="eastAsia" w:ascii="Times New Roman" w:hAnsi="Times New Roman" w:eastAsia="宋体" w:cs="Times New Roman"/>
                      <w:bCs/>
                      <w:color w:val="auto"/>
                      <w:sz w:val="21"/>
                      <w:szCs w:val="21"/>
                      <w:highlight w:val="none"/>
                      <w:lang w:val="en-US" w:eastAsia="zh-CN"/>
                    </w:rPr>
                    <w:t>01</w:t>
                  </w:r>
                  <w:r>
                    <w:rPr>
                      <w:rFonts w:hint="default" w:ascii="Times New Roman" w:hAnsi="Times New Roman" w:eastAsia="宋体" w:cs="Times New Roman"/>
                      <w:bCs/>
                      <w:color w:val="auto"/>
                      <w:sz w:val="21"/>
                      <w:szCs w:val="21"/>
                      <w:highlight w:val="none"/>
                      <w:lang w:val="en-US" w:eastAsia="zh-CN"/>
                    </w:rPr>
                    <w:t>t/h</w:t>
                  </w:r>
                </w:p>
              </w:tc>
              <w:tc>
                <w:tcPr>
                  <w:tcW w:w="568" w:type="pct"/>
                  <w:noWrap w:val="0"/>
                  <w:vAlign w:val="center"/>
                </w:tcPr>
                <w:p>
                  <w:pPr>
                    <w:widowControl/>
                    <w:ind w:left="-115" w:leftChars="-55" w:right="-99" w:rightChars="-47"/>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4</w:t>
                  </w:r>
                  <w:r>
                    <w:rPr>
                      <w:rFonts w:hint="default" w:ascii="Times New Roman" w:hAnsi="Times New Roman" w:eastAsia="宋体" w:cs="Times New Roman"/>
                      <w:color w:val="auto"/>
                      <w:kern w:val="2"/>
                      <w:sz w:val="21"/>
                      <w:szCs w:val="21"/>
                      <w:highlight w:val="none"/>
                      <w:lang w:val="en-US" w:eastAsia="zh-CN" w:bidi="ar-S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041" w:type="pct"/>
                  <w:noWrap w:val="0"/>
                  <w:vAlign w:val="center"/>
                </w:tcPr>
                <w:p>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其他</w:t>
                  </w:r>
                </w:p>
              </w:tc>
              <w:tc>
                <w:tcPr>
                  <w:tcW w:w="700" w:type="pct"/>
                  <w:noWrap w:val="0"/>
                  <w:vAlign w:val="center"/>
                </w:tcPr>
                <w:p>
                  <w:pPr>
                    <w:adjustRightInd w:val="0"/>
                    <w:snapToGrid w:val="0"/>
                    <w:jc w:val="center"/>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设备动能</w:t>
                  </w:r>
                </w:p>
              </w:tc>
              <w:tc>
                <w:tcPr>
                  <w:tcW w:w="780" w:type="pct"/>
                  <w:noWrap w:val="0"/>
                  <w:vAlign w:val="center"/>
                </w:tcPr>
                <w:p>
                  <w:pPr>
                    <w:pStyle w:val="2"/>
                    <w:ind w:left="0" w:leftChars="0" w:right="0" w:rightChars="0"/>
                    <w:jc w:val="center"/>
                    <w:rPr>
                      <w:rFonts w:hint="default" w:ascii="Times New Roman" w:eastAsia="宋体" w:cs="Times New Roman"/>
                      <w:color w:val="auto"/>
                      <w:kern w:val="0"/>
                      <w:sz w:val="21"/>
                      <w:szCs w:val="21"/>
                      <w:highlight w:val="none"/>
                      <w:lang w:val="en-US" w:eastAsia="zh-CN" w:bidi="ar"/>
                    </w:rPr>
                  </w:pPr>
                  <w:r>
                    <w:rPr>
                      <w:rFonts w:hint="eastAsia" w:ascii="Times New Roman" w:eastAsia="宋体" w:cs="Times New Roman"/>
                      <w:color w:val="auto"/>
                      <w:kern w:val="0"/>
                      <w:sz w:val="21"/>
                      <w:szCs w:val="21"/>
                      <w:highlight w:val="none"/>
                      <w:lang w:val="en-US" w:eastAsia="zh-CN" w:bidi="ar"/>
                    </w:rPr>
                    <w:t>空压机</w:t>
                  </w:r>
                </w:p>
              </w:tc>
              <w:tc>
                <w:tcPr>
                  <w:tcW w:w="1002" w:type="pct"/>
                  <w:noWrap w:val="0"/>
                  <w:vAlign w:val="center"/>
                </w:tcPr>
                <w:p>
                  <w:pPr>
                    <w:adjustRightInd w:val="0"/>
                    <w:snapToGrid w:val="0"/>
                    <w:jc w:val="center"/>
                    <w:rPr>
                      <w:rFonts w:hint="default" w:cs="宋体"/>
                      <w:bCs/>
                      <w:color w:val="000000"/>
                      <w:kern w:val="2"/>
                      <w:sz w:val="21"/>
                      <w:szCs w:val="21"/>
                      <w:highlight w:val="none"/>
                      <w:lang w:val="en-US" w:eastAsia="zh-CN" w:bidi="ar"/>
                    </w:rPr>
                  </w:pPr>
                  <w:r>
                    <w:rPr>
                      <w:rFonts w:hint="eastAsia"/>
                      <w:color w:val="000000"/>
                      <w:highlight w:val="none"/>
                    </w:rPr>
                    <w:t>功率</w:t>
                  </w:r>
                </w:p>
              </w:tc>
              <w:tc>
                <w:tcPr>
                  <w:tcW w:w="906" w:type="pct"/>
                  <w:noWrap w:val="0"/>
                  <w:vAlign w:val="center"/>
                </w:tcPr>
                <w:p>
                  <w:pPr>
                    <w:adjustRightInd w:val="0"/>
                    <w:snapToGrid w:val="0"/>
                    <w:jc w:val="center"/>
                    <w:rPr>
                      <w:rFonts w:hint="default" w:cs="宋体"/>
                      <w:bCs/>
                      <w:color w:val="000000"/>
                      <w:kern w:val="2"/>
                      <w:sz w:val="21"/>
                      <w:szCs w:val="21"/>
                      <w:highlight w:val="none"/>
                      <w:lang w:val="en-US" w:eastAsia="zh-CN" w:bidi="ar-SA"/>
                    </w:rPr>
                  </w:pPr>
                  <w:r>
                    <w:rPr>
                      <w:color w:val="000000"/>
                      <w:highlight w:val="none"/>
                    </w:rPr>
                    <w:t>7.5KW</w:t>
                  </w:r>
                </w:p>
              </w:tc>
              <w:tc>
                <w:tcPr>
                  <w:tcW w:w="568" w:type="pct"/>
                  <w:noWrap w:val="0"/>
                  <w:vAlign w:val="center"/>
                </w:tcPr>
                <w:p>
                  <w:pPr>
                    <w:widowControl/>
                    <w:ind w:left="-115" w:leftChars="-55" w:right="-99" w:rightChars="-47"/>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1台</w:t>
                  </w:r>
                </w:p>
              </w:tc>
            </w:tr>
          </w:tbl>
          <w:p>
            <w:pPr>
              <w:adjustRightInd w:val="0"/>
              <w:snapToGrid w:val="0"/>
              <w:jc w:val="center"/>
              <w:rPr>
                <w:rFonts w:hint="default" w:ascii="Times New Roman" w:hAnsi="Times New Roman" w:cs="Times New Roman"/>
                <w:b/>
                <w:color w:val="auto"/>
                <w:szCs w:val="21"/>
                <w:highlight w:val="none"/>
              </w:rPr>
            </w:pPr>
          </w:p>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2-4</w:t>
            </w:r>
            <w:r>
              <w:rPr>
                <w:rFonts w:hint="default" w:ascii="Times New Roman" w:hAnsi="Times New Roman" w:cs="Times New Roman"/>
                <w:b/>
                <w:color w:val="auto"/>
                <w:szCs w:val="21"/>
                <w:highlight w:val="none"/>
              </w:rPr>
              <w:t>项目的主要原辅材料信息表</w:t>
            </w:r>
          </w:p>
          <w:tbl>
            <w:tblPr>
              <w:tblStyle w:val="24"/>
              <w:tblW w:w="5069" w:type="pct"/>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1422"/>
              <w:gridCol w:w="1176"/>
              <w:gridCol w:w="1763"/>
              <w:gridCol w:w="1148"/>
              <w:gridCol w:w="780"/>
              <w:gridCol w:w="1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378" w:type="pct"/>
                  <w:noWrap w:val="0"/>
                  <w:vAlign w:val="center"/>
                </w:tcPr>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种类</w:t>
                  </w:r>
                </w:p>
              </w:tc>
              <w:tc>
                <w:tcPr>
                  <w:tcW w:w="838" w:type="pct"/>
                  <w:noWrap w:val="0"/>
                  <w:vAlign w:val="center"/>
                </w:tcPr>
                <w:p>
                  <w:pPr>
                    <w:adjustRightInd w:val="0"/>
                    <w:snapToGrid w:val="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原辅料名称</w:t>
                  </w:r>
                </w:p>
              </w:tc>
              <w:tc>
                <w:tcPr>
                  <w:tcW w:w="693" w:type="pct"/>
                  <w:noWrap w:val="0"/>
                  <w:vAlign w:val="center"/>
                </w:tcPr>
                <w:p>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rPr>
                    <w:t>用量</w:t>
                  </w:r>
                </w:p>
              </w:tc>
              <w:tc>
                <w:tcPr>
                  <w:tcW w:w="1039" w:type="pct"/>
                  <w:noWrap w:val="0"/>
                  <w:vAlign w:val="center"/>
                </w:tcPr>
                <w:p>
                  <w:pPr>
                    <w:adjustRightInd w:val="0"/>
                    <w:snapToGrid w:val="0"/>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b/>
                      <w:color w:val="auto"/>
                      <w:szCs w:val="21"/>
                      <w:highlight w:val="none"/>
                    </w:rPr>
                    <w:t>全厂最大储存量</w:t>
                  </w:r>
                </w:p>
              </w:tc>
              <w:tc>
                <w:tcPr>
                  <w:tcW w:w="677" w:type="pct"/>
                  <w:noWrap w:val="0"/>
                  <w:vAlign w:val="center"/>
                </w:tcPr>
                <w:p>
                  <w:pPr>
                    <w:jc w:val="center"/>
                    <w:rPr>
                      <w:rFonts w:hint="default" w:ascii="Times New Roman" w:hAnsi="Times New Roman" w:cs="Times New Roman"/>
                      <w:b/>
                      <w:color w:val="auto"/>
                      <w:szCs w:val="21"/>
                      <w:highlight w:val="none"/>
                    </w:rPr>
                  </w:pPr>
                  <w:r>
                    <w:rPr>
                      <w:rFonts w:hint="default" w:ascii="Times New Roman" w:hAnsi="Times New Roman" w:cs="Times New Roman"/>
                      <w:b/>
                      <w:bCs/>
                      <w:color w:val="auto"/>
                      <w:szCs w:val="21"/>
                      <w:highlight w:val="none"/>
                    </w:rPr>
                    <w:t>储存方式</w:t>
                  </w:r>
                </w:p>
              </w:tc>
              <w:tc>
                <w:tcPr>
                  <w:tcW w:w="460" w:type="pct"/>
                  <w:noWrap w:val="0"/>
                  <w:vAlign w:val="center"/>
                </w:tcPr>
                <w:p>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来源</w:t>
                  </w:r>
                </w:p>
              </w:tc>
              <w:tc>
                <w:tcPr>
                  <w:tcW w:w="911" w:type="pct"/>
                  <w:noWrap w:val="0"/>
                  <w:vAlign w:val="center"/>
                </w:tcPr>
                <w:p>
                  <w:pPr>
                    <w:adjustRightInd w:val="0"/>
                    <w:snapToGrid w:val="0"/>
                    <w:jc w:val="both"/>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有毒有害成分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78" w:type="pct"/>
                  <w:vMerge w:val="restart"/>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原料</w:t>
                  </w:r>
                </w:p>
              </w:tc>
              <w:tc>
                <w:tcPr>
                  <w:tcW w:w="1422" w:type="dxa"/>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lang w:val="en-US" w:eastAsia="zh-CN"/>
                    </w:rPr>
                    <w:t>PC胶粒</w:t>
                  </w:r>
                </w:p>
              </w:tc>
              <w:tc>
                <w:tcPr>
                  <w:tcW w:w="693" w:type="pct"/>
                  <w:noWrap w:val="0"/>
                  <w:vAlign w:val="center"/>
                </w:tcPr>
                <w:p>
                  <w:pPr>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1</w:t>
                  </w:r>
                  <w:r>
                    <w:rPr>
                      <w:rFonts w:hint="default" w:ascii="Times New Roman" w:hAnsi="Times New Roman" w:eastAsia="宋体" w:cs="Times New Roman"/>
                      <w:i w:val="0"/>
                      <w:iCs w:val="0"/>
                      <w:color w:val="auto"/>
                      <w:kern w:val="2"/>
                      <w:sz w:val="21"/>
                      <w:szCs w:val="21"/>
                      <w:highlight w:val="none"/>
                      <w:lang w:val="en-US" w:eastAsia="zh-CN" w:bidi="ar-SA"/>
                    </w:rPr>
                    <w:t>0</w:t>
                  </w:r>
                  <w:r>
                    <w:rPr>
                      <w:rFonts w:hint="eastAsia" w:ascii="Times New Roman" w:hAnsi="Times New Roman" w:eastAsia="宋体" w:cs="Times New Roman"/>
                      <w:i w:val="0"/>
                      <w:iCs w:val="0"/>
                      <w:color w:val="auto"/>
                      <w:kern w:val="2"/>
                      <w:sz w:val="21"/>
                      <w:szCs w:val="21"/>
                      <w:highlight w:val="none"/>
                      <w:lang w:val="en-US" w:eastAsia="zh-CN" w:bidi="ar-SA"/>
                    </w:rPr>
                    <w:t>t/a</w:t>
                  </w:r>
                </w:p>
              </w:tc>
              <w:tc>
                <w:tcPr>
                  <w:tcW w:w="103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1t</w:t>
                  </w:r>
                </w:p>
              </w:tc>
              <w:tc>
                <w:tcPr>
                  <w:tcW w:w="677" w:type="pct"/>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袋装</w:t>
                  </w:r>
                </w:p>
              </w:tc>
              <w:tc>
                <w:tcPr>
                  <w:tcW w:w="460" w:type="pct"/>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外购</w:t>
                  </w:r>
                </w:p>
              </w:tc>
              <w:tc>
                <w:tcPr>
                  <w:tcW w:w="911" w:type="pct"/>
                  <w:noWrap w:val="0"/>
                  <w:vAlign w:val="center"/>
                </w:tcPr>
                <w:p>
                  <w:pPr>
                    <w:adjustRightInd w:val="0"/>
                    <w:snapToGrid w:val="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78" w:type="pct"/>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1422" w:type="dxa"/>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rPr>
                    <w:t>ABS塑胶粒</w:t>
                  </w:r>
                </w:p>
              </w:tc>
              <w:tc>
                <w:tcPr>
                  <w:tcW w:w="693" w:type="pct"/>
                  <w:noWrap w:val="0"/>
                  <w:vAlign w:val="center"/>
                </w:tcPr>
                <w:p>
                  <w:pPr>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15t/a</w:t>
                  </w:r>
                </w:p>
              </w:tc>
              <w:tc>
                <w:tcPr>
                  <w:tcW w:w="103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1t</w:t>
                  </w:r>
                </w:p>
              </w:tc>
              <w:tc>
                <w:tcPr>
                  <w:tcW w:w="677" w:type="pct"/>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袋装</w:t>
                  </w:r>
                </w:p>
              </w:tc>
              <w:tc>
                <w:tcPr>
                  <w:tcW w:w="460" w:type="pct"/>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val="en-US" w:eastAsia="zh-CN"/>
                    </w:rPr>
                    <w:t>外购</w:t>
                  </w:r>
                </w:p>
              </w:tc>
              <w:tc>
                <w:tcPr>
                  <w:tcW w:w="911" w:type="pct"/>
                  <w:noWrap w:val="0"/>
                  <w:vAlign w:val="center"/>
                </w:tcPr>
                <w:p>
                  <w:pPr>
                    <w:adjustRightInd w:val="0"/>
                    <w:snapToGrid w:val="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378" w:type="pct"/>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1422" w:type="dxa"/>
                  <w:noWrap w:val="0"/>
                  <w:vAlign w:val="center"/>
                </w:tcPr>
                <w:p>
                  <w:pPr>
                    <w:jc w:val="center"/>
                    <w:rPr>
                      <w:rFonts w:hint="default" w:ascii="Times New Roman" w:hAnsi="Times New Roman" w:eastAsia="宋体" w:cs="Times New Roman"/>
                      <w:b w:val="0"/>
                      <w:bCs w:val="0"/>
                      <w:color w:val="auto"/>
                      <w:kern w:val="2"/>
                      <w:sz w:val="21"/>
                      <w:szCs w:val="21"/>
                      <w:highlight w:val="none"/>
                      <w:lang w:val="en-US" w:eastAsia="zh-CN" w:bidi="ar-SA"/>
                    </w:rPr>
                  </w:pPr>
                  <w:r>
                    <w:rPr>
                      <w:rFonts w:hint="eastAsia"/>
                      <w:b w:val="0"/>
                      <w:bCs w:val="0"/>
                      <w:color w:val="auto"/>
                      <w:lang w:val="en-US" w:eastAsia="zh-CN"/>
                    </w:rPr>
                    <w:t>PBT胶粒</w:t>
                  </w:r>
                </w:p>
              </w:tc>
              <w:tc>
                <w:tcPr>
                  <w:tcW w:w="693" w:type="pct"/>
                  <w:noWrap w:val="0"/>
                  <w:vAlign w:val="center"/>
                </w:tcPr>
                <w:p>
                  <w:pPr>
                    <w:jc w:val="center"/>
                    <w:rPr>
                      <w:rFonts w:hint="default" w:ascii="Times New Roman" w:hAnsi="Times New Roman" w:eastAsia="宋体" w:cs="Times New Roman"/>
                      <w:i w:val="0"/>
                      <w:iCs w:val="0"/>
                      <w:color w:val="auto"/>
                      <w:kern w:val="2"/>
                      <w:sz w:val="21"/>
                      <w:szCs w:val="21"/>
                      <w:highlight w:val="none"/>
                      <w:lang w:val="en-US" w:eastAsia="zh-CN" w:bidi="ar-SA"/>
                    </w:rPr>
                  </w:pPr>
                  <w:r>
                    <w:rPr>
                      <w:rFonts w:hint="eastAsia" w:ascii="Times New Roman" w:hAnsi="Times New Roman" w:eastAsia="宋体" w:cs="Times New Roman"/>
                      <w:i w:val="0"/>
                      <w:iCs w:val="0"/>
                      <w:color w:val="auto"/>
                      <w:kern w:val="2"/>
                      <w:sz w:val="21"/>
                      <w:szCs w:val="21"/>
                      <w:highlight w:val="none"/>
                      <w:lang w:val="en-US" w:eastAsia="zh-CN" w:bidi="ar-SA"/>
                    </w:rPr>
                    <w:t>30t/a</w:t>
                  </w:r>
                </w:p>
              </w:tc>
              <w:tc>
                <w:tcPr>
                  <w:tcW w:w="103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3t</w:t>
                  </w:r>
                </w:p>
              </w:tc>
              <w:tc>
                <w:tcPr>
                  <w:tcW w:w="677" w:type="pct"/>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eastAsia="zh-CN"/>
                    </w:rPr>
                    <w:t>袋装</w:t>
                  </w:r>
                </w:p>
              </w:tc>
              <w:tc>
                <w:tcPr>
                  <w:tcW w:w="460" w:type="pct"/>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外购</w:t>
                  </w:r>
                </w:p>
              </w:tc>
              <w:tc>
                <w:tcPr>
                  <w:tcW w:w="911" w:type="pct"/>
                  <w:noWrap w:val="0"/>
                  <w:vAlign w:val="center"/>
                </w:tcPr>
                <w:p>
                  <w:pPr>
                    <w:adjustRightInd w:val="0"/>
                    <w:snapToGrid w:val="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78" w:type="pct"/>
                  <w:vMerge w:val="restart"/>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辅料</w:t>
                  </w:r>
                </w:p>
              </w:tc>
              <w:tc>
                <w:tcPr>
                  <w:tcW w:w="838"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机油</w:t>
                  </w:r>
                </w:p>
              </w:tc>
              <w:tc>
                <w:tcPr>
                  <w:tcW w:w="693"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szCs w:val="21"/>
                      <w:highlight w:val="none"/>
                      <w:lang w:val="en-US" w:eastAsia="zh-CN"/>
                    </w:rPr>
                    <w:t>0.2</w:t>
                  </w:r>
                  <w:r>
                    <w:rPr>
                      <w:rFonts w:hint="default" w:ascii="Times New Roman" w:hAnsi="Times New Roman" w:cs="Times New Roman"/>
                      <w:color w:val="auto"/>
                      <w:szCs w:val="21"/>
                      <w:highlight w:val="none"/>
                      <w:lang w:val="en-US" w:eastAsia="zh-CN"/>
                    </w:rPr>
                    <w:t>吨</w:t>
                  </w:r>
                  <w:r>
                    <w:rPr>
                      <w:rFonts w:hint="default" w:ascii="Times New Roman" w:hAnsi="Times New Roman" w:eastAsia="宋体" w:cs="Times New Roman"/>
                      <w:i w:val="0"/>
                      <w:iCs w:val="0"/>
                      <w:color w:val="auto"/>
                      <w:kern w:val="2"/>
                      <w:sz w:val="21"/>
                      <w:szCs w:val="21"/>
                      <w:highlight w:val="none"/>
                      <w:lang w:val="en-US" w:eastAsia="zh-CN" w:bidi="ar-SA"/>
                    </w:rPr>
                    <w:t>/年</w:t>
                  </w:r>
                </w:p>
              </w:tc>
              <w:tc>
                <w:tcPr>
                  <w:tcW w:w="1039" w:type="pct"/>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0.</w:t>
                  </w:r>
                  <w:r>
                    <w:rPr>
                      <w:rFonts w:hint="eastAsia" w:ascii="Times New Roman" w:hAnsi="Times New Roman" w:cs="Times New Roman"/>
                      <w:color w:val="auto"/>
                      <w:szCs w:val="21"/>
                      <w:highlight w:val="none"/>
                      <w:lang w:val="en-US" w:eastAsia="zh-CN"/>
                    </w:rPr>
                    <w:t>02</w:t>
                  </w:r>
                  <w:r>
                    <w:rPr>
                      <w:rFonts w:hint="default" w:ascii="Times New Roman" w:hAnsi="Times New Roman" w:cs="Times New Roman"/>
                      <w:color w:val="auto"/>
                      <w:szCs w:val="21"/>
                      <w:highlight w:val="none"/>
                      <w:lang w:val="en-US" w:eastAsia="zh-CN"/>
                    </w:rPr>
                    <w:t>吨</w:t>
                  </w:r>
                </w:p>
              </w:tc>
              <w:tc>
                <w:tcPr>
                  <w:tcW w:w="677" w:type="pct"/>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桶装</w:t>
                  </w:r>
                </w:p>
              </w:tc>
              <w:tc>
                <w:tcPr>
                  <w:tcW w:w="460" w:type="pct"/>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val="en-US" w:eastAsia="zh-CN"/>
                    </w:rPr>
                    <w:t>外购</w:t>
                  </w:r>
                </w:p>
              </w:tc>
              <w:tc>
                <w:tcPr>
                  <w:tcW w:w="911" w:type="pct"/>
                  <w:noWrap w:val="0"/>
                  <w:vAlign w:val="center"/>
                </w:tcPr>
                <w:p>
                  <w:pPr>
                    <w:adjustRightInd w:val="0"/>
                    <w:snapToGrid w:val="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378" w:type="pct"/>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838" w:type="pct"/>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纸箱</w:t>
                  </w:r>
                </w:p>
              </w:tc>
              <w:tc>
                <w:tcPr>
                  <w:tcW w:w="693" w:type="pct"/>
                  <w:noWrap w:val="0"/>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50万个</w:t>
                  </w:r>
                  <w:r>
                    <w:rPr>
                      <w:rFonts w:hint="default" w:ascii="Times New Roman" w:hAnsi="Times New Roman" w:eastAsia="宋体" w:cs="Times New Roman"/>
                      <w:i w:val="0"/>
                      <w:iCs w:val="0"/>
                      <w:color w:val="auto"/>
                      <w:kern w:val="2"/>
                      <w:sz w:val="21"/>
                      <w:szCs w:val="21"/>
                      <w:highlight w:val="none"/>
                      <w:lang w:val="en-US" w:eastAsia="zh-CN" w:bidi="ar-SA"/>
                    </w:rPr>
                    <w:t>/年</w:t>
                  </w:r>
                </w:p>
              </w:tc>
              <w:tc>
                <w:tcPr>
                  <w:tcW w:w="1039"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万个</w:t>
                  </w:r>
                </w:p>
              </w:tc>
              <w:tc>
                <w:tcPr>
                  <w:tcW w:w="677" w:type="pct"/>
                  <w:noWrap w:val="0"/>
                  <w:vAlign w:val="center"/>
                </w:tcPr>
                <w:p>
                  <w:pPr>
                    <w:jc w:val="center"/>
                    <w:rPr>
                      <w:rFonts w:hint="default"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val="en-US" w:eastAsia="zh-CN"/>
                    </w:rPr>
                    <w:t>捆</w:t>
                  </w:r>
                  <w:r>
                    <w:rPr>
                      <w:rFonts w:hint="default" w:ascii="Times New Roman" w:hAnsi="Times New Roman" w:cs="Times New Roman"/>
                      <w:color w:val="auto"/>
                      <w:szCs w:val="21"/>
                      <w:highlight w:val="none"/>
                      <w:lang w:eastAsia="zh-CN"/>
                    </w:rPr>
                    <w:t>袋</w:t>
                  </w:r>
                </w:p>
              </w:tc>
              <w:tc>
                <w:tcPr>
                  <w:tcW w:w="460" w:type="pct"/>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val="en-US" w:eastAsia="zh-CN"/>
                    </w:rPr>
                    <w:t>外购</w:t>
                  </w:r>
                </w:p>
              </w:tc>
              <w:tc>
                <w:tcPr>
                  <w:tcW w:w="911" w:type="pct"/>
                  <w:noWrap w:val="0"/>
                  <w:vAlign w:val="center"/>
                </w:tcPr>
                <w:p>
                  <w:pPr>
                    <w:adjustRightInd w:val="0"/>
                    <w:snapToGrid w:val="0"/>
                    <w:jc w:val="center"/>
                    <w:rPr>
                      <w:rFonts w:hint="default" w:ascii="Times New Roman" w:hAnsi="Times New Roman"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378" w:type="pct"/>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838"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塑料袋</w:t>
                  </w:r>
                </w:p>
              </w:tc>
              <w:tc>
                <w:tcPr>
                  <w:tcW w:w="693"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100万个/年</w:t>
                  </w:r>
                </w:p>
              </w:tc>
              <w:tc>
                <w:tcPr>
                  <w:tcW w:w="1039"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10万个</w:t>
                  </w:r>
                </w:p>
              </w:tc>
              <w:tc>
                <w:tcPr>
                  <w:tcW w:w="677" w:type="pct"/>
                  <w:noWrap w:val="0"/>
                  <w:vAlign w:val="center"/>
                </w:tcPr>
                <w:p>
                  <w:pPr>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eastAsia="zh-CN"/>
                    </w:rPr>
                    <w:t>装袋</w:t>
                  </w:r>
                </w:p>
              </w:tc>
              <w:tc>
                <w:tcPr>
                  <w:tcW w:w="460" w:type="pct"/>
                  <w:noWrap w:val="0"/>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val="en-US" w:eastAsia="zh-CN"/>
                    </w:rPr>
                    <w:t>外购</w:t>
                  </w:r>
                </w:p>
              </w:tc>
              <w:tc>
                <w:tcPr>
                  <w:tcW w:w="911" w:type="pct"/>
                  <w:noWrap w:val="0"/>
                  <w:vAlign w:val="center"/>
                </w:tcPr>
                <w:p>
                  <w:pPr>
                    <w:adjustRightInd w:val="0"/>
                    <w:snapToGrid w:val="0"/>
                    <w:jc w:val="center"/>
                    <w:rPr>
                      <w:rFonts w:hint="default" w:ascii="Times New Roman" w:hAnsi="Times New Roman" w:cs="Times New Roman"/>
                      <w:bCs/>
                      <w:color w:val="auto"/>
                      <w:kern w:val="2"/>
                      <w:sz w:val="21"/>
                      <w:szCs w:val="21"/>
                      <w:highlight w:val="none"/>
                      <w:lang w:val="en-US" w:eastAsia="zh-CN" w:bidi="ar-SA"/>
                    </w:rPr>
                  </w:pPr>
                  <w:r>
                    <w:rPr>
                      <w:rFonts w:hint="default" w:ascii="Times New Roman" w:hAnsi="Times New Roman" w:cs="Times New Roman"/>
                      <w:bCs/>
                      <w:color w:val="auto"/>
                      <w:szCs w:val="21"/>
                      <w:highlight w:val="none"/>
                      <w:lang w:val="en-US" w:eastAsia="zh-CN"/>
                    </w:rPr>
                    <w:t>/</w:t>
                  </w:r>
                </w:p>
              </w:tc>
            </w:tr>
          </w:tbl>
          <w:p>
            <w:pPr>
              <w:adjustRightInd w:val="0"/>
              <w:snapToGrid w:val="0"/>
              <w:ind w:firstLine="422" w:firstLineChars="200"/>
              <w:jc w:val="center"/>
              <w:rPr>
                <w:rFonts w:hint="default" w:ascii="Times New Roman" w:hAnsi="Times New Roman" w:cs="Times New Roman"/>
                <w:b/>
                <w:color w:val="auto"/>
                <w:szCs w:val="21"/>
                <w:highlight w:val="none"/>
              </w:rPr>
            </w:pPr>
          </w:p>
          <w:p>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2-5</w:t>
            </w:r>
            <w:r>
              <w:rPr>
                <w:rFonts w:hint="default" w:ascii="Times New Roman" w:hAnsi="Times New Roman" w:cs="Times New Roman"/>
                <w:b/>
                <w:color w:val="auto"/>
                <w:szCs w:val="21"/>
                <w:highlight w:val="none"/>
              </w:rPr>
              <w:t>项目主要原辅材料理化性质一览表</w:t>
            </w:r>
          </w:p>
          <w:tbl>
            <w:tblPr>
              <w:tblStyle w:val="24"/>
              <w:tblW w:w="5069" w:type="pct"/>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5"/>
              <w:gridCol w:w="675"/>
              <w:gridCol w:w="405"/>
              <w:gridCol w:w="705"/>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03" w:type="pct"/>
                  <w:noWrap w:val="0"/>
                  <w:vAlign w:val="center"/>
                </w:tcPr>
                <w:p>
                  <w:pPr>
                    <w:jc w:val="center"/>
                    <w:rPr>
                      <w:b/>
                      <w:bCs/>
                      <w:color w:val="0C0C0C"/>
                      <w:szCs w:val="21"/>
                      <w:highlight w:val="none"/>
                    </w:rPr>
                  </w:pPr>
                  <w:r>
                    <w:rPr>
                      <w:rFonts w:hint="eastAsia"/>
                      <w:b/>
                      <w:bCs/>
                      <w:color w:val="0C0C0C"/>
                      <w:szCs w:val="21"/>
                      <w:highlight w:val="none"/>
                    </w:rPr>
                    <w:t>序号</w:t>
                  </w:r>
                </w:p>
              </w:tc>
              <w:tc>
                <w:tcPr>
                  <w:tcW w:w="398" w:type="pct"/>
                  <w:noWrap w:val="0"/>
                  <w:vAlign w:val="center"/>
                </w:tcPr>
                <w:p>
                  <w:pPr>
                    <w:jc w:val="center"/>
                    <w:rPr>
                      <w:b/>
                      <w:bCs/>
                      <w:color w:val="0C0C0C"/>
                      <w:szCs w:val="21"/>
                      <w:highlight w:val="none"/>
                    </w:rPr>
                  </w:pPr>
                  <w:r>
                    <w:rPr>
                      <w:rFonts w:hint="eastAsia"/>
                      <w:b/>
                      <w:bCs/>
                      <w:color w:val="0C0C0C"/>
                      <w:szCs w:val="21"/>
                      <w:highlight w:val="none"/>
                    </w:rPr>
                    <w:t>原辅材料</w:t>
                  </w:r>
                </w:p>
              </w:tc>
              <w:tc>
                <w:tcPr>
                  <w:tcW w:w="238" w:type="pct"/>
                  <w:noWrap w:val="0"/>
                  <w:vAlign w:val="center"/>
                </w:tcPr>
                <w:p>
                  <w:pPr>
                    <w:jc w:val="center"/>
                    <w:rPr>
                      <w:b/>
                      <w:bCs/>
                      <w:color w:val="0C0C0C"/>
                      <w:szCs w:val="21"/>
                      <w:highlight w:val="none"/>
                    </w:rPr>
                  </w:pPr>
                  <w:r>
                    <w:rPr>
                      <w:rFonts w:hint="eastAsia"/>
                      <w:b/>
                      <w:bCs/>
                      <w:color w:val="0C0C0C"/>
                      <w:szCs w:val="21"/>
                      <w:highlight w:val="none"/>
                    </w:rPr>
                    <w:t>形态</w:t>
                  </w:r>
                </w:p>
              </w:tc>
              <w:tc>
                <w:tcPr>
                  <w:tcW w:w="415" w:type="pct"/>
                  <w:noWrap w:val="0"/>
                  <w:vAlign w:val="center"/>
                </w:tcPr>
                <w:p>
                  <w:pPr>
                    <w:jc w:val="center"/>
                    <w:rPr>
                      <w:b/>
                      <w:bCs/>
                      <w:color w:val="0C0C0C"/>
                      <w:szCs w:val="21"/>
                      <w:highlight w:val="none"/>
                    </w:rPr>
                  </w:pPr>
                  <w:r>
                    <w:rPr>
                      <w:rFonts w:hint="eastAsia"/>
                      <w:b/>
                      <w:bCs/>
                      <w:color w:val="0C0C0C"/>
                      <w:szCs w:val="21"/>
                      <w:highlight w:val="none"/>
                    </w:rPr>
                    <w:t>危险特性</w:t>
                  </w:r>
                </w:p>
              </w:tc>
              <w:tc>
                <w:tcPr>
                  <w:tcW w:w="3743" w:type="pct"/>
                  <w:noWrap w:val="0"/>
                  <w:vAlign w:val="center"/>
                </w:tcPr>
                <w:p>
                  <w:pPr>
                    <w:jc w:val="center"/>
                    <w:rPr>
                      <w:b/>
                      <w:bCs/>
                      <w:color w:val="0C0C0C"/>
                      <w:szCs w:val="21"/>
                      <w:highlight w:val="none"/>
                    </w:rPr>
                  </w:pPr>
                  <w:r>
                    <w:rPr>
                      <w:rFonts w:hint="eastAsia"/>
                      <w:b/>
                      <w:bCs/>
                      <w:color w:val="0C0C0C"/>
                      <w:szCs w:val="21"/>
                      <w:highlight w:val="none"/>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6" w:hRule="atLeast"/>
              </w:trPr>
              <w:tc>
                <w:tcPr>
                  <w:tcW w:w="203" w:type="pct"/>
                  <w:noWrap w:val="0"/>
                  <w:vAlign w:val="center"/>
                </w:tcPr>
                <w:p>
                  <w:pPr>
                    <w:jc w:val="center"/>
                    <w:rPr>
                      <w:color w:val="0C0C0C"/>
                      <w:szCs w:val="21"/>
                      <w:highlight w:val="none"/>
                    </w:rPr>
                  </w:pPr>
                  <w:r>
                    <w:rPr>
                      <w:rFonts w:hint="eastAsia"/>
                      <w:color w:val="0C0C0C"/>
                      <w:szCs w:val="21"/>
                      <w:highlight w:val="none"/>
                    </w:rPr>
                    <w:t>1</w:t>
                  </w:r>
                </w:p>
              </w:tc>
              <w:tc>
                <w:tcPr>
                  <w:tcW w:w="398" w:type="pct"/>
                  <w:noWrap w:val="0"/>
                  <w:vAlign w:val="center"/>
                </w:tcPr>
                <w:p>
                  <w:pPr>
                    <w:jc w:val="center"/>
                    <w:rPr>
                      <w:rFonts w:hint="eastAsia" w:ascii="宋体" w:hAnsi="宋体" w:cs="宋体"/>
                      <w:color w:val="0C0C0C"/>
                      <w:szCs w:val="21"/>
                      <w:highlight w:val="none"/>
                    </w:rPr>
                  </w:pPr>
                  <w:r>
                    <w:rPr>
                      <w:rFonts w:hint="default" w:ascii="Times New Roman" w:hAnsi="Times New Roman" w:cs="Times New Roman"/>
                      <w:color w:val="0C0C0C"/>
                      <w:szCs w:val="21"/>
                      <w:highlight w:val="none"/>
                      <w:lang w:val="en-US" w:eastAsia="zh-CN"/>
                    </w:rPr>
                    <w:t>PC</w:t>
                  </w:r>
                  <w:r>
                    <w:rPr>
                      <w:rFonts w:hint="eastAsia" w:ascii="Times New Roman" w:hAnsi="Times New Roman" w:eastAsia="宋体" w:cs="Times New Roman"/>
                      <w:color w:val="auto"/>
                      <w:kern w:val="2"/>
                      <w:sz w:val="21"/>
                      <w:szCs w:val="21"/>
                      <w:highlight w:val="none"/>
                      <w:lang w:val="en-US" w:eastAsia="zh-CN" w:bidi="ar-SA"/>
                    </w:rPr>
                    <w:t>胶</w:t>
                  </w:r>
                  <w:r>
                    <w:rPr>
                      <w:rFonts w:hint="default" w:ascii="Times New Roman" w:hAnsi="Times New Roman" w:eastAsia="宋体" w:cs="Times New Roman"/>
                      <w:color w:val="auto"/>
                      <w:kern w:val="2"/>
                      <w:sz w:val="21"/>
                      <w:szCs w:val="21"/>
                      <w:highlight w:val="none"/>
                      <w:lang w:val="en-US" w:eastAsia="zh-CN" w:bidi="ar-SA"/>
                    </w:rPr>
                    <w:t>粒</w:t>
                  </w:r>
                </w:p>
              </w:tc>
              <w:tc>
                <w:tcPr>
                  <w:tcW w:w="238" w:type="pct"/>
                  <w:noWrap w:val="0"/>
                  <w:vAlign w:val="center"/>
                </w:tcPr>
                <w:p>
                  <w:pPr>
                    <w:jc w:val="center"/>
                    <w:rPr>
                      <w:rFonts w:hint="eastAsia" w:eastAsia="宋体"/>
                      <w:color w:val="0C0C0C"/>
                      <w:szCs w:val="21"/>
                      <w:highlight w:val="none"/>
                      <w:lang w:eastAsia="zh-CN"/>
                    </w:rPr>
                  </w:pPr>
                  <w:r>
                    <w:rPr>
                      <w:rFonts w:hint="eastAsia"/>
                      <w:color w:val="0C0C0C"/>
                      <w:szCs w:val="21"/>
                      <w:highlight w:val="none"/>
                      <w:lang w:eastAsia="zh-CN"/>
                    </w:rPr>
                    <w:t>固态</w:t>
                  </w:r>
                </w:p>
              </w:tc>
              <w:tc>
                <w:tcPr>
                  <w:tcW w:w="415" w:type="pct"/>
                  <w:noWrap w:val="0"/>
                  <w:vAlign w:val="center"/>
                </w:tcPr>
                <w:p>
                  <w:pPr>
                    <w:jc w:val="center"/>
                    <w:rPr>
                      <w:rFonts w:hint="eastAsia" w:eastAsia="宋体"/>
                      <w:color w:val="0C0C0C"/>
                      <w:szCs w:val="21"/>
                      <w:highlight w:val="none"/>
                      <w:lang w:eastAsia="zh-CN"/>
                    </w:rPr>
                  </w:pPr>
                  <w:r>
                    <w:rPr>
                      <w:rFonts w:hint="eastAsia"/>
                      <w:color w:val="0C0C0C"/>
                      <w:szCs w:val="21"/>
                      <w:highlight w:val="none"/>
                      <w:lang w:eastAsia="zh-CN"/>
                    </w:rPr>
                    <w:t>非危险品</w:t>
                  </w:r>
                </w:p>
              </w:tc>
              <w:tc>
                <w:tcPr>
                  <w:tcW w:w="3743" w:type="pct"/>
                  <w:noWrap w:val="0"/>
                  <w:vAlign w:val="center"/>
                </w:tcPr>
                <w:p>
                  <w:pPr>
                    <w:rPr>
                      <w:rFonts w:hint="default" w:eastAsia="宋体"/>
                      <w:color w:val="0C0C0C"/>
                      <w:szCs w:val="21"/>
                      <w:highlight w:val="none"/>
                      <w:lang w:val="en-US" w:eastAsia="zh-CN"/>
                    </w:rPr>
                  </w:pPr>
                  <w:r>
                    <w:rPr>
                      <w:rFonts w:hint="default" w:ascii="Times New Roman" w:hAnsi="Times New Roman" w:cs="Times New Roman"/>
                      <w:color w:val="0C0C0C"/>
                      <w:szCs w:val="21"/>
                      <w:highlight w:val="none"/>
                    </w:rPr>
                    <w:t>中文名为非结晶性</w:t>
                  </w:r>
                  <w:r>
                    <w:rPr>
                      <w:rFonts w:hint="default" w:ascii="Times New Roman" w:hAnsi="Times New Roman" w:cs="Times New Roman"/>
                      <w:color w:val="0C0C0C"/>
                      <w:szCs w:val="21"/>
                      <w:highlight w:val="none"/>
                    </w:rPr>
                    <w:fldChar w:fldCharType="begin"/>
                  </w:r>
                  <w:r>
                    <w:rPr>
                      <w:rFonts w:hint="default" w:ascii="Times New Roman" w:hAnsi="Times New Roman" w:cs="Times New Roman"/>
                      <w:color w:val="0C0C0C"/>
                      <w:szCs w:val="21"/>
                      <w:highlight w:val="none"/>
                    </w:rPr>
                    <w:instrText xml:space="preserve"> HYPERLINK "https://baike.so.com/doc/5850494-6063332.html" \t "https://baike.so.com/doc/_blank" </w:instrText>
                  </w:r>
                  <w:r>
                    <w:rPr>
                      <w:rFonts w:hint="default" w:ascii="Times New Roman" w:hAnsi="Times New Roman" w:cs="Times New Roman"/>
                      <w:color w:val="0C0C0C"/>
                      <w:szCs w:val="21"/>
                      <w:highlight w:val="none"/>
                    </w:rPr>
                    <w:fldChar w:fldCharType="separate"/>
                  </w:r>
                  <w:r>
                    <w:rPr>
                      <w:rFonts w:hint="default" w:ascii="Times New Roman" w:hAnsi="Times New Roman" w:cs="Times New Roman"/>
                      <w:color w:val="0C0C0C"/>
                      <w:szCs w:val="21"/>
                      <w:highlight w:val="none"/>
                    </w:rPr>
                    <w:t>热塑性塑料</w:t>
                  </w:r>
                  <w:r>
                    <w:rPr>
                      <w:rFonts w:hint="default" w:ascii="Times New Roman" w:hAnsi="Times New Roman" w:cs="Times New Roman"/>
                      <w:color w:val="0C0C0C"/>
                      <w:szCs w:val="21"/>
                      <w:highlight w:val="none"/>
                    </w:rPr>
                    <w:fldChar w:fldCharType="end"/>
                  </w:r>
                  <w:r>
                    <w:rPr>
                      <w:rFonts w:hint="default" w:ascii="Times New Roman" w:hAnsi="Times New Roman" w:cs="Times New Roman"/>
                      <w:color w:val="0C0C0C"/>
                      <w:szCs w:val="21"/>
                      <w:highlight w:val="none"/>
                    </w:rPr>
                    <w:t>，外观透明而轻，密度为</w:t>
                  </w:r>
                  <w:r>
                    <w:rPr>
                      <w:rFonts w:hint="eastAsia" w:ascii="Times New Roman" w:hAnsi="Times New Roman" w:cs="Times New Roman"/>
                      <w:color w:val="0C0C0C"/>
                      <w:szCs w:val="21"/>
                      <w:highlight w:val="none"/>
                      <w:lang w:val="en-US" w:eastAsia="zh-CN"/>
                    </w:rPr>
                    <w:t>1.20</w:t>
                  </w:r>
                  <w:r>
                    <w:rPr>
                      <w:rFonts w:hint="default" w:ascii="Times New Roman" w:hAnsi="Times New Roman" w:cs="Times New Roman"/>
                      <w:color w:val="0C0C0C"/>
                      <w:szCs w:val="21"/>
                      <w:highlight w:val="none"/>
                    </w:rPr>
                    <w:t>～</w:t>
                  </w:r>
                  <w:r>
                    <w:rPr>
                      <w:rFonts w:hint="eastAsia" w:ascii="Times New Roman" w:hAnsi="Times New Roman" w:cs="Times New Roman"/>
                      <w:color w:val="0C0C0C"/>
                      <w:szCs w:val="21"/>
                      <w:highlight w:val="none"/>
                      <w:lang w:val="en-US" w:eastAsia="zh-CN"/>
                    </w:rPr>
                    <w:t>1.22</w:t>
                  </w:r>
                  <w:r>
                    <w:rPr>
                      <w:rFonts w:hint="default" w:ascii="Times New Roman" w:hAnsi="Times New Roman" w:cs="Times New Roman"/>
                      <w:color w:val="0C0C0C"/>
                      <w:szCs w:val="21"/>
                      <w:highlight w:val="none"/>
                    </w:rPr>
                    <w:t>g/cm</w:t>
                  </w:r>
                  <w:r>
                    <w:rPr>
                      <w:rFonts w:hint="default" w:ascii="Times New Roman" w:hAnsi="Times New Roman" w:cs="Times New Roman"/>
                      <w:color w:val="0C0C0C"/>
                      <w:szCs w:val="21"/>
                      <w:highlight w:val="none"/>
                      <w:vertAlign w:val="superscript"/>
                    </w:rPr>
                    <w:t>3</w:t>
                  </w:r>
                  <w:r>
                    <w:rPr>
                      <w:rFonts w:hint="default" w:ascii="Times New Roman" w:hAnsi="Times New Roman" w:cs="Times New Roman"/>
                      <w:color w:val="0C0C0C"/>
                      <w:szCs w:val="21"/>
                      <w:highlight w:val="none"/>
                    </w:rPr>
                    <w:t>，</w:t>
                  </w:r>
                  <w:r>
                    <w:rPr>
                      <w:rFonts w:hint="eastAsia" w:ascii="Times New Roman" w:hAnsi="Times New Roman" w:cs="Times New Roman"/>
                      <w:color w:val="0C0C0C"/>
                      <w:szCs w:val="21"/>
                      <w:highlight w:val="none"/>
                      <w:lang w:val="en-US" w:eastAsia="zh-CN"/>
                    </w:rPr>
                    <w:t>具有可燃性</w:t>
                  </w:r>
                  <w:r>
                    <w:rPr>
                      <w:rFonts w:hint="default" w:ascii="Times New Roman" w:hAnsi="Times New Roman" w:cs="Times New Roman"/>
                      <w:color w:val="0C0C0C"/>
                      <w:szCs w:val="21"/>
                      <w:highlight w:val="none"/>
                    </w:rPr>
                    <w:t>，使用温度范围为-</w:t>
                  </w:r>
                  <w:r>
                    <w:rPr>
                      <w:rFonts w:hint="eastAsia" w:ascii="Times New Roman" w:hAnsi="Times New Roman" w:cs="Times New Roman"/>
                      <w:color w:val="0C0C0C"/>
                      <w:szCs w:val="21"/>
                      <w:highlight w:val="none"/>
                      <w:lang w:val="en-US" w:eastAsia="zh-CN"/>
                    </w:rPr>
                    <w:t>100</w:t>
                  </w:r>
                  <w:r>
                    <w:rPr>
                      <w:rFonts w:hint="default" w:ascii="Times New Roman" w:hAnsi="Times New Roman" w:cs="Times New Roman"/>
                      <w:color w:val="0C0C0C"/>
                      <w:szCs w:val="21"/>
                      <w:highlight w:val="none"/>
                    </w:rPr>
                    <w:t>～</w:t>
                  </w:r>
                  <w:r>
                    <w:rPr>
                      <w:rFonts w:hint="eastAsia" w:ascii="Times New Roman" w:hAnsi="Times New Roman" w:cs="Times New Roman"/>
                      <w:color w:val="0C0C0C"/>
                      <w:szCs w:val="21"/>
                      <w:highlight w:val="none"/>
                      <w:lang w:val="en-US" w:eastAsia="zh-CN"/>
                    </w:rPr>
                    <w:t>300</w:t>
                  </w:r>
                  <w:r>
                    <w:rPr>
                      <w:rFonts w:hint="default" w:ascii="Times New Roman" w:hAnsi="Times New Roman" w:cs="Times New Roman"/>
                      <w:color w:val="0C0C0C"/>
                      <w:szCs w:val="21"/>
                      <w:highlight w:val="none"/>
                    </w:rPr>
                    <w:t>℃。</w:t>
                  </w:r>
                  <w:r>
                    <w:rPr>
                      <w:rFonts w:hint="eastAsia" w:ascii="Times New Roman" w:hAnsi="Times New Roman" w:cs="Times New Roman"/>
                      <w:color w:val="0C0C0C"/>
                      <w:szCs w:val="21"/>
                      <w:highlight w:val="none"/>
                      <w:lang w:val="en-US" w:eastAsia="zh-CN"/>
                    </w:rPr>
                    <w:t>加工温度在200℃左右</w:t>
                  </w:r>
                  <w:r>
                    <w:rPr>
                      <w:rFonts w:hint="eastAsia" w:ascii="Times New Roman" w:hAnsi="Times New Roman" w:cs="Times New Roman"/>
                      <w:color w:val="0C0C0C"/>
                      <w:szCs w:val="21"/>
                      <w:highlight w:val="none"/>
                      <w:lang w:eastAsia="zh-CN"/>
                    </w:rPr>
                    <w:t>，</w:t>
                  </w:r>
                  <w:r>
                    <w:rPr>
                      <w:rFonts w:hint="eastAsia" w:ascii="Times New Roman" w:hAnsi="Times New Roman" w:eastAsia="宋体" w:cs="Times New Roman"/>
                      <w:bCs/>
                      <w:kern w:val="2"/>
                      <w:sz w:val="21"/>
                      <w:szCs w:val="21"/>
                      <w:highlight w:val="none"/>
                    </w:rPr>
                    <w:t>分解温度</w:t>
                  </w:r>
                  <w:r>
                    <w:rPr>
                      <w:rFonts w:hint="eastAsia" w:ascii="Times New Roman" w:hAnsi="Times New Roman" w:eastAsia="宋体" w:cs="Times New Roman"/>
                      <w:bCs/>
                      <w:kern w:val="2"/>
                      <w:sz w:val="21"/>
                      <w:szCs w:val="21"/>
                      <w:highlight w:val="none"/>
                      <w:lang w:val="en-US" w:eastAsia="zh-CN"/>
                    </w:rPr>
                    <w:t>在350</w:t>
                  </w:r>
                  <w:r>
                    <w:rPr>
                      <w:rFonts w:hint="eastAsia" w:ascii="Times New Roman" w:hAnsi="Times New Roman" w:eastAsia="宋体" w:cs="Times New Roman"/>
                      <w:bCs/>
                      <w:kern w:val="2"/>
                      <w:sz w:val="21"/>
                      <w:szCs w:val="21"/>
                      <w:highlight w:val="none"/>
                    </w:rPr>
                    <w:t>℃</w:t>
                  </w:r>
                  <w:r>
                    <w:rPr>
                      <w:rFonts w:hint="default" w:ascii="Times New Roman" w:hAnsi="Times New Roman" w:cs="Times New Roman"/>
                      <w:color w:val="0C0C0C"/>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203" w:type="pct"/>
                  <w:noWrap w:val="0"/>
                  <w:vAlign w:val="center"/>
                </w:tcPr>
                <w:p>
                  <w:pPr>
                    <w:jc w:val="center"/>
                    <w:rPr>
                      <w:rFonts w:hint="eastAsia"/>
                      <w:color w:val="0C0C0C"/>
                      <w:szCs w:val="21"/>
                      <w:highlight w:val="none"/>
                    </w:rPr>
                  </w:pPr>
                  <w:r>
                    <w:rPr>
                      <w:rFonts w:hint="eastAsia"/>
                      <w:color w:val="0C0C0C"/>
                      <w:szCs w:val="21"/>
                      <w:highlight w:val="none"/>
                    </w:rPr>
                    <w:t>2</w:t>
                  </w:r>
                </w:p>
              </w:tc>
              <w:tc>
                <w:tcPr>
                  <w:tcW w:w="398" w:type="pct"/>
                  <w:noWrap w:val="0"/>
                  <w:vAlign w:val="center"/>
                </w:tcPr>
                <w:p>
                  <w:pPr>
                    <w:jc w:val="center"/>
                    <w:rPr>
                      <w:rFonts w:hint="eastAsia" w:ascii="宋体" w:hAnsi="宋体" w:cs="宋体"/>
                      <w:color w:val="0C0C0C"/>
                      <w:szCs w:val="21"/>
                      <w:highlight w:val="none"/>
                    </w:rPr>
                  </w:pPr>
                  <w:r>
                    <w:rPr>
                      <w:rFonts w:hint="default" w:ascii="Times New Roman" w:hAnsi="Times New Roman" w:cs="Times New Roman"/>
                      <w:color w:val="0C0C0C"/>
                      <w:szCs w:val="21"/>
                      <w:highlight w:val="none"/>
                      <w:lang w:val="en-US" w:eastAsia="zh-CN"/>
                    </w:rPr>
                    <w:t>PBT</w:t>
                  </w:r>
                  <w:r>
                    <w:rPr>
                      <w:rFonts w:hint="eastAsia" w:ascii="宋体" w:hAnsi="宋体" w:cs="宋体"/>
                      <w:color w:val="0C0C0C"/>
                      <w:szCs w:val="21"/>
                      <w:highlight w:val="none"/>
                      <w:lang w:val="en-US" w:eastAsia="zh-CN"/>
                    </w:rPr>
                    <w:t>胶粒</w:t>
                  </w:r>
                </w:p>
              </w:tc>
              <w:tc>
                <w:tcPr>
                  <w:tcW w:w="238" w:type="pct"/>
                  <w:noWrap w:val="0"/>
                  <w:vAlign w:val="center"/>
                </w:tcPr>
                <w:p>
                  <w:pPr>
                    <w:jc w:val="center"/>
                    <w:rPr>
                      <w:color w:val="0C0C0C"/>
                      <w:kern w:val="2"/>
                      <w:sz w:val="21"/>
                      <w:szCs w:val="21"/>
                      <w:highlight w:val="none"/>
                      <w:lang w:val="en-US" w:eastAsia="zh-CN" w:bidi="ar-SA"/>
                    </w:rPr>
                  </w:pPr>
                  <w:r>
                    <w:rPr>
                      <w:rFonts w:hint="eastAsia"/>
                      <w:color w:val="0C0C0C"/>
                      <w:szCs w:val="21"/>
                      <w:highlight w:val="none"/>
                      <w:lang w:eastAsia="zh-CN"/>
                    </w:rPr>
                    <w:t>固态</w:t>
                  </w:r>
                </w:p>
              </w:tc>
              <w:tc>
                <w:tcPr>
                  <w:tcW w:w="415" w:type="pct"/>
                  <w:noWrap w:val="0"/>
                  <w:vAlign w:val="center"/>
                </w:tcPr>
                <w:p>
                  <w:pPr>
                    <w:jc w:val="center"/>
                    <w:rPr>
                      <w:color w:val="0C0C0C"/>
                      <w:szCs w:val="21"/>
                      <w:highlight w:val="none"/>
                    </w:rPr>
                  </w:pPr>
                  <w:r>
                    <w:rPr>
                      <w:rFonts w:hint="eastAsia"/>
                      <w:color w:val="0C0C0C"/>
                      <w:szCs w:val="21"/>
                      <w:highlight w:val="none"/>
                      <w:lang w:eastAsia="zh-CN"/>
                    </w:rPr>
                    <w:t>非危险品</w:t>
                  </w:r>
                </w:p>
              </w:tc>
              <w:tc>
                <w:tcPr>
                  <w:tcW w:w="3743" w:type="pct"/>
                  <w:noWrap w:val="0"/>
                  <w:vAlign w:val="center"/>
                </w:tcPr>
                <w:p>
                  <w:pPr>
                    <w:rPr>
                      <w:rFonts w:hint="default" w:eastAsiaTheme="minorEastAsia"/>
                      <w:bCs/>
                      <w:color w:val="0C0C0C"/>
                      <w:szCs w:val="21"/>
                      <w:highlight w:val="none"/>
                      <w:vertAlign w:val="baseline"/>
                      <w:lang w:val="en-US" w:eastAsia="zh-CN"/>
                    </w:rPr>
                  </w:pPr>
                  <w:r>
                    <w:rPr>
                      <w:rFonts w:hint="eastAsia"/>
                      <w:bCs/>
                      <w:color w:val="0C0C0C"/>
                      <w:szCs w:val="21"/>
                      <w:highlight w:val="none"/>
                      <w:lang w:val="en-US" w:eastAsia="zh-CN"/>
                    </w:rPr>
                    <w:t>PBT胶粒中文名为聚丁烯对苯二甲酸酯。分解温度在252-253</w:t>
                  </w:r>
                  <w:r>
                    <w:rPr>
                      <w:rFonts w:hint="eastAsia" w:ascii="宋体" w:hAnsi="宋体" w:eastAsia="宋体" w:cs="宋体"/>
                      <w:color w:val="0C0C0C"/>
                      <w:szCs w:val="21"/>
                      <w:highlight w:val="none"/>
                      <w:lang w:val="en-US" w:eastAsia="zh-CN"/>
                    </w:rPr>
                    <w:t>℃</w:t>
                  </w:r>
                  <w:r>
                    <w:rPr>
                      <w:rFonts w:hint="eastAsia"/>
                      <w:color w:val="0C0C0C"/>
                      <w:szCs w:val="21"/>
                      <w:highlight w:val="none"/>
                      <w:lang w:val="en-US" w:eastAsia="zh-CN"/>
                    </w:rPr>
                    <w:t>，</w:t>
                  </w:r>
                  <w:r>
                    <w:rPr>
                      <w:rFonts w:hint="eastAsia"/>
                      <w:bCs/>
                      <w:color w:val="0C0C0C"/>
                      <w:szCs w:val="21"/>
                      <w:highlight w:val="none"/>
                      <w:lang w:val="en-US" w:eastAsia="zh-CN"/>
                    </w:rPr>
                    <w:t>注塑温度：90-100℃，模具温度90-105℃。具有可燃性。密度为1.24-1.48</w:t>
                  </w:r>
                  <w:r>
                    <w:rPr>
                      <w:rFonts w:hint="default" w:ascii="Times New Roman" w:hAnsi="Times New Roman" w:cs="Times New Roman"/>
                      <w:color w:val="0C0C0C"/>
                      <w:szCs w:val="21"/>
                      <w:highlight w:val="none"/>
                    </w:rPr>
                    <w:t>g/cm</w:t>
                  </w:r>
                  <w:r>
                    <w:rPr>
                      <w:rFonts w:hint="default" w:ascii="Times New Roman" w:hAnsi="Times New Roman" w:cs="Times New Roman"/>
                      <w:color w:val="0C0C0C"/>
                      <w:szCs w:val="21"/>
                      <w:highlight w:val="none"/>
                      <w:vertAlign w:val="superscript"/>
                    </w:rPr>
                    <w:t>3</w:t>
                  </w:r>
                  <w:r>
                    <w:rPr>
                      <w:rFonts w:hint="eastAsia" w:ascii="Times New Roman" w:hAnsi="Times New Roman" w:cs="Times New Roman"/>
                      <w:color w:val="0C0C0C"/>
                      <w:szCs w:val="21"/>
                      <w:highlight w:val="none"/>
                      <w:vertAlign w:val="baseline"/>
                      <w:lang w:eastAsia="zh-CN"/>
                    </w:rPr>
                    <w:t>。</w:t>
                  </w:r>
                  <w:r>
                    <w:rPr>
                      <w:rFonts w:hint="eastAsia" w:ascii="Times New Roman" w:hAnsi="Times New Roman" w:cs="Times New Roman"/>
                      <w:color w:val="0C0C0C"/>
                      <w:szCs w:val="21"/>
                      <w:highlight w:val="none"/>
                      <w:vertAlign w:val="baseline"/>
                      <w:lang w:val="en-US" w:eastAsia="zh-CN"/>
                    </w:rPr>
                    <w:t>分解温度在260℃以上。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3" w:type="pct"/>
                  <w:noWrap w:val="0"/>
                  <w:vAlign w:val="center"/>
                </w:tcPr>
                <w:p>
                  <w:pPr>
                    <w:jc w:val="center"/>
                    <w:rPr>
                      <w:rFonts w:hint="eastAsia"/>
                      <w:color w:val="0C0C0C"/>
                      <w:szCs w:val="21"/>
                      <w:highlight w:val="none"/>
                    </w:rPr>
                  </w:pPr>
                  <w:r>
                    <w:rPr>
                      <w:rFonts w:hint="eastAsia"/>
                      <w:color w:val="0C0C0C"/>
                      <w:szCs w:val="21"/>
                      <w:highlight w:val="none"/>
                    </w:rPr>
                    <w:t>3</w:t>
                  </w:r>
                </w:p>
              </w:tc>
              <w:tc>
                <w:tcPr>
                  <w:tcW w:w="398" w:type="pct"/>
                  <w:noWrap w:val="0"/>
                  <w:vAlign w:val="center"/>
                </w:tcPr>
                <w:p>
                  <w:pPr>
                    <w:jc w:val="center"/>
                    <w:rPr>
                      <w:rFonts w:hint="eastAsia" w:ascii="宋体" w:hAnsi="宋体" w:cs="宋体"/>
                      <w:color w:val="0C0C0C"/>
                      <w:szCs w:val="21"/>
                      <w:highlight w:val="none"/>
                    </w:rPr>
                  </w:pPr>
                  <w:r>
                    <w:rPr>
                      <w:rFonts w:hint="default" w:ascii="Times New Roman" w:hAnsi="Times New Roman" w:eastAsia="宋体" w:cs="Times New Roman"/>
                      <w:color w:val="auto"/>
                      <w:kern w:val="2"/>
                      <w:sz w:val="21"/>
                      <w:szCs w:val="21"/>
                      <w:highlight w:val="none"/>
                      <w:lang w:val="en-US" w:eastAsia="zh-CN" w:bidi="ar-SA"/>
                    </w:rPr>
                    <w:t>ABS</w:t>
                  </w:r>
                  <w:r>
                    <w:rPr>
                      <w:rFonts w:hint="eastAsia" w:ascii="Times New Roman" w:hAnsi="Times New Roman" w:eastAsia="宋体" w:cs="Times New Roman"/>
                      <w:color w:val="auto"/>
                      <w:kern w:val="2"/>
                      <w:sz w:val="21"/>
                      <w:szCs w:val="21"/>
                      <w:highlight w:val="none"/>
                      <w:lang w:val="en-US" w:eastAsia="zh-CN" w:bidi="ar-SA"/>
                    </w:rPr>
                    <w:t>胶</w:t>
                  </w:r>
                  <w:r>
                    <w:rPr>
                      <w:rFonts w:hint="default" w:ascii="Times New Roman" w:hAnsi="Times New Roman" w:eastAsia="宋体" w:cs="Times New Roman"/>
                      <w:color w:val="auto"/>
                      <w:kern w:val="2"/>
                      <w:sz w:val="21"/>
                      <w:szCs w:val="21"/>
                      <w:highlight w:val="none"/>
                      <w:lang w:val="en-US" w:eastAsia="zh-CN" w:bidi="ar-SA"/>
                    </w:rPr>
                    <w:t>粒</w:t>
                  </w:r>
                </w:p>
              </w:tc>
              <w:tc>
                <w:tcPr>
                  <w:tcW w:w="238" w:type="pct"/>
                  <w:noWrap w:val="0"/>
                  <w:vAlign w:val="center"/>
                </w:tcPr>
                <w:p>
                  <w:pPr>
                    <w:jc w:val="center"/>
                    <w:rPr>
                      <w:rFonts w:hint="eastAsia"/>
                      <w:color w:val="0C0C0C"/>
                      <w:szCs w:val="21"/>
                      <w:highlight w:val="none"/>
                    </w:rPr>
                  </w:pPr>
                  <w:r>
                    <w:rPr>
                      <w:rFonts w:hint="eastAsia"/>
                      <w:color w:val="0C0C0C"/>
                      <w:szCs w:val="21"/>
                      <w:highlight w:val="none"/>
                      <w:lang w:eastAsia="zh-CN"/>
                    </w:rPr>
                    <w:t>固态</w:t>
                  </w:r>
                </w:p>
              </w:tc>
              <w:tc>
                <w:tcPr>
                  <w:tcW w:w="415" w:type="pct"/>
                  <w:noWrap w:val="0"/>
                  <w:vAlign w:val="center"/>
                </w:tcPr>
                <w:p>
                  <w:pPr>
                    <w:jc w:val="center"/>
                    <w:rPr>
                      <w:rFonts w:hint="eastAsia"/>
                      <w:color w:val="0C0C0C"/>
                      <w:szCs w:val="21"/>
                      <w:highlight w:val="none"/>
                    </w:rPr>
                  </w:pPr>
                  <w:r>
                    <w:rPr>
                      <w:rFonts w:hint="eastAsia"/>
                      <w:color w:val="0C0C0C"/>
                      <w:szCs w:val="21"/>
                      <w:highlight w:val="none"/>
                      <w:lang w:eastAsia="zh-CN"/>
                    </w:rPr>
                    <w:t>非危险品</w:t>
                  </w:r>
                </w:p>
              </w:tc>
              <w:tc>
                <w:tcPr>
                  <w:tcW w:w="3743" w:type="pct"/>
                  <w:noWrap w:val="0"/>
                  <w:vAlign w:val="center"/>
                </w:tcPr>
                <w:p>
                  <w:pPr>
                    <w:rPr>
                      <w:rFonts w:hint="default" w:ascii="Times New Roman" w:hAnsi="Times New Roman" w:eastAsia="宋体" w:cs="Times New Roman"/>
                      <w:color w:val="0C0C0C"/>
                      <w:szCs w:val="21"/>
                      <w:highlight w:val="none"/>
                      <w:lang w:val="en-US" w:eastAsia="zh-CN"/>
                    </w:rPr>
                  </w:pPr>
                  <w:r>
                    <w:rPr>
                      <w:rFonts w:hint="default" w:ascii="Times New Roman" w:hAnsi="Times New Roman" w:eastAsia="宋体" w:cs="Times New Roman"/>
                      <w:color w:val="0C0C0C"/>
                      <w:szCs w:val="21"/>
                      <w:highlight w:val="none"/>
                    </w:rPr>
                    <w:fldChar w:fldCharType="begin"/>
                  </w:r>
                  <w:r>
                    <w:rPr>
                      <w:rFonts w:hint="default" w:ascii="Times New Roman" w:hAnsi="Times New Roman" w:eastAsia="宋体" w:cs="Times New Roman"/>
                      <w:color w:val="0C0C0C"/>
                      <w:szCs w:val="21"/>
                      <w:highlight w:val="none"/>
                    </w:rPr>
                    <w:instrText xml:space="preserve"> HYPERLINK "https://baike.so.com/doc/6417243-6630915.html" \h </w:instrText>
                  </w:r>
                  <w:r>
                    <w:rPr>
                      <w:rFonts w:hint="default" w:ascii="Times New Roman" w:hAnsi="Times New Roman" w:eastAsia="宋体" w:cs="Times New Roman"/>
                      <w:color w:val="0C0C0C"/>
                      <w:szCs w:val="21"/>
                      <w:highlight w:val="none"/>
                    </w:rPr>
                    <w:fldChar w:fldCharType="separate"/>
                  </w:r>
                  <w:r>
                    <w:rPr>
                      <w:rFonts w:hint="default" w:ascii="Times New Roman" w:hAnsi="Times New Roman" w:eastAsia="宋体" w:cs="Times New Roman"/>
                      <w:color w:val="0C0C0C"/>
                      <w:szCs w:val="21"/>
                      <w:highlight w:val="none"/>
                    </w:rPr>
                    <w:t>丙烯腈-丁二烯-苯乙烯共聚物</w:t>
                  </w:r>
                  <w:r>
                    <w:rPr>
                      <w:rFonts w:hint="default" w:ascii="Times New Roman" w:hAnsi="Times New Roman" w:eastAsia="宋体" w:cs="Times New Roman"/>
                      <w:color w:val="0C0C0C"/>
                      <w:szCs w:val="21"/>
                      <w:highlight w:val="none"/>
                    </w:rPr>
                    <w:fldChar w:fldCharType="end"/>
                  </w:r>
                  <w:r>
                    <w:rPr>
                      <w:rFonts w:hint="default" w:ascii="Times New Roman" w:hAnsi="Times New Roman" w:eastAsia="宋体" w:cs="Times New Roman"/>
                      <w:color w:val="0C0C0C"/>
                      <w:szCs w:val="21"/>
                      <w:highlight w:val="none"/>
                    </w:rPr>
                    <w:t>（简称ABS）是由丙烯腈、丁二烯和苯乙烯组成的三元共聚物，密度为1.05-1.18g/cm</w:t>
                  </w:r>
                  <w:r>
                    <w:rPr>
                      <w:rFonts w:hint="default" w:ascii="Times New Roman" w:hAnsi="Times New Roman" w:eastAsia="宋体" w:cs="Times New Roman"/>
                      <w:color w:val="0C0C0C"/>
                      <w:szCs w:val="21"/>
                      <w:highlight w:val="none"/>
                      <w:vertAlign w:val="superscript"/>
                    </w:rPr>
                    <w:t>3</w:t>
                  </w:r>
                  <w:r>
                    <w:rPr>
                      <w:rFonts w:hint="default" w:ascii="Times New Roman" w:hAnsi="Times New Roman" w:eastAsia="宋体" w:cs="Times New Roman"/>
                      <w:color w:val="0C0C0C"/>
                      <w:szCs w:val="21"/>
                      <w:highlight w:val="none"/>
                    </w:rPr>
                    <w:t>，热变形温度93-118℃，热分解温度在270℃以上。ABS通常为浅黄色或乳白色的粒料非结晶性树脂，有一定的韧性；其抗冲击性、耐热性、耐低温性、耐化学药品性及电气性能优良，还具有易加工、制品尺寸稳定、表面光泽性好等特点，容易涂装、着色，还可以进行表面喷镀金属、</w:t>
                  </w:r>
                  <w:r>
                    <w:rPr>
                      <w:rFonts w:hint="default" w:ascii="Times New Roman" w:hAnsi="Times New Roman" w:eastAsia="宋体" w:cs="Times New Roman"/>
                      <w:color w:val="0C0C0C"/>
                      <w:szCs w:val="21"/>
                      <w:highlight w:val="none"/>
                    </w:rPr>
                    <w:fldChar w:fldCharType="begin"/>
                  </w:r>
                  <w:r>
                    <w:rPr>
                      <w:rFonts w:hint="default" w:ascii="Times New Roman" w:hAnsi="Times New Roman" w:eastAsia="宋体" w:cs="Times New Roman"/>
                      <w:color w:val="0C0C0C"/>
                      <w:szCs w:val="21"/>
                      <w:highlight w:val="none"/>
                    </w:rPr>
                    <w:instrText xml:space="preserve"> HYPERLINK "https://baike.so.com/doc/45538-47576.html" \h </w:instrText>
                  </w:r>
                  <w:r>
                    <w:rPr>
                      <w:rFonts w:hint="default" w:ascii="Times New Roman" w:hAnsi="Times New Roman" w:eastAsia="宋体" w:cs="Times New Roman"/>
                      <w:color w:val="0C0C0C"/>
                      <w:szCs w:val="21"/>
                      <w:highlight w:val="none"/>
                    </w:rPr>
                    <w:fldChar w:fldCharType="separate"/>
                  </w:r>
                  <w:r>
                    <w:rPr>
                      <w:rFonts w:hint="default" w:ascii="Times New Roman" w:hAnsi="Times New Roman" w:eastAsia="宋体" w:cs="Times New Roman"/>
                      <w:color w:val="0C0C0C"/>
                      <w:szCs w:val="21"/>
                      <w:highlight w:val="none"/>
                    </w:rPr>
                    <w:t>电镀</w:t>
                  </w:r>
                  <w:r>
                    <w:rPr>
                      <w:rFonts w:hint="default" w:ascii="Times New Roman" w:hAnsi="Times New Roman" w:eastAsia="宋体" w:cs="Times New Roman"/>
                      <w:color w:val="0C0C0C"/>
                      <w:szCs w:val="21"/>
                      <w:highlight w:val="none"/>
                    </w:rPr>
                    <w:fldChar w:fldCharType="end"/>
                  </w:r>
                  <w:r>
                    <w:rPr>
                      <w:rFonts w:hint="default" w:ascii="Times New Roman" w:hAnsi="Times New Roman" w:eastAsia="宋体" w:cs="Times New Roman"/>
                      <w:color w:val="0C0C0C"/>
                      <w:szCs w:val="21"/>
                      <w:highlight w:val="none"/>
                    </w:rPr>
                    <w:t>、焊接、热压和粘接等二次加工，广泛应用于机械、汽车、电子电器、仪器仪表、纺织和建筑等工业领域，是一种用途极广的热塑性工程塑料。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203" w:type="pct"/>
                  <w:noWrap w:val="0"/>
                  <w:vAlign w:val="center"/>
                </w:tcPr>
                <w:p>
                  <w:pPr>
                    <w:jc w:val="center"/>
                    <w:rPr>
                      <w:rFonts w:hint="default" w:eastAsia="宋体"/>
                      <w:color w:val="0C0C0C"/>
                      <w:szCs w:val="21"/>
                      <w:highlight w:val="none"/>
                      <w:lang w:val="en-US" w:eastAsia="zh-CN"/>
                    </w:rPr>
                  </w:pPr>
                  <w:r>
                    <w:rPr>
                      <w:rFonts w:hint="eastAsia" w:eastAsia="宋体"/>
                      <w:color w:val="0C0C0C"/>
                      <w:szCs w:val="21"/>
                      <w:highlight w:val="none"/>
                      <w:lang w:val="en-US" w:eastAsia="zh-CN"/>
                    </w:rPr>
                    <w:t>4</w:t>
                  </w:r>
                </w:p>
              </w:tc>
              <w:tc>
                <w:tcPr>
                  <w:tcW w:w="398" w:type="pct"/>
                  <w:noWrap w:val="0"/>
                  <w:vAlign w:val="center"/>
                </w:tcPr>
                <w:p>
                  <w:pPr>
                    <w:jc w:val="center"/>
                    <w:rPr>
                      <w:rFonts w:hint="eastAsia" w:ascii="宋体" w:hAnsi="宋体" w:cs="宋体"/>
                      <w:color w:val="0C0C0C"/>
                      <w:szCs w:val="21"/>
                      <w:highlight w:val="none"/>
                    </w:rPr>
                  </w:pPr>
                  <w:r>
                    <w:rPr>
                      <w:rFonts w:hint="eastAsia" w:ascii="宋体" w:hAnsi="宋体" w:cs="宋体"/>
                      <w:color w:val="0C0C0C"/>
                      <w:szCs w:val="21"/>
                      <w:highlight w:val="none"/>
                    </w:rPr>
                    <w:t>机油</w:t>
                  </w:r>
                </w:p>
              </w:tc>
              <w:tc>
                <w:tcPr>
                  <w:tcW w:w="238" w:type="pct"/>
                  <w:noWrap w:val="0"/>
                  <w:vAlign w:val="center"/>
                </w:tcPr>
                <w:p>
                  <w:pPr>
                    <w:jc w:val="center"/>
                    <w:rPr>
                      <w:rFonts w:hint="eastAsia"/>
                      <w:color w:val="0C0C0C"/>
                      <w:szCs w:val="21"/>
                      <w:highlight w:val="none"/>
                    </w:rPr>
                  </w:pPr>
                  <w:r>
                    <w:rPr>
                      <w:rFonts w:hint="eastAsia"/>
                      <w:color w:val="0C0C0C"/>
                      <w:szCs w:val="21"/>
                      <w:highlight w:val="none"/>
                    </w:rPr>
                    <w:t>液态</w:t>
                  </w:r>
                </w:p>
              </w:tc>
              <w:tc>
                <w:tcPr>
                  <w:tcW w:w="415" w:type="pct"/>
                  <w:noWrap w:val="0"/>
                  <w:vAlign w:val="center"/>
                </w:tcPr>
                <w:p>
                  <w:pPr>
                    <w:jc w:val="center"/>
                    <w:rPr>
                      <w:rFonts w:hint="eastAsia"/>
                      <w:color w:val="0C0C0C"/>
                      <w:szCs w:val="21"/>
                      <w:highlight w:val="none"/>
                    </w:rPr>
                  </w:pPr>
                  <w:r>
                    <w:rPr>
                      <w:rFonts w:hint="eastAsia"/>
                      <w:color w:val="0C0C0C"/>
                      <w:szCs w:val="21"/>
                      <w:highlight w:val="none"/>
                    </w:rPr>
                    <w:t>危险品</w:t>
                  </w:r>
                </w:p>
              </w:tc>
              <w:tc>
                <w:tcPr>
                  <w:tcW w:w="3743" w:type="pct"/>
                  <w:noWrap w:val="0"/>
                  <w:vAlign w:val="center"/>
                </w:tcPr>
                <w:p>
                  <w:pPr>
                    <w:rPr>
                      <w:rFonts w:hint="eastAsia"/>
                      <w:bCs/>
                      <w:color w:val="0C0C0C"/>
                      <w:szCs w:val="21"/>
                      <w:highlight w:val="none"/>
                    </w:rPr>
                  </w:pPr>
                  <w:r>
                    <w:rPr>
                      <w:rFonts w:hint="eastAsia"/>
                      <w:bCs/>
                      <w:color w:val="0C0C0C"/>
                      <w:szCs w:val="21"/>
                      <w:highlight w:val="none"/>
                    </w:rPr>
                    <w:t>油状液体，淡黄色至褐色，无气味或略带异味，不溶于水。闪点76摄氏度，引燃温度284℃，遇明火、高热可燃。</w:t>
                  </w:r>
                </w:p>
              </w:tc>
            </w:tr>
          </w:tbl>
          <w:p>
            <w:pPr>
              <w:adjustRightInd w:val="0"/>
              <w:snapToGrid w:val="0"/>
              <w:spacing w:line="360" w:lineRule="auto"/>
              <w:rPr>
                <w:rFonts w:hint="default" w:ascii="Times New Roman" w:hAnsi="Times New Roman" w:cs="Times New Roman"/>
                <w:b/>
                <w:color w:val="auto"/>
                <w:sz w:val="24"/>
                <w:szCs w:val="21"/>
                <w:highlight w:val="none"/>
              </w:rPr>
            </w:pPr>
          </w:p>
          <w:p>
            <w:pPr>
              <w:adjustRightInd w:val="0"/>
              <w:snapToGrid w:val="0"/>
              <w:spacing w:line="360" w:lineRule="auto"/>
              <w:ind w:firstLine="482" w:firstLineChars="200"/>
              <w:rPr>
                <w:rFonts w:hint="default" w:ascii="Times New Roman" w:hAnsi="Times New Roman" w:cs="Times New Roman"/>
                <w:b/>
                <w:color w:val="auto"/>
                <w:szCs w:val="21"/>
                <w:highlight w:val="none"/>
              </w:rPr>
            </w:pPr>
            <w:r>
              <w:rPr>
                <w:rFonts w:hint="default" w:ascii="Times New Roman" w:hAnsi="Times New Roman" w:cs="Times New Roman"/>
                <w:b/>
                <w:color w:val="auto"/>
                <w:sz w:val="24"/>
                <w:szCs w:val="21"/>
                <w:highlight w:val="none"/>
              </w:rPr>
              <w:t>3、劳动定员及工作制度</w:t>
            </w:r>
          </w:p>
          <w:p>
            <w:pPr>
              <w:adjustRightInd w:val="0"/>
              <w:snapToGrid w:val="0"/>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2-6项目</w:t>
            </w:r>
            <w:r>
              <w:rPr>
                <w:rFonts w:hint="default" w:ascii="Times New Roman" w:hAnsi="Times New Roman" w:cs="Times New Roman"/>
                <w:b/>
                <w:color w:val="auto"/>
                <w:szCs w:val="21"/>
                <w:highlight w:val="none"/>
              </w:rPr>
              <w:t>劳动定员情况</w:t>
            </w:r>
          </w:p>
          <w:tbl>
            <w:tblPr>
              <w:tblStyle w:val="24"/>
              <w:tblW w:w="8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5"/>
              <w:gridCol w:w="2068"/>
              <w:gridCol w:w="5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622" w:type="pct"/>
                  <w:noWrap w:val="0"/>
                  <w:vAlign w:val="center"/>
                </w:tcPr>
                <w:p>
                  <w:pPr>
                    <w:widowControl/>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序号</w:t>
                  </w:r>
                </w:p>
              </w:tc>
              <w:tc>
                <w:tcPr>
                  <w:tcW w:w="1231" w:type="pct"/>
                  <w:noWrap w:val="0"/>
                  <w:vAlign w:val="center"/>
                </w:tcPr>
                <w:p>
                  <w:pPr>
                    <w:widowControl/>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劳动定员</w:t>
                  </w:r>
                </w:p>
              </w:tc>
              <w:tc>
                <w:tcPr>
                  <w:tcW w:w="3146" w:type="pct"/>
                  <w:noWrap w:val="0"/>
                  <w:vAlign w:val="center"/>
                </w:tcPr>
                <w:p>
                  <w:pPr>
                    <w:widowControl/>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622" w:type="pct"/>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231" w:type="pct"/>
                  <w:noWrap w:val="0"/>
                  <w:vAlign w:val="center"/>
                </w:tcPr>
                <w:p>
                  <w:pPr>
                    <w:widowControl/>
                    <w:jc w:val="center"/>
                    <w:rPr>
                      <w:rFonts w:hint="default" w:ascii="Times New Roman" w:hAnsi="Times New Roman" w:cs="Times New Roman"/>
                      <w:color w:val="auto"/>
                      <w:szCs w:val="21"/>
                      <w:highlight w:val="none"/>
                    </w:rPr>
                  </w:pPr>
                  <w:r>
                    <w:rPr>
                      <w:rFonts w:hint="eastAsia" w:ascii="Times New Roman" w:hAnsi="Times New Roman" w:cs="Times New Roman"/>
                      <w:color w:val="auto"/>
                      <w:szCs w:val="21"/>
                      <w:highlight w:val="none"/>
                      <w:lang w:val="en-US" w:eastAsia="zh-CN"/>
                    </w:rPr>
                    <w:t>40</w:t>
                  </w:r>
                  <w:r>
                    <w:rPr>
                      <w:rFonts w:hint="default" w:ascii="Times New Roman" w:hAnsi="Times New Roman" w:cs="Times New Roman"/>
                      <w:color w:val="auto"/>
                      <w:szCs w:val="21"/>
                      <w:highlight w:val="none"/>
                    </w:rPr>
                    <w:t>人</w:t>
                  </w:r>
                </w:p>
              </w:tc>
              <w:tc>
                <w:tcPr>
                  <w:tcW w:w="3146" w:type="pct"/>
                  <w:noWrap w:val="0"/>
                  <w:vAlign w:val="center"/>
                </w:tcPr>
                <w:p>
                  <w:pPr>
                    <w:widowControl/>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均</w:t>
                  </w:r>
                  <w:r>
                    <w:rPr>
                      <w:rFonts w:hint="default" w:ascii="Times New Roman" w:hAnsi="Times New Roman" w:cs="Times New Roman"/>
                      <w:color w:val="auto"/>
                      <w:szCs w:val="21"/>
                      <w:highlight w:val="none"/>
                      <w:lang w:eastAsia="zh-CN"/>
                    </w:rPr>
                    <w:t>不</w:t>
                  </w:r>
                  <w:r>
                    <w:rPr>
                      <w:rFonts w:hint="default" w:ascii="Times New Roman" w:hAnsi="Times New Roman" w:cs="Times New Roman"/>
                      <w:color w:val="auto"/>
                      <w:szCs w:val="21"/>
                      <w:highlight w:val="none"/>
                    </w:rPr>
                    <w:t>在厂区食宿，年工作</w:t>
                  </w:r>
                  <w:r>
                    <w:rPr>
                      <w:rFonts w:hint="default" w:ascii="Times New Roman" w:hAnsi="Times New Roman" w:cs="Times New Roman"/>
                      <w:color w:val="auto"/>
                      <w:szCs w:val="21"/>
                      <w:highlight w:val="none"/>
                      <w:lang w:val="en-US" w:eastAsia="zh-CN"/>
                    </w:rPr>
                    <w:t>300</w:t>
                  </w:r>
                  <w:r>
                    <w:rPr>
                      <w:rFonts w:hint="default" w:ascii="Times New Roman" w:hAnsi="Times New Roman" w:cs="Times New Roman"/>
                      <w:color w:val="auto"/>
                      <w:szCs w:val="21"/>
                      <w:highlight w:val="none"/>
                    </w:rPr>
                    <w:t>天，</w:t>
                  </w:r>
                  <w:r>
                    <w:rPr>
                      <w:rFonts w:hint="default" w:ascii="Times New Roman" w:hAnsi="Times New Roman" w:cs="Times New Roman"/>
                      <w:color w:val="auto"/>
                      <w:szCs w:val="21"/>
                      <w:highlight w:val="none"/>
                      <w:lang w:val="en-US" w:eastAsia="zh-CN"/>
                    </w:rPr>
                    <w:t>1</w:t>
                  </w:r>
                  <w:r>
                    <w:rPr>
                      <w:rFonts w:hint="default" w:ascii="Times New Roman" w:hAnsi="Times New Roman" w:cs="Times New Roman"/>
                      <w:color w:val="auto"/>
                      <w:szCs w:val="21"/>
                      <w:highlight w:val="none"/>
                    </w:rPr>
                    <w:t>班制</w:t>
                  </w:r>
                  <w:r>
                    <w:rPr>
                      <w:rFonts w:hint="eastAsia" w:ascii="Times New Roman" w:hAnsi="Times New Roman" w:cs="Times New Roman"/>
                      <w:color w:val="auto"/>
                      <w:szCs w:val="21"/>
                      <w:highlight w:val="none"/>
                      <w:lang w:val="en-US" w:eastAsia="zh-CN"/>
                    </w:rPr>
                    <w:t>12</w:t>
                  </w:r>
                  <w:r>
                    <w:rPr>
                      <w:rFonts w:hint="default" w:ascii="Times New Roman" w:hAnsi="Times New Roman" w:cs="Times New Roman"/>
                      <w:color w:val="auto"/>
                      <w:szCs w:val="21"/>
                      <w:highlight w:val="none"/>
                    </w:rPr>
                    <w:t>小时</w:t>
                  </w:r>
                </w:p>
              </w:tc>
            </w:tr>
          </w:tbl>
          <w:p>
            <w:pPr>
              <w:numPr>
                <w:ilvl w:val="0"/>
                <w:numId w:val="0"/>
              </w:numPr>
              <w:adjustRightInd w:val="0"/>
              <w:snapToGrid w:val="0"/>
              <w:spacing w:line="360" w:lineRule="auto"/>
              <w:rPr>
                <w:rFonts w:hint="eastAsia" w:ascii="Times New Roman" w:hAnsi="Times New Roman" w:cs="Times New Roman"/>
                <w:b/>
                <w:color w:val="auto"/>
                <w:sz w:val="24"/>
                <w:szCs w:val="21"/>
                <w:highlight w:val="none"/>
                <w:lang w:val="en-US" w:eastAsia="zh-CN"/>
              </w:rPr>
            </w:pPr>
            <w:r>
              <w:rPr>
                <w:rFonts w:hint="eastAsia" w:ascii="Times New Roman" w:hAnsi="Times New Roman" w:cs="Times New Roman"/>
                <w:b/>
                <w:color w:val="auto"/>
                <w:sz w:val="24"/>
                <w:szCs w:val="21"/>
                <w:highlight w:val="none"/>
                <w:lang w:val="en-US" w:eastAsia="zh-CN"/>
              </w:rPr>
              <w:t xml:space="preserve">  </w:t>
            </w:r>
          </w:p>
          <w:p>
            <w:pPr>
              <w:numPr>
                <w:ilvl w:val="0"/>
                <w:numId w:val="0"/>
              </w:numPr>
              <w:adjustRightInd w:val="0"/>
              <w:snapToGrid w:val="0"/>
              <w:spacing w:line="360" w:lineRule="auto"/>
              <w:ind w:firstLine="482" w:firstLineChars="200"/>
              <w:rPr>
                <w:rFonts w:hint="eastAsia" w:ascii="Times New Roman" w:hAnsi="Times New Roman" w:cs="Times New Roman"/>
                <w:b/>
                <w:color w:val="auto"/>
                <w:sz w:val="24"/>
                <w:szCs w:val="21"/>
                <w:highlight w:val="none"/>
                <w:lang w:eastAsia="zh-CN"/>
              </w:rPr>
            </w:pPr>
            <w:r>
              <w:rPr>
                <w:rFonts w:hint="eastAsia" w:ascii="Times New Roman" w:hAnsi="Times New Roman" w:cs="Times New Roman"/>
                <w:b/>
                <w:color w:val="auto"/>
                <w:sz w:val="24"/>
                <w:szCs w:val="21"/>
                <w:highlight w:val="none"/>
                <w:lang w:val="en-US" w:eastAsia="zh-CN"/>
              </w:rPr>
              <w:t>4、</w:t>
            </w:r>
            <w:r>
              <w:rPr>
                <w:rFonts w:hint="eastAsia" w:ascii="Times New Roman" w:hAnsi="Times New Roman" w:cs="Times New Roman"/>
                <w:b/>
                <w:color w:val="auto"/>
                <w:sz w:val="24"/>
                <w:szCs w:val="21"/>
                <w:highlight w:val="none"/>
                <w:lang w:eastAsia="zh-CN"/>
              </w:rPr>
              <w:t>项目水平衡分析</w:t>
            </w:r>
          </w:p>
          <w:p>
            <w:pPr>
              <w:adjustRightInd w:val="0"/>
              <w:snapToGrid w:val="0"/>
              <w:spacing w:line="360" w:lineRule="auto"/>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生活污水。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 w:val="0"/>
                <w:bCs w:val="0"/>
                <w:color w:val="auto"/>
                <w:sz w:val="24"/>
                <w:highlight w:val="none"/>
              </w:rPr>
              <w:t>项目员工</w:t>
            </w:r>
            <w:r>
              <w:rPr>
                <w:rFonts w:hint="eastAsia" w:ascii="Times New Roman" w:hAnsi="Times New Roman" w:cs="Times New Roman"/>
                <w:b w:val="0"/>
                <w:bCs w:val="0"/>
                <w:color w:val="auto"/>
                <w:sz w:val="24"/>
                <w:highlight w:val="none"/>
                <w:lang w:val="en-US" w:eastAsia="zh-CN"/>
              </w:rPr>
              <w:t>40</w:t>
            </w:r>
            <w:r>
              <w:rPr>
                <w:rFonts w:hint="default" w:ascii="Times New Roman" w:hAnsi="Times New Roman" w:cs="Times New Roman"/>
                <w:b w:val="0"/>
                <w:bCs w:val="0"/>
                <w:color w:val="auto"/>
                <w:sz w:val="24"/>
                <w:highlight w:val="none"/>
              </w:rPr>
              <w:t>人，年工作天数3</w:t>
            </w:r>
            <w:r>
              <w:rPr>
                <w:rFonts w:hint="default" w:ascii="Times New Roman" w:hAnsi="Times New Roman" w:cs="Times New Roman"/>
                <w:b w:val="0"/>
                <w:bCs w:val="0"/>
                <w:color w:val="auto"/>
                <w:sz w:val="24"/>
                <w:highlight w:val="none"/>
                <w:lang w:val="en-US" w:eastAsia="zh-CN"/>
              </w:rPr>
              <w:t>00</w:t>
            </w:r>
            <w:r>
              <w:rPr>
                <w:rFonts w:hint="default" w:ascii="Times New Roman" w:hAnsi="Times New Roman" w:cs="Times New Roman"/>
                <w:b w:val="0"/>
                <w:bCs w:val="0"/>
                <w:color w:val="auto"/>
                <w:sz w:val="24"/>
                <w:highlight w:val="none"/>
              </w:rPr>
              <w:t>天，员工均不在项目内食宿</w:t>
            </w:r>
            <w:r>
              <w:rPr>
                <w:rFonts w:hint="eastAsia"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则生活用水量为</w:t>
            </w:r>
            <w:r>
              <w:rPr>
                <w:rFonts w:hint="eastAsia" w:ascii="Times New Roman" w:hAnsi="Times New Roman" w:cs="Times New Roman"/>
                <w:b w:val="0"/>
                <w:bCs w:val="0"/>
                <w:color w:val="auto"/>
                <w:sz w:val="24"/>
                <w:highlight w:val="none"/>
                <w:lang w:val="en-US" w:eastAsia="zh-CN"/>
              </w:rPr>
              <w:t>400</w:t>
            </w:r>
            <w:r>
              <w:rPr>
                <w:rFonts w:hint="default" w:ascii="Times New Roman" w:hAnsi="Times New Roman" w:cs="Times New Roman"/>
                <w:b w:val="0"/>
                <w:bCs w:val="0"/>
                <w:color w:val="auto"/>
                <w:sz w:val="24"/>
                <w:highlight w:val="none"/>
              </w:rPr>
              <w:t>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/a</w:t>
            </w: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1.33t/d</w:t>
            </w:r>
            <w:r>
              <w:rPr>
                <w:rFonts w:hint="eastAsia"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，员工生活污水排污系数按</w:t>
            </w:r>
            <w:r>
              <w:rPr>
                <w:rFonts w:hint="default" w:ascii="Times New Roman" w:hAnsi="Times New Roman" w:cs="Times New Roman"/>
                <w:b w:val="0"/>
                <w:bCs w:val="0"/>
                <w:color w:val="auto"/>
                <w:sz w:val="24"/>
                <w:highlight w:val="none"/>
                <w:lang w:val="en-US" w:eastAsia="zh-CN"/>
              </w:rPr>
              <w:t>9</w:t>
            </w:r>
            <w:r>
              <w:rPr>
                <w:rFonts w:hint="default" w:ascii="Times New Roman" w:hAnsi="Times New Roman" w:cs="Times New Roman"/>
                <w:b w:val="0"/>
                <w:bCs w:val="0"/>
                <w:color w:val="auto"/>
                <w:sz w:val="24"/>
                <w:highlight w:val="none"/>
              </w:rPr>
              <w:t>0%计算，排放量为</w:t>
            </w:r>
            <w:r>
              <w:rPr>
                <w:rFonts w:hint="eastAsia" w:ascii="Times New Roman" w:hAnsi="Times New Roman" w:cs="Times New Roman"/>
                <w:b w:val="0"/>
                <w:bCs w:val="0"/>
                <w:color w:val="auto"/>
                <w:sz w:val="24"/>
                <w:highlight w:val="none"/>
                <w:lang w:val="en-US" w:eastAsia="zh-CN"/>
              </w:rPr>
              <w:t>360</w:t>
            </w:r>
            <w:r>
              <w:rPr>
                <w:rFonts w:hint="default" w:ascii="Times New Roman" w:hAnsi="Times New Roman" w:cs="Times New Roman"/>
                <w:b w:val="0"/>
                <w:bCs w:val="0"/>
                <w:color w:val="auto"/>
                <w:sz w:val="24"/>
                <w:highlight w:val="none"/>
              </w:rPr>
              <w:t>t/a</w:t>
            </w:r>
            <w:r>
              <w:rPr>
                <w:rFonts w:hint="eastAsia" w:ascii="Times New Roman" w:hAnsi="Times New Roman" w:cs="Times New Roman"/>
                <w:b w:val="0"/>
                <w:bCs w:val="0"/>
                <w:color w:val="auto"/>
                <w:sz w:val="24"/>
                <w:highlight w:val="none"/>
                <w:lang w:eastAsia="zh-CN"/>
              </w:rPr>
              <w:t>（</w:t>
            </w:r>
            <w:r>
              <w:rPr>
                <w:rFonts w:hint="eastAsia" w:ascii="Times New Roman" w:hAnsi="Times New Roman" w:cs="Times New Roman"/>
                <w:b w:val="0"/>
                <w:bCs w:val="0"/>
                <w:color w:val="auto"/>
                <w:sz w:val="24"/>
                <w:highlight w:val="none"/>
                <w:lang w:val="en-US" w:eastAsia="zh-CN"/>
              </w:rPr>
              <w:t>1.2t/d</w:t>
            </w:r>
            <w:r>
              <w:rPr>
                <w:rFonts w:hint="eastAsia"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rPr>
              <w:t>。</w:t>
            </w:r>
          </w:p>
          <w:p>
            <w:pPr>
              <w:pStyle w:val="16"/>
              <w:numPr>
                <w:ilvl w:val="0"/>
                <w:numId w:val="0"/>
              </w:numPr>
              <w:rPr>
                <w:rFonts w:hint="eastAsia"/>
                <w:lang w:eastAsia="zh-CN"/>
              </w:rPr>
            </w:pPr>
            <w:r>
              <w:drawing>
                <wp:inline distT="0" distB="0" distL="114300" distR="114300">
                  <wp:extent cx="5309870" cy="1435100"/>
                  <wp:effectExtent l="0" t="0" r="508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lum bright="-18000" contrast="30000"/>
                          </a:blip>
                          <a:stretch>
                            <a:fillRect/>
                          </a:stretch>
                        </pic:blipFill>
                        <pic:spPr>
                          <a:xfrm>
                            <a:off x="0" y="0"/>
                            <a:ext cx="5309870" cy="1435100"/>
                          </a:xfrm>
                          <a:prstGeom prst="rect">
                            <a:avLst/>
                          </a:prstGeom>
                          <a:noFill/>
                          <a:ln>
                            <a:noFill/>
                          </a:ln>
                        </pic:spPr>
                      </pic:pic>
                    </a:graphicData>
                  </a:graphic>
                </wp:inline>
              </w:drawing>
            </w:r>
          </w:p>
          <w:p>
            <w:pPr>
              <w:adjustRightInd w:val="0"/>
              <w:snapToGrid w:val="0"/>
              <w:spacing w:line="360" w:lineRule="auto"/>
              <w:ind w:firstLine="422" w:firstLineChars="200"/>
              <w:jc w:val="center"/>
              <w:rPr>
                <w:b/>
                <w:color w:val="auto"/>
                <w:sz w:val="21"/>
                <w:szCs w:val="21"/>
                <w:highlight w:val="none"/>
              </w:rPr>
            </w:pPr>
            <w:r>
              <w:rPr>
                <w:b/>
                <w:color w:val="auto"/>
                <w:sz w:val="21"/>
                <w:szCs w:val="21"/>
                <w:highlight w:val="none"/>
              </w:rPr>
              <w:t>图1 项目水平衡图</w:t>
            </w:r>
          </w:p>
          <w:p>
            <w:pPr>
              <w:adjustRightInd w:val="0"/>
              <w:snapToGrid w:val="0"/>
              <w:spacing w:line="360" w:lineRule="auto"/>
              <w:ind w:firstLine="482" w:firstLineChars="200"/>
              <w:rPr>
                <w:rFonts w:hint="default" w:ascii="Times New Roman" w:hAnsi="Times New Roman" w:cs="Times New Roman"/>
                <w:b/>
                <w:color w:val="auto"/>
                <w:sz w:val="24"/>
                <w:szCs w:val="21"/>
                <w:highlight w:val="none"/>
              </w:rPr>
            </w:pPr>
            <w:r>
              <w:rPr>
                <w:rFonts w:hint="eastAsia" w:ascii="Times New Roman" w:hAnsi="Times New Roman" w:cs="Times New Roman"/>
                <w:b/>
                <w:color w:val="auto"/>
                <w:sz w:val="24"/>
                <w:szCs w:val="21"/>
                <w:highlight w:val="none"/>
                <w:lang w:val="en-US" w:eastAsia="zh-CN"/>
              </w:rPr>
              <w:t>5</w:t>
            </w:r>
            <w:r>
              <w:rPr>
                <w:rFonts w:hint="default" w:ascii="Times New Roman" w:hAnsi="Times New Roman" w:cs="Times New Roman"/>
                <w:b/>
                <w:color w:val="auto"/>
                <w:sz w:val="24"/>
                <w:szCs w:val="21"/>
                <w:highlight w:val="none"/>
              </w:rPr>
              <w:t>、厂区平面布置及四至情况</w:t>
            </w:r>
          </w:p>
          <w:p>
            <w:pPr>
              <w:adjustRightInd w:val="0"/>
              <w:snapToGrid w:val="0"/>
              <w:spacing w:line="360" w:lineRule="auto"/>
              <w:ind w:firstLine="482" w:firstLineChars="200"/>
              <w:rPr>
                <w:rFonts w:hint="default" w:ascii="Times New Roman" w:hAnsi="Times New Roman" w:eastAsia="宋体" w:cs="Times New Roman"/>
                <w:b/>
                <w:color w:val="auto"/>
                <w:sz w:val="24"/>
                <w:szCs w:val="21"/>
                <w:highlight w:val="none"/>
                <w:lang w:val="en-US" w:eastAsia="zh-CN"/>
              </w:rPr>
            </w:pPr>
            <w:r>
              <w:rPr>
                <w:rFonts w:hint="default" w:ascii="Times New Roman" w:hAnsi="Times New Roman" w:cs="Times New Roman"/>
                <w:b/>
                <w:bCs/>
                <w:color w:val="auto"/>
                <w:kern w:val="0"/>
                <w:sz w:val="24"/>
                <w:szCs w:val="21"/>
                <w:highlight w:val="none"/>
              </w:rPr>
              <w:t>平面布置：</w:t>
            </w:r>
            <w:r>
              <w:rPr>
                <w:rFonts w:hint="default" w:ascii="Times New Roman" w:hAnsi="Times New Roman" w:cs="Times New Roman"/>
                <w:b w:val="0"/>
                <w:bCs w:val="0"/>
                <w:color w:val="auto"/>
                <w:kern w:val="0"/>
                <w:sz w:val="24"/>
                <w:szCs w:val="21"/>
                <w:highlight w:val="none"/>
                <w:lang w:eastAsia="zh-CN"/>
              </w:rPr>
              <w:t>项目</w:t>
            </w:r>
            <w:r>
              <w:rPr>
                <w:rFonts w:hint="default" w:ascii="Times New Roman" w:hAnsi="Times New Roman" w:cs="Times New Roman"/>
                <w:b w:val="0"/>
                <w:bCs w:val="0"/>
                <w:color w:val="auto"/>
                <w:kern w:val="0"/>
                <w:sz w:val="24"/>
                <w:szCs w:val="21"/>
                <w:highlight w:val="none"/>
              </w:rPr>
              <w:t>主</w:t>
            </w:r>
            <w:r>
              <w:rPr>
                <w:rFonts w:hint="default" w:ascii="Times New Roman" w:hAnsi="Times New Roman" w:cs="Times New Roman"/>
                <w:color w:val="auto"/>
                <w:kern w:val="0"/>
                <w:sz w:val="24"/>
                <w:szCs w:val="21"/>
                <w:highlight w:val="none"/>
              </w:rPr>
              <w:t>要建筑物包括</w:t>
            </w:r>
            <w:r>
              <w:rPr>
                <w:rFonts w:hint="default" w:ascii="Times New Roman" w:hAnsi="Times New Roman" w:cs="Times New Roman"/>
                <w:color w:val="auto"/>
                <w:kern w:val="0"/>
                <w:sz w:val="24"/>
                <w:szCs w:val="21"/>
                <w:highlight w:val="none"/>
                <w:lang w:val="en-US" w:eastAsia="zh-CN"/>
              </w:rPr>
              <w:t>1</w:t>
            </w:r>
            <w:r>
              <w:rPr>
                <w:rFonts w:hint="default" w:ascii="Times New Roman" w:hAnsi="Times New Roman" w:cs="Times New Roman"/>
                <w:color w:val="auto"/>
                <w:kern w:val="0"/>
                <w:sz w:val="24"/>
                <w:szCs w:val="21"/>
                <w:highlight w:val="none"/>
              </w:rPr>
              <w:t>栋</w:t>
            </w:r>
            <w:r>
              <w:rPr>
                <w:rFonts w:hint="eastAsia" w:ascii="Times New Roman" w:hAnsi="Times New Roman" w:cs="Times New Roman"/>
                <w:color w:val="auto"/>
                <w:kern w:val="0"/>
                <w:sz w:val="24"/>
                <w:szCs w:val="21"/>
                <w:highlight w:val="none"/>
                <w:lang w:val="en-US" w:eastAsia="zh-CN"/>
              </w:rPr>
              <w:t>1层的</w:t>
            </w:r>
            <w:r>
              <w:rPr>
                <w:rFonts w:hint="default" w:ascii="Times New Roman" w:hAnsi="Times New Roman" w:eastAsia="宋体" w:cs="Times New Roman"/>
                <w:color w:val="auto"/>
                <w:kern w:val="0"/>
                <w:sz w:val="24"/>
                <w:szCs w:val="21"/>
                <w:highlight w:val="none"/>
                <w:lang w:eastAsia="zh-CN"/>
              </w:rPr>
              <w:t>厂房</w:t>
            </w:r>
            <w:r>
              <w:rPr>
                <w:rFonts w:hint="default" w:ascii="Times New Roman" w:hAnsi="Times New Roman" w:cs="Times New Roman"/>
                <w:color w:val="auto"/>
                <w:kern w:val="0"/>
                <w:sz w:val="24"/>
                <w:szCs w:val="21"/>
                <w:highlight w:val="none"/>
              </w:rPr>
              <w:t>。</w:t>
            </w:r>
            <w:r>
              <w:rPr>
                <w:rFonts w:hint="default" w:ascii="Times New Roman" w:hAnsi="Times New Roman" w:eastAsia="宋体" w:cs="Times New Roman"/>
                <w:color w:val="auto"/>
                <w:kern w:val="0"/>
                <w:sz w:val="24"/>
                <w:szCs w:val="21"/>
                <w:highlight w:val="none"/>
                <w:lang w:val="en-US" w:eastAsia="zh-CN"/>
              </w:rPr>
              <w:t>主要包括</w:t>
            </w:r>
            <w:r>
              <w:rPr>
                <w:rFonts w:hint="eastAsia" w:ascii="Times New Roman" w:hAnsi="Times New Roman" w:eastAsia="宋体" w:cs="Times New Roman"/>
                <w:color w:val="auto"/>
                <w:kern w:val="0"/>
                <w:sz w:val="24"/>
                <w:szCs w:val="21"/>
                <w:highlight w:val="none"/>
                <w:lang w:val="en-US" w:eastAsia="zh-CN"/>
              </w:rPr>
              <w:t>注塑区</w:t>
            </w:r>
            <w:r>
              <w:rPr>
                <w:rFonts w:hint="default" w:ascii="Times New Roman" w:hAnsi="Times New Roman" w:eastAsia="宋体" w:cs="Times New Roman"/>
                <w:color w:val="auto"/>
                <w:kern w:val="0"/>
                <w:sz w:val="24"/>
                <w:szCs w:val="21"/>
                <w:highlight w:val="none"/>
                <w:lang w:val="en-US" w:eastAsia="zh-CN"/>
              </w:rPr>
              <w:t>、</w:t>
            </w:r>
            <w:r>
              <w:rPr>
                <w:rFonts w:hint="eastAsia" w:ascii="Times New Roman" w:hAnsi="Times New Roman" w:eastAsia="宋体" w:cs="Times New Roman"/>
                <w:color w:val="auto"/>
                <w:kern w:val="0"/>
                <w:sz w:val="24"/>
                <w:szCs w:val="21"/>
                <w:highlight w:val="none"/>
                <w:lang w:val="en-US" w:eastAsia="zh-CN"/>
              </w:rPr>
              <w:t>破碎区、原料仓库</w:t>
            </w:r>
            <w:r>
              <w:rPr>
                <w:rFonts w:hint="default" w:ascii="Times New Roman" w:hAnsi="Times New Roman" w:eastAsia="宋体" w:cs="Times New Roman"/>
                <w:color w:val="auto"/>
                <w:kern w:val="0"/>
                <w:sz w:val="24"/>
                <w:szCs w:val="21"/>
                <w:highlight w:val="none"/>
                <w:lang w:val="en-US" w:eastAsia="zh-CN"/>
              </w:rPr>
              <w:t>、一般固废暂存区、危险废物暂存</w:t>
            </w:r>
            <w:r>
              <w:rPr>
                <w:rFonts w:hint="eastAsia" w:ascii="Times New Roman" w:hAnsi="Times New Roman" w:eastAsia="宋体" w:cs="Times New Roman"/>
                <w:color w:val="auto"/>
                <w:kern w:val="0"/>
                <w:sz w:val="24"/>
                <w:szCs w:val="21"/>
                <w:highlight w:val="none"/>
                <w:lang w:val="en-US" w:eastAsia="zh-CN"/>
              </w:rPr>
              <w:t>区、办公室、成品仓库</w:t>
            </w:r>
            <w:r>
              <w:rPr>
                <w:rFonts w:hint="default" w:ascii="Times New Roman" w:hAnsi="Times New Roman" w:eastAsia="宋体" w:cs="Times New Roman"/>
                <w:color w:val="auto"/>
                <w:kern w:val="0"/>
                <w:sz w:val="24"/>
                <w:szCs w:val="21"/>
                <w:highlight w:val="none"/>
                <w:lang w:val="en-US" w:eastAsia="zh-CN"/>
              </w:rPr>
              <w:t>等</w:t>
            </w:r>
            <w:r>
              <w:rPr>
                <w:rFonts w:hint="eastAsia" w:ascii="Times New Roman" w:hAnsi="Times New Roman" w:cs="Times New Roman"/>
                <w:color w:val="auto"/>
                <w:kern w:val="0"/>
                <w:sz w:val="24"/>
                <w:szCs w:val="21"/>
                <w:highlight w:val="none"/>
                <w:lang w:val="en-US" w:eastAsia="zh-CN"/>
              </w:rPr>
              <w:t>；</w:t>
            </w:r>
          </w:p>
          <w:p>
            <w:pPr>
              <w:adjustRightInd w:val="0"/>
              <w:snapToGrid w:val="0"/>
              <w:spacing w:line="360" w:lineRule="auto"/>
              <w:ind w:firstLine="480" w:firstLineChars="200"/>
              <w:rPr>
                <w:rFonts w:hint="default" w:ascii="Times New Roman" w:hAnsi="Times New Roman" w:cs="Times New Roman"/>
                <w:b/>
                <w:color w:val="auto"/>
                <w:sz w:val="24"/>
                <w:szCs w:val="21"/>
                <w:highlight w:val="none"/>
              </w:rPr>
            </w:pPr>
            <w:r>
              <w:rPr>
                <w:rFonts w:hint="default" w:ascii="Times New Roman" w:hAnsi="Times New Roman" w:cs="Times New Roman"/>
                <w:b w:val="0"/>
                <w:bCs/>
                <w:color w:val="auto"/>
                <w:sz w:val="24"/>
                <w:szCs w:val="21"/>
                <w:highlight w:val="none"/>
              </w:rPr>
              <w:t>本项目布局合理</w:t>
            </w:r>
            <w:r>
              <w:rPr>
                <w:rFonts w:hint="eastAsia" w:ascii="Times New Roman" w:hAnsi="Times New Roman" w:cs="Times New Roman"/>
                <w:b w:val="0"/>
                <w:bCs/>
                <w:color w:val="auto"/>
                <w:sz w:val="24"/>
                <w:szCs w:val="21"/>
                <w:highlight w:val="none"/>
                <w:lang w:eastAsia="zh-CN"/>
              </w:rPr>
              <w:t>，</w:t>
            </w:r>
            <w:r>
              <w:rPr>
                <w:rFonts w:hint="default" w:ascii="Times New Roman" w:hAnsi="Times New Roman" w:cs="Times New Roman"/>
                <w:b w:val="0"/>
                <w:bCs/>
                <w:color w:val="auto"/>
                <w:sz w:val="24"/>
                <w:szCs w:val="21"/>
                <w:highlight w:val="none"/>
              </w:rPr>
              <w:t>厂房内部布置合理。</w:t>
            </w:r>
          </w:p>
          <w:p>
            <w:pPr>
              <w:adjustRightInd w:val="0"/>
              <w:snapToGrid w:val="0"/>
              <w:spacing w:line="360" w:lineRule="auto"/>
              <w:ind w:firstLine="482" w:firstLineChars="200"/>
              <w:rPr>
                <w:rFonts w:hint="default" w:ascii="Times New Roman" w:hAnsi="Times New Roman" w:cs="Times New Roman"/>
                <w:bCs/>
                <w:color w:val="auto"/>
                <w:sz w:val="24"/>
                <w:szCs w:val="21"/>
                <w:highlight w:val="none"/>
                <w:lang w:val="en-US" w:eastAsia="zh-CN"/>
              </w:rPr>
            </w:pPr>
            <w:r>
              <w:rPr>
                <w:rFonts w:hint="default" w:ascii="Times New Roman" w:hAnsi="Times New Roman" w:cs="Times New Roman"/>
                <w:b/>
                <w:color w:val="auto"/>
                <w:sz w:val="24"/>
                <w:szCs w:val="21"/>
                <w:highlight w:val="none"/>
              </w:rPr>
              <w:t>四至情况：</w:t>
            </w:r>
            <w:r>
              <w:rPr>
                <w:rFonts w:hint="default" w:ascii="Times New Roman" w:hAnsi="Times New Roman" w:cs="Times New Roman"/>
                <w:bCs/>
                <w:color w:val="auto"/>
                <w:sz w:val="24"/>
                <w:szCs w:val="21"/>
                <w:highlight w:val="none"/>
              </w:rPr>
              <w:t>项目位于</w:t>
            </w:r>
            <w:r>
              <w:rPr>
                <w:rFonts w:hint="eastAsia" w:ascii="Times New Roman" w:hAnsi="Times New Roman" w:cs="Times New Roman"/>
                <w:bCs/>
                <w:color w:val="auto"/>
                <w:sz w:val="24"/>
                <w:szCs w:val="21"/>
                <w:highlight w:val="none"/>
                <w:lang w:eastAsia="zh-CN"/>
              </w:rPr>
              <w:t>博罗县龙溪街道龙岗村第四组白土（土名）</w:t>
            </w:r>
            <w:r>
              <w:rPr>
                <w:rFonts w:hint="default" w:ascii="Times New Roman" w:hAnsi="Times New Roman" w:cs="Times New Roman"/>
                <w:bCs/>
                <w:color w:val="auto"/>
                <w:sz w:val="24"/>
                <w:szCs w:val="21"/>
                <w:highlight w:val="none"/>
              </w:rPr>
              <w:t>，项目</w:t>
            </w:r>
            <w:r>
              <w:rPr>
                <w:rFonts w:hint="default" w:ascii="Times New Roman" w:hAnsi="Times New Roman" w:cs="Times New Roman"/>
                <w:bCs/>
                <w:color w:val="auto"/>
                <w:sz w:val="24"/>
                <w:szCs w:val="21"/>
                <w:highlight w:val="none"/>
                <w:lang w:eastAsia="zh-CN"/>
              </w:rPr>
              <w:t>北</w:t>
            </w:r>
            <w:r>
              <w:rPr>
                <w:rFonts w:hint="default" w:ascii="Times New Roman" w:hAnsi="Times New Roman" w:cs="Times New Roman"/>
                <w:bCs/>
                <w:color w:val="auto"/>
                <w:sz w:val="24"/>
                <w:szCs w:val="21"/>
                <w:highlight w:val="none"/>
              </w:rPr>
              <w:t>面</w:t>
            </w:r>
            <w:r>
              <w:rPr>
                <w:rFonts w:hint="default" w:ascii="Times New Roman" w:hAnsi="Times New Roman" w:cs="Times New Roman"/>
                <w:bCs/>
                <w:color w:val="auto"/>
                <w:sz w:val="24"/>
                <w:szCs w:val="21"/>
                <w:highlight w:val="none"/>
                <w:lang w:eastAsia="zh-CN"/>
              </w:rPr>
              <w:t>为</w:t>
            </w:r>
            <w:r>
              <w:rPr>
                <w:rFonts w:hint="eastAsia" w:ascii="Times New Roman" w:hAnsi="Times New Roman" w:cs="Times New Roman"/>
                <w:bCs/>
                <w:color w:val="auto"/>
                <w:sz w:val="24"/>
                <w:szCs w:val="21"/>
                <w:highlight w:val="none"/>
                <w:lang w:val="en-US" w:eastAsia="zh-CN"/>
              </w:rPr>
              <w:t>不知名厂房</w:t>
            </w:r>
            <w:r>
              <w:rPr>
                <w:rFonts w:hint="default" w:ascii="Times New Roman" w:hAnsi="Times New Roman" w:cs="Times New Roman"/>
                <w:bCs/>
                <w:color w:val="auto"/>
                <w:sz w:val="24"/>
                <w:szCs w:val="21"/>
                <w:highlight w:val="none"/>
                <w:lang w:val="en-US" w:eastAsia="zh-CN"/>
              </w:rPr>
              <w:t>，东面为惠州市盛富安厂，南面为空地，</w:t>
            </w:r>
            <w:r>
              <w:rPr>
                <w:rFonts w:hint="default" w:ascii="Times New Roman" w:hAnsi="Times New Roman" w:eastAsia="宋体" w:cs="Times New Roman"/>
                <w:bCs/>
                <w:color w:val="auto"/>
                <w:sz w:val="24"/>
                <w:szCs w:val="21"/>
                <w:highlight w:val="none"/>
                <w:lang w:val="en-US" w:eastAsia="zh-CN"/>
              </w:rPr>
              <w:t>西面为</w:t>
            </w:r>
            <w:r>
              <w:rPr>
                <w:rFonts w:hint="eastAsia" w:ascii="Times New Roman" w:hAnsi="Times New Roman" w:eastAsia="宋体" w:cs="Times New Roman"/>
                <w:bCs/>
                <w:color w:val="auto"/>
                <w:sz w:val="24"/>
                <w:szCs w:val="21"/>
                <w:highlight w:val="none"/>
                <w:lang w:val="en-US" w:eastAsia="zh-CN"/>
              </w:rPr>
              <w:t>不知名厂房</w:t>
            </w:r>
            <w:r>
              <w:rPr>
                <w:rFonts w:hint="default" w:ascii="Times New Roman" w:hAnsi="Times New Roman" w:eastAsia="宋体" w:cs="Times New Roman"/>
                <w:bCs/>
                <w:color w:val="auto"/>
                <w:sz w:val="24"/>
                <w:szCs w:val="21"/>
                <w:highlight w:val="none"/>
                <w:lang w:val="en-US" w:eastAsia="zh-CN"/>
              </w:rPr>
              <w:t>，</w:t>
            </w:r>
            <w:r>
              <w:rPr>
                <w:rFonts w:hint="default" w:ascii="Times New Roman" w:hAnsi="Times New Roman" w:cs="Times New Roman"/>
                <w:bCs/>
                <w:color w:val="auto"/>
                <w:sz w:val="24"/>
                <w:szCs w:val="21"/>
                <w:highlight w:val="none"/>
                <w:lang w:val="en-US" w:eastAsia="zh-CN"/>
              </w:rPr>
              <w:t>项目四至图见附图</w:t>
            </w:r>
            <w:r>
              <w:rPr>
                <w:rFonts w:hint="eastAsia" w:ascii="Times New Roman" w:hAnsi="Times New Roman" w:cs="Times New Roman"/>
                <w:bCs/>
                <w:color w:val="auto"/>
                <w:sz w:val="24"/>
                <w:szCs w:val="21"/>
                <w:highlight w:val="none"/>
                <w:lang w:val="en-US" w:eastAsia="zh-CN"/>
              </w:rPr>
              <w:t>19</w:t>
            </w:r>
            <w:r>
              <w:rPr>
                <w:rFonts w:hint="default" w:ascii="Times New Roman" w:hAnsi="Times New Roman" w:cs="Times New Roman"/>
                <w:bCs/>
                <w:color w:val="auto"/>
                <w:sz w:val="24"/>
                <w:szCs w:val="21"/>
                <w:highlight w:val="none"/>
                <w:lang w:val="en-US" w:eastAsia="zh-CN"/>
              </w:rPr>
              <w:t>。</w:t>
            </w:r>
          </w:p>
          <w:p>
            <w:pPr>
              <w:adjustRightInd w:val="0"/>
              <w:snapToGrid w:val="0"/>
              <w:spacing w:line="240" w:lineRule="auto"/>
              <w:ind w:firstLine="422" w:firstLineChars="200"/>
              <w:jc w:val="center"/>
              <w:rPr>
                <w:rFonts w:hint="default" w:ascii="Times New Roman" w:hAnsi="Times New Roman" w:cs="Times New Roman"/>
                <w:b/>
                <w:color w:val="auto"/>
                <w:szCs w:val="21"/>
                <w:highlight w:val="none"/>
              </w:rPr>
            </w:pPr>
            <w:r>
              <w:rPr>
                <w:rFonts w:hint="default" w:ascii="Times New Roman" w:hAnsi="Times New Roman" w:cs="Times New Roman"/>
                <w:b/>
                <w:color w:val="auto"/>
                <w:szCs w:val="21"/>
                <w:highlight w:val="none"/>
              </w:rPr>
              <w:t>表</w:t>
            </w:r>
            <w:r>
              <w:rPr>
                <w:rFonts w:hint="default" w:ascii="Times New Roman" w:hAnsi="Times New Roman" w:cs="Times New Roman"/>
                <w:b/>
                <w:color w:val="auto"/>
                <w:szCs w:val="21"/>
                <w:highlight w:val="none"/>
                <w:lang w:val="en-US" w:eastAsia="zh-CN"/>
              </w:rPr>
              <w:t>2-7</w:t>
            </w:r>
            <w:r>
              <w:rPr>
                <w:rFonts w:hint="eastAsia" w:ascii="Times New Roman" w:hAnsi="Times New Roman" w:cs="Times New Roman"/>
                <w:b/>
                <w:color w:val="auto"/>
                <w:szCs w:val="21"/>
                <w:highlight w:val="none"/>
                <w:lang w:val="en-US" w:eastAsia="zh-CN"/>
              </w:rPr>
              <w:t xml:space="preserve"> </w:t>
            </w:r>
            <w:r>
              <w:rPr>
                <w:rFonts w:hint="default" w:ascii="Times New Roman" w:hAnsi="Times New Roman" w:cs="Times New Roman"/>
                <w:b/>
                <w:color w:val="auto"/>
                <w:szCs w:val="21"/>
                <w:highlight w:val="none"/>
              </w:rPr>
              <w:t>项目四至关系一览表</w:t>
            </w:r>
          </w:p>
          <w:tbl>
            <w:tblPr>
              <w:tblStyle w:val="24"/>
              <w:tblW w:w="83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3181"/>
              <w:gridCol w:w="2122"/>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833" w:type="dxa"/>
                  <w:tcBorders>
                    <w:left w:val="single" w:color="auto" w:sz="4" w:space="0"/>
                  </w:tcBorders>
                  <w:noWrap/>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方位</w:t>
                  </w:r>
                </w:p>
              </w:tc>
              <w:tc>
                <w:tcPr>
                  <w:tcW w:w="3181" w:type="dxa"/>
                  <w:noWrap/>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2122" w:type="dxa"/>
                  <w:noWrap/>
                  <w:vAlign w:val="center"/>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与</w:t>
                  </w:r>
                  <w:r>
                    <w:rPr>
                      <w:rFonts w:hint="default" w:ascii="Times New Roman" w:hAnsi="Times New Roman" w:cs="Times New Roman"/>
                      <w:b/>
                      <w:bCs/>
                      <w:color w:val="auto"/>
                      <w:szCs w:val="21"/>
                      <w:highlight w:val="none"/>
                      <w:lang w:eastAsia="zh-CN"/>
                    </w:rPr>
                    <w:t>项目边界</w:t>
                  </w:r>
                  <w:r>
                    <w:rPr>
                      <w:rFonts w:hint="default" w:ascii="Times New Roman" w:hAnsi="Times New Roman" w:cs="Times New Roman"/>
                      <w:b/>
                      <w:bCs/>
                      <w:color w:val="auto"/>
                      <w:szCs w:val="21"/>
                      <w:highlight w:val="none"/>
                    </w:rPr>
                    <w:t>距离</w:t>
                  </w:r>
                </w:p>
              </w:tc>
              <w:tc>
                <w:tcPr>
                  <w:tcW w:w="2262" w:type="dxa"/>
                  <w:noWrap/>
                  <w:vAlign w:val="top"/>
                </w:tcPr>
                <w:p>
                  <w:pPr>
                    <w:adjustRightInd w:val="0"/>
                    <w:snapToGrid w:val="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与生产车间距离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833" w:type="dxa"/>
                  <w:tcBorders>
                    <w:left w:val="single" w:color="auto" w:sz="4" w:space="0"/>
                  </w:tcBorders>
                  <w:noWrap/>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东面</w:t>
                  </w:r>
                </w:p>
              </w:tc>
              <w:tc>
                <w:tcPr>
                  <w:tcW w:w="3181"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惠州市盛富安厂</w:t>
                  </w:r>
                </w:p>
              </w:tc>
              <w:tc>
                <w:tcPr>
                  <w:tcW w:w="2122"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紧邻</w:t>
                  </w:r>
                </w:p>
              </w:tc>
              <w:tc>
                <w:tcPr>
                  <w:tcW w:w="2262"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w:t>
                  </w:r>
                  <w:r>
                    <w:rPr>
                      <w:rFonts w:hint="default" w:ascii="Times New Roman" w:hAnsi="Times New Roman" w:eastAsia="宋体" w:cs="Times New Roman"/>
                      <w:color w:val="auto"/>
                      <w:szCs w:val="21"/>
                      <w:highlight w:val="none"/>
                      <w:lang w:val="en-US" w:eastAsia="zh-CN"/>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833" w:type="dxa"/>
                  <w:tcBorders>
                    <w:left w:val="single" w:color="auto" w:sz="4" w:space="0"/>
                  </w:tcBorders>
                  <w:noWrap/>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西面</w:t>
                  </w:r>
                </w:p>
              </w:tc>
              <w:tc>
                <w:tcPr>
                  <w:tcW w:w="3181"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不知名</w:t>
                  </w:r>
                  <w:r>
                    <w:rPr>
                      <w:rFonts w:hint="default" w:ascii="Times New Roman" w:hAnsi="Times New Roman" w:eastAsia="宋体" w:cs="Times New Roman"/>
                      <w:color w:val="auto"/>
                      <w:szCs w:val="21"/>
                      <w:highlight w:val="none"/>
                      <w:lang w:val="en-US" w:eastAsia="zh-CN"/>
                    </w:rPr>
                    <w:t>厂房</w:t>
                  </w:r>
                </w:p>
              </w:tc>
              <w:tc>
                <w:tcPr>
                  <w:tcW w:w="2122"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20m</w:t>
                  </w:r>
                </w:p>
              </w:tc>
              <w:tc>
                <w:tcPr>
                  <w:tcW w:w="2262"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33" w:type="dxa"/>
                  <w:tcBorders>
                    <w:left w:val="single" w:color="auto" w:sz="4" w:space="0"/>
                  </w:tcBorders>
                  <w:noWrap/>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南面</w:t>
                  </w:r>
                </w:p>
              </w:tc>
              <w:tc>
                <w:tcPr>
                  <w:tcW w:w="3181"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空地</w:t>
                  </w:r>
                </w:p>
              </w:tc>
              <w:tc>
                <w:tcPr>
                  <w:tcW w:w="2122"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22m</w:t>
                  </w:r>
                </w:p>
              </w:tc>
              <w:tc>
                <w:tcPr>
                  <w:tcW w:w="2262"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5" w:hRule="atLeast"/>
                <w:jc w:val="center"/>
              </w:trPr>
              <w:tc>
                <w:tcPr>
                  <w:tcW w:w="833" w:type="dxa"/>
                  <w:tcBorders>
                    <w:left w:val="single" w:color="auto" w:sz="4" w:space="0"/>
                  </w:tcBorders>
                  <w:noWrap/>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北面</w:t>
                  </w:r>
                </w:p>
              </w:tc>
              <w:tc>
                <w:tcPr>
                  <w:tcW w:w="3181"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不知名厂房</w:t>
                  </w:r>
                </w:p>
              </w:tc>
              <w:tc>
                <w:tcPr>
                  <w:tcW w:w="2122"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r>
                    <w:rPr>
                      <w:rFonts w:hint="default" w:ascii="Times New Roman" w:hAnsi="Times New Roman" w:eastAsia="宋体" w:cs="Times New Roman"/>
                      <w:color w:val="auto"/>
                      <w:szCs w:val="21"/>
                      <w:highlight w:val="none"/>
                      <w:lang w:val="en-US" w:eastAsia="zh-CN"/>
                    </w:rPr>
                    <w:t>m</w:t>
                  </w:r>
                </w:p>
              </w:tc>
              <w:tc>
                <w:tcPr>
                  <w:tcW w:w="2262" w:type="dxa"/>
                  <w:noWrap/>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23</w:t>
                  </w:r>
                  <w:r>
                    <w:rPr>
                      <w:rFonts w:hint="default" w:ascii="Times New Roman" w:hAnsi="Times New Roman" w:eastAsia="宋体" w:cs="Times New Roman"/>
                      <w:color w:val="auto"/>
                      <w:szCs w:val="21"/>
                      <w:highlight w:val="none"/>
                      <w:lang w:val="en-US" w:eastAsia="zh-CN"/>
                    </w:rPr>
                    <w:t>m</w:t>
                  </w:r>
                </w:p>
              </w:tc>
            </w:tr>
          </w:tbl>
          <w:p>
            <w:pPr>
              <w:pStyle w:val="2"/>
              <w:numPr>
                <w:ilvl w:val="0"/>
                <w:numId w:val="0"/>
              </w:numPr>
              <w:snapToGrid w:val="0"/>
              <w:spacing w:line="240" w:lineRule="auto"/>
              <w:ind w:right="0" w:rightChars="0"/>
              <w:jc w:val="center"/>
              <w:rPr>
                <w:rFonts w:hint="default" w:ascii="Times New Roman" w:hAnsi="Times New Roman" w:eastAsia="宋体" w:cs="Times New Roman"/>
                <w:b/>
                <w:color w:val="auto"/>
                <w:sz w:val="24"/>
                <w:szCs w:val="21"/>
                <w:highlight w:val="none"/>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7" w:hRule="atLeast"/>
          <w:jc w:val="center"/>
        </w:trPr>
        <w:tc>
          <w:tcPr>
            <w:tcW w:w="474" w:type="dxa"/>
            <w:noWrap w:val="0"/>
            <w:vAlign w:val="center"/>
          </w:tcPr>
          <w:p>
            <w:pPr>
              <w:pStyle w:val="23"/>
              <w:adjustRightInd w:val="0"/>
              <w:snapToGrid w:val="0"/>
              <w:spacing w:before="0" w:beforeAutospacing="0" w:after="0" w:afterAutospacing="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工艺流程和产排污环节</w:t>
            </w:r>
          </w:p>
        </w:tc>
        <w:tc>
          <w:tcPr>
            <w:tcW w:w="8586" w:type="dxa"/>
            <w:noWrap w:val="0"/>
            <w:vAlign w:val="top"/>
          </w:tcPr>
          <w:p>
            <w:pPr>
              <w:adjustRightInd w:val="0"/>
              <w:snapToGrid w:val="0"/>
              <w:spacing w:line="360" w:lineRule="auto"/>
              <w:ind w:firstLine="482" w:firstLineChars="200"/>
              <w:rPr>
                <w:rFonts w:hint="default" w:ascii="Times New Roman" w:hAnsi="Times New Roman" w:cs="Times New Roman"/>
                <w:bCs/>
                <w:color w:val="auto"/>
                <w:szCs w:val="21"/>
                <w:highlight w:val="none"/>
              </w:rPr>
            </w:pPr>
            <w:r>
              <w:rPr>
                <w:rFonts w:hint="default" w:ascii="Times New Roman" w:hAnsi="Times New Roman" w:cs="Times New Roman"/>
                <w:b/>
                <w:color w:val="auto"/>
                <w:sz w:val="24"/>
                <w:szCs w:val="21"/>
                <w:highlight w:val="none"/>
              </w:rPr>
              <w:t>工艺流程简述：</w:t>
            </w:r>
          </w:p>
          <w:p>
            <w:pPr>
              <w:pStyle w:val="2"/>
              <w:numPr>
                <w:ilvl w:val="0"/>
                <w:numId w:val="3"/>
              </w:numPr>
              <w:snapToGrid w:val="0"/>
              <w:spacing w:line="360" w:lineRule="auto"/>
              <w:ind w:firstLine="482" w:firstLineChars="200"/>
              <w:rPr>
                <w:rFonts w:hint="eastAsia" w:eastAsia="宋体"/>
                <w:lang w:val="en-US" w:eastAsia="zh-CN"/>
              </w:rPr>
            </w:pPr>
            <w:r>
              <w:rPr>
                <w:rFonts w:hint="default" w:ascii="Times New Roman" w:hAnsi="Times New Roman" w:cs="Times New Roman"/>
                <w:b/>
                <w:color w:val="auto"/>
                <w:szCs w:val="21"/>
                <w:highlight w:val="none"/>
                <w:lang w:eastAsia="zh-CN"/>
              </w:rPr>
              <w:t>项目的</w:t>
            </w:r>
            <w:r>
              <w:rPr>
                <w:rFonts w:hint="default" w:ascii="Times New Roman" w:hAnsi="Times New Roman" w:cs="Times New Roman"/>
                <w:b/>
                <w:color w:val="auto"/>
                <w:szCs w:val="21"/>
                <w:highlight w:val="none"/>
              </w:rPr>
              <w:t>主要</w:t>
            </w:r>
            <w:r>
              <w:rPr>
                <w:rFonts w:hint="default" w:ascii="Times New Roman" w:hAnsi="Times New Roman" w:cs="Times New Roman"/>
                <w:b/>
                <w:color w:val="auto"/>
                <w:szCs w:val="21"/>
                <w:highlight w:val="none"/>
                <w:lang w:eastAsia="zh-CN"/>
              </w:rPr>
              <w:t>生产</w:t>
            </w:r>
            <w:r>
              <w:rPr>
                <w:rFonts w:hint="default" w:ascii="Times New Roman" w:hAnsi="Times New Roman" w:cs="Times New Roman"/>
                <w:b/>
                <w:color w:val="auto"/>
                <w:szCs w:val="21"/>
                <w:highlight w:val="none"/>
              </w:rPr>
              <w:t>工艺流程</w:t>
            </w:r>
          </w:p>
          <w:p>
            <w:pPr>
              <w:pStyle w:val="9"/>
              <w:numPr>
                <w:ilvl w:val="0"/>
                <w:numId w:val="0"/>
              </w:numPr>
              <w:ind w:leftChars="-200"/>
              <w:jc w:val="center"/>
              <w:rPr>
                <w:rFonts w:hint="default"/>
                <w:lang w:eastAsia="zh-CN"/>
              </w:rPr>
            </w:pPr>
            <w:r>
              <w:drawing>
                <wp:inline distT="0" distB="0" distL="114300" distR="114300">
                  <wp:extent cx="5313045" cy="4606925"/>
                  <wp:effectExtent l="0" t="0" r="1905" b="31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8">
                            <a:lum bright="-18000" contrast="24000"/>
                          </a:blip>
                          <a:stretch>
                            <a:fillRect/>
                          </a:stretch>
                        </pic:blipFill>
                        <pic:spPr>
                          <a:xfrm>
                            <a:off x="0" y="0"/>
                            <a:ext cx="5313045" cy="4606925"/>
                          </a:xfrm>
                          <a:prstGeom prst="rect">
                            <a:avLst/>
                          </a:prstGeom>
                          <a:noFill/>
                          <a:ln>
                            <a:noFill/>
                          </a:ln>
                        </pic:spPr>
                      </pic:pic>
                    </a:graphicData>
                  </a:graphic>
                </wp:inline>
              </w:drawing>
            </w:r>
          </w:p>
          <w:p>
            <w:pPr>
              <w:pStyle w:val="2"/>
              <w:snapToGrid w:val="0"/>
              <w:spacing w:line="36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图</w:t>
            </w:r>
            <w:r>
              <w:rPr>
                <w:rFonts w:hint="eastAsia" w:asci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lang w:val="en-US" w:eastAsia="zh-CN"/>
              </w:rPr>
              <w:t xml:space="preserve"> </w:t>
            </w:r>
            <w:r>
              <w:rPr>
                <w:rFonts w:hint="default" w:ascii="Times New Roman" w:hAnsi="Times New Roman" w:cs="Times New Roman"/>
                <w:b/>
                <w:color w:val="auto"/>
                <w:sz w:val="21"/>
                <w:szCs w:val="21"/>
                <w:highlight w:val="none"/>
                <w:lang w:eastAsia="zh-CN"/>
              </w:rPr>
              <w:t>项目的</w:t>
            </w:r>
            <w:r>
              <w:rPr>
                <w:rFonts w:hint="default" w:ascii="Times New Roman" w:hAnsi="Times New Roman" w:cs="Times New Roman"/>
                <w:b/>
                <w:color w:val="auto"/>
                <w:sz w:val="21"/>
                <w:szCs w:val="21"/>
                <w:highlight w:val="none"/>
              </w:rPr>
              <w:t>生产工艺流程图</w:t>
            </w:r>
          </w:p>
          <w:p>
            <w:pPr>
              <w:pStyle w:val="4"/>
              <w:adjustRightInd w:val="0"/>
              <w:snapToGrid w:val="0"/>
              <w:spacing w:line="360" w:lineRule="auto"/>
              <w:ind w:left="0" w:leftChars="0" w:firstLine="482" w:firstLineChars="200"/>
              <w:rPr>
                <w:rFonts w:hint="default" w:ascii="Times New Roman" w:hAnsi="Times New Roman" w:cs="Times New Roman"/>
                <w:b/>
                <w:color w:val="auto"/>
                <w:sz w:val="24"/>
                <w:szCs w:val="21"/>
                <w:highlight w:val="none"/>
              </w:rPr>
            </w:pPr>
            <w:r>
              <w:rPr>
                <w:rFonts w:hint="default" w:ascii="Times New Roman" w:hAnsi="Times New Roman" w:cs="Times New Roman"/>
                <w:b/>
                <w:color w:val="auto"/>
                <w:sz w:val="24"/>
                <w:szCs w:val="21"/>
                <w:highlight w:val="none"/>
              </w:rPr>
              <w:t>生产工艺简述：</w:t>
            </w:r>
          </w:p>
          <w:p>
            <w:pPr>
              <w:pStyle w:val="4"/>
              <w:spacing w:line="360" w:lineRule="auto"/>
              <w:ind w:left="0" w:leftChars="0" w:firstLine="482" w:firstLineChars="200"/>
              <w:rPr>
                <w:rFonts w:hint="default" w:ascii="Times New Roman" w:hAnsi="Times New Roman" w:eastAsia="宋体" w:cs="Times New Roman"/>
                <w:b w:val="0"/>
                <w:bCs/>
                <w:color w:val="auto"/>
                <w:sz w:val="24"/>
                <w:szCs w:val="24"/>
                <w:highlight w:val="none"/>
              </w:rPr>
            </w:pP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eastAsia="zh-CN"/>
              </w:rPr>
              <w:t>注塑成型</w:t>
            </w:r>
            <w:r>
              <w:rPr>
                <w:rFonts w:hint="default" w:ascii="Times New Roman" w:hAnsi="Times New Roman" w:cs="Times New Roman"/>
                <w:b/>
                <w:color w:val="auto"/>
                <w:sz w:val="24"/>
                <w:szCs w:val="24"/>
                <w:highlight w:val="none"/>
              </w:rPr>
              <w:t>]：</w:t>
            </w:r>
            <w:r>
              <w:rPr>
                <w:rFonts w:hint="eastAsia" w:cs="Times New Roman"/>
                <w:b w:val="0"/>
                <w:bCs/>
                <w:color w:val="auto"/>
                <w:sz w:val="24"/>
                <w:szCs w:val="24"/>
                <w:highlight w:val="none"/>
                <w:lang w:val="en-US" w:eastAsia="zh-CN"/>
              </w:rPr>
              <w:t>塑胶粒</w:t>
            </w:r>
            <w:r>
              <w:rPr>
                <w:rFonts w:hint="default" w:ascii="Times New Roman" w:hAnsi="Times New Roman" w:cs="Times New Roman"/>
                <w:b w:val="0"/>
                <w:bCs/>
                <w:color w:val="auto"/>
                <w:sz w:val="24"/>
                <w:szCs w:val="24"/>
                <w:highlight w:val="none"/>
              </w:rPr>
              <w:t>利用注塑机完成注塑工序，注塑过程主要为上模-开机—试啤—检查—确认。</w:t>
            </w:r>
            <w:r>
              <w:rPr>
                <w:rFonts w:hint="default" w:ascii="Times New Roman" w:hAnsi="Times New Roman" w:cs="Times New Roman"/>
                <w:b w:val="0"/>
                <w:bCs/>
                <w:color w:val="auto"/>
                <w:sz w:val="24"/>
                <w:szCs w:val="24"/>
                <w:highlight w:val="none"/>
                <w:lang w:eastAsia="zh-CN"/>
              </w:rPr>
              <w:t>注塑成型工序工作温度</w:t>
            </w:r>
            <w:r>
              <w:rPr>
                <w:rFonts w:hint="default" w:ascii="Times New Roman" w:hAnsi="Times New Roman" w:eastAsia="宋体" w:cs="Times New Roman"/>
                <w:b w:val="0"/>
                <w:bCs/>
                <w:color w:val="auto"/>
                <w:sz w:val="24"/>
                <w:szCs w:val="24"/>
                <w:highlight w:val="none"/>
                <w:lang w:eastAsia="zh-CN"/>
              </w:rPr>
              <w:t>为</w:t>
            </w:r>
            <w:r>
              <w:rPr>
                <w:rFonts w:hint="default" w:ascii="Times New Roman" w:hAnsi="Times New Roman" w:eastAsia="宋体" w:cs="Times New Roman"/>
                <w:b w:val="0"/>
                <w:bCs/>
                <w:color w:val="auto"/>
                <w:sz w:val="24"/>
                <w:szCs w:val="24"/>
                <w:highlight w:val="none"/>
                <w:lang w:val="en-US" w:eastAsia="zh-CN"/>
              </w:rPr>
              <w:t>150℃~240℃（电能加热</w:t>
            </w:r>
            <w:r>
              <w:rPr>
                <w:rFonts w:hint="eastAsia" w:eastAsia="宋体" w:cs="Times New Roman"/>
                <w:b w:val="0"/>
                <w:bCs/>
                <w:color w:val="auto"/>
                <w:sz w:val="24"/>
                <w:szCs w:val="24"/>
                <w:highlight w:val="none"/>
                <w:lang w:val="en-US" w:eastAsia="zh-CN"/>
              </w:rPr>
              <w:t>，根据不同的产品订单使用不同的胶粒作原料而设置不同的工作温度</w:t>
            </w:r>
            <w:r>
              <w:rPr>
                <w:rFonts w:hint="default" w:ascii="Times New Roman" w:hAnsi="Times New Roman" w:eastAsia="宋体" w:cs="Times New Roman"/>
                <w:b w:val="0"/>
                <w:bCs/>
                <w:color w:val="auto"/>
                <w:sz w:val="24"/>
                <w:szCs w:val="24"/>
                <w:highlight w:val="none"/>
                <w:lang w:val="en-US" w:eastAsia="zh-CN"/>
              </w:rPr>
              <w:t>），</w:t>
            </w:r>
            <w:r>
              <w:rPr>
                <w:rFonts w:hint="eastAsia" w:eastAsia="宋体" w:cs="Times New Roman"/>
                <w:b w:val="0"/>
                <w:bCs/>
                <w:color w:val="auto"/>
                <w:sz w:val="24"/>
                <w:szCs w:val="24"/>
                <w:highlight w:val="none"/>
                <w:lang w:val="en-US" w:eastAsia="zh-CN"/>
              </w:rPr>
              <w:t>工作温度</w:t>
            </w:r>
            <w:r>
              <w:rPr>
                <w:rFonts w:hint="default" w:ascii="Times New Roman" w:hAnsi="Times New Roman" w:eastAsia="宋体" w:cs="Times New Roman"/>
                <w:b w:val="0"/>
                <w:bCs/>
                <w:color w:val="auto"/>
                <w:sz w:val="24"/>
                <w:szCs w:val="24"/>
                <w:highlight w:val="none"/>
                <w:lang w:val="en-US" w:eastAsia="zh-CN"/>
              </w:rPr>
              <w:t>均低于</w:t>
            </w:r>
            <w:r>
              <w:rPr>
                <w:rFonts w:hint="eastAsia" w:eastAsia="宋体" w:cs="Times New Roman"/>
                <w:b w:val="0"/>
                <w:bCs/>
                <w:color w:val="auto"/>
                <w:sz w:val="24"/>
                <w:szCs w:val="24"/>
                <w:highlight w:val="none"/>
                <w:lang w:val="en-US" w:eastAsia="zh-CN"/>
              </w:rPr>
              <w:t>原料胶粒的</w:t>
            </w:r>
            <w:r>
              <w:rPr>
                <w:rFonts w:hint="default" w:ascii="Times New Roman" w:hAnsi="Times New Roman" w:eastAsia="宋体" w:cs="Times New Roman"/>
                <w:b w:val="0"/>
                <w:bCs/>
                <w:color w:val="auto"/>
                <w:sz w:val="24"/>
                <w:szCs w:val="24"/>
                <w:highlight w:val="none"/>
                <w:lang w:val="en-US" w:eastAsia="zh-CN"/>
              </w:rPr>
              <w:t>分解温度</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lang w:val="en-US" w:eastAsia="zh-CN"/>
              </w:rPr>
              <w:t>完成</w:t>
            </w:r>
            <w:r>
              <w:rPr>
                <w:rFonts w:hint="eastAsia" w:ascii="Times New Roman" w:hAnsi="Times New Roman" w:eastAsia="宋体" w:cs="Times New Roman"/>
                <w:b w:val="0"/>
                <w:bCs/>
                <w:color w:val="auto"/>
                <w:sz w:val="24"/>
                <w:szCs w:val="24"/>
                <w:highlight w:val="none"/>
                <w:lang w:val="en-US" w:eastAsia="zh-CN"/>
              </w:rPr>
              <w:t>注塑</w:t>
            </w:r>
            <w:r>
              <w:rPr>
                <w:rFonts w:hint="default" w:ascii="Times New Roman" w:hAnsi="Times New Roman" w:eastAsia="宋体" w:cs="Times New Roman"/>
                <w:b w:val="0"/>
                <w:bCs/>
                <w:color w:val="auto"/>
                <w:sz w:val="24"/>
                <w:szCs w:val="24"/>
                <w:highlight w:val="none"/>
                <w:lang w:val="en-US" w:eastAsia="zh-CN"/>
              </w:rPr>
              <w:t>过程需30分钟</w:t>
            </w:r>
            <w:r>
              <w:rPr>
                <w:rFonts w:hint="eastAsia" w:eastAsia="宋体" w:cs="Times New Roman"/>
                <w:b w:val="0"/>
                <w:bCs/>
                <w:color w:val="auto"/>
                <w:sz w:val="24"/>
                <w:szCs w:val="24"/>
                <w:highlight w:val="none"/>
                <w:lang w:val="en-US" w:eastAsia="zh-CN"/>
              </w:rPr>
              <w:t>左右</w:t>
            </w:r>
            <w:r>
              <w:rPr>
                <w:rFonts w:hint="default" w:ascii="Times New Roman" w:hAnsi="Times New Roman" w:eastAsia="宋体" w:cs="Times New Roman"/>
                <w:b w:val="0"/>
                <w:bCs/>
                <w:color w:val="auto"/>
                <w:sz w:val="24"/>
                <w:szCs w:val="24"/>
                <w:highlight w:val="none"/>
                <w:lang w:val="en-US" w:eastAsia="zh-CN"/>
              </w:rPr>
              <w:t>。</w:t>
            </w:r>
            <w:r>
              <w:rPr>
                <w:rFonts w:hint="default" w:ascii="Times New Roman" w:hAnsi="Times New Roman" w:eastAsia="宋体" w:cs="Times New Roman"/>
                <w:b w:val="0"/>
                <w:bCs/>
                <w:color w:val="auto"/>
                <w:sz w:val="24"/>
                <w:szCs w:val="24"/>
                <w:highlight w:val="none"/>
                <w:lang w:eastAsia="zh-CN"/>
              </w:rPr>
              <w:t>因此</w:t>
            </w:r>
            <w:r>
              <w:rPr>
                <w:rFonts w:hint="default" w:ascii="Times New Roman" w:hAnsi="Times New Roman" w:eastAsia="宋体" w:cs="Times New Roman"/>
                <w:b w:val="0"/>
                <w:bCs/>
                <w:color w:val="auto"/>
                <w:sz w:val="24"/>
                <w:szCs w:val="24"/>
                <w:highlight w:val="none"/>
              </w:rPr>
              <w:t>该过程会产生</w:t>
            </w:r>
            <w:r>
              <w:rPr>
                <w:rFonts w:hint="eastAsia" w:eastAsia="宋体" w:cs="Times New Roman"/>
                <w:b w:val="0"/>
                <w:bCs/>
                <w:color w:val="auto"/>
                <w:sz w:val="24"/>
                <w:szCs w:val="24"/>
                <w:highlight w:val="none"/>
                <w:lang w:val="en-US" w:eastAsia="zh-CN"/>
              </w:rPr>
              <w:t>有机</w:t>
            </w:r>
            <w:r>
              <w:rPr>
                <w:rFonts w:hint="default" w:ascii="Times New Roman" w:hAnsi="Times New Roman" w:eastAsia="宋体" w:cs="Times New Roman"/>
                <w:b w:val="0"/>
                <w:bCs/>
                <w:color w:val="auto"/>
                <w:sz w:val="24"/>
                <w:szCs w:val="24"/>
                <w:highlight w:val="none"/>
              </w:rPr>
              <w:t>废气和噪声。</w:t>
            </w:r>
          </w:p>
          <w:p>
            <w:pPr>
              <w:pStyle w:val="2"/>
              <w:snapToGrid w:val="0"/>
              <w:spacing w:line="360" w:lineRule="auto"/>
              <w:ind w:firstLine="482" w:firstLineChars="200"/>
              <w:jc w:val="both"/>
              <w:rPr>
                <w:rFonts w:hint="default" w:eastAsia="宋体"/>
                <w:lang w:val="en-US" w:eastAsia="zh-CN"/>
              </w:rPr>
            </w:pPr>
            <w:r>
              <w:rPr>
                <w:rFonts w:hint="default" w:ascii="Times New Roman" w:hAnsi="Times New Roman" w:cs="Times New Roman"/>
                <w:b/>
                <w:color w:val="auto"/>
                <w:sz w:val="24"/>
                <w:szCs w:val="24"/>
                <w:highlight w:val="none"/>
              </w:rPr>
              <w:t>[</w:t>
            </w:r>
            <w:r>
              <w:rPr>
                <w:rFonts w:hint="eastAsia" w:ascii="Times New Roman" w:hAnsi="Times New Roman" w:cs="Times New Roman"/>
                <w:b/>
                <w:color w:val="auto"/>
                <w:sz w:val="24"/>
                <w:szCs w:val="24"/>
                <w:highlight w:val="none"/>
                <w:lang w:val="en-US" w:eastAsia="zh-CN"/>
              </w:rPr>
              <w:t>去毛刺</w:t>
            </w:r>
            <w:r>
              <w:rPr>
                <w:rFonts w:hint="default" w:ascii="Times New Roman" w:hAnsi="Times New Roman" w:cs="Times New Roman"/>
                <w:b/>
                <w:color w:val="auto"/>
                <w:sz w:val="24"/>
                <w:szCs w:val="24"/>
                <w:highlight w:val="none"/>
              </w:rPr>
              <w:t>]：</w:t>
            </w:r>
            <w:r>
              <w:rPr>
                <w:rFonts w:hint="eastAsia" w:ascii="Times New Roman" w:hAnsi="Times New Roman" w:cs="Times New Roman"/>
                <w:b w:val="0"/>
                <w:bCs/>
                <w:color w:val="auto"/>
                <w:sz w:val="24"/>
                <w:szCs w:val="24"/>
                <w:highlight w:val="none"/>
                <w:lang w:val="en-US" w:eastAsia="zh-CN"/>
              </w:rPr>
              <w:t>注塑机出来的产品通常带有毛边、毛刺等凸出来的塑胶边角，人工利用刀片对边料进行刮擦即可得出一个完整的产品</w:t>
            </w:r>
            <w:r>
              <w:rPr>
                <w:rFonts w:hint="default" w:ascii="Times New Roman" w:hAnsi="Times New Roman" w:cs="Times New Roman"/>
                <w:b w:val="0"/>
                <w:bCs/>
                <w:color w:val="auto"/>
                <w:sz w:val="24"/>
                <w:szCs w:val="24"/>
                <w:highlight w:val="none"/>
              </w:rPr>
              <w:t>。</w:t>
            </w:r>
            <w:r>
              <w:rPr>
                <w:rFonts w:hint="eastAsia" w:ascii="Times New Roman" w:hAnsi="Times New Roman" w:cs="Times New Roman"/>
                <w:b w:val="0"/>
                <w:bCs/>
                <w:color w:val="auto"/>
                <w:sz w:val="24"/>
                <w:szCs w:val="24"/>
                <w:highlight w:val="none"/>
                <w:lang w:val="en-US" w:eastAsia="zh-CN"/>
              </w:rPr>
              <w:t>此工序会产生边角料。</w:t>
            </w:r>
          </w:p>
          <w:p>
            <w:pPr>
              <w:pStyle w:val="2"/>
              <w:snapToGrid w:val="0"/>
              <w:spacing w:line="360" w:lineRule="auto"/>
              <w:ind w:firstLine="482" w:firstLineChars="200"/>
              <w:jc w:val="both"/>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cs="Times New Roman"/>
                <w:b/>
                <w:color w:val="auto"/>
                <w:sz w:val="24"/>
                <w:szCs w:val="24"/>
                <w:highlight w:val="none"/>
              </w:rPr>
              <w:t>[</w:t>
            </w:r>
            <w:r>
              <w:rPr>
                <w:rFonts w:hint="default" w:ascii="Times New Roman" w:hAnsi="Times New Roman" w:cs="Times New Roman"/>
                <w:b/>
                <w:color w:val="auto"/>
                <w:sz w:val="24"/>
                <w:szCs w:val="24"/>
                <w:highlight w:val="none"/>
                <w:lang w:eastAsia="zh-CN"/>
              </w:rPr>
              <w:t>破碎</w:t>
            </w:r>
            <w:r>
              <w:rPr>
                <w:rFonts w:hint="default" w:ascii="Times New Roman" w:hAnsi="Times New Roman" w:cs="Times New Roman"/>
                <w:b/>
                <w:color w:val="auto"/>
                <w:sz w:val="24"/>
                <w:szCs w:val="24"/>
                <w:highlight w:val="none"/>
              </w:rPr>
              <w:t>]：</w:t>
            </w:r>
            <w:r>
              <w:rPr>
                <w:rFonts w:hint="eastAsia" w:ascii="Times New Roman" w:hAnsi="Times New Roman" w:cs="Times New Roman"/>
                <w:b w:val="0"/>
                <w:bCs/>
                <w:color w:val="auto"/>
                <w:sz w:val="24"/>
                <w:szCs w:val="24"/>
                <w:highlight w:val="none"/>
                <w:lang w:val="en-US" w:eastAsia="zh-CN"/>
              </w:rPr>
              <w:t>刮擦出来的边角料以及目检挑出来的不合格品会被放入破碎机进行破碎。项目使用的破碎机带盖，工作时将不合格品以及边角料一同投进破碎机料仓后，把盖子盖上，启动，即开始进行破碎工作</w:t>
            </w:r>
            <w:r>
              <w:rPr>
                <w:rFonts w:hint="default" w:ascii="Times New Roman" w:hAnsi="Times New Roman" w:cs="Times New Roman"/>
                <w:b w:val="0"/>
                <w:bCs/>
                <w:color w:val="auto"/>
                <w:sz w:val="24"/>
                <w:szCs w:val="24"/>
                <w:highlight w:val="none"/>
              </w:rPr>
              <w:t>。</w:t>
            </w:r>
            <w:r>
              <w:rPr>
                <w:rFonts w:hint="eastAsia" w:ascii="Times New Roman" w:cs="Times New Roman"/>
                <w:b w:val="0"/>
                <w:bCs/>
                <w:color w:val="auto"/>
                <w:sz w:val="24"/>
                <w:szCs w:val="24"/>
                <w:highlight w:val="none"/>
                <w:lang w:val="en-US" w:eastAsia="zh-CN"/>
              </w:rPr>
              <w:t>破碎后的粒子控制在一定的粒径范围内，随后回用于生产。</w:t>
            </w:r>
            <w:r>
              <w:rPr>
                <w:rFonts w:hint="eastAsia" w:ascii="Times New Roman" w:hAnsi="Times New Roman" w:cs="Times New Roman"/>
                <w:b w:val="0"/>
                <w:bCs/>
                <w:color w:val="auto"/>
                <w:sz w:val="24"/>
                <w:szCs w:val="24"/>
                <w:highlight w:val="none"/>
                <w:lang w:val="en-US" w:eastAsia="zh-CN"/>
              </w:rPr>
              <w:t>此工序会产生噪声。</w:t>
            </w:r>
          </w:p>
          <w:p>
            <w:pPr>
              <w:pStyle w:val="2"/>
              <w:snapToGrid w:val="0"/>
              <w:spacing w:line="360" w:lineRule="auto"/>
              <w:ind w:firstLine="422" w:firstLineChars="200"/>
              <w:jc w:val="both"/>
              <w:rPr>
                <w:rFonts w:hint="default" w:ascii="Times New Roman" w:hAnsi="Times New Roman" w:eastAsia="宋体" w:cs="Times New Roman"/>
                <w:b/>
                <w:color w:val="auto"/>
                <w:sz w:val="21"/>
                <w:szCs w:val="21"/>
                <w:highlight w:val="none"/>
                <w:lang w:eastAsia="zh-CN"/>
              </w:rPr>
            </w:pPr>
            <w:r>
              <w:rPr>
                <w:rFonts w:hint="default" w:ascii="Times New Roman" w:hAnsi="Times New Roman" w:cs="Times New Roman"/>
                <w:b/>
                <w:color w:val="auto"/>
                <w:sz w:val="21"/>
                <w:szCs w:val="21"/>
                <w:highlight w:val="none"/>
                <w:lang w:eastAsia="zh-CN"/>
              </w:rPr>
              <w:t>注：本项目使用的模具均从厂外外购回来，使用过程中的模具损坏将会外发给其他企业进行维修。</w:t>
            </w:r>
          </w:p>
          <w:p>
            <w:pPr>
              <w:pStyle w:val="2"/>
              <w:snapToGrid w:val="0"/>
              <w:spacing w:line="360" w:lineRule="auto"/>
              <w:ind w:firstLine="482" w:firstLineChars="200"/>
              <w:jc w:val="both"/>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szCs w:val="21"/>
                <w:highlight w:val="none"/>
              </w:rPr>
              <w:t>主要产污环节：</w:t>
            </w:r>
          </w:p>
          <w:p>
            <w:pPr>
              <w:pStyle w:val="2"/>
              <w:snapToGrid w:val="0"/>
              <w:jc w:val="center"/>
              <w:rPr>
                <w:rFonts w:hint="default" w:ascii="Times New Roman" w:hAnsi="Times New Roman" w:cs="Times New Roman"/>
                <w:b/>
                <w:color w:val="auto"/>
                <w:kern w:val="2"/>
                <w:sz w:val="21"/>
                <w:szCs w:val="21"/>
                <w:highlight w:val="none"/>
              </w:rPr>
            </w:pPr>
            <w:r>
              <w:rPr>
                <w:rFonts w:hint="default" w:ascii="Times New Roman" w:hAnsi="Times New Roman" w:cs="Times New Roman"/>
                <w:b/>
                <w:color w:val="auto"/>
                <w:kern w:val="2"/>
                <w:sz w:val="21"/>
                <w:szCs w:val="21"/>
                <w:highlight w:val="none"/>
              </w:rPr>
              <w:t>表</w:t>
            </w:r>
            <w:r>
              <w:rPr>
                <w:rFonts w:hint="default" w:ascii="Times New Roman" w:hAnsi="Times New Roman" w:cs="Times New Roman"/>
                <w:b/>
                <w:color w:val="auto"/>
                <w:kern w:val="2"/>
                <w:sz w:val="21"/>
                <w:szCs w:val="21"/>
                <w:highlight w:val="none"/>
                <w:lang w:val="en-US" w:eastAsia="zh-CN"/>
              </w:rPr>
              <w:t>2-8</w:t>
            </w:r>
            <w:r>
              <w:rPr>
                <w:rFonts w:hint="eastAsia" w:ascii="Times New Roman" w:cs="Times New Roman"/>
                <w:b/>
                <w:color w:val="auto"/>
                <w:kern w:val="2"/>
                <w:sz w:val="21"/>
                <w:szCs w:val="21"/>
                <w:highlight w:val="none"/>
                <w:lang w:val="en-US" w:eastAsia="zh-CN"/>
              </w:rPr>
              <w:t xml:space="preserve"> </w:t>
            </w:r>
            <w:r>
              <w:rPr>
                <w:rFonts w:hint="default" w:ascii="Times New Roman" w:hAnsi="Times New Roman" w:cs="Times New Roman"/>
                <w:b/>
                <w:color w:val="auto"/>
                <w:kern w:val="2"/>
                <w:sz w:val="21"/>
                <w:szCs w:val="21"/>
                <w:highlight w:val="none"/>
                <w:lang w:val="en-US" w:eastAsia="zh-CN"/>
              </w:rPr>
              <w:t>项目</w:t>
            </w:r>
            <w:r>
              <w:rPr>
                <w:rFonts w:hint="default" w:ascii="Times New Roman" w:hAnsi="Times New Roman" w:cs="Times New Roman"/>
                <w:b/>
                <w:color w:val="auto"/>
                <w:kern w:val="2"/>
                <w:sz w:val="21"/>
                <w:szCs w:val="21"/>
                <w:highlight w:val="none"/>
              </w:rPr>
              <w:t>主要产污环节</w:t>
            </w:r>
          </w:p>
          <w:tbl>
            <w:tblPr>
              <w:tblStyle w:val="24"/>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689"/>
              <w:gridCol w:w="1981"/>
              <w:gridCol w:w="3363"/>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417" w:type="pct"/>
                  <w:noWrap w:val="0"/>
                  <w:vAlign w:val="center"/>
                </w:tcPr>
                <w:p>
                  <w:pPr>
                    <w:pStyle w:val="37"/>
                    <w:snapToGrid w:val="0"/>
                    <w:spacing w:line="240" w:lineRule="auto"/>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类别</w:t>
                  </w:r>
                </w:p>
              </w:tc>
              <w:tc>
                <w:tcPr>
                  <w:tcW w:w="1593" w:type="pct"/>
                  <w:gridSpan w:val="2"/>
                  <w:noWrap w:val="0"/>
                  <w:vAlign w:val="center"/>
                </w:tcPr>
                <w:p>
                  <w:pPr>
                    <w:pStyle w:val="37"/>
                    <w:snapToGrid w:val="0"/>
                    <w:spacing w:line="240" w:lineRule="auto"/>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污染源名称</w:t>
                  </w:r>
                </w:p>
              </w:tc>
              <w:tc>
                <w:tcPr>
                  <w:tcW w:w="2007" w:type="pct"/>
                  <w:noWrap w:val="0"/>
                  <w:vAlign w:val="center"/>
                </w:tcPr>
                <w:p>
                  <w:pPr>
                    <w:pStyle w:val="37"/>
                    <w:snapToGrid w:val="0"/>
                    <w:spacing w:line="240" w:lineRule="auto"/>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污染因子</w:t>
                  </w:r>
                </w:p>
              </w:tc>
              <w:tc>
                <w:tcPr>
                  <w:tcW w:w="982" w:type="pct"/>
                  <w:noWrap w:val="0"/>
                  <w:vAlign w:val="center"/>
                </w:tcPr>
                <w:p>
                  <w:pPr>
                    <w:pStyle w:val="37"/>
                    <w:snapToGrid w:val="0"/>
                    <w:spacing w:line="240" w:lineRule="auto"/>
                    <w:ind w:firstLine="0" w:firstLineChars="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产生环节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417"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废气</w:t>
                  </w:r>
                </w:p>
              </w:tc>
              <w:tc>
                <w:tcPr>
                  <w:tcW w:w="1593" w:type="pct"/>
                  <w:gridSpan w:val="2"/>
                  <w:noWrap w:val="0"/>
                  <w:vAlign w:val="center"/>
                </w:tcPr>
                <w:p>
                  <w:pPr>
                    <w:adjustRightInd w:val="0"/>
                    <w:snapToGrid w:val="0"/>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注塑废气</w:t>
                  </w:r>
                </w:p>
              </w:tc>
              <w:tc>
                <w:tcPr>
                  <w:tcW w:w="2007" w:type="pct"/>
                  <w:noWrap w:val="0"/>
                  <w:vAlign w:val="center"/>
                </w:tcPr>
                <w:p>
                  <w:pPr>
                    <w:adjustRightInd w:val="0"/>
                    <w:snapToGrid w:val="0"/>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非甲烷总烃</w:t>
                  </w:r>
                </w:p>
              </w:tc>
              <w:tc>
                <w:tcPr>
                  <w:tcW w:w="982" w:type="pct"/>
                  <w:noWrap w:val="0"/>
                  <w:vAlign w:val="center"/>
                </w:tcPr>
                <w:p>
                  <w:pPr>
                    <w:adjustRightInd w:val="0"/>
                    <w:snapToGrid w:val="0"/>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注塑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417"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废水</w:t>
                  </w:r>
                </w:p>
              </w:tc>
              <w:tc>
                <w:tcPr>
                  <w:tcW w:w="1593" w:type="pct"/>
                  <w:gridSpan w:val="2"/>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生活污水</w:t>
                  </w:r>
                </w:p>
              </w:tc>
              <w:tc>
                <w:tcPr>
                  <w:tcW w:w="2007" w:type="pct"/>
                  <w:noWrap w:val="0"/>
                  <w:vAlign w:val="center"/>
                </w:tcPr>
                <w:p>
                  <w:pPr>
                    <w:pStyle w:val="37"/>
                    <w:snapToGrid w:val="0"/>
                    <w:spacing w:line="240" w:lineRule="auto"/>
                    <w:ind w:firstLine="0" w:firstLineChars="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highlight w:val="none"/>
                    </w:rPr>
                    <w:t>CODcr、BOD</w:t>
                  </w:r>
                  <w:r>
                    <w:rPr>
                      <w:rFonts w:hint="default" w:ascii="Times New Roman" w:hAnsi="Times New Roman" w:cs="Times New Roman"/>
                      <w:color w:val="auto"/>
                      <w:highlight w:val="none"/>
                      <w:vertAlign w:val="subscript"/>
                    </w:rPr>
                    <w:t>5</w:t>
                  </w:r>
                  <w:r>
                    <w:rPr>
                      <w:rFonts w:hint="default" w:ascii="Times New Roman" w:hAnsi="Times New Roman" w:cs="Times New Roman"/>
                      <w:color w:val="auto"/>
                      <w:highlight w:val="none"/>
                    </w:rPr>
                    <w:t>、SS、NH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-N</w:t>
                  </w:r>
                  <w:r>
                    <w:rPr>
                      <w:rFonts w:hint="default" w:ascii="Times New Roman" w:hAnsi="Times New Roman" w:cs="Times New Roman"/>
                      <w:color w:val="auto"/>
                      <w:highlight w:val="none"/>
                      <w:lang w:eastAsia="zh-CN"/>
                    </w:rPr>
                    <w:t>等</w:t>
                  </w:r>
                </w:p>
              </w:tc>
              <w:tc>
                <w:tcPr>
                  <w:tcW w:w="982"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17"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1593" w:type="pct"/>
                  <w:gridSpan w:val="2"/>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注塑机、破碎机</w:t>
                  </w:r>
                  <w:r>
                    <w:rPr>
                      <w:rFonts w:hint="default" w:ascii="Times New Roman" w:hAnsi="Times New Roman" w:cs="Times New Roman"/>
                      <w:color w:val="auto"/>
                      <w:szCs w:val="21"/>
                      <w:highlight w:val="none"/>
                    </w:rPr>
                    <w:t>等设备噪声</w:t>
                  </w:r>
                </w:p>
              </w:tc>
              <w:tc>
                <w:tcPr>
                  <w:tcW w:w="2007"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982"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生产过程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7" w:type="pct"/>
                  <w:vMerge w:val="restar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w:t>
                  </w:r>
                </w:p>
              </w:tc>
              <w:tc>
                <w:tcPr>
                  <w:tcW w:w="411" w:type="pct"/>
                  <w:vMerge w:val="restart"/>
                  <w:tcBorders>
                    <w:right w:val="single" w:color="000000" w:sz="4" w:space="0"/>
                  </w:tcBorders>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危险废物</w:t>
                  </w:r>
                </w:p>
              </w:tc>
              <w:tc>
                <w:tcPr>
                  <w:tcW w:w="1182" w:type="pct"/>
                  <w:tcBorders>
                    <w:left w:val="single" w:color="000000" w:sz="4" w:space="0"/>
                  </w:tcBorders>
                  <w:noWrap w:val="0"/>
                  <w:vAlign w:val="center"/>
                </w:tcPr>
                <w:p>
                  <w:pPr>
                    <w:adjustRightInd w:val="0"/>
                    <w:snapToGrid w:val="0"/>
                    <w:jc w:val="center"/>
                    <w:rPr>
                      <w:rFonts w:hint="default" w:ascii="Times New Roman" w:hAnsi="Times New Roman" w:cs="Times New Roman"/>
                      <w:color w:val="auto"/>
                      <w:szCs w:val="21"/>
                      <w:highlight w:val="none"/>
                    </w:rPr>
                  </w:pPr>
                  <w:r>
                    <w:rPr>
                      <w:rStyle w:val="27"/>
                      <w:rFonts w:hint="default" w:ascii="Times New Roman" w:hAnsi="Times New Roman" w:cs="Times New Roman"/>
                      <w:b w:val="0"/>
                      <w:color w:val="auto"/>
                      <w:szCs w:val="21"/>
                      <w:highlight w:val="none"/>
                    </w:rPr>
                    <w:t>含油手套和废抹布</w:t>
                  </w:r>
                </w:p>
              </w:tc>
              <w:tc>
                <w:tcPr>
                  <w:tcW w:w="2007"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82"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维修过程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17" w:type="pct"/>
                  <w:vMerge w:val="continue"/>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p>
              </w:tc>
              <w:tc>
                <w:tcPr>
                  <w:tcW w:w="411" w:type="pct"/>
                  <w:vMerge w:val="continue"/>
                  <w:tcBorders>
                    <w:right w:val="single" w:color="000000" w:sz="4" w:space="0"/>
                  </w:tcBorders>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p>
              </w:tc>
              <w:tc>
                <w:tcPr>
                  <w:tcW w:w="1182" w:type="pct"/>
                  <w:tcBorders>
                    <w:left w:val="single" w:color="000000" w:sz="4" w:space="0"/>
                  </w:tcBorders>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废机油</w:t>
                  </w:r>
                </w:p>
              </w:tc>
              <w:tc>
                <w:tcPr>
                  <w:tcW w:w="2007" w:type="pct"/>
                  <w:noWrap w:val="0"/>
                  <w:vAlign w:val="center"/>
                </w:tcPr>
                <w:p>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82"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维修过程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17" w:type="pct"/>
                  <w:vMerge w:val="continue"/>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p>
              </w:tc>
              <w:tc>
                <w:tcPr>
                  <w:tcW w:w="411" w:type="pct"/>
                  <w:vMerge w:val="continue"/>
                  <w:tcBorders>
                    <w:right w:val="single" w:color="000000" w:sz="4" w:space="0"/>
                  </w:tcBorders>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p>
              </w:tc>
              <w:tc>
                <w:tcPr>
                  <w:tcW w:w="1182" w:type="pct"/>
                  <w:tcBorders>
                    <w:left w:val="single" w:color="000000" w:sz="4" w:space="0"/>
                  </w:tcBorders>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w:t>
                  </w:r>
                  <w:r>
                    <w:rPr>
                      <w:rFonts w:hint="default" w:ascii="Times New Roman" w:hAnsi="Times New Roman" w:cs="Times New Roman"/>
                      <w:color w:val="auto"/>
                      <w:szCs w:val="21"/>
                      <w:highlight w:val="none"/>
                      <w:lang w:eastAsia="zh-CN"/>
                    </w:rPr>
                    <w:t>机油</w:t>
                  </w:r>
                  <w:r>
                    <w:rPr>
                      <w:rFonts w:hint="default" w:ascii="Times New Roman" w:hAnsi="Times New Roman" w:cs="Times New Roman"/>
                      <w:color w:val="auto"/>
                      <w:szCs w:val="21"/>
                      <w:highlight w:val="none"/>
                    </w:rPr>
                    <w:t>桶</w:t>
                  </w:r>
                </w:p>
              </w:tc>
              <w:tc>
                <w:tcPr>
                  <w:tcW w:w="2007" w:type="pct"/>
                  <w:noWrap w:val="0"/>
                  <w:vAlign w:val="center"/>
                </w:tcPr>
                <w:p>
                  <w:pPr>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82"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维修过程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17" w:type="pct"/>
                  <w:vMerge w:val="continue"/>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p>
              </w:tc>
              <w:tc>
                <w:tcPr>
                  <w:tcW w:w="411" w:type="pct"/>
                  <w:vMerge w:val="continue"/>
                  <w:tcBorders>
                    <w:right w:val="single" w:color="000000" w:sz="4" w:space="0"/>
                  </w:tcBorders>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p>
              </w:tc>
              <w:tc>
                <w:tcPr>
                  <w:tcW w:w="1182" w:type="pct"/>
                  <w:tcBorders>
                    <w:left w:val="single" w:color="000000" w:sz="4" w:space="0"/>
                  </w:tcBorders>
                  <w:noWrap w:val="0"/>
                  <w:vAlign w:val="center"/>
                </w:tcPr>
                <w:p>
                  <w:pPr>
                    <w:adjustRightInd w:val="0"/>
                    <w:snapToGrid w:val="0"/>
                    <w:jc w:val="center"/>
                    <w:rPr>
                      <w:rStyle w:val="27"/>
                      <w:rFonts w:hint="default" w:ascii="Times New Roman" w:hAnsi="Times New Roman" w:cs="Times New Roman"/>
                      <w:b w:val="0"/>
                      <w:color w:val="auto"/>
                      <w:szCs w:val="21"/>
                      <w:highlight w:val="none"/>
                      <w:lang w:eastAsia="zh-CN"/>
                    </w:rPr>
                  </w:pPr>
                  <w:r>
                    <w:rPr>
                      <w:rStyle w:val="27"/>
                      <w:rFonts w:hint="default" w:ascii="Times New Roman" w:hAnsi="Times New Roman" w:cs="Times New Roman"/>
                      <w:b w:val="0"/>
                      <w:color w:val="auto"/>
                      <w:szCs w:val="21"/>
                      <w:highlight w:val="none"/>
                      <w:lang w:eastAsia="zh-CN"/>
                    </w:rPr>
                    <w:t>废活性炭</w:t>
                  </w:r>
                </w:p>
              </w:tc>
              <w:tc>
                <w:tcPr>
                  <w:tcW w:w="2007" w:type="pct"/>
                  <w:noWrap w:val="0"/>
                  <w:vAlign w:val="center"/>
                </w:tcPr>
                <w:p>
                  <w:pPr>
                    <w:adjustRightInd w:val="0"/>
                    <w:snapToGrid w:val="0"/>
                    <w:jc w:val="center"/>
                    <w:textAlignment w:val="baseline"/>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w:t>
                  </w:r>
                </w:p>
              </w:tc>
              <w:tc>
                <w:tcPr>
                  <w:tcW w:w="982" w:type="pct"/>
                  <w:noWrap w:val="0"/>
                  <w:vAlign w:val="center"/>
                </w:tcPr>
                <w:p>
                  <w:pPr>
                    <w:adjustRightInd w:val="0"/>
                    <w:snapToGrid w:val="0"/>
                    <w:jc w:val="center"/>
                    <w:textAlignment w:val="baseline"/>
                    <w:rPr>
                      <w:rFonts w:hint="default" w:ascii="Times New Roman" w:hAnsi="Times New Roman" w:cs="Times New Roman"/>
                      <w:color w:val="auto"/>
                      <w:szCs w:val="21"/>
                      <w:highlight w:val="none"/>
                      <w:lang w:eastAsia="zh-CN"/>
                    </w:rPr>
                  </w:pPr>
                  <w:r>
                    <w:rPr>
                      <w:rFonts w:hint="default" w:ascii="Times New Roman" w:hAnsi="Times New Roman" w:cs="Times New Roman"/>
                      <w:color w:val="auto"/>
                      <w:highlight w:val="none"/>
                    </w:rPr>
                    <w:t>废气治理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417" w:type="pct"/>
                  <w:vMerge w:val="continue"/>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p>
              </w:tc>
              <w:tc>
                <w:tcPr>
                  <w:tcW w:w="411" w:type="pct"/>
                  <w:tcBorders>
                    <w:right w:val="single" w:color="000000" w:sz="4" w:space="0"/>
                  </w:tcBorders>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1182" w:type="pct"/>
                  <w:tcBorders>
                    <w:left w:val="single" w:color="000000" w:sz="4" w:space="0"/>
                  </w:tcBorders>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2007"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982" w:type="pct"/>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417" w:type="pct"/>
                  <w:vMerge w:val="continue"/>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p>
              </w:tc>
              <w:tc>
                <w:tcPr>
                  <w:tcW w:w="411" w:type="pct"/>
                  <w:tcBorders>
                    <w:right w:val="single" w:color="000000" w:sz="4" w:space="0"/>
                  </w:tcBorders>
                  <w:noWrap w:val="0"/>
                  <w:vAlign w:val="center"/>
                </w:tcPr>
                <w:p>
                  <w:pPr>
                    <w:pStyle w:val="37"/>
                    <w:snapToGrid w:val="0"/>
                    <w:spacing w:line="240" w:lineRule="auto"/>
                    <w:ind w:firstLine="0" w:firstLineChars="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一般固废</w:t>
                  </w:r>
                </w:p>
              </w:tc>
              <w:tc>
                <w:tcPr>
                  <w:tcW w:w="1182" w:type="pct"/>
                  <w:tcBorders>
                    <w:left w:val="single" w:color="000000" w:sz="4" w:space="0"/>
                  </w:tcBorders>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废包装材料</w:t>
                  </w:r>
                </w:p>
              </w:tc>
              <w:tc>
                <w:tcPr>
                  <w:tcW w:w="2007" w:type="pct"/>
                  <w:noWrap w:val="0"/>
                  <w:vAlign w:val="center"/>
                </w:tcPr>
                <w:p>
                  <w:pPr>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w:t>
                  </w:r>
                </w:p>
              </w:tc>
              <w:tc>
                <w:tcPr>
                  <w:tcW w:w="982" w:type="pct"/>
                  <w:noWrap w:val="0"/>
                  <w:vAlign w:val="center"/>
                </w:tcPr>
                <w:p>
                  <w:pPr>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生产过程</w:t>
                  </w:r>
                </w:p>
              </w:tc>
            </w:tr>
          </w:tbl>
          <w:p>
            <w:pPr>
              <w:adjustRightInd w:val="0"/>
              <w:snapToGrid w:val="0"/>
              <w:rPr>
                <w:rFonts w:hint="default" w:ascii="Times New Roman" w:hAnsi="Times New Roman" w:cs="Times New Roman"/>
                <w:bCs/>
                <w:color w:val="auto"/>
                <w:sz w:val="24"/>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99" w:hRule="atLeast"/>
          <w:jc w:val="center"/>
        </w:trPr>
        <w:tc>
          <w:tcPr>
            <w:tcW w:w="474" w:type="dxa"/>
            <w:noWrap w:val="0"/>
            <w:vAlign w:val="center"/>
          </w:tcPr>
          <w:p>
            <w:pPr>
              <w:pStyle w:val="23"/>
              <w:adjustRightInd w:val="0"/>
              <w:snapToGrid w:val="0"/>
              <w:spacing w:before="0" w:beforeAutospacing="0" w:after="0" w:afterAutospacing="0"/>
              <w:jc w:val="center"/>
              <w:rPr>
                <w:rFonts w:hint="default" w:ascii="Times New Roman" w:hAnsi="Times New Roman" w:cs="Times New Roman"/>
                <w:color w:val="auto"/>
                <w:szCs w:val="21"/>
                <w:highlight w:val="none"/>
              </w:rPr>
            </w:pPr>
            <w:r>
              <w:rPr>
                <w:rFonts w:hint="default" w:ascii="Times New Roman" w:hAnsi="Times New Roman" w:cs="Times New Roman"/>
                <w:bCs/>
                <w:color w:val="auto"/>
                <w:kern w:val="2"/>
                <w:szCs w:val="21"/>
                <w:highlight w:val="none"/>
              </w:rPr>
              <w:t>与项目有关的原有环境污染问题</w:t>
            </w:r>
          </w:p>
        </w:tc>
        <w:tc>
          <w:tcPr>
            <w:tcW w:w="8586" w:type="dxa"/>
            <w:noWrap w:val="0"/>
            <w:vAlign w:val="center"/>
          </w:tcPr>
          <w:p>
            <w:pPr>
              <w:pStyle w:val="2"/>
              <w:spacing w:line="360" w:lineRule="auto"/>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无</w:t>
            </w:r>
          </w:p>
        </w:tc>
      </w:tr>
    </w:tbl>
    <w:p>
      <w:pPr>
        <w:pStyle w:val="23"/>
        <w:adjustRightInd w:val="0"/>
        <w:snapToGrid w:val="0"/>
        <w:spacing w:before="0" w:beforeAutospacing="0" w:after="0" w:afterAutospacing="0"/>
        <w:jc w:val="center"/>
        <w:outlineLvl w:val="9"/>
        <w:rPr>
          <w:rFonts w:hint="default" w:ascii="Times New Roman" w:hAnsi="Times New Roman" w:eastAsia="黑体" w:cs="Times New Roman"/>
          <w:snapToGrid w:val="0"/>
          <w:color w:val="auto"/>
          <w:sz w:val="30"/>
          <w:szCs w:val="30"/>
          <w:highlight w:val="none"/>
        </w:rPr>
      </w:pPr>
    </w:p>
    <w:p>
      <w:pPr>
        <w:pStyle w:val="23"/>
        <w:numPr>
          <w:ilvl w:val="0"/>
          <w:numId w:val="0"/>
        </w:numPr>
        <w:spacing w:before="0" w:beforeAutospacing="0" w:after="0" w:afterAutospacing="0"/>
        <w:ind w:left="840" w:leftChars="0"/>
        <w:jc w:val="center"/>
        <w:outlineLvl w:val="0"/>
        <w:rPr>
          <w:rFonts w:hint="eastAsia" w:ascii="黑体" w:hAnsi="黑体" w:eastAsia="黑体"/>
          <w:snapToGrid w:val="0"/>
          <w:color w:val="auto"/>
          <w:sz w:val="30"/>
          <w:szCs w:val="30"/>
          <w:highlight w:val="none"/>
          <w:lang w:val="en-US" w:eastAsia="zh-CN"/>
        </w:rPr>
      </w:pPr>
    </w:p>
    <w:p>
      <w:pPr>
        <w:pStyle w:val="23"/>
        <w:numPr>
          <w:ilvl w:val="0"/>
          <w:numId w:val="0"/>
        </w:numPr>
        <w:spacing w:before="0" w:beforeAutospacing="0" w:after="0" w:afterAutospacing="0"/>
        <w:ind w:left="840" w:leftChars="0"/>
        <w:jc w:val="center"/>
        <w:outlineLvl w:val="0"/>
        <w:rPr>
          <w:rFonts w:hint="eastAsia" w:ascii="黑体" w:hAnsi="黑体" w:eastAsia="黑体"/>
          <w:snapToGrid w:val="0"/>
          <w:color w:val="auto"/>
          <w:sz w:val="30"/>
          <w:szCs w:val="30"/>
          <w:highlight w:val="none"/>
          <w:lang w:val="en-US" w:eastAsia="zh-CN"/>
        </w:rPr>
      </w:pPr>
    </w:p>
    <w:p>
      <w:pPr>
        <w:pStyle w:val="23"/>
        <w:numPr>
          <w:ilvl w:val="0"/>
          <w:numId w:val="0"/>
        </w:numPr>
        <w:spacing w:before="0" w:beforeAutospacing="0" w:after="0" w:afterAutospacing="0"/>
        <w:ind w:left="840" w:leftChars="0"/>
        <w:jc w:val="center"/>
        <w:outlineLvl w:val="0"/>
        <w:rPr>
          <w:rFonts w:hint="eastAsia" w:ascii="黑体" w:hAnsi="黑体" w:eastAsia="黑体"/>
          <w:snapToGrid w:val="0"/>
          <w:color w:val="auto"/>
          <w:sz w:val="30"/>
          <w:szCs w:val="30"/>
          <w:highlight w:val="none"/>
          <w:lang w:val="en-US" w:eastAsia="zh-CN"/>
        </w:rPr>
      </w:pPr>
    </w:p>
    <w:p>
      <w:pPr>
        <w:pStyle w:val="23"/>
        <w:numPr>
          <w:ilvl w:val="0"/>
          <w:numId w:val="0"/>
        </w:numPr>
        <w:spacing w:before="0" w:beforeAutospacing="0" w:after="0" w:afterAutospacing="0"/>
        <w:ind w:left="840" w:leftChars="0"/>
        <w:jc w:val="center"/>
        <w:outlineLvl w:val="0"/>
        <w:rPr>
          <w:rFonts w:hint="eastAsia" w:ascii="黑体" w:hAnsi="黑体" w:eastAsia="黑体"/>
          <w:snapToGrid w:val="0"/>
          <w:color w:val="auto"/>
          <w:sz w:val="30"/>
          <w:szCs w:val="30"/>
          <w:highlight w:val="none"/>
          <w:lang w:val="en-US" w:eastAsia="zh-CN"/>
        </w:rPr>
      </w:pPr>
    </w:p>
    <w:p>
      <w:pPr>
        <w:pStyle w:val="23"/>
        <w:numPr>
          <w:ilvl w:val="0"/>
          <w:numId w:val="0"/>
        </w:numPr>
        <w:spacing w:before="0" w:beforeAutospacing="0" w:after="0" w:afterAutospacing="0"/>
        <w:jc w:val="both"/>
        <w:outlineLvl w:val="0"/>
        <w:rPr>
          <w:rFonts w:hint="eastAsia" w:ascii="黑体" w:hAnsi="黑体" w:eastAsia="黑体"/>
          <w:snapToGrid w:val="0"/>
          <w:color w:val="auto"/>
          <w:sz w:val="30"/>
          <w:szCs w:val="30"/>
          <w:highlight w:val="none"/>
          <w:lang w:val="en-US" w:eastAsia="zh-CN"/>
        </w:rPr>
      </w:pPr>
    </w:p>
    <w:p>
      <w:pPr>
        <w:pStyle w:val="23"/>
        <w:numPr>
          <w:ilvl w:val="0"/>
          <w:numId w:val="0"/>
        </w:numPr>
        <w:spacing w:before="0" w:beforeAutospacing="0" w:after="0" w:afterAutospacing="0"/>
        <w:ind w:left="840" w:leftChars="0"/>
        <w:jc w:val="center"/>
        <w:outlineLvl w:val="0"/>
        <w:rPr>
          <w:rFonts w:hint="eastAsia" w:ascii="黑体" w:hAnsi="黑体" w:eastAsia="黑体"/>
          <w:snapToGrid w:val="0"/>
          <w:color w:val="auto"/>
          <w:sz w:val="30"/>
          <w:szCs w:val="30"/>
          <w:highlight w:val="none"/>
        </w:rPr>
      </w:pPr>
      <w:r>
        <w:rPr>
          <w:rFonts w:hint="eastAsia" w:ascii="黑体" w:hAnsi="黑体" w:eastAsia="黑体"/>
          <w:snapToGrid w:val="0"/>
          <w:color w:val="auto"/>
          <w:sz w:val="30"/>
          <w:szCs w:val="30"/>
          <w:highlight w:val="none"/>
          <w:lang w:val="en-US" w:eastAsia="zh-CN"/>
        </w:rPr>
        <w:t>三、</w:t>
      </w:r>
      <w:r>
        <w:rPr>
          <w:rFonts w:hint="eastAsia" w:ascii="黑体" w:hAnsi="黑体" w:eastAsia="黑体"/>
          <w:snapToGrid w:val="0"/>
          <w:color w:val="auto"/>
          <w:sz w:val="30"/>
          <w:szCs w:val="30"/>
          <w:highlight w:val="none"/>
        </w:rPr>
        <w:t>区域环境质量现状、环境保护目标及评价标准</w:t>
      </w:r>
    </w:p>
    <w:tbl>
      <w:tblPr>
        <w:tblStyle w:val="24"/>
        <w:tblW w:w="87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9"/>
        <w:gridCol w:w="82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63" w:hRule="atLeast"/>
          <w:jc w:val="center"/>
        </w:trPr>
        <w:tc>
          <w:tcPr>
            <w:tcW w:w="459" w:type="dxa"/>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区域</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质量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现状</w:t>
            </w:r>
          </w:p>
        </w:tc>
        <w:tc>
          <w:tcPr>
            <w:tcW w:w="8252" w:type="dxa"/>
            <w:noWrap w:val="0"/>
            <w:vAlign w:val="center"/>
          </w:tcPr>
          <w:p>
            <w:pPr>
              <w:widowControl/>
              <w:adjustRightInd w:val="0"/>
              <w:snapToGrid w:val="0"/>
              <w:spacing w:line="360" w:lineRule="auto"/>
              <w:ind w:firstLine="482" w:firstLineChars="200"/>
              <w:jc w:val="left"/>
              <w:rPr>
                <w:rFonts w:hint="default" w:ascii="Times New Roman" w:hAnsi="Times New Roman" w:eastAsia="宋体" w:cs="Times New Roman"/>
                <w:b/>
                <w:bCs/>
                <w:color w:val="auto"/>
                <w:kern w:val="0"/>
                <w:sz w:val="24"/>
                <w:szCs w:val="21"/>
                <w:highlight w:val="none"/>
              </w:rPr>
            </w:pPr>
            <w:r>
              <w:rPr>
                <w:rFonts w:hint="default" w:ascii="Times New Roman" w:hAnsi="Times New Roman" w:eastAsia="宋体" w:cs="Times New Roman"/>
                <w:b/>
                <w:bCs/>
                <w:color w:val="auto"/>
                <w:kern w:val="0"/>
                <w:sz w:val="24"/>
                <w:szCs w:val="21"/>
                <w:highlight w:val="none"/>
              </w:rPr>
              <w:t>1、大气环境</w:t>
            </w:r>
          </w:p>
          <w:p>
            <w:pPr>
              <w:adjustRightInd w:val="0"/>
              <w:snapToGrid w:val="0"/>
              <w:spacing w:line="360" w:lineRule="auto"/>
              <w:ind w:firstLine="482" w:firstLineChars="200"/>
              <w:jc w:val="left"/>
              <w:rPr>
                <w:rFonts w:hint="default" w:ascii="Times New Roman" w:hAnsi="Times New Roman" w:eastAsia="宋体" w:cs="Times New Roman"/>
                <w:b/>
                <w:bCs/>
                <w:color w:val="auto"/>
                <w:kern w:val="0"/>
                <w:sz w:val="24"/>
                <w:szCs w:val="21"/>
                <w:highlight w:val="none"/>
              </w:rPr>
            </w:pPr>
            <w:r>
              <w:rPr>
                <w:rFonts w:hint="default" w:ascii="Times New Roman" w:hAnsi="Times New Roman" w:eastAsia="宋体" w:cs="Times New Roman"/>
                <w:b/>
                <w:color w:val="auto"/>
                <w:kern w:val="0"/>
                <w:sz w:val="24"/>
                <w:szCs w:val="21"/>
                <w:highlight w:val="none"/>
              </w:rPr>
              <w:t>（1）常规污染物</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highlight w:val="none"/>
                <w:shd w:val="clear" w:color="auto" w:fill="FFFFFF"/>
              </w:rPr>
            </w:pPr>
            <w:r>
              <w:rPr>
                <w:rFonts w:hint="default" w:ascii="Times New Roman" w:hAnsi="Times New Roman" w:eastAsia="宋体" w:cs="Times New Roman"/>
                <w:color w:val="auto"/>
                <w:sz w:val="24"/>
                <w:highlight w:val="none"/>
                <w:shd w:val="clear" w:color="auto" w:fill="FFFFFF"/>
                <w:lang w:eastAsia="zh-CN"/>
              </w:rPr>
              <w:t>根据《</w:t>
            </w:r>
            <w:r>
              <w:rPr>
                <w:rFonts w:hint="default" w:ascii="Times New Roman" w:hAnsi="Times New Roman" w:eastAsia="宋体" w:cs="Times New Roman"/>
                <w:color w:val="auto"/>
                <w:sz w:val="24"/>
                <w:highlight w:val="none"/>
                <w:shd w:val="clear" w:color="auto" w:fill="FFFFFF"/>
                <w:lang w:val="en-US" w:eastAsia="zh-CN"/>
              </w:rPr>
              <w:t>2021年惠州市生态环境质量状况公报</w:t>
            </w:r>
            <w:r>
              <w:rPr>
                <w:rFonts w:hint="default" w:ascii="Times New Roman" w:hAnsi="Times New Roman" w:eastAsia="宋体" w:cs="Times New Roman"/>
                <w:color w:val="auto"/>
                <w:sz w:val="24"/>
                <w:highlight w:val="none"/>
                <w:shd w:val="clear" w:color="auto" w:fill="FFFFFF"/>
                <w:lang w:eastAsia="zh-CN"/>
              </w:rPr>
              <w:t>》，</w:t>
            </w:r>
            <w:r>
              <w:rPr>
                <w:rFonts w:hint="default" w:ascii="Times New Roman" w:hAnsi="Times New Roman" w:eastAsia="宋体" w:cs="Times New Roman"/>
                <w:color w:val="auto"/>
                <w:sz w:val="24"/>
                <w:highlight w:val="none"/>
                <w:shd w:val="clear" w:color="auto" w:fill="FFFFFF"/>
              </w:rPr>
              <w:t>各县（区）空气质量：2021年，各县（区）二氧化硫（SO</w:t>
            </w:r>
            <w:r>
              <w:rPr>
                <w:rFonts w:hint="default" w:ascii="Times New Roman" w:hAnsi="Times New Roman" w:eastAsia="宋体" w:cs="Times New Roman"/>
                <w:color w:val="auto"/>
                <w:sz w:val="24"/>
                <w:highlight w:val="none"/>
                <w:shd w:val="clear" w:color="auto" w:fill="FFFFFF"/>
                <w:vertAlign w:val="subscript"/>
              </w:rPr>
              <w:t>2</w:t>
            </w:r>
            <w:r>
              <w:rPr>
                <w:rFonts w:hint="default" w:ascii="Times New Roman" w:hAnsi="Times New Roman" w:eastAsia="宋体" w:cs="Times New Roman"/>
                <w:color w:val="auto"/>
                <w:sz w:val="24"/>
                <w:highlight w:val="none"/>
                <w:shd w:val="clear" w:color="auto" w:fill="FFFFFF"/>
              </w:rPr>
              <w:t>）、二氧化氮（NO</w:t>
            </w:r>
            <w:r>
              <w:rPr>
                <w:rFonts w:hint="default" w:ascii="Times New Roman" w:hAnsi="Times New Roman" w:eastAsia="宋体" w:cs="Times New Roman"/>
                <w:color w:val="auto"/>
                <w:sz w:val="24"/>
                <w:highlight w:val="none"/>
                <w:shd w:val="clear" w:color="auto" w:fill="FFFFFF"/>
                <w:vertAlign w:val="subscript"/>
              </w:rPr>
              <w:t>2</w:t>
            </w:r>
            <w:r>
              <w:rPr>
                <w:rFonts w:hint="default" w:ascii="Times New Roman" w:hAnsi="Times New Roman" w:eastAsia="宋体" w:cs="Times New Roman"/>
                <w:color w:val="auto"/>
                <w:sz w:val="24"/>
                <w:highlight w:val="none"/>
                <w:shd w:val="clear" w:color="auto" w:fill="FFFFFF"/>
              </w:rPr>
              <w:t>）、一氧化碳（CO）达国家一级标准，臭氧（O</w:t>
            </w:r>
            <w:r>
              <w:rPr>
                <w:rFonts w:hint="default" w:ascii="Times New Roman" w:hAnsi="Times New Roman" w:eastAsia="宋体" w:cs="Times New Roman"/>
                <w:color w:val="auto"/>
                <w:sz w:val="24"/>
                <w:highlight w:val="none"/>
                <w:shd w:val="clear" w:color="auto" w:fill="FFFFFF"/>
                <w:vertAlign w:val="subscript"/>
              </w:rPr>
              <w:t>3</w:t>
            </w:r>
            <w:r>
              <w:rPr>
                <w:rFonts w:hint="default" w:ascii="Times New Roman" w:hAnsi="Times New Roman" w:eastAsia="宋体" w:cs="Times New Roman"/>
                <w:color w:val="auto"/>
                <w:sz w:val="24"/>
                <w:highlight w:val="none"/>
                <w:shd w:val="clear" w:color="auto" w:fill="FFFFFF"/>
              </w:rPr>
              <w:t>）达国家二级标准；龙门县、大亚湾区和惠东县可吸入颗粒物（PM10）达国家一级标准，其余县（区）达国家二级标准；龙门县细颗粒物（PM2.5）达国家一级标准，其余县（区）达国家二级标准。各县（区）环境空气优良率（达标率）范围在92.6%～99.1%之间；综合指数范围在2.33～3.31之间，主要污染物均为臭氧，次要污染物以可吸入颗粒物PM10为主。</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highlight w:val="none"/>
                <w:shd w:val="clear" w:color="auto" w:fill="FFFFFF"/>
              </w:rPr>
            </w:pPr>
            <w:r>
              <w:rPr>
                <w:rFonts w:hint="default" w:ascii="Times New Roman" w:hAnsi="Times New Roman" w:eastAsia="宋体" w:cs="Times New Roman"/>
                <w:color w:val="auto"/>
                <w:sz w:val="24"/>
                <w:highlight w:val="none"/>
                <w:shd w:val="clear" w:color="auto" w:fill="FFFFFF"/>
              </w:rPr>
              <w:t>与2020年相比，环境空气质量综合指数除龙门县下降5.7%外，其余各县（区）上升幅度为2.0%～12.2%；优良率龙门县上升0.3%，博罗县持平，其余县（区）略有下降，下降幅度为0.5%～4.3%。</w:t>
            </w:r>
          </w:p>
          <w:p>
            <w:pPr>
              <w:widowControl/>
              <w:adjustRightInd w:val="0"/>
              <w:snapToGrid w:val="0"/>
              <w:spacing w:line="360" w:lineRule="auto"/>
              <w:ind w:firstLine="480" w:firstLineChars="200"/>
              <w:jc w:val="left"/>
              <w:rPr>
                <w:rFonts w:hint="default" w:ascii="Times New Roman" w:hAnsi="Times New Roman" w:eastAsia="宋体" w:cs="Times New Roman"/>
                <w:b/>
                <w:bCs/>
                <w:color w:val="auto"/>
                <w:kern w:val="0"/>
                <w:sz w:val="24"/>
                <w:szCs w:val="21"/>
                <w:highlight w:val="none"/>
              </w:rPr>
            </w:pPr>
            <w:r>
              <w:rPr>
                <w:rFonts w:hint="eastAsia" w:ascii="Times New Roman" w:hAnsi="Times New Roman" w:eastAsia="宋体" w:cs="Times New Roman"/>
                <w:color w:val="auto"/>
                <w:sz w:val="24"/>
                <w:highlight w:val="none"/>
                <w:shd w:val="clear" w:color="auto" w:fill="FFFFFF"/>
                <w:lang w:eastAsia="zh-CN"/>
              </w:rPr>
              <w:t>本项目</w:t>
            </w:r>
            <w:r>
              <w:rPr>
                <w:rFonts w:hint="default" w:ascii="Times New Roman" w:hAnsi="Times New Roman" w:eastAsia="宋体" w:cs="Times New Roman"/>
                <w:color w:val="auto"/>
                <w:sz w:val="24"/>
                <w:highlight w:val="none"/>
                <w:shd w:val="clear" w:color="auto" w:fill="FFFFFF"/>
              </w:rPr>
              <w:t>所在地环境质量符合《环境空气质量标准》GB3095-2012）的二级标准及其2018年修改单中的相关规定，为达标区域，总体环境空气质量良好。</w:t>
            </w:r>
          </w:p>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sz w:val="24"/>
                <w:szCs w:val="21"/>
                <w:highlight w:val="none"/>
              </w:rPr>
            </w:pPr>
            <w:r>
              <w:rPr>
                <w:rFonts w:hint="default" w:ascii="Times New Roman" w:hAnsi="Times New Roman" w:eastAsia="宋体" w:cs="Times New Roman"/>
                <w:b/>
                <w:bCs/>
                <w:color w:val="auto"/>
                <w:kern w:val="0"/>
                <w:sz w:val="24"/>
                <w:szCs w:val="21"/>
                <w:highlight w:val="none"/>
              </w:rPr>
              <w:t>特征污染物：</w:t>
            </w:r>
          </w:p>
          <w:p>
            <w:pPr>
              <w:widowControl/>
              <w:adjustRightInd w:val="0"/>
              <w:snapToGrid w:val="0"/>
              <w:spacing w:line="360" w:lineRule="auto"/>
              <w:ind w:firstLine="480" w:firstLineChars="200"/>
              <w:jc w:val="left"/>
              <w:rPr>
                <w:rFonts w:hint="default" w:ascii="Times New Roman" w:hAnsi="Times New Roman" w:eastAsia="宋体" w:cs="Times New Roman"/>
                <w:color w:val="auto"/>
                <w:sz w:val="24"/>
                <w:highlight w:val="none"/>
                <w:shd w:val="clear" w:color="auto" w:fill="FFFFFF"/>
              </w:rPr>
            </w:pPr>
            <w:r>
              <w:rPr>
                <w:rFonts w:hint="default" w:ascii="Times New Roman" w:hAnsi="Times New Roman" w:eastAsia="宋体" w:cs="Times New Roman"/>
                <w:color w:val="auto"/>
                <w:sz w:val="24"/>
                <w:highlight w:val="none"/>
                <w:shd w:val="clear" w:color="auto" w:fill="FFFFFF"/>
              </w:rPr>
              <w:t>本环评引用《惠州市共发实业有限公司新建项目环境影响报告</w:t>
            </w:r>
            <w:r>
              <w:rPr>
                <w:rFonts w:hint="default" w:ascii="Times New Roman" w:hAnsi="Times New Roman" w:eastAsia="宋体" w:cs="Times New Roman"/>
                <w:color w:val="auto"/>
                <w:sz w:val="24"/>
                <w:highlight w:val="none"/>
                <w:shd w:val="clear" w:color="auto" w:fill="FFFFFF"/>
                <w:lang w:eastAsia="zh-CN"/>
              </w:rPr>
              <w:t>表</w:t>
            </w:r>
            <w:r>
              <w:rPr>
                <w:rFonts w:hint="default" w:ascii="Times New Roman" w:hAnsi="Times New Roman" w:eastAsia="宋体" w:cs="Times New Roman"/>
                <w:color w:val="auto"/>
                <w:sz w:val="24"/>
                <w:highlight w:val="none"/>
                <w:shd w:val="clear" w:color="auto" w:fill="FFFFFF"/>
              </w:rPr>
              <w:t>》的监测数据（报告编号：</w:t>
            </w:r>
            <w:r>
              <w:rPr>
                <w:rFonts w:hint="default" w:ascii="Times New Roman" w:hAnsi="Times New Roman" w:eastAsia="宋体" w:cs="Times New Roman"/>
                <w:color w:val="auto"/>
                <w:sz w:val="24"/>
                <w:highlight w:val="none"/>
                <w:shd w:val="clear" w:color="auto" w:fill="FFFFFF"/>
                <w:lang w:val="en-US" w:eastAsia="zh-CN"/>
              </w:rPr>
              <w:t>NL/BG-210607-02-007</w:t>
            </w:r>
            <w:r>
              <w:rPr>
                <w:rFonts w:hint="default" w:ascii="Times New Roman" w:hAnsi="Times New Roman" w:eastAsia="宋体" w:cs="Times New Roman"/>
                <w:color w:val="auto"/>
                <w:sz w:val="24"/>
                <w:highlight w:val="none"/>
                <w:shd w:val="clear" w:color="auto" w:fill="FFFFFF"/>
              </w:rPr>
              <w:t>），监测单位为广东</w:t>
            </w:r>
            <w:r>
              <w:rPr>
                <w:rFonts w:hint="default" w:ascii="Times New Roman" w:hAnsi="Times New Roman" w:eastAsia="宋体" w:cs="Times New Roman"/>
                <w:color w:val="auto"/>
                <w:sz w:val="24"/>
                <w:highlight w:val="none"/>
                <w:shd w:val="clear" w:color="auto" w:fill="FFFFFF"/>
                <w:lang w:eastAsia="zh-CN"/>
              </w:rPr>
              <w:t>南岭</w:t>
            </w:r>
            <w:r>
              <w:rPr>
                <w:rFonts w:hint="default" w:ascii="Times New Roman" w:hAnsi="Times New Roman" w:eastAsia="宋体" w:cs="Times New Roman"/>
                <w:color w:val="auto"/>
                <w:sz w:val="24"/>
                <w:highlight w:val="none"/>
                <w:shd w:val="clear" w:color="auto" w:fill="FFFFFF"/>
              </w:rPr>
              <w:t>检测技术有限公司，监测时间为</w:t>
            </w:r>
            <w:r>
              <w:rPr>
                <w:rFonts w:hint="default" w:ascii="Times New Roman" w:hAnsi="Times New Roman" w:eastAsia="宋体" w:cs="Times New Roman"/>
                <w:color w:val="auto"/>
                <w:sz w:val="24"/>
                <w:highlight w:val="none"/>
                <w:shd w:val="clear" w:color="auto" w:fill="FFFFFF"/>
                <w:lang w:val="en-US" w:eastAsia="zh-CN"/>
              </w:rPr>
              <w:t>2021</w:t>
            </w:r>
            <w:r>
              <w:rPr>
                <w:rFonts w:hint="default" w:ascii="Times New Roman" w:hAnsi="Times New Roman" w:eastAsia="宋体" w:cs="Times New Roman"/>
                <w:color w:val="auto"/>
                <w:sz w:val="24"/>
                <w:highlight w:val="none"/>
                <w:shd w:val="clear" w:color="auto" w:fill="FFFFFF"/>
              </w:rPr>
              <w:t>年</w:t>
            </w:r>
            <w:r>
              <w:rPr>
                <w:rFonts w:hint="default" w:ascii="Times New Roman" w:hAnsi="Times New Roman" w:eastAsia="宋体" w:cs="Times New Roman"/>
                <w:color w:val="auto"/>
                <w:sz w:val="24"/>
                <w:highlight w:val="none"/>
                <w:shd w:val="clear" w:color="auto" w:fill="FFFFFF"/>
                <w:lang w:val="en-US" w:eastAsia="zh-CN"/>
              </w:rPr>
              <w:t>5</w:t>
            </w:r>
            <w:r>
              <w:rPr>
                <w:rFonts w:hint="default" w:ascii="Times New Roman" w:hAnsi="Times New Roman" w:eastAsia="宋体" w:cs="Times New Roman"/>
                <w:color w:val="auto"/>
                <w:sz w:val="24"/>
                <w:highlight w:val="none"/>
                <w:shd w:val="clear" w:color="auto" w:fill="FFFFFF"/>
              </w:rPr>
              <w:t>月</w:t>
            </w:r>
            <w:r>
              <w:rPr>
                <w:rFonts w:hint="default" w:ascii="Times New Roman" w:hAnsi="Times New Roman" w:eastAsia="宋体" w:cs="Times New Roman"/>
                <w:color w:val="auto"/>
                <w:sz w:val="24"/>
                <w:highlight w:val="none"/>
                <w:shd w:val="clear" w:color="auto" w:fill="FFFFFF"/>
                <w:lang w:val="en-US" w:eastAsia="zh-CN"/>
              </w:rPr>
              <w:t>25</w:t>
            </w:r>
            <w:r>
              <w:rPr>
                <w:rFonts w:hint="default" w:ascii="Times New Roman" w:hAnsi="Times New Roman" w:eastAsia="宋体" w:cs="Times New Roman"/>
                <w:color w:val="auto"/>
                <w:sz w:val="24"/>
                <w:highlight w:val="none"/>
                <w:shd w:val="clear" w:color="auto" w:fill="FFFFFF"/>
              </w:rPr>
              <w:t>～</w:t>
            </w:r>
            <w:r>
              <w:rPr>
                <w:rFonts w:hint="default" w:ascii="Times New Roman" w:hAnsi="Times New Roman" w:eastAsia="宋体" w:cs="Times New Roman"/>
                <w:color w:val="auto"/>
                <w:sz w:val="24"/>
                <w:highlight w:val="none"/>
                <w:shd w:val="clear" w:color="auto" w:fill="FFFFFF"/>
                <w:lang w:val="en-US" w:eastAsia="zh-CN"/>
              </w:rPr>
              <w:t>28</w:t>
            </w:r>
            <w:r>
              <w:rPr>
                <w:rFonts w:hint="default" w:ascii="Times New Roman" w:hAnsi="Times New Roman" w:eastAsia="宋体" w:cs="Times New Roman"/>
                <w:color w:val="auto"/>
                <w:sz w:val="24"/>
                <w:highlight w:val="none"/>
                <w:shd w:val="clear" w:color="auto" w:fill="FFFFFF"/>
              </w:rPr>
              <w:t xml:space="preserve">日， </w:t>
            </w:r>
            <w:r>
              <w:rPr>
                <w:rFonts w:hint="default" w:ascii="Times New Roman" w:hAnsi="Times New Roman" w:eastAsia="宋体" w:cs="Times New Roman"/>
                <w:color w:val="auto"/>
                <w:sz w:val="24"/>
                <w:highlight w:val="none"/>
                <w:shd w:val="clear" w:color="auto" w:fill="FFFFFF"/>
                <w:lang w:eastAsia="zh-CN"/>
              </w:rPr>
              <w:t>监测点位为</w:t>
            </w:r>
            <w:r>
              <w:rPr>
                <w:rFonts w:hint="default" w:ascii="Times New Roman" w:hAnsi="Times New Roman" w:eastAsia="宋体" w:cs="Times New Roman"/>
                <w:color w:val="auto"/>
                <w:sz w:val="24"/>
                <w:highlight w:val="none"/>
                <w:shd w:val="clear" w:color="auto" w:fill="FFFFFF"/>
              </w:rPr>
              <w:t>惠州市共发实业有限公司，距离本项目</w:t>
            </w:r>
            <w:r>
              <w:rPr>
                <w:rFonts w:hint="eastAsia" w:ascii="Times New Roman" w:hAnsi="Times New Roman" w:eastAsia="宋体" w:cs="Times New Roman"/>
                <w:color w:val="auto"/>
                <w:sz w:val="24"/>
                <w:highlight w:val="none"/>
                <w:shd w:val="clear" w:color="auto" w:fill="FFFFFF"/>
                <w:lang w:val="en-US" w:eastAsia="zh-CN"/>
              </w:rPr>
              <w:t>西</w:t>
            </w:r>
            <w:r>
              <w:rPr>
                <w:rFonts w:hint="default" w:ascii="Times New Roman" w:hAnsi="Times New Roman" w:eastAsia="宋体" w:cs="Times New Roman"/>
                <w:color w:val="auto"/>
                <w:sz w:val="24"/>
                <w:highlight w:val="none"/>
                <w:shd w:val="clear" w:color="auto" w:fill="FFFFFF"/>
                <w:lang w:eastAsia="zh-CN"/>
              </w:rPr>
              <w:t>面</w:t>
            </w:r>
            <w:r>
              <w:rPr>
                <w:rFonts w:hint="default" w:ascii="Times New Roman" w:hAnsi="Times New Roman" w:eastAsia="宋体" w:cs="Times New Roman"/>
                <w:color w:val="auto"/>
                <w:sz w:val="24"/>
                <w:highlight w:val="none"/>
                <w:shd w:val="clear" w:color="auto" w:fill="FFFFFF"/>
              </w:rPr>
              <w:t>边界</w:t>
            </w:r>
            <w:r>
              <w:rPr>
                <w:rFonts w:hint="default" w:ascii="Times New Roman" w:hAnsi="Times New Roman" w:eastAsia="宋体" w:cs="Times New Roman"/>
                <w:color w:val="auto"/>
                <w:sz w:val="24"/>
                <w:highlight w:val="none"/>
                <w:shd w:val="clear" w:color="auto" w:fill="FFFFFF"/>
                <w:lang w:val="en-US" w:eastAsia="zh-CN"/>
              </w:rPr>
              <w:t>2.</w:t>
            </w:r>
            <w:r>
              <w:rPr>
                <w:rFonts w:hint="eastAsia" w:ascii="Times New Roman" w:hAnsi="Times New Roman" w:eastAsia="宋体" w:cs="Times New Roman"/>
                <w:color w:val="auto"/>
                <w:sz w:val="24"/>
                <w:highlight w:val="none"/>
                <w:shd w:val="clear" w:color="auto" w:fill="FFFFFF"/>
                <w:lang w:val="en-US" w:eastAsia="zh-CN"/>
              </w:rPr>
              <w:t>279</w:t>
            </w:r>
            <w:r>
              <w:rPr>
                <w:rFonts w:hint="default" w:ascii="Times New Roman" w:hAnsi="Times New Roman" w:eastAsia="宋体" w:cs="Times New Roman"/>
                <w:color w:val="auto"/>
                <w:sz w:val="24"/>
                <w:highlight w:val="none"/>
                <w:shd w:val="clear" w:color="auto" w:fill="FFFFFF"/>
                <w:lang w:val="en-US" w:eastAsia="zh-CN"/>
              </w:rPr>
              <w:t>k</w:t>
            </w:r>
            <w:r>
              <w:rPr>
                <w:rFonts w:hint="default" w:ascii="Times New Roman" w:hAnsi="Times New Roman" w:eastAsia="宋体" w:cs="Times New Roman"/>
                <w:color w:val="auto"/>
                <w:sz w:val="24"/>
                <w:highlight w:val="none"/>
                <w:shd w:val="clear" w:color="auto" w:fill="FFFFFF"/>
              </w:rPr>
              <w:t>m，具体数据见下表。</w:t>
            </w:r>
          </w:p>
          <w:p>
            <w:pPr>
              <w:widowControl/>
              <w:adjustRightInd w:val="0"/>
              <w:snapToGrid w:val="0"/>
              <w:spacing w:line="360" w:lineRule="auto"/>
              <w:ind w:firstLine="480" w:firstLineChars="200"/>
              <w:jc w:val="center"/>
              <w:rPr>
                <w:rFonts w:hint="default" w:ascii="Times New Roman" w:hAnsi="Times New Roman" w:eastAsia="宋体" w:cs="Times New Roman"/>
                <w:color w:val="auto"/>
                <w:sz w:val="24"/>
                <w:highlight w:val="none"/>
                <w:shd w:val="clear" w:color="auto" w:fill="FFFFFF"/>
              </w:rPr>
            </w:pPr>
            <w:r>
              <w:rPr>
                <w:rFonts w:hint="default" w:ascii="Times New Roman" w:hAnsi="Times New Roman" w:eastAsia="宋体" w:cs="Times New Roman"/>
                <w:color w:val="auto"/>
                <w:sz w:val="24"/>
                <w:highlight w:val="none"/>
                <w:shd w:val="clear" w:color="auto" w:fill="FFFFFF"/>
              </w:rPr>
              <w:t>表3-1 环境空气质量监测统计结果</w:t>
            </w:r>
          </w:p>
          <w:tbl>
            <w:tblPr>
              <w:tblStyle w:val="24"/>
              <w:tblW w:w="7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0"/>
              <w:gridCol w:w="876"/>
              <w:gridCol w:w="1558"/>
              <w:gridCol w:w="1398"/>
              <w:gridCol w:w="1798"/>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37" w:hRule="atLeast"/>
                <w:jc w:val="center"/>
              </w:trPr>
              <w:tc>
                <w:tcPr>
                  <w:tcW w:w="532" w:type="pct"/>
                  <w:vMerge w:val="restart"/>
                  <w:noWrap w:val="0"/>
                  <w:vAlign w:val="center"/>
                </w:tcPr>
                <w:p>
                  <w:pPr>
                    <w:widowControl/>
                    <w:adjustRightInd w:val="0"/>
                    <w:snapToGrid w:val="0"/>
                    <w:spacing w:line="360" w:lineRule="auto"/>
                    <w:jc w:val="left"/>
                    <w:rPr>
                      <w:rFonts w:hint="default" w:ascii="Times New Roman" w:hAnsi="Times New Roman" w:cs="Times New Roman" w:eastAsiaTheme="minorEastAsia"/>
                      <w:color w:val="auto"/>
                      <w:sz w:val="21"/>
                      <w:szCs w:val="21"/>
                      <w:highlight w:val="none"/>
                      <w:shd w:val="clear" w:color="auto" w:fill="FFFFFF"/>
                      <w:lang w:eastAsia="zh-CN"/>
                    </w:rPr>
                  </w:pPr>
                  <w:r>
                    <w:rPr>
                      <w:rFonts w:hint="default" w:ascii="Times New Roman" w:hAnsi="Times New Roman" w:cs="Times New Roman" w:eastAsiaTheme="minorEastAsia"/>
                      <w:color w:val="auto"/>
                      <w:sz w:val="21"/>
                      <w:szCs w:val="21"/>
                      <w:highlight w:val="none"/>
                      <w:shd w:val="clear" w:color="auto" w:fill="FFFFFF"/>
                      <w:lang w:eastAsia="zh-CN"/>
                    </w:rPr>
                    <w:t>采样点位</w:t>
                  </w:r>
                </w:p>
              </w:tc>
              <w:tc>
                <w:tcPr>
                  <w:tcW w:w="549" w:type="pct"/>
                  <w:vMerge w:val="restart"/>
                  <w:noWrap w:val="0"/>
                  <w:vAlign w:val="center"/>
                </w:tcPr>
                <w:p>
                  <w:pPr>
                    <w:widowControl/>
                    <w:adjustRightInd w:val="0"/>
                    <w:snapToGrid w:val="0"/>
                    <w:spacing w:line="360" w:lineRule="auto"/>
                    <w:jc w:val="left"/>
                    <w:rPr>
                      <w:rFonts w:hint="default" w:ascii="Times New Roman" w:hAnsi="Times New Roman" w:cs="Times New Roman" w:eastAsiaTheme="minorEastAsia"/>
                      <w:color w:val="auto"/>
                      <w:sz w:val="21"/>
                      <w:szCs w:val="21"/>
                      <w:highlight w:val="none"/>
                      <w:shd w:val="clear" w:color="auto" w:fill="FFFFFF"/>
                      <w:lang w:eastAsia="zh-CN"/>
                    </w:rPr>
                  </w:pPr>
                  <w:r>
                    <w:rPr>
                      <w:rFonts w:hint="default" w:ascii="Times New Roman" w:hAnsi="Times New Roman" w:cs="Times New Roman" w:eastAsiaTheme="minorEastAsia"/>
                      <w:color w:val="auto"/>
                      <w:sz w:val="21"/>
                      <w:szCs w:val="21"/>
                      <w:highlight w:val="none"/>
                      <w:shd w:val="clear" w:color="auto" w:fill="FFFFFF"/>
                      <w:lang w:eastAsia="zh-CN"/>
                    </w:rPr>
                    <w:t>检测项目</w:t>
                  </w:r>
                </w:p>
              </w:tc>
              <w:tc>
                <w:tcPr>
                  <w:tcW w:w="2979" w:type="pct"/>
                  <w:gridSpan w:val="3"/>
                  <w:noWrap w:val="0"/>
                  <w:vAlign w:val="center"/>
                </w:tcPr>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 w:val="21"/>
                      <w:szCs w:val="21"/>
                      <w:highlight w:val="none"/>
                      <w:shd w:val="clear" w:color="auto" w:fill="FFFFFF"/>
                      <w:lang w:eastAsia="zh-CN"/>
                    </w:rPr>
                  </w:pPr>
                  <w:r>
                    <w:rPr>
                      <w:rFonts w:hint="default" w:ascii="Times New Roman" w:hAnsi="Times New Roman" w:cs="Times New Roman" w:eastAsiaTheme="minorEastAsia"/>
                      <w:color w:val="auto"/>
                      <w:sz w:val="21"/>
                      <w:szCs w:val="21"/>
                      <w:highlight w:val="none"/>
                      <w:shd w:val="clear" w:color="auto" w:fill="FFFFFF"/>
                      <w:lang w:eastAsia="zh-CN"/>
                    </w:rPr>
                    <w:t>检测结果</w:t>
                  </w:r>
                  <w:r>
                    <w:rPr>
                      <w:rFonts w:hint="default" w:ascii="Times New Roman" w:hAnsi="Times New Roman" w:cs="Times New Roman" w:eastAsiaTheme="minorEastAsia"/>
                      <w:color w:val="auto"/>
                      <w:sz w:val="21"/>
                      <w:szCs w:val="21"/>
                      <w:highlight w:val="none"/>
                      <w:shd w:val="clear" w:color="auto" w:fill="FFFFFF"/>
                    </w:rPr>
                    <w:t>（</w:t>
                  </w:r>
                  <w:r>
                    <w:rPr>
                      <w:rFonts w:hint="default" w:ascii="Times New Roman" w:hAnsi="Times New Roman" w:cs="Times New Roman" w:eastAsiaTheme="minorEastAsia"/>
                      <w:color w:val="auto"/>
                      <w:sz w:val="21"/>
                      <w:szCs w:val="21"/>
                      <w:highlight w:val="none"/>
                      <w:shd w:val="clear" w:color="auto" w:fill="FFFFFF"/>
                      <w:lang w:eastAsia="zh-CN"/>
                    </w:rPr>
                    <w:t>μ</w:t>
                  </w:r>
                  <w:r>
                    <w:rPr>
                      <w:rFonts w:hint="default" w:ascii="Times New Roman" w:hAnsi="Times New Roman" w:cs="Times New Roman" w:eastAsiaTheme="minorEastAsia"/>
                      <w:color w:val="auto"/>
                      <w:sz w:val="21"/>
                      <w:szCs w:val="21"/>
                      <w:highlight w:val="none"/>
                      <w:shd w:val="clear" w:color="auto" w:fill="FFFFFF"/>
                    </w:rPr>
                    <w:t>g/m 3）</w:t>
                  </w:r>
                </w:p>
              </w:tc>
              <w:tc>
                <w:tcPr>
                  <w:tcW w:w="938" w:type="pct"/>
                  <w:vMerge w:val="restart"/>
                  <w:noWrap w:val="0"/>
                  <w:vAlign w:val="center"/>
                </w:tcPr>
                <w:p>
                  <w:pPr>
                    <w:widowControl/>
                    <w:adjustRightInd w:val="0"/>
                    <w:snapToGrid w:val="0"/>
                    <w:spacing w:line="360" w:lineRule="auto"/>
                    <w:jc w:val="left"/>
                    <w:rPr>
                      <w:rFonts w:hint="default" w:ascii="Times New Roman" w:hAnsi="Times New Roman" w:cs="Times New Roman" w:eastAsiaTheme="minorEastAsia"/>
                      <w:color w:val="auto"/>
                      <w:sz w:val="21"/>
                      <w:szCs w:val="21"/>
                      <w:highlight w:val="none"/>
                      <w:shd w:val="clear" w:color="auto" w:fill="FFFFFF"/>
                      <w:lang w:eastAsia="zh-CN"/>
                    </w:rPr>
                  </w:pPr>
                  <w:r>
                    <w:rPr>
                      <w:rFonts w:hint="default" w:ascii="Times New Roman" w:hAnsi="Times New Roman" w:cs="Times New Roman" w:eastAsiaTheme="minorEastAsia"/>
                      <w:color w:val="auto"/>
                      <w:sz w:val="21"/>
                      <w:szCs w:val="21"/>
                      <w:highlight w:val="none"/>
                      <w:shd w:val="clear" w:color="auto" w:fill="FFFFFF"/>
                      <w:lang w:eastAsia="zh-CN"/>
                    </w:rPr>
                    <w:t>限值</w:t>
                  </w:r>
                  <w:r>
                    <w:rPr>
                      <w:rFonts w:hint="default" w:ascii="Times New Roman" w:hAnsi="Times New Roman" w:cs="Times New Roman" w:eastAsiaTheme="minorEastAsia"/>
                      <w:color w:val="auto"/>
                      <w:sz w:val="21"/>
                      <w:szCs w:val="21"/>
                      <w:highlight w:val="none"/>
                      <w:shd w:val="clear" w:color="auto" w:fill="FFFFFF"/>
                    </w:rPr>
                    <w:t>（</w:t>
                  </w:r>
                  <w:r>
                    <w:rPr>
                      <w:rFonts w:hint="default" w:ascii="Times New Roman" w:hAnsi="Times New Roman" w:cs="Times New Roman" w:eastAsiaTheme="minorEastAsia"/>
                      <w:color w:val="auto"/>
                      <w:sz w:val="21"/>
                      <w:szCs w:val="21"/>
                      <w:highlight w:val="none"/>
                      <w:shd w:val="clear" w:color="auto" w:fill="FFFFFF"/>
                      <w:lang w:eastAsia="zh-CN"/>
                    </w:rPr>
                    <w:t>μ</w:t>
                  </w:r>
                  <w:r>
                    <w:rPr>
                      <w:rFonts w:hint="default" w:ascii="Times New Roman" w:hAnsi="Times New Roman" w:cs="Times New Roman" w:eastAsiaTheme="minorEastAsia"/>
                      <w:color w:val="auto"/>
                      <w:sz w:val="21"/>
                      <w:szCs w:val="21"/>
                      <w:highlight w:val="none"/>
                      <w:shd w:val="clear" w:color="auto" w:fill="FFFFFF"/>
                    </w:rPr>
                    <w:t>g/m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09" w:hRule="atLeast"/>
                <w:jc w:val="center"/>
              </w:trPr>
              <w:tc>
                <w:tcPr>
                  <w:tcW w:w="532" w:type="pct"/>
                  <w:vMerge w:val="continue"/>
                  <w:noWrap w:val="0"/>
                  <w:vAlign w:val="center"/>
                </w:tcPr>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 w:val="21"/>
                      <w:szCs w:val="21"/>
                      <w:highlight w:val="none"/>
                      <w:shd w:val="clear" w:color="auto" w:fill="FFFFFF"/>
                    </w:rPr>
                  </w:pPr>
                </w:p>
              </w:tc>
              <w:tc>
                <w:tcPr>
                  <w:tcW w:w="549" w:type="pct"/>
                  <w:vMerge w:val="continue"/>
                  <w:noWrap w:val="0"/>
                  <w:vAlign w:val="center"/>
                </w:tcPr>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 w:val="21"/>
                      <w:szCs w:val="21"/>
                      <w:highlight w:val="none"/>
                      <w:shd w:val="clear" w:color="auto" w:fill="FFFFFF"/>
                    </w:rPr>
                  </w:pPr>
                </w:p>
              </w:tc>
              <w:tc>
                <w:tcPr>
                  <w:tcW w:w="976"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eastAsia="zh-CN"/>
                    </w:rPr>
                  </w:pPr>
                  <w:r>
                    <w:rPr>
                      <w:rFonts w:hint="default" w:ascii="Times New Roman" w:hAnsi="Times New Roman" w:cs="Times New Roman" w:eastAsiaTheme="minorEastAsia"/>
                      <w:color w:val="auto"/>
                      <w:sz w:val="21"/>
                      <w:szCs w:val="21"/>
                      <w:highlight w:val="none"/>
                      <w:shd w:val="clear" w:color="auto" w:fill="FFFFFF"/>
                      <w:lang w:val="en-US" w:eastAsia="zh-CN"/>
                    </w:rPr>
                    <w:t>05.25~05.26</w:t>
                  </w:r>
                </w:p>
              </w:tc>
              <w:tc>
                <w:tcPr>
                  <w:tcW w:w="876"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rPr>
                  </w:pPr>
                  <w:r>
                    <w:rPr>
                      <w:rFonts w:hint="default" w:ascii="Times New Roman" w:hAnsi="Times New Roman" w:cs="Times New Roman" w:eastAsiaTheme="minorEastAsia"/>
                      <w:color w:val="auto"/>
                      <w:sz w:val="21"/>
                      <w:szCs w:val="21"/>
                      <w:highlight w:val="none"/>
                      <w:shd w:val="clear" w:color="auto" w:fill="FFFFFF"/>
                      <w:lang w:val="en-US" w:eastAsia="zh-CN"/>
                    </w:rPr>
                    <w:t>05.26~05.27</w:t>
                  </w:r>
                </w:p>
              </w:tc>
              <w:tc>
                <w:tcPr>
                  <w:tcW w:w="1126"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rPr>
                  </w:pPr>
                  <w:r>
                    <w:rPr>
                      <w:rFonts w:hint="default" w:ascii="Times New Roman" w:hAnsi="Times New Roman" w:cs="Times New Roman" w:eastAsiaTheme="minorEastAsia"/>
                      <w:color w:val="auto"/>
                      <w:sz w:val="21"/>
                      <w:szCs w:val="21"/>
                      <w:highlight w:val="none"/>
                      <w:shd w:val="clear" w:color="auto" w:fill="FFFFFF"/>
                      <w:lang w:val="en-US" w:eastAsia="zh-CN"/>
                    </w:rPr>
                    <w:t>05.27~05.28</w:t>
                  </w:r>
                </w:p>
              </w:tc>
              <w:tc>
                <w:tcPr>
                  <w:tcW w:w="938" w:type="pct"/>
                  <w:vMerge w:val="continue"/>
                  <w:noWrap w:val="0"/>
                  <w:vAlign w:val="center"/>
                </w:tcPr>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 w:val="21"/>
                      <w:szCs w:val="21"/>
                      <w:highlight w:val="none"/>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8" w:hRule="atLeast"/>
                <w:jc w:val="center"/>
              </w:trPr>
              <w:tc>
                <w:tcPr>
                  <w:tcW w:w="532" w:type="pct"/>
                  <w:vMerge w:val="restart"/>
                  <w:noWrap w:val="0"/>
                  <w:vAlign w:val="center"/>
                </w:tcPr>
                <w:p>
                  <w:pPr>
                    <w:widowControl/>
                    <w:adjustRightInd w:val="0"/>
                    <w:snapToGrid w:val="0"/>
                    <w:spacing w:line="360" w:lineRule="auto"/>
                    <w:jc w:val="left"/>
                    <w:rPr>
                      <w:rFonts w:hint="default" w:ascii="Times New Roman" w:hAnsi="Times New Roman" w:cs="Times New Roman" w:eastAsiaTheme="minorEastAsia"/>
                      <w:color w:val="auto"/>
                      <w:sz w:val="21"/>
                      <w:szCs w:val="21"/>
                      <w:highlight w:val="none"/>
                      <w:shd w:val="clear" w:color="auto" w:fill="FFFFFF"/>
                      <w:lang w:eastAsia="zh-CN"/>
                    </w:rPr>
                  </w:pPr>
                  <w:r>
                    <w:rPr>
                      <w:rFonts w:hint="default" w:ascii="Times New Roman" w:hAnsi="Times New Roman" w:cs="Times New Roman" w:eastAsiaTheme="minorEastAsia"/>
                      <w:color w:val="auto"/>
                      <w:sz w:val="21"/>
                      <w:szCs w:val="21"/>
                      <w:highlight w:val="none"/>
                      <w:shd w:val="clear" w:color="auto" w:fill="FFFFFF"/>
                      <w:lang w:eastAsia="zh-CN"/>
                    </w:rPr>
                    <w:t>下风向监测点</w:t>
                  </w:r>
                </w:p>
              </w:tc>
              <w:tc>
                <w:tcPr>
                  <w:tcW w:w="549"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rPr>
                  </w:pPr>
                  <w:r>
                    <w:rPr>
                      <w:rFonts w:hint="default" w:ascii="Times New Roman" w:hAnsi="Times New Roman" w:cs="Times New Roman" w:eastAsiaTheme="minorEastAsia"/>
                      <w:color w:val="auto"/>
                      <w:sz w:val="21"/>
                      <w:szCs w:val="21"/>
                      <w:highlight w:val="none"/>
                      <w:shd w:val="clear" w:color="auto" w:fill="FFFFFF"/>
                    </w:rPr>
                    <w:t>TSP</w:t>
                  </w:r>
                </w:p>
              </w:tc>
              <w:tc>
                <w:tcPr>
                  <w:tcW w:w="976"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eastAsia="zh-CN"/>
                    </w:rPr>
                  </w:pPr>
                  <w:r>
                    <w:rPr>
                      <w:rFonts w:hint="default" w:ascii="Times New Roman" w:hAnsi="Times New Roman" w:cs="Times New Roman" w:eastAsiaTheme="minorEastAsia"/>
                      <w:color w:val="auto"/>
                      <w:sz w:val="21"/>
                      <w:szCs w:val="21"/>
                      <w:highlight w:val="none"/>
                      <w:shd w:val="clear" w:color="auto" w:fill="FFFFFF"/>
                      <w:lang w:val="en-US" w:eastAsia="zh-CN"/>
                    </w:rPr>
                    <w:t>73</w:t>
                  </w:r>
                </w:p>
              </w:tc>
              <w:tc>
                <w:tcPr>
                  <w:tcW w:w="876"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eastAsia="zh-CN"/>
                    </w:rPr>
                  </w:pPr>
                  <w:r>
                    <w:rPr>
                      <w:rFonts w:hint="default" w:ascii="Times New Roman" w:hAnsi="Times New Roman" w:cs="Times New Roman" w:eastAsiaTheme="minorEastAsia"/>
                      <w:color w:val="auto"/>
                      <w:sz w:val="21"/>
                      <w:szCs w:val="21"/>
                      <w:highlight w:val="none"/>
                      <w:shd w:val="clear" w:color="auto" w:fill="FFFFFF"/>
                      <w:lang w:val="en-US" w:eastAsia="zh-CN"/>
                    </w:rPr>
                    <w:t>79</w:t>
                  </w:r>
                </w:p>
              </w:tc>
              <w:tc>
                <w:tcPr>
                  <w:tcW w:w="1126"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eastAsia="zh-CN"/>
                    </w:rPr>
                  </w:pPr>
                  <w:r>
                    <w:rPr>
                      <w:rFonts w:hint="default" w:ascii="Times New Roman" w:hAnsi="Times New Roman" w:cs="Times New Roman" w:eastAsiaTheme="minorEastAsia"/>
                      <w:color w:val="auto"/>
                      <w:sz w:val="21"/>
                      <w:szCs w:val="21"/>
                      <w:highlight w:val="none"/>
                      <w:shd w:val="clear" w:color="auto" w:fill="FFFFFF"/>
                      <w:lang w:val="en-US" w:eastAsia="zh-CN"/>
                    </w:rPr>
                    <w:t>71</w:t>
                  </w:r>
                </w:p>
              </w:tc>
              <w:tc>
                <w:tcPr>
                  <w:tcW w:w="938"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eastAsia="zh-CN"/>
                    </w:rPr>
                  </w:pPr>
                  <w:r>
                    <w:rPr>
                      <w:rFonts w:hint="default" w:ascii="Times New Roman" w:hAnsi="Times New Roman" w:cs="Times New Roman" w:eastAsiaTheme="minorEastAsia"/>
                      <w:color w:val="auto"/>
                      <w:sz w:val="21"/>
                      <w:szCs w:val="21"/>
                      <w:highlight w:val="none"/>
                      <w:shd w:val="clear" w:color="auto" w:fill="FFFFFF"/>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40" w:hRule="atLeast"/>
                <w:jc w:val="center"/>
              </w:trPr>
              <w:tc>
                <w:tcPr>
                  <w:tcW w:w="532" w:type="pct"/>
                  <w:vMerge w:val="continue"/>
                  <w:noWrap w:val="0"/>
                  <w:vAlign w:val="center"/>
                </w:tcPr>
                <w:p>
                  <w:pPr>
                    <w:widowControl/>
                    <w:adjustRightInd w:val="0"/>
                    <w:snapToGrid w:val="0"/>
                    <w:spacing w:line="360" w:lineRule="auto"/>
                    <w:ind w:firstLine="420" w:firstLineChars="200"/>
                    <w:jc w:val="left"/>
                    <w:rPr>
                      <w:rFonts w:hint="default" w:ascii="Times New Roman" w:hAnsi="Times New Roman" w:cs="Times New Roman" w:eastAsiaTheme="minorEastAsia"/>
                      <w:color w:val="auto"/>
                      <w:sz w:val="21"/>
                      <w:szCs w:val="21"/>
                      <w:highlight w:val="none"/>
                      <w:shd w:val="clear" w:color="auto" w:fill="FFFFFF"/>
                      <w:lang w:eastAsia="zh-CN"/>
                    </w:rPr>
                  </w:pPr>
                </w:p>
              </w:tc>
              <w:tc>
                <w:tcPr>
                  <w:tcW w:w="549"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rPr>
                  </w:pPr>
                  <w:r>
                    <w:rPr>
                      <w:rFonts w:hint="default" w:ascii="Times New Roman" w:hAnsi="Times New Roman" w:cs="Times New Roman" w:eastAsiaTheme="minorEastAsia"/>
                      <w:color w:val="auto"/>
                      <w:sz w:val="21"/>
                      <w:szCs w:val="21"/>
                      <w:highlight w:val="none"/>
                      <w:shd w:val="clear" w:color="auto" w:fill="FFFFFF"/>
                    </w:rPr>
                    <w:t>TVOC</w:t>
                  </w:r>
                </w:p>
              </w:tc>
              <w:tc>
                <w:tcPr>
                  <w:tcW w:w="976"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eastAsia="zh-CN"/>
                    </w:rPr>
                  </w:pPr>
                  <w:r>
                    <w:rPr>
                      <w:rFonts w:hint="default" w:ascii="Times New Roman" w:hAnsi="Times New Roman" w:cs="Times New Roman" w:eastAsiaTheme="minorEastAsia"/>
                      <w:color w:val="auto"/>
                      <w:sz w:val="21"/>
                      <w:szCs w:val="21"/>
                      <w:highlight w:val="none"/>
                      <w:shd w:val="clear" w:color="auto" w:fill="FFFFFF"/>
                      <w:lang w:val="en-US" w:eastAsia="zh-CN"/>
                    </w:rPr>
                    <w:t>32.3</w:t>
                  </w:r>
                </w:p>
              </w:tc>
              <w:tc>
                <w:tcPr>
                  <w:tcW w:w="876"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eastAsia="zh-CN"/>
                    </w:rPr>
                  </w:pPr>
                  <w:r>
                    <w:rPr>
                      <w:rFonts w:hint="default" w:ascii="Times New Roman" w:hAnsi="Times New Roman" w:cs="Times New Roman" w:eastAsiaTheme="minorEastAsia"/>
                      <w:color w:val="auto"/>
                      <w:sz w:val="21"/>
                      <w:szCs w:val="21"/>
                      <w:highlight w:val="none"/>
                      <w:shd w:val="clear" w:color="auto" w:fill="FFFFFF"/>
                      <w:lang w:val="en-US" w:eastAsia="zh-CN"/>
                    </w:rPr>
                    <w:t>40.0</w:t>
                  </w:r>
                </w:p>
              </w:tc>
              <w:tc>
                <w:tcPr>
                  <w:tcW w:w="1126"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eastAsia="zh-CN"/>
                    </w:rPr>
                  </w:pPr>
                  <w:r>
                    <w:rPr>
                      <w:rFonts w:hint="default" w:ascii="Times New Roman" w:hAnsi="Times New Roman" w:cs="Times New Roman" w:eastAsiaTheme="minorEastAsia"/>
                      <w:color w:val="auto"/>
                      <w:sz w:val="21"/>
                      <w:szCs w:val="21"/>
                      <w:highlight w:val="none"/>
                      <w:shd w:val="clear" w:color="auto" w:fill="FFFFFF"/>
                      <w:lang w:val="en-US" w:eastAsia="zh-CN"/>
                    </w:rPr>
                    <w:t>31.5</w:t>
                  </w:r>
                </w:p>
              </w:tc>
              <w:tc>
                <w:tcPr>
                  <w:tcW w:w="938" w:type="pct"/>
                  <w:noWrap w:val="0"/>
                  <w:vAlign w:val="center"/>
                </w:tcPr>
                <w:p>
                  <w:pPr>
                    <w:widowControl/>
                    <w:adjustRightInd w:val="0"/>
                    <w:snapToGrid w:val="0"/>
                    <w:spacing w:line="360" w:lineRule="auto"/>
                    <w:jc w:val="center"/>
                    <w:rPr>
                      <w:rFonts w:hint="default" w:ascii="Times New Roman" w:hAnsi="Times New Roman" w:cs="Times New Roman" w:eastAsiaTheme="minorEastAsia"/>
                      <w:color w:val="auto"/>
                      <w:sz w:val="21"/>
                      <w:szCs w:val="21"/>
                      <w:highlight w:val="none"/>
                      <w:shd w:val="clear" w:color="auto" w:fill="FFFFFF"/>
                      <w:lang w:val="en-US" w:eastAsia="zh-CN"/>
                    </w:rPr>
                  </w:pPr>
                  <w:r>
                    <w:rPr>
                      <w:rFonts w:hint="default" w:ascii="Times New Roman" w:hAnsi="Times New Roman" w:cs="Times New Roman" w:eastAsiaTheme="minorEastAsia"/>
                      <w:color w:val="auto"/>
                      <w:sz w:val="21"/>
                      <w:szCs w:val="21"/>
                      <w:highlight w:val="none"/>
                      <w:shd w:val="clear" w:color="auto" w:fill="FFFFFF"/>
                      <w:lang w:val="en-US" w:eastAsia="zh-CN"/>
                    </w:rPr>
                    <w:t>600</w:t>
                  </w:r>
                </w:p>
              </w:tc>
            </w:tr>
          </w:tbl>
          <w:p>
            <w:pPr>
              <w:widowControl/>
              <w:adjustRightInd w:val="0"/>
              <w:snapToGrid w:val="0"/>
              <w:spacing w:line="360" w:lineRule="auto"/>
              <w:ind w:firstLine="482" w:firstLineChars="200"/>
              <w:jc w:val="lef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b/>
                <w:color w:val="auto"/>
                <w:sz w:val="24"/>
                <w:szCs w:val="24"/>
                <w:highlight w:val="none"/>
              </w:rPr>
              <w:drawing>
                <wp:anchor distT="0" distB="0" distL="114300" distR="114300" simplePos="0" relativeHeight="251668480" behindDoc="0" locked="0" layoutInCell="1" allowOverlap="1">
                  <wp:simplePos x="0" y="0"/>
                  <wp:positionH relativeFrom="column">
                    <wp:posOffset>4250690</wp:posOffset>
                  </wp:positionH>
                  <wp:positionV relativeFrom="paragraph">
                    <wp:posOffset>1209675</wp:posOffset>
                  </wp:positionV>
                  <wp:extent cx="895985" cy="851535"/>
                  <wp:effectExtent l="0" t="0" r="18415" b="5715"/>
                  <wp:wrapNone/>
                  <wp:docPr id="60" name="图片 478" descr="165685487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78" descr="1656854879720"/>
                          <pic:cNvPicPr>
                            <a:picLocks noChangeAspect="1"/>
                          </pic:cNvPicPr>
                        </pic:nvPicPr>
                        <pic:blipFill>
                          <a:blip r:embed="rId9"/>
                          <a:stretch>
                            <a:fillRect/>
                          </a:stretch>
                        </pic:blipFill>
                        <pic:spPr>
                          <a:xfrm>
                            <a:off x="0" y="0"/>
                            <a:ext cx="895985" cy="851535"/>
                          </a:xfrm>
                          <a:prstGeom prst="rect">
                            <a:avLst/>
                          </a:prstGeom>
                          <a:noFill/>
                          <a:ln>
                            <a:noFill/>
                          </a:ln>
                        </pic:spPr>
                      </pic:pic>
                    </a:graphicData>
                  </a:graphic>
                </wp:anchor>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3762375</wp:posOffset>
                      </wp:positionH>
                      <wp:positionV relativeFrom="paragraph">
                        <wp:posOffset>2816860</wp:posOffset>
                      </wp:positionV>
                      <wp:extent cx="1028700" cy="314325"/>
                      <wp:effectExtent l="240665" t="4445" r="6985" b="443230"/>
                      <wp:wrapNone/>
                      <wp:docPr id="54" name="矩形标注 54"/>
                      <wp:cNvGraphicFramePr/>
                      <a:graphic xmlns:a="http://schemas.openxmlformats.org/drawingml/2006/main">
                        <a:graphicData uri="http://schemas.microsoft.com/office/word/2010/wordprocessingShape">
                          <wps:wsp>
                            <wps:cNvSpPr/>
                            <wps:spPr>
                              <a:xfrm>
                                <a:off x="0" y="0"/>
                                <a:ext cx="1028700" cy="314325"/>
                              </a:xfrm>
                              <a:prstGeom prst="wedgeRectCallout">
                                <a:avLst>
                                  <a:gd name="adj1" fmla="val -70555"/>
                                  <a:gd name="adj2" fmla="val 180707"/>
                                </a:avLst>
                              </a:prstGeom>
                              <a:solidFill>
                                <a:srgbClr val="FFFFFF"/>
                              </a:solidFill>
                              <a:ln w="9525" cap="flat" cmpd="sng">
                                <a:solidFill>
                                  <a:srgbClr val="B4C7E7"/>
                                </a:solidFill>
                                <a:prstDash val="solid"/>
                                <a:miter/>
                                <a:headEnd type="none" w="med" len="med"/>
                                <a:tailEnd type="none" w="med" len="med"/>
                              </a:ln>
                            </wps:spPr>
                            <wps:txbx>
                              <w:txbxContent>
                                <w:p>
                                  <w:pPr>
                                    <w:rPr>
                                      <w:rFonts w:hint="eastAsia" w:eastAsia="宋体"/>
                                      <w:color w:val="auto"/>
                                      <w:lang w:eastAsia="zh-CN"/>
                                    </w:rPr>
                                  </w:pPr>
                                  <w:r>
                                    <w:rPr>
                                      <w:rFonts w:hint="eastAsia"/>
                                      <w:color w:val="auto"/>
                                      <w:lang w:eastAsia="zh-CN"/>
                                    </w:rPr>
                                    <w:t>项目位置</w:t>
                                  </w:r>
                                </w:p>
                              </w:txbxContent>
                            </wps:txbx>
                            <wps:bodyPr upright="1"/>
                          </wps:wsp>
                        </a:graphicData>
                      </a:graphic>
                    </wp:anchor>
                  </w:drawing>
                </mc:Choice>
                <mc:Fallback>
                  <w:pict>
                    <v:shape id="_x0000_s1026" o:spid="_x0000_s1026" o:spt="61" type="#_x0000_t61" style="position:absolute;left:0pt;margin-left:296.25pt;margin-top:221.8pt;height:24.75pt;width:81pt;z-index:251662336;mso-width-relative:page;mso-height-relative:page;" fillcolor="#FFFFFF" filled="t" stroked="t" coordsize="21600,21600" o:gfxdata="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gFvOvYAAAACwEAAA8AAAAAAAAAAQAgAAAAIgAA&#10;AGRycy9kb3ducmV2LnhtbFBLAQIUABQAAAAIAIdO4kDkJGrjQQIAAJAEAAAOAAAAAAAAAAEAIAAA&#10;ACcBAABkcnMvZTJvRG9jLnhtbFBLBQYAAAAABgAGAFkBAADaBQAAAAA=&#10;" adj="-4440,49833">
                      <v:fill on="t" focussize="0,0"/>
                      <v:stroke color="#B4C7E7" joinstyle="miter"/>
                      <v:imagedata o:title=""/>
                      <o:lock v:ext="edit" aspectratio="f"/>
                      <v:textbox>
                        <w:txbxContent>
                          <w:p>
                            <w:pPr>
                              <w:rPr>
                                <w:rFonts w:hint="eastAsia" w:eastAsia="宋体"/>
                                <w:color w:val="auto"/>
                                <w:lang w:eastAsia="zh-CN"/>
                              </w:rPr>
                            </w:pPr>
                            <w:r>
                              <w:rPr>
                                <w:rFonts w:hint="eastAsia"/>
                                <w:color w:val="auto"/>
                                <w:lang w:eastAsia="zh-CN"/>
                              </w:rPr>
                              <w:t>项目位置</w:t>
                            </w:r>
                          </w:p>
                        </w:txbxContent>
                      </v:textbox>
                    </v:shape>
                  </w:pict>
                </mc:Fallback>
              </mc:AlternateConten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1315085</wp:posOffset>
                      </wp:positionV>
                      <wp:extent cx="1026795" cy="496570"/>
                      <wp:effectExtent l="5080" t="5080" r="301625" b="431800"/>
                      <wp:wrapNone/>
                      <wp:docPr id="59" name="矩形标注 59"/>
                      <wp:cNvGraphicFramePr/>
                      <a:graphic xmlns:a="http://schemas.openxmlformats.org/drawingml/2006/main">
                        <a:graphicData uri="http://schemas.microsoft.com/office/word/2010/wordprocessingShape">
                          <wps:wsp>
                            <wps:cNvSpPr/>
                            <wps:spPr>
                              <a:xfrm>
                                <a:off x="0" y="0"/>
                                <a:ext cx="1026795" cy="496570"/>
                              </a:xfrm>
                              <a:prstGeom prst="wedgeRectCallout">
                                <a:avLst>
                                  <a:gd name="adj1" fmla="val 74799"/>
                                  <a:gd name="adj2" fmla="val 129411"/>
                                </a:avLst>
                              </a:prstGeom>
                              <a:solidFill>
                                <a:srgbClr val="FFFFFF"/>
                              </a:solidFill>
                              <a:ln w="9525" cap="flat" cmpd="sng">
                                <a:solidFill>
                                  <a:srgbClr val="B4C7E7"/>
                                </a:solidFill>
                                <a:prstDash val="solid"/>
                                <a:miter/>
                                <a:headEnd type="none" w="med" len="med"/>
                                <a:tailEnd type="none" w="med" len="med"/>
                              </a:ln>
                            </wps:spPr>
                            <wps:txbx>
                              <w:txbxContent>
                                <w:p>
                                  <w:pPr>
                                    <w:rPr>
                                      <w:rFonts w:hint="default" w:eastAsia="宋体"/>
                                      <w:color w:val="auto"/>
                                      <w:lang w:val="en-US" w:eastAsia="zh-CN"/>
                                    </w:rPr>
                                  </w:pPr>
                                  <w:r>
                                    <w:rPr>
                                      <w:rFonts w:hint="eastAsia" w:eastAsia="宋体"/>
                                      <w:color w:val="auto"/>
                                      <w:lang w:val="en-US" w:eastAsia="zh-CN"/>
                                    </w:rPr>
                                    <w:t>惠州市共发实业有限公司</w:t>
                                  </w:r>
                                </w:p>
                              </w:txbxContent>
                            </wps:txbx>
                            <wps:bodyPr upright="1"/>
                          </wps:wsp>
                        </a:graphicData>
                      </a:graphic>
                    </wp:anchor>
                  </w:drawing>
                </mc:Choice>
                <mc:Fallback>
                  <w:pict>
                    <v:shape id="_x0000_s1026" o:spid="_x0000_s1026" o:spt="61" type="#_x0000_t61" style="position:absolute;left:0pt;margin-left:0pt;margin-top:103.55pt;height:39.1pt;width:80.85pt;z-index:251663360;mso-width-relative:page;mso-height-relative:page;" fillcolor="#FFFFFF" filled="t" stroked="t" coordsize="21600,21600" o:gfxdata="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PHANbbAAAACQEAAA8AAAAAAAAAAQAgAAAAIgAA&#10;AGRycy9kb3ducmV2LnhtbFBLAQIUABQAAAAIAIdO4kDlOZh8PgIAAI8EAAAOAAAAAAAAAAEAIAAA&#10;ACoBAABkcnMvZTJvRG9jLnhtbFBLBQYAAAAABgAGAFkBAADaBQAAAAA=&#10;" adj="26957,38753">
                      <v:fill on="t" focussize="0,0"/>
                      <v:stroke color="#B4C7E7" joinstyle="miter"/>
                      <v:imagedata o:title=""/>
                      <o:lock v:ext="edit" aspectratio="f"/>
                      <v:textbox>
                        <w:txbxContent>
                          <w:p>
                            <w:pPr>
                              <w:rPr>
                                <w:rFonts w:hint="default" w:eastAsia="宋体"/>
                                <w:color w:val="auto"/>
                                <w:lang w:val="en-US" w:eastAsia="zh-CN"/>
                              </w:rPr>
                            </w:pPr>
                            <w:r>
                              <w:rPr>
                                <w:rFonts w:hint="eastAsia" w:eastAsia="宋体"/>
                                <w:color w:val="auto"/>
                                <w:lang w:val="en-US" w:eastAsia="zh-CN"/>
                              </w:rPr>
                              <w:t>惠州市共发实业有限公司</w:t>
                            </w:r>
                          </w:p>
                        </w:txbxContent>
                      </v:textbox>
                    </v:shape>
                  </w:pict>
                </mc:Fallback>
              </mc:AlternateContent>
            </w:r>
            <w:r>
              <w:rPr>
                <w:color w:val="auto"/>
                <w:sz w:val="21"/>
                <w:highlight w:val="none"/>
              </w:rPr>
              <mc:AlternateContent>
                <mc:Choice Requires="wps">
                  <w:drawing>
                    <wp:anchor distT="0" distB="0" distL="114300" distR="114300" simplePos="0" relativeHeight="251669504" behindDoc="0" locked="0" layoutInCell="1" allowOverlap="1">
                      <wp:simplePos x="0" y="0"/>
                      <wp:positionH relativeFrom="column">
                        <wp:posOffset>1251585</wp:posOffset>
                      </wp:positionH>
                      <wp:positionV relativeFrom="paragraph">
                        <wp:posOffset>2216150</wp:posOffset>
                      </wp:positionV>
                      <wp:extent cx="95250" cy="95250"/>
                      <wp:effectExtent l="6350" t="6350" r="12700" b="12700"/>
                      <wp:wrapNone/>
                      <wp:docPr id="131" name="流程图: 联系 131"/>
                      <wp:cNvGraphicFramePr/>
                      <a:graphic xmlns:a="http://schemas.openxmlformats.org/drawingml/2006/main">
                        <a:graphicData uri="http://schemas.microsoft.com/office/word/2010/wordprocessingShape">
                          <wps:wsp>
                            <wps:cNvSpPr/>
                            <wps:spPr>
                              <a:xfrm>
                                <a:off x="3028950" y="1758950"/>
                                <a:ext cx="95250" cy="95250"/>
                              </a:xfrm>
                              <a:prstGeom prst="flowChartConnector">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98.55pt;margin-top:174.5pt;height:7.5pt;width:7.5pt;z-index:251669504;v-text-anchor:middle;mso-width-relative:page;mso-height-relative:page;" fillcolor="#FF0000" filled="t" stroked="t" coordsize="21600,21600" o:gfxdata="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pS3SHdoAAAAL&#10;AQAADwAAAAAAAAABACAAAAAiAAAAZHJzL2Rvd25yZXYueG1sUEsBAhQAFAAAAAgAh07iQFQ55tyM&#10;AgAAGgUAAA4AAAAAAAAAAQAgAAAAKQEAAGRycy9lMm9Eb2MueG1sUEsFBgAAAAAGAAYAWQEAACcG&#10;AAAAAA==&#10;">
                      <v:fill on="t" focussize="0,0"/>
                      <v:stroke weight="1pt" color="#FF0000 [3204]" miterlimit="8" joinstyle="miter"/>
                      <v:imagedata o:title=""/>
                      <o:lock v:ext="edit" aspectratio="f"/>
                    </v:shape>
                  </w:pict>
                </mc:Fallback>
              </mc:AlternateContent>
            </w:r>
            <w:r>
              <w:rPr>
                <w:rFonts w:hint="default" w:ascii="Times New Roman" w:hAnsi="Times New Roman" w:eastAsia="宋体" w:cs="Times New Roman"/>
                <w:color w:val="auto"/>
                <w:sz w:val="24"/>
                <w:highlight w:val="none"/>
                <w:shd w:val="clear" w:color="auto" w:fill="FFFFFF"/>
              </w:rPr>
              <w:t>综上所述，项目所在区域环境质量现状良好，各常规因子和特征因子</w:t>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2341245</wp:posOffset>
                      </wp:positionH>
                      <wp:positionV relativeFrom="paragraph">
                        <wp:posOffset>2319020</wp:posOffset>
                      </wp:positionV>
                      <wp:extent cx="628650" cy="29527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628650" cy="295275"/>
                              </a:xfrm>
                              <a:prstGeom prst="rect">
                                <a:avLst/>
                              </a:prstGeom>
                              <a:noFill/>
                              <a:ln>
                                <a:noFill/>
                              </a:ln>
                            </wps:spPr>
                            <wps:txbx>
                              <w:txbxContent>
                                <w:p>
                                  <w:pPr>
                                    <w:rPr>
                                      <w:rFonts w:hint="default" w:eastAsia="宋体"/>
                                      <w:b/>
                                      <w:bCs/>
                                      <w:color w:val="FFFF00"/>
                                      <w:lang w:val="en-US" w:eastAsia="zh-CN"/>
                                    </w:rPr>
                                  </w:pPr>
                                  <w:r>
                                    <w:rPr>
                                      <w:rFonts w:hint="eastAsia"/>
                                      <w:b/>
                                      <w:bCs/>
                                      <w:color w:val="FFFF00"/>
                                      <w:lang w:val="en-US" w:eastAsia="zh-CN"/>
                                    </w:rPr>
                                    <w:t>2279m</w:t>
                                  </w:r>
                                </w:p>
                              </w:txbxContent>
                            </wps:txbx>
                            <wps:bodyPr upright="1"/>
                          </wps:wsp>
                        </a:graphicData>
                      </a:graphic>
                    </wp:anchor>
                  </w:drawing>
                </mc:Choice>
                <mc:Fallback>
                  <w:pict>
                    <v:shape id="_x0000_s1026" o:spid="_x0000_s1026" o:spt="202" type="#_x0000_t202" style="position:absolute;left:0pt;margin-left:184.35pt;margin-top:182.6pt;height:23.25pt;width:49.5pt;z-index:251661312;mso-width-relative:page;mso-height-relative:page;" filled="f" stroked="f" coordsize="21600,21600" o:gfxdata="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EZ/W9gA&#10;AAALAQAADwAAAAAAAAABACAAAAAiAAAAZHJzL2Rvd25yZXYueG1sUEsBAhQAFAAAAAgAh07iQEKZ&#10;X1CtAQAATwMAAA4AAAAAAAAAAQAgAAAAJwEAAGRycy9lMm9Eb2MueG1sUEsFBgAAAAAGAAYAWQEA&#10;AEYFAAAAAA==&#10;">
                      <v:fill on="f" focussize="0,0"/>
                      <v:stroke on="f"/>
                      <v:imagedata o:title=""/>
                      <o:lock v:ext="edit" aspectratio="f"/>
                      <v:textbox>
                        <w:txbxContent>
                          <w:p>
                            <w:pPr>
                              <w:rPr>
                                <w:rFonts w:hint="default" w:eastAsia="宋体"/>
                                <w:b/>
                                <w:bCs/>
                                <w:color w:val="FFFF00"/>
                                <w:lang w:val="en-US" w:eastAsia="zh-CN"/>
                              </w:rPr>
                            </w:pPr>
                            <w:r>
                              <w:rPr>
                                <w:rFonts w:hint="eastAsia"/>
                                <w:b/>
                                <w:bCs/>
                                <w:color w:val="FFFF00"/>
                                <w:lang w:val="en-US" w:eastAsia="zh-CN"/>
                              </w:rPr>
                              <w:t>2279m</w:t>
                            </w:r>
                          </w:p>
                        </w:txbxContent>
                      </v:textbox>
                    </v:shape>
                  </w:pict>
                </mc:Fallback>
              </mc:AlternateContent>
            </w:r>
            <w:r>
              <w:rPr>
                <w:rFonts w:hint="eastAsia" w:ascii="Times New Roman" w:hAnsi="Times New Roman" w:eastAsia="宋体" w:cs="Times New Roman"/>
                <w:color w:val="auto"/>
                <w:sz w:val="24"/>
                <w:highlight w:val="none"/>
                <w:shd w:val="clear" w:color="auto" w:fill="FFFFFF"/>
                <w:lang w:val="en-US" w:eastAsia="zh-CN"/>
              </w:rPr>
              <w:t>TVOC</w:t>
            </w:r>
            <w:r>
              <w:rPr>
                <w:rFonts w:hint="default" w:ascii="Times New Roman" w:hAnsi="Times New Roman" w:eastAsia="宋体" w:cs="Times New Roman"/>
                <w:color w:val="auto"/>
                <w:sz w:val="24"/>
                <w:highlight w:val="none"/>
                <w:shd w:val="clear" w:color="auto" w:fill="FFFFFF"/>
              </w:rPr>
              <w:t>达到《环境空气质量标准》（GB3095-2012）及其修改单中的二级标准浓度限值，特征因子TVOC达到《环境影响评价技术导则大气环境</w:t>
            </w:r>
            <w:r>
              <w:rPr>
                <w:rFonts w:hint="eastAsia" w:ascii="Times New Roman" w:hAnsi="Times New Roman" w:eastAsia="宋体" w:cs="Times New Roman"/>
                <w:color w:val="auto"/>
                <w:sz w:val="24"/>
                <w:highlight w:val="none"/>
                <w:shd w:val="clear" w:color="auto" w:fill="FFFFFF"/>
                <w:lang w:eastAsia="zh-CN"/>
              </w:rPr>
              <w:t>》</w:t>
            </w:r>
            <w:r>
              <w:rPr>
                <w:sz w:val="21"/>
              </w:rPr>
              <mc:AlternateContent>
                <mc:Choice Requires="wps">
                  <w:drawing>
                    <wp:anchor distT="0" distB="0" distL="114300" distR="114300" simplePos="0" relativeHeight="251676672" behindDoc="0" locked="0" layoutInCell="1" allowOverlap="1">
                      <wp:simplePos x="0" y="0"/>
                      <wp:positionH relativeFrom="column">
                        <wp:posOffset>1299210</wp:posOffset>
                      </wp:positionH>
                      <wp:positionV relativeFrom="paragraph">
                        <wp:posOffset>2311400</wp:posOffset>
                      </wp:positionV>
                      <wp:extent cx="2186940" cy="1233805"/>
                      <wp:effectExtent l="0" t="1270" r="3810" b="3175"/>
                      <wp:wrapNone/>
                      <wp:docPr id="11" name="直接箭头连接符 11"/>
                      <wp:cNvGraphicFramePr/>
                      <a:graphic xmlns:a="http://schemas.openxmlformats.org/drawingml/2006/main">
                        <a:graphicData uri="http://schemas.microsoft.com/office/word/2010/wordprocessingShape">
                          <wps:wsp>
                            <wps:cNvCnPr>
                              <a:stCxn id="131" idx="4"/>
                            </wps:cNvCnPr>
                            <wps:spPr>
                              <a:xfrm>
                                <a:off x="2629535" y="2694940"/>
                                <a:ext cx="2186940" cy="1233805"/>
                              </a:xfrm>
                              <a:prstGeom prst="straightConnector1">
                                <a:avLst/>
                              </a:prstGeom>
                              <a:ln>
                                <a:headEnd type="arrow" w="med" len="med"/>
                                <a:tailEnd type="arrow" w="med" len="me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_x0000_s1026" o:spid="_x0000_s1026" o:spt="32" type="#_x0000_t32" style="position:absolute;left:0pt;margin-left:102.3pt;margin-top:182pt;height:97.15pt;width:172.2pt;z-index:251676672;mso-width-relative:page;mso-height-relative:page;" filled="f" stroked="t" coordsize="21600,21600" o:gfxdata="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&#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T+5SV2gAAAAsBAAAPAAAAAAAAAAEAIAAAACIAAABk&#10;cnMvZG93bnJldi54bWxQSwECFAAUAAAACACHTuJA3Nuuaz0CAABYBAAADgAAAAAAAAABACAAAAAp&#10;AQAAZHJzL2Uyb0RvYy54bWxQSwUGAAAAAAYABgBZAQAA2AUAAAAA&#10;">
                      <v:fill on="f" focussize="0,0"/>
                      <v:stroke weight="1.5pt" color="#ED7D31 [3205]" miterlimit="8" joinstyle="miter" startarrow="open" endarrow="open"/>
                      <v:imagedata o:title=""/>
                      <o:lock v:ext="edit" aspectratio="f"/>
                    </v:shape>
                  </w:pict>
                </mc:Fallback>
              </mc:AlternateContent>
            </w:r>
            <w:r>
              <w:rPr>
                <w:rFonts w:hint="default" w:ascii="Times New Roman" w:hAnsi="Times New Roman" w:eastAsia="宋体" w:cs="Times New Roman"/>
                <w:color w:val="auto"/>
                <w:sz w:val="24"/>
                <w:highlight w:val="none"/>
                <w:shd w:val="clear" w:color="auto" w:fill="FFFFFF"/>
              </w:rPr>
              <w:t>（HJ2.2-2018）附录D标准，项目所在区域属于空气环境达标区气环境达标区</w:t>
            </w:r>
            <w:r>
              <w:drawing>
                <wp:inline distT="0" distB="0" distL="114300" distR="114300">
                  <wp:extent cx="5185410" cy="3564255"/>
                  <wp:effectExtent l="0" t="0" r="15240" b="171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185410" cy="3564255"/>
                          </a:xfrm>
                          <a:prstGeom prst="rect">
                            <a:avLst/>
                          </a:prstGeom>
                          <a:noFill/>
                          <a:ln>
                            <a:noFill/>
                          </a:ln>
                        </pic:spPr>
                      </pic:pic>
                    </a:graphicData>
                  </a:graphic>
                </wp:inline>
              </w:drawing>
            </w:r>
            <w:bookmarkStart w:id="32" w:name="_GoBack"/>
            <w:bookmarkEnd w:id="32"/>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w:t>
            </w:r>
            <w:r>
              <w:rPr>
                <w:rFonts w:hint="eastAsia" w:ascii="Times New Roman" w:hAnsi="Times New Roman" w:eastAsia="宋体"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lang w:val="en-US" w:eastAsia="zh-CN"/>
              </w:rPr>
              <w:t>引用监测点位图</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left"/>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color w:val="auto"/>
                <w:sz w:val="24"/>
                <w:highlight w:val="none"/>
                <w:shd w:val="clear" w:color="auto" w:fill="FFFFFF"/>
                <w:lang w:val="en-US" w:eastAsia="zh-CN"/>
              </w:rPr>
              <w:t>监测结果表明，项目所在区域TVOC可以达到《环境影响评价技术导则—大气环境》（HJ2.2-2018）附录D其他污染物空气质量浓度参考限值，TSP可达到《环境空气质量标准》（GB3095-2012及其2018年修改单）中规定的二级标准。</w:t>
            </w:r>
          </w:p>
          <w:p>
            <w:pPr>
              <w:tabs>
                <w:tab w:val="left" w:pos="6075"/>
              </w:tabs>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2、地表水环境</w:t>
            </w:r>
          </w:p>
          <w:p>
            <w:pPr>
              <w:pStyle w:val="23"/>
              <w:autoSpaceDE w:val="0"/>
              <w:spacing w:before="0" w:beforeAutospacing="0" w:after="0" w:afterAutospacing="0" w:line="360" w:lineRule="auto"/>
              <w:ind w:firstLine="480" w:firstLineChars="200"/>
              <w:jc w:val="both"/>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本评价水环境质量现状引用惠州金茂源环保科技有限公司委托华品检测中心有限公司于2022年4月6~9日对项目周边水域的水质进行的监测（报告编号：HP-E2204001b）。项目生活污水经三级化粪池处理后，经博罗县龙溪污水处理厂处理达标后排放，尾水经中心排渠、银河排渠、马嘶河，汇入东江。监测时间属于有效期内，具体水质监测结果详见下表。：</w:t>
            </w:r>
          </w:p>
          <w:p>
            <w:pPr>
              <w:tabs>
                <w:tab w:val="left" w:pos="0"/>
              </w:tabs>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rPr>
              <w:t>表3-</w:t>
            </w:r>
            <w:r>
              <w:rPr>
                <w:rFonts w:hint="eastAsia" w:ascii="Times New Roman" w:hAnsi="Times New Roman" w:eastAsia="宋体" w:cs="Times New Roman"/>
                <w:b/>
                <w:bCs w:val="0"/>
                <w:color w:val="auto"/>
                <w:sz w:val="21"/>
                <w:szCs w:val="21"/>
                <w:highlight w:val="none"/>
                <w:lang w:val="en-US" w:eastAsia="zh-CN"/>
              </w:rPr>
              <w:t>3</w:t>
            </w:r>
            <w:r>
              <w:rPr>
                <w:rFonts w:hint="default" w:ascii="Times New Roman" w:hAnsi="Times New Roman" w:eastAsia="宋体" w:cs="Times New Roman"/>
                <w:b/>
                <w:bCs w:val="0"/>
                <w:color w:val="auto"/>
                <w:sz w:val="21"/>
                <w:szCs w:val="21"/>
                <w:highlight w:val="none"/>
              </w:rPr>
              <w:t>地</w:t>
            </w:r>
            <w:r>
              <w:rPr>
                <w:rFonts w:hint="default" w:ascii="Times New Roman" w:hAnsi="Times New Roman" w:eastAsia="宋体" w:cs="Times New Roman"/>
                <w:b/>
                <w:color w:val="auto"/>
                <w:sz w:val="21"/>
                <w:szCs w:val="21"/>
                <w:highlight w:val="none"/>
              </w:rPr>
              <w:t>表水现状监测断面布设一览表</w:t>
            </w:r>
          </w:p>
          <w:tbl>
            <w:tblPr>
              <w:tblStyle w:val="24"/>
              <w:tblW w:w="8039"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38"/>
              <w:gridCol w:w="4801"/>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trPr>
              <w:tc>
                <w:tcPr>
                  <w:tcW w:w="1038" w:type="dxa"/>
                  <w:noWrap w:val="0"/>
                  <w:vAlign w:val="center"/>
                </w:tcPr>
                <w:p>
                  <w:pPr>
                    <w:pStyle w:val="34"/>
                    <w:jc w:val="center"/>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编号</w:t>
                  </w:r>
                </w:p>
              </w:tc>
              <w:tc>
                <w:tcPr>
                  <w:tcW w:w="4801" w:type="dxa"/>
                  <w:noWrap w:val="0"/>
                  <w:vAlign w:val="center"/>
                </w:tcPr>
                <w:p>
                  <w:pPr>
                    <w:pStyle w:val="34"/>
                    <w:jc w:val="center"/>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断面位置</w:t>
                  </w:r>
                </w:p>
              </w:tc>
              <w:tc>
                <w:tcPr>
                  <w:tcW w:w="2200" w:type="dxa"/>
                  <w:noWrap w:val="0"/>
                  <w:vAlign w:val="center"/>
                </w:tcPr>
                <w:p>
                  <w:pPr>
                    <w:pStyle w:val="34"/>
                    <w:jc w:val="center"/>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所属水域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rPr>
              <w:tc>
                <w:tcPr>
                  <w:tcW w:w="1038" w:type="dxa"/>
                  <w:noWrap w:val="0"/>
                  <w:vAlign w:val="center"/>
                </w:tcPr>
                <w:p>
                  <w:pPr>
                    <w:pStyle w:val="34"/>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W1</w:t>
                  </w:r>
                </w:p>
              </w:tc>
              <w:tc>
                <w:tcPr>
                  <w:tcW w:w="4801" w:type="dxa"/>
                  <w:noWrap w:val="0"/>
                  <w:vAlign w:val="center"/>
                </w:tcPr>
                <w:p>
                  <w:pPr>
                    <w:pStyle w:val="34"/>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基地排污口上游500m</w:t>
                  </w:r>
                </w:p>
              </w:tc>
              <w:tc>
                <w:tcPr>
                  <w:tcW w:w="2200" w:type="dxa"/>
                  <w:noWrap w:val="0"/>
                  <w:vAlign w:val="center"/>
                </w:tcPr>
                <w:p>
                  <w:pPr>
                    <w:pStyle w:val="34"/>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中心</w:t>
                  </w:r>
                  <w:r>
                    <w:rPr>
                      <w:rFonts w:hint="default" w:ascii="Times New Roman" w:hAnsi="Times New Roman" w:eastAsia="宋体" w:cs="Times New Roman"/>
                      <w:color w:val="auto"/>
                      <w:sz w:val="21"/>
                      <w:highlight w:val="none"/>
                    </w:rPr>
                    <w:t>排渠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1038" w:type="dxa"/>
                  <w:noWrap w:val="0"/>
                  <w:vAlign w:val="center"/>
                </w:tcPr>
                <w:p>
                  <w:pPr>
                    <w:pStyle w:val="34"/>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W2</w:t>
                  </w:r>
                </w:p>
              </w:tc>
              <w:tc>
                <w:tcPr>
                  <w:tcW w:w="4801" w:type="dxa"/>
                  <w:noWrap w:val="0"/>
                  <w:vAlign w:val="center"/>
                </w:tcPr>
                <w:p>
                  <w:pPr>
                    <w:pStyle w:val="34"/>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基地排污口上游500m</w:t>
                  </w:r>
                </w:p>
              </w:tc>
              <w:tc>
                <w:tcPr>
                  <w:tcW w:w="2200" w:type="dxa"/>
                  <w:noWrap w:val="0"/>
                  <w:vAlign w:val="center"/>
                </w:tcPr>
                <w:p>
                  <w:pPr>
                    <w:pStyle w:val="34"/>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中心</w:t>
                  </w:r>
                  <w:r>
                    <w:rPr>
                      <w:rFonts w:hint="default" w:ascii="Times New Roman" w:hAnsi="Times New Roman" w:eastAsia="宋体" w:cs="Times New Roman"/>
                      <w:color w:val="auto"/>
                      <w:sz w:val="21"/>
                      <w:highlight w:val="none"/>
                    </w:rPr>
                    <w:t>排渠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1038" w:type="dxa"/>
                  <w:noWrap w:val="0"/>
                  <w:vAlign w:val="center"/>
                </w:tcPr>
                <w:p>
                  <w:pPr>
                    <w:pStyle w:val="34"/>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W3</w:t>
                  </w:r>
                </w:p>
              </w:tc>
              <w:tc>
                <w:tcPr>
                  <w:tcW w:w="4801" w:type="dxa"/>
                  <w:noWrap w:val="0"/>
                  <w:vAlign w:val="center"/>
                </w:tcPr>
                <w:p>
                  <w:pPr>
                    <w:pStyle w:val="34"/>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中心排渠与南北排渠交汇处下游200m</w:t>
                  </w:r>
                </w:p>
              </w:tc>
              <w:tc>
                <w:tcPr>
                  <w:tcW w:w="2200" w:type="dxa"/>
                  <w:noWrap w:val="0"/>
                  <w:vAlign w:val="center"/>
                </w:tcPr>
                <w:p>
                  <w:pPr>
                    <w:pStyle w:val="34"/>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中心</w:t>
                  </w:r>
                  <w:r>
                    <w:rPr>
                      <w:rFonts w:hint="default" w:ascii="Times New Roman" w:hAnsi="Times New Roman" w:eastAsia="宋体" w:cs="Times New Roman"/>
                      <w:color w:val="auto"/>
                      <w:sz w:val="21"/>
                      <w:highlight w:val="none"/>
                    </w:rPr>
                    <w:t>排渠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1038" w:type="dxa"/>
                  <w:noWrap w:val="0"/>
                  <w:vAlign w:val="center"/>
                </w:tcPr>
                <w:p>
                  <w:pPr>
                    <w:pStyle w:val="34"/>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W4</w:t>
                  </w:r>
                </w:p>
              </w:tc>
              <w:tc>
                <w:tcPr>
                  <w:tcW w:w="4801" w:type="dxa"/>
                  <w:noWrap w:val="0"/>
                  <w:vAlign w:val="center"/>
                </w:tcPr>
                <w:p>
                  <w:pPr>
                    <w:pStyle w:val="34"/>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银河排渠汇入马嘶水前200m</w:t>
                  </w:r>
                </w:p>
              </w:tc>
              <w:tc>
                <w:tcPr>
                  <w:tcW w:w="2200" w:type="dxa"/>
                  <w:noWrap w:val="0"/>
                  <w:vAlign w:val="center"/>
                </w:tcPr>
                <w:p>
                  <w:pPr>
                    <w:pStyle w:val="34"/>
                    <w:jc w:val="center"/>
                    <w:rPr>
                      <w:rFonts w:hint="default"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lang w:val="en-US" w:eastAsia="zh-CN"/>
                    </w:rPr>
                    <w:t>银河</w:t>
                  </w:r>
                  <w:r>
                    <w:rPr>
                      <w:rFonts w:hint="default" w:ascii="Times New Roman" w:hAnsi="Times New Roman" w:eastAsia="宋体" w:cs="Times New Roman"/>
                      <w:color w:val="auto"/>
                      <w:sz w:val="21"/>
                      <w:highlight w:val="none"/>
                    </w:rPr>
                    <w:t>排渠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trPr>
              <w:tc>
                <w:tcPr>
                  <w:tcW w:w="1038" w:type="dxa"/>
                  <w:noWrap w:val="0"/>
                  <w:vAlign w:val="center"/>
                </w:tcPr>
                <w:p>
                  <w:pPr>
                    <w:pStyle w:val="34"/>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W5</w:t>
                  </w:r>
                </w:p>
              </w:tc>
              <w:tc>
                <w:tcPr>
                  <w:tcW w:w="4801" w:type="dxa"/>
                  <w:noWrap w:val="0"/>
                  <w:vAlign w:val="center"/>
                </w:tcPr>
                <w:p>
                  <w:pPr>
                    <w:pStyle w:val="34"/>
                    <w:jc w:val="center"/>
                    <w:rPr>
                      <w:rFonts w:hint="default"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马嘶水汇入东江前200m</w:t>
                  </w:r>
                </w:p>
              </w:tc>
              <w:tc>
                <w:tcPr>
                  <w:tcW w:w="2200" w:type="dxa"/>
                  <w:noWrap w:val="0"/>
                  <w:vAlign w:val="center"/>
                </w:tcPr>
                <w:p>
                  <w:pPr>
                    <w:pStyle w:val="34"/>
                    <w:jc w:val="center"/>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马嘶水</w:t>
                  </w:r>
                </w:p>
              </w:tc>
            </w:tr>
          </w:tbl>
          <w:p>
            <w:pPr>
              <w:keepNext w:val="0"/>
              <w:keepLines w:val="0"/>
              <w:pageBreakBefore w:val="0"/>
              <w:widowControl w:val="0"/>
              <w:tabs>
                <w:tab w:val="left" w:pos="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rPr>
            </w:pPr>
          </w:p>
          <w:p>
            <w:pPr>
              <w:keepNext w:val="0"/>
              <w:keepLines w:val="0"/>
              <w:pageBreakBefore w:val="0"/>
              <w:widowControl w:val="0"/>
              <w:tabs>
                <w:tab w:val="left" w:pos="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ascii="Times New Roman" w:hAnsi="Times New Roman" w:eastAsia="宋体" w:cs="Times New Roman"/>
                <w:b/>
                <w:color w:val="auto"/>
                <w:sz w:val="21"/>
                <w:szCs w:val="21"/>
                <w:highlight w:val="none"/>
                <w:lang w:val="en-US" w:eastAsia="zh-CN"/>
              </w:rPr>
              <w:t>4</w:t>
            </w:r>
            <w:r>
              <w:rPr>
                <w:rFonts w:hint="default" w:ascii="Times New Roman" w:hAnsi="Times New Roman" w:eastAsia="宋体" w:cs="Times New Roman"/>
                <w:b/>
                <w:color w:val="auto"/>
                <w:sz w:val="21"/>
                <w:szCs w:val="21"/>
                <w:highlight w:val="none"/>
              </w:rPr>
              <w:t>地表水环境监测结果一览表单位：mg/L</w:t>
            </w:r>
          </w:p>
          <w:tbl>
            <w:tblPr>
              <w:tblStyle w:val="24"/>
              <w:tblW w:w="8135"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31"/>
              <w:gridCol w:w="1067"/>
              <w:gridCol w:w="879"/>
              <w:gridCol w:w="766"/>
              <w:gridCol w:w="989"/>
              <w:gridCol w:w="910"/>
              <w:gridCol w:w="686"/>
              <w:gridCol w:w="734"/>
              <w:gridCol w:w="621"/>
              <w:gridCol w:w="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510" w:type="pct"/>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rPr>
                  </w:pPr>
                </w:p>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测点编号</w:t>
                  </w:r>
                </w:p>
              </w:tc>
              <w:tc>
                <w:tcPr>
                  <w:tcW w:w="655" w:type="pct"/>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rPr>
                  </w:pPr>
                </w:p>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采样时间</w:t>
                  </w:r>
                </w:p>
              </w:tc>
              <w:tc>
                <w:tcPr>
                  <w:tcW w:w="3833" w:type="pct"/>
                  <w:gridSpan w:val="8"/>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监测项目及监测结果（mg/L，pH为无量纲、注明除外）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5"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b/>
                      <w:bCs w:val="0"/>
                      <w:color w:val="auto"/>
                      <w:sz w:val="21"/>
                      <w:szCs w:val="21"/>
                      <w:highlight w:val="none"/>
                    </w:rPr>
                  </w:pPr>
                </w:p>
              </w:tc>
              <w:tc>
                <w:tcPr>
                  <w:tcW w:w="655"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b/>
                      <w:bCs w:val="0"/>
                      <w:color w:val="auto"/>
                      <w:sz w:val="21"/>
                      <w:szCs w:val="21"/>
                      <w:highlight w:val="none"/>
                    </w:rPr>
                  </w:pP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水温（℃）</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pH值</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position w:val="2"/>
                      <w:sz w:val="21"/>
                      <w:szCs w:val="21"/>
                      <w:highlight w:val="none"/>
                      <w:lang w:val="en-US" w:eastAsia="zh-CN"/>
                    </w:rPr>
                    <w:t>DO</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氨氮</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总磷</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SS</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CODcr</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eastAsia" w:ascii="Times New Roman" w:hAnsi="Times New Roman" w:eastAsia="宋体" w:cs="Times New Roman"/>
                      <w:b/>
                      <w:bCs w:val="0"/>
                      <w:color w:val="auto"/>
                      <w:sz w:val="21"/>
                      <w:szCs w:val="21"/>
                      <w:highlight w:val="none"/>
                      <w:lang w:val="en-US" w:eastAsia="zh-CN"/>
                    </w:rPr>
                    <w:t>BOD</w:t>
                  </w:r>
                  <w:r>
                    <w:rPr>
                      <w:rFonts w:hint="eastAsia" w:ascii="Times New Roman" w:hAnsi="Times New Roman" w:eastAsia="宋体" w:cs="Times New Roman"/>
                      <w:b/>
                      <w:bCs w:val="0"/>
                      <w:color w:val="auto"/>
                      <w:sz w:val="21"/>
                      <w:szCs w:val="21"/>
                      <w:highlight w:val="none"/>
                      <w:vertAlign w:val="sub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W1</w:t>
                  </w: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2022.4.6</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23.4</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4.17</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0.883</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26</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2022.4.7</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24.2</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7.2</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4.92</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0.948</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14</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26</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2022.4.8</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23.6</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6.7</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4.16</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0.865</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24</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2022.4.9</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24.7</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6.8</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4.37</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0.854</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0.19</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25.0</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4.41</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0.888</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25.3</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≤0.4</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color w:val="auto"/>
                      <w:sz w:val="21"/>
                      <w:szCs w:val="21"/>
                      <w:highlight w:val="none"/>
                      <w:lang w:val="en-US" w:eastAsia="zh-CN"/>
                    </w:rPr>
                    <w:t>≤0.4</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标准指数</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0.28</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0.45</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0.44</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0.45</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0.63</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超标倍数</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达标情况</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restar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W2</w:t>
                  </w: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2022.4.6</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24.1</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5.52</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0.177</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28</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2022.4.7</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24.8</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5.27</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0.183</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27</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2022.4.8</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23.9</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5.22</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0.194</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13</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2022.4.9</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25.2</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4.51</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0.197</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平均值</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24.5</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5.13</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0.188</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0.162</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12</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26</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≤2.0</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≤0.4</w:t>
                  </w:r>
                </w:p>
              </w:tc>
              <w:tc>
                <w:tcPr>
                  <w:tcW w:w="734"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≤0.4</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标准指数</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0.24</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0.39</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0.09</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w:t>
                  </w:r>
                </w:p>
              </w:tc>
              <w:tc>
                <w:tcPr>
                  <w:tcW w:w="734"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0.65</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超标倍数</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989"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91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686"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652"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达标情况</w:t>
                  </w:r>
                </w:p>
              </w:tc>
              <w:tc>
                <w:tcPr>
                  <w:tcW w:w="879"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766"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989"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91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86"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734"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21"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52"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restart"/>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W3</w:t>
                  </w: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2022.4.6</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23.8</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5.06</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0.469</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0.17</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25</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2022.4.7</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23.7</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4.37</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0.447</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0.14</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25</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2022.4.8</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24.4</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3.87</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0.480</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0.18</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6</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27</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2022.4.9</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24.3</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5.11</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0.483</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0.18</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27</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平均值</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24.05</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4.60</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0.470</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0.17</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5.5</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26</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标准值</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≤2.0</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≤0.4</w:t>
                  </w:r>
                </w:p>
              </w:tc>
              <w:tc>
                <w:tcPr>
                  <w:tcW w:w="734"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≤0.4</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标准指数</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0.25</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0.43</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0.24</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val="0"/>
                      <w:bCs/>
                      <w:color w:val="auto"/>
                      <w:sz w:val="21"/>
                      <w:szCs w:val="21"/>
                      <w:highlight w:val="none"/>
                      <w:lang w:val="en-US" w:eastAsia="zh-CN"/>
                    </w:rPr>
                    <w:t>0.43</w:t>
                  </w:r>
                </w:p>
              </w:tc>
              <w:tc>
                <w:tcPr>
                  <w:tcW w:w="45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0.65</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超标倍数</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07"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559"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42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45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38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40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达标情况</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47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07"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559"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42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45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38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40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restart"/>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eastAsia" w:ascii="Times New Roman" w:hAnsi="Times New Roman" w:eastAsia="宋体" w:cs="Times New Roman"/>
                      <w:color w:val="auto"/>
                      <w:sz w:val="21"/>
                      <w:szCs w:val="21"/>
                      <w:highlight w:val="none"/>
                      <w:lang w:val="en-US" w:eastAsia="zh-CN"/>
                    </w:rPr>
                  </w:pPr>
                </w:p>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W4</w:t>
                  </w: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2022.4.6</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22.5</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7.3</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4.30</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0.874</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0.19</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2022.4.7</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24.3</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4.76</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0.891</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0.17</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2022.4.8</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23.8</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4.33</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0.869</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0.19</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2022.4.9</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24.6</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4.43</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0.891</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0.17</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12</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平均值</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23.8</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4.46</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0.881</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0.18</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10.75</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标准值</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≤2.0</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≤0.4</w:t>
                  </w:r>
                </w:p>
              </w:tc>
              <w:tc>
                <w:tcPr>
                  <w:tcW w:w="734"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≤0.4</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标准指数</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0.25</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0.45</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0.44</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0.45</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0.575</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超标倍数</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607"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559"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42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38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40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655"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达标情况</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w:t>
                  </w:r>
                </w:p>
              </w:tc>
              <w:tc>
                <w:tcPr>
                  <w:tcW w:w="47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07"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559"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42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45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38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40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restart"/>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W5</w:t>
                  </w: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2022.4.6</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22.7</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5.16</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0.866</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0.13</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2022.4.7</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23.2</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7.3</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5.32</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0.827</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0.14</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2022.4.8</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24.1</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7.4</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5.22</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0.874</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0.12</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18</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2022.4.9</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24.1</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7.1</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5.15</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0.813</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0.15</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平均值</w:t>
                  </w:r>
                </w:p>
              </w:tc>
              <w:tc>
                <w:tcPr>
                  <w:tcW w:w="54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3.5</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7.2</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5.21</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0.845</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0.135</w:t>
                  </w:r>
                </w:p>
              </w:tc>
              <w:tc>
                <w:tcPr>
                  <w:tcW w:w="45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5.75</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16.5</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标准值</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6-9</w:t>
                  </w:r>
                </w:p>
              </w:tc>
              <w:tc>
                <w:tcPr>
                  <w:tcW w:w="98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w:t>
                  </w:r>
                </w:p>
              </w:tc>
              <w:tc>
                <w:tcPr>
                  <w:tcW w:w="910"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≤2.0</w:t>
                  </w:r>
                </w:p>
              </w:tc>
              <w:tc>
                <w:tcPr>
                  <w:tcW w:w="68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≤0.4</w:t>
                  </w:r>
                </w:p>
              </w:tc>
              <w:tc>
                <w:tcPr>
                  <w:tcW w:w="734"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≤0.4</w:t>
                  </w:r>
                </w:p>
              </w:tc>
              <w:tc>
                <w:tcPr>
                  <w:tcW w:w="652"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标准指数</w:t>
                  </w:r>
                </w:p>
              </w:tc>
              <w:tc>
                <w:tcPr>
                  <w:tcW w:w="540"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47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0.25</w:t>
                  </w:r>
                </w:p>
              </w:tc>
              <w:tc>
                <w:tcPr>
                  <w:tcW w:w="607"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0.38</w:t>
                  </w:r>
                </w:p>
              </w:tc>
              <w:tc>
                <w:tcPr>
                  <w:tcW w:w="559"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0.42</w:t>
                  </w:r>
                </w:p>
              </w:tc>
              <w:tc>
                <w:tcPr>
                  <w:tcW w:w="42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0.34</w:t>
                  </w:r>
                </w:p>
              </w:tc>
              <w:tc>
                <w:tcPr>
                  <w:tcW w:w="451" w:type="pct"/>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381"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0.41</w:t>
                  </w:r>
                </w:p>
              </w:tc>
              <w:tc>
                <w:tcPr>
                  <w:tcW w:w="400" w:type="pct"/>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超标倍数</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766"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989"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91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686"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734"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w:t>
                  </w:r>
                </w:p>
              </w:tc>
              <w:tc>
                <w:tcPr>
                  <w:tcW w:w="621"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c>
                <w:tcPr>
                  <w:tcW w:w="652"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1" w:hRule="atLeast"/>
              </w:trPr>
              <w:tc>
                <w:tcPr>
                  <w:tcW w:w="510" w:type="pct"/>
                  <w:vMerge w:val="continue"/>
                  <w:noWrap w:val="0"/>
                  <w:vAlign w:val="center"/>
                </w:tcPr>
                <w:p>
                  <w:pPr>
                    <w:keepNext w:val="0"/>
                    <w:keepLines w:val="0"/>
                    <w:pageBreakBefore w:val="0"/>
                    <w:widowControl w:val="0"/>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c>
                <w:tcPr>
                  <w:tcW w:w="1067"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达标情况</w:t>
                  </w:r>
                </w:p>
              </w:tc>
              <w:tc>
                <w:tcPr>
                  <w:tcW w:w="879" w:type="dxa"/>
                  <w:noWrap w:val="0"/>
                  <w:vAlign w:val="center"/>
                </w:tcPr>
                <w:p>
                  <w:pPr>
                    <w:pStyle w:val="23"/>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766"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989"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910"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86"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734"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21"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c>
                <w:tcPr>
                  <w:tcW w:w="652" w:type="dxa"/>
                  <w:noWrap w:val="0"/>
                  <w:vAlign w:val="center"/>
                </w:tcPr>
                <w:p>
                  <w:pPr>
                    <w:keepNext w:val="0"/>
                    <w:keepLines w:val="0"/>
                    <w:pageBreakBefore w:val="0"/>
                    <w:widowControl w:val="0"/>
                    <w:kinsoku/>
                    <w:wordWrap/>
                    <w:overflowPunct/>
                    <w:topLinePunct w:val="0"/>
                    <w:autoSpaceDE w:val="0"/>
                    <w:autoSpaceDN w:val="0"/>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达标</w:t>
                  </w:r>
                </w:p>
              </w:tc>
            </w:tr>
          </w:tbl>
          <w:p>
            <w:pPr>
              <w:keepNext w:val="0"/>
              <w:keepLines w:val="0"/>
              <w:pageBreakBefore w:val="0"/>
              <w:widowControl w:val="0"/>
              <w:suppressLineNumbers w:val="0"/>
              <w:kinsoku/>
              <w:wordWrap/>
              <w:overflowPunct/>
              <w:topLinePunct w:val="0"/>
              <w:autoSpaceDE w:val="0"/>
              <w:autoSpaceDN w:val="0"/>
              <w:bidi w:val="0"/>
              <w:adjustRightInd w:val="0"/>
              <w:snapToGrid/>
              <w:spacing w:beforeAutospacing="0" w:after="0" w:afterAutospacing="0" w:line="240" w:lineRule="auto"/>
              <w:ind w:left="0" w:right="0"/>
              <w:jc w:val="left"/>
              <w:textAlignment w:val="baseline"/>
              <w:rPr>
                <w:rFonts w:hint="default" w:ascii="Times New Roman" w:hAnsi="Times New Roman" w:eastAsia="宋体" w:cs="Times New Roman"/>
                <w:color w:val="auto"/>
                <w:kern w:val="0"/>
                <w:sz w:val="24"/>
                <w:szCs w:val="20"/>
                <w:highlight w:val="none"/>
                <w:lang w:val="en-US" w:eastAsia="zh-CN" w:bidi="ar"/>
              </w:rPr>
            </w:pPr>
            <w:r>
              <w:rPr>
                <w:rFonts w:hint="default" w:ascii="Times New Roman" w:hAnsi="Times New Roman" w:eastAsia="宋体" w:cs="Times New Roman"/>
                <w:b/>
                <w:color w:val="auto"/>
                <w:sz w:val="24"/>
                <w:szCs w:val="24"/>
                <w:highlight w:val="none"/>
              </w:rPr>
              <w:drawing>
                <wp:anchor distT="0" distB="0" distL="114300" distR="114300" simplePos="0" relativeHeight="251667456" behindDoc="0" locked="0" layoutInCell="1" allowOverlap="1">
                  <wp:simplePos x="0" y="0"/>
                  <wp:positionH relativeFrom="column">
                    <wp:posOffset>4436110</wp:posOffset>
                  </wp:positionH>
                  <wp:positionV relativeFrom="paragraph">
                    <wp:posOffset>4445</wp:posOffset>
                  </wp:positionV>
                  <wp:extent cx="655320" cy="622935"/>
                  <wp:effectExtent l="0" t="0" r="11430" b="5715"/>
                  <wp:wrapNone/>
                  <wp:docPr id="80" name="图片 385" descr="165685487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85" descr="1656854879720"/>
                          <pic:cNvPicPr>
                            <a:picLocks noChangeAspect="1"/>
                          </pic:cNvPicPr>
                        </pic:nvPicPr>
                        <pic:blipFill>
                          <a:blip r:embed="rId9"/>
                          <a:stretch>
                            <a:fillRect/>
                          </a:stretch>
                        </pic:blipFill>
                        <pic:spPr>
                          <a:xfrm>
                            <a:off x="0" y="0"/>
                            <a:ext cx="655320" cy="622935"/>
                          </a:xfrm>
                          <a:prstGeom prst="rect">
                            <a:avLst/>
                          </a:prstGeom>
                          <a:noFill/>
                          <a:ln>
                            <a:noFill/>
                          </a:ln>
                        </pic:spPr>
                      </pic:pic>
                    </a:graphicData>
                  </a:graphic>
                </wp:anchor>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3323590</wp:posOffset>
                      </wp:positionH>
                      <wp:positionV relativeFrom="paragraph">
                        <wp:posOffset>1064895</wp:posOffset>
                      </wp:positionV>
                      <wp:extent cx="801370" cy="287020"/>
                      <wp:effectExtent l="5080" t="255270" r="12700" b="10160"/>
                      <wp:wrapNone/>
                      <wp:docPr id="77" name="矩形标注 77"/>
                      <wp:cNvGraphicFramePr/>
                      <a:graphic xmlns:a="http://schemas.openxmlformats.org/drawingml/2006/main">
                        <a:graphicData uri="http://schemas.microsoft.com/office/word/2010/wordprocessingShape">
                          <wps:wsp>
                            <wps:cNvSpPr/>
                            <wps:spPr>
                              <a:xfrm>
                                <a:off x="0" y="0"/>
                                <a:ext cx="801370" cy="287020"/>
                              </a:xfrm>
                              <a:prstGeom prst="wedgeRectCallout">
                                <a:avLst>
                                  <a:gd name="adj1" fmla="val -14500"/>
                                  <a:gd name="adj2" fmla="val -134513"/>
                                </a:avLst>
                              </a:prstGeom>
                              <a:solidFill>
                                <a:srgbClr val="FFFFFF"/>
                              </a:solidFill>
                              <a:ln w="9525" cap="flat" cmpd="sng">
                                <a:solidFill>
                                  <a:srgbClr val="B4C7E7"/>
                                </a:solidFill>
                                <a:prstDash val="solid"/>
                                <a:miter/>
                                <a:headEnd type="none" w="med" len="med"/>
                                <a:tailEnd type="none" w="med" len="med"/>
                              </a:ln>
                            </wps:spPr>
                            <wps:txbx>
                              <w:txbxContent>
                                <w:p>
                                  <w:pPr>
                                    <w:rPr>
                                      <w:rFonts w:hint="eastAsia" w:eastAsia="宋体"/>
                                      <w:color w:val="auto"/>
                                      <w:lang w:eastAsia="zh-CN"/>
                                    </w:rPr>
                                  </w:pPr>
                                  <w:r>
                                    <w:rPr>
                                      <w:rFonts w:hint="eastAsia"/>
                                      <w:color w:val="auto"/>
                                      <w:lang w:eastAsia="zh-CN"/>
                                    </w:rPr>
                                    <w:t>项目位置</w:t>
                                  </w:r>
                                </w:p>
                              </w:txbxContent>
                            </wps:txbx>
                            <wps:bodyPr upright="1"/>
                          </wps:wsp>
                        </a:graphicData>
                      </a:graphic>
                    </wp:anchor>
                  </w:drawing>
                </mc:Choice>
                <mc:Fallback>
                  <w:pict>
                    <v:shape id="_x0000_s1026" o:spid="_x0000_s1026" o:spt="61" type="#_x0000_t61" style="position:absolute;left:0pt;margin-left:261.7pt;margin-top:83.85pt;height:22.6pt;width:63.1pt;z-index:251666432;mso-width-relative:page;mso-height-relative:page;" fillcolor="#FFFFFF" filled="t" stroked="t" coordsize="21600,21600" o:gfxdata="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ojJPA2QAAAAsBAAAPAAAAAAAAAAEAIAAAACIA&#10;AABkcnMvZG93bnJldi54bWxQSwECFAAUAAAACACHTuJALI1W1EECAACQBAAADgAAAAAAAAABACAA&#10;AAAoAQAAZHJzL2Uyb0RvYy54bWxQSwUGAAAAAAYABgBZAQAA2wUAAAAA&#10;" adj="7668,-18255">
                      <v:fill on="t" focussize="0,0"/>
                      <v:stroke color="#B4C7E7" joinstyle="miter"/>
                      <v:imagedata o:title=""/>
                      <o:lock v:ext="edit" aspectratio="f"/>
                      <v:textbox>
                        <w:txbxContent>
                          <w:p>
                            <w:pPr>
                              <w:rPr>
                                <w:rFonts w:hint="eastAsia" w:eastAsia="宋体"/>
                                <w:color w:val="auto"/>
                                <w:lang w:eastAsia="zh-CN"/>
                              </w:rPr>
                            </w:pPr>
                            <w:r>
                              <w:rPr>
                                <w:rFonts w:hint="eastAsia"/>
                                <w:color w:val="auto"/>
                                <w:lang w:eastAsia="zh-CN"/>
                              </w:rPr>
                              <w:t>项目位置</w:t>
                            </w:r>
                          </w:p>
                        </w:txbxContent>
                      </v:textbox>
                    </v:shape>
                  </w:pict>
                </mc:Fallback>
              </mc:AlternateContent>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65408" behindDoc="0" locked="0" layoutInCell="1" allowOverlap="1">
                      <wp:simplePos x="0" y="0"/>
                      <wp:positionH relativeFrom="column">
                        <wp:posOffset>2995295</wp:posOffset>
                      </wp:positionH>
                      <wp:positionV relativeFrom="paragraph">
                        <wp:posOffset>670560</wp:posOffset>
                      </wp:positionV>
                      <wp:extent cx="428625" cy="24574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428625" cy="245745"/>
                              </a:xfrm>
                              <a:prstGeom prst="rect">
                                <a:avLst/>
                              </a:prstGeom>
                              <a:noFill/>
                              <a:ln>
                                <a:noFill/>
                              </a:ln>
                              <a:effectLst/>
                            </wps:spPr>
                            <wps:txb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W1</w:t>
                                  </w:r>
                                </w:p>
                              </w:txbxContent>
                            </wps:txbx>
                            <wps:bodyPr upright="1"/>
                          </wps:wsp>
                        </a:graphicData>
                      </a:graphic>
                    </wp:anchor>
                  </w:drawing>
                </mc:Choice>
                <mc:Fallback>
                  <w:pict>
                    <v:shape id="_x0000_s1026" o:spid="_x0000_s1026" o:spt="202" type="#_x0000_t202" style="position:absolute;left:0pt;margin-left:235.85pt;margin-top:52.8pt;height:19.35pt;width:33.75pt;z-index:251665408;mso-width-relative:page;mso-height-relative:page;" filled="f" stroked="f" coordsize="21600,21600" o:gfxdata="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EqIgNgAAAALAQAADwAAAAAAAAABACAAAAAiAAAAZHJzL2Rvd25yZXYueG1sUEsBAhQAFAAAAAgA&#10;h07iQPcEo1SzAQAAXQMAAA4AAAAAAAAAAQAgAAAAJwEAAGRycy9lMm9Eb2MueG1sUEsFBgAAAAAG&#10;AAYAWQEAAEwFAAAAAA==&#10;">
                      <v:fill on="f" focussize="0,0"/>
                      <v:stroke on="f"/>
                      <v:imagedata o:title=""/>
                      <o:lock v:ext="edit" aspectratio="f"/>
                      <v:textbo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W1</w:t>
                            </w:r>
                          </w:p>
                        </w:txbxContent>
                      </v:textbox>
                    </v:shape>
                  </w:pict>
                </mc:Fallback>
              </mc:AlternateContent>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72576" behindDoc="0" locked="0" layoutInCell="1" allowOverlap="1">
                      <wp:simplePos x="0" y="0"/>
                      <wp:positionH relativeFrom="column">
                        <wp:posOffset>2959735</wp:posOffset>
                      </wp:positionH>
                      <wp:positionV relativeFrom="paragraph">
                        <wp:posOffset>927735</wp:posOffset>
                      </wp:positionV>
                      <wp:extent cx="189230" cy="180340"/>
                      <wp:effectExtent l="0" t="0" r="1270" b="10160"/>
                      <wp:wrapNone/>
                      <wp:docPr id="204" name="直接箭头连接符 204"/>
                      <wp:cNvGraphicFramePr/>
                      <a:graphic xmlns:a="http://schemas.openxmlformats.org/drawingml/2006/main">
                        <a:graphicData uri="http://schemas.microsoft.com/office/word/2010/wordprocessingShape">
                          <wps:wsp>
                            <wps:cNvCnPr/>
                            <wps:spPr>
                              <a:xfrm flipV="1">
                                <a:off x="0" y="0"/>
                                <a:ext cx="189230" cy="180340"/>
                              </a:xfrm>
                              <a:prstGeom prst="straightConnector1">
                                <a:avLst/>
                              </a:prstGeom>
                              <a:ln w="19050" cap="flat" cmpd="sng">
                                <a:solidFill>
                                  <a:srgbClr val="FFFF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flip:y;margin-left:233.05pt;margin-top:73.05pt;height:14.2pt;width:14.9pt;z-index:251672576;mso-width-relative:page;mso-height-relative:page;" filled="f" stroked="t" coordsize="21600,21600" o:gfxdata="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TDPDV2QAAAAsBAAAPAAAAAAAAAAEAIAAA&#10;ACIAAABkcnMvZG93bnJldi54bWxQSwECFAAUAAAACACHTuJA7WWp8wsCAAABBAAADgAAAAAAAAAB&#10;ACAAAAAoAQAAZHJzL2Uyb0RvYy54bWxQSwUGAAAAAAYABgBZAQAApQUAAAAA&#10;">
                      <v:fill on="f" focussize="0,0"/>
                      <v:stroke weight="1.5pt" color="#FFFF00" joinstyle="round" startarrow="open" endarrow="open"/>
                      <v:imagedata o:title=""/>
                      <o:lock v:ext="edit" aspectratio="f"/>
                    </v:shape>
                  </w:pict>
                </mc:Fallback>
              </mc:AlternateContent>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60288" behindDoc="0" locked="0" layoutInCell="1" allowOverlap="1">
                      <wp:simplePos x="0" y="0"/>
                      <wp:positionH relativeFrom="column">
                        <wp:posOffset>2286000</wp:posOffset>
                      </wp:positionH>
                      <wp:positionV relativeFrom="paragraph">
                        <wp:posOffset>457835</wp:posOffset>
                      </wp:positionV>
                      <wp:extent cx="428625" cy="25654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428625" cy="238125"/>
                              </a:xfrm>
                              <a:prstGeom prst="rect">
                                <a:avLst/>
                              </a:prstGeom>
                              <a:noFill/>
                              <a:ln>
                                <a:noFill/>
                              </a:ln>
                              <a:effectLst/>
                            </wps:spPr>
                            <wps:txb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w:t>
                                  </w:r>
                                  <w:r>
                                    <w:rPr>
                                      <w:rFonts w:hint="eastAsia" w:cs="Times New Roman"/>
                                      <w:color w:val="0000FF"/>
                                      <w:highlight w:val="yellow"/>
                                      <w:lang w:val="en-US" w:eastAsia="zh-CN"/>
                                    </w:rPr>
                                    <w:t>2</w:t>
                                  </w:r>
                                  <w:r>
                                    <w:rPr>
                                      <w:rFonts w:hint="eastAsia" w:ascii="Times New Roman" w:hAnsi="Times New Roman" w:eastAsia="宋体" w:cs="Times New Roman"/>
                                      <w:color w:val="0000FF"/>
                                      <w:highlight w:val="yellow"/>
                                      <w:lang w:val="en-US" w:eastAsia="zh-CN"/>
                                    </w:rPr>
                                    <w:t>1</w:t>
                                  </w:r>
                                </w:p>
                              </w:txbxContent>
                            </wps:txbx>
                            <wps:bodyPr upright="1"/>
                          </wps:wsp>
                        </a:graphicData>
                      </a:graphic>
                    </wp:anchor>
                  </w:drawing>
                </mc:Choice>
                <mc:Fallback>
                  <w:pict>
                    <v:shape id="_x0000_s1026" o:spid="_x0000_s1026" o:spt="202" type="#_x0000_t202" style="position:absolute;left:0pt;margin-left:180pt;margin-top:36.05pt;height:20.2pt;width:33.75pt;z-index:251660288;mso-width-relative:page;mso-height-relative:page;" filled="f" stroked="f" coordsize="21600,21600" o:gfxdata="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uyYU2AAAAAoBAAAPAAAAAAAAAAEAIAAAACIAAABkcnMvZG93bnJldi54bWxQSwECFAAUAAAACACH&#10;TuJARjf2r7IBAABdAwAADgAAAAAAAAABACAAAAAnAQAAZHJzL2Uyb0RvYy54bWxQSwUGAAAAAAYA&#10;BgBZAQAASwUAAAAA&#10;">
                      <v:fill on="f" focussize="0,0"/>
                      <v:stroke on="f"/>
                      <v:imagedata o:title=""/>
                      <o:lock v:ext="edit" aspectratio="f"/>
                      <v:textbo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w:t>
                            </w:r>
                            <w:r>
                              <w:rPr>
                                <w:rFonts w:hint="eastAsia" w:cs="Times New Roman"/>
                                <w:color w:val="0000FF"/>
                                <w:highlight w:val="yellow"/>
                                <w:lang w:val="en-US" w:eastAsia="zh-CN"/>
                              </w:rPr>
                              <w:t>2</w:t>
                            </w:r>
                            <w:r>
                              <w:rPr>
                                <w:rFonts w:hint="eastAsia" w:ascii="Times New Roman" w:hAnsi="Times New Roman" w:eastAsia="宋体" w:cs="Times New Roman"/>
                                <w:color w:val="0000FF"/>
                                <w:highlight w:val="yellow"/>
                                <w:lang w:val="en-US" w:eastAsia="zh-CN"/>
                              </w:rPr>
                              <w:t>1</w:t>
                            </w:r>
                          </w:p>
                        </w:txbxContent>
                      </v:textbox>
                    </v:shape>
                  </w:pict>
                </mc:Fallback>
              </mc:AlternateContent>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71552" behindDoc="0" locked="0" layoutInCell="1" allowOverlap="1">
                      <wp:simplePos x="0" y="0"/>
                      <wp:positionH relativeFrom="column">
                        <wp:posOffset>2493010</wp:posOffset>
                      </wp:positionH>
                      <wp:positionV relativeFrom="paragraph">
                        <wp:posOffset>733425</wp:posOffset>
                      </wp:positionV>
                      <wp:extent cx="29210" cy="227330"/>
                      <wp:effectExtent l="41275" t="0" r="43815" b="1270"/>
                      <wp:wrapNone/>
                      <wp:docPr id="203" name="直接箭头连接符 203"/>
                      <wp:cNvGraphicFramePr/>
                      <a:graphic xmlns:a="http://schemas.openxmlformats.org/drawingml/2006/main">
                        <a:graphicData uri="http://schemas.microsoft.com/office/word/2010/wordprocessingShape">
                          <wps:wsp>
                            <wps:cNvCnPr/>
                            <wps:spPr>
                              <a:xfrm>
                                <a:off x="0" y="0"/>
                                <a:ext cx="29210" cy="227330"/>
                              </a:xfrm>
                              <a:prstGeom prst="straightConnector1">
                                <a:avLst/>
                              </a:prstGeom>
                              <a:ln w="19050" cap="flat" cmpd="sng">
                                <a:solidFill>
                                  <a:srgbClr val="FFFF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margin-left:196.3pt;margin-top:57.75pt;height:17.9pt;width:2.3pt;z-index:251671552;mso-width-relative:page;mso-height-relative:page;" filled="f" stroked="t" coordsize="21600,21600" o:gfxdata="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MZYnrYAAAACwEAAA8AAAAAAAAAAQAgAAAAIgAAAGRycy9k&#10;b3ducmV2LnhtbFBLAQIUABQAAAAIAIdO4kBA79e0AgIAAPYDAAAOAAAAAAAAAAEAIAAAACcBAABk&#10;cnMvZTJvRG9jLnhtbFBLBQYAAAAABgAGAFkBAACbBQAAAAA=&#10;">
                      <v:fill on="f" focussize="0,0"/>
                      <v:stroke weight="1.5pt" color="#FFFF00" joinstyle="round" startarrow="open" endarrow="open"/>
                      <v:imagedata o:title=""/>
                      <o:lock v:ext="edit" aspectratio="f"/>
                    </v:shape>
                  </w:pict>
                </mc:Fallback>
              </mc:AlternateContent>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73600" behindDoc="0" locked="0" layoutInCell="1" allowOverlap="1">
                      <wp:simplePos x="0" y="0"/>
                      <wp:positionH relativeFrom="column">
                        <wp:posOffset>1518285</wp:posOffset>
                      </wp:positionH>
                      <wp:positionV relativeFrom="paragraph">
                        <wp:posOffset>727075</wp:posOffset>
                      </wp:positionV>
                      <wp:extent cx="428625" cy="245745"/>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428625" cy="245745"/>
                              </a:xfrm>
                              <a:prstGeom prst="rect">
                                <a:avLst/>
                              </a:prstGeom>
                              <a:noFill/>
                              <a:ln>
                                <a:noFill/>
                              </a:ln>
                              <a:effectLst/>
                            </wps:spPr>
                            <wps:txb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W3</w:t>
                                  </w:r>
                                </w:p>
                              </w:txbxContent>
                            </wps:txbx>
                            <wps:bodyPr upright="1"/>
                          </wps:wsp>
                        </a:graphicData>
                      </a:graphic>
                    </wp:anchor>
                  </w:drawing>
                </mc:Choice>
                <mc:Fallback>
                  <w:pict>
                    <v:shape id="_x0000_s1026" o:spid="_x0000_s1026" o:spt="202" type="#_x0000_t202" style="position:absolute;left:0pt;margin-left:119.55pt;margin-top:57.25pt;height:19.35pt;width:33.75pt;z-index:251673600;mso-width-relative:page;mso-height-relative:page;" filled="f" stroked="f" coordsize="21600,21600" o:gfxdata="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hwTzdgAAAALAQAADwAAAAAAAAABACAAAAAiAAAAZHJzL2Rvd25yZXYueG1sUEsBAhQAFAAAAAgA&#10;h07iQODPTVKzAQAAXwMAAA4AAAAAAAAAAQAgAAAAJwEAAGRycy9lMm9Eb2MueG1sUEsFBgAAAAAG&#10;AAYAWQEAAEwFAAAAAA==&#10;">
                      <v:fill on="f" focussize="0,0"/>
                      <v:stroke on="f"/>
                      <v:imagedata o:title=""/>
                      <o:lock v:ext="edit" aspectratio="f"/>
                      <v:textbo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W3</w:t>
                            </w:r>
                          </w:p>
                        </w:txbxContent>
                      </v:textbox>
                    </v:shape>
                  </w:pict>
                </mc:Fallback>
              </mc:AlternateContent>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70528" behindDoc="0" locked="0" layoutInCell="1" allowOverlap="1">
                      <wp:simplePos x="0" y="0"/>
                      <wp:positionH relativeFrom="column">
                        <wp:posOffset>1974215</wp:posOffset>
                      </wp:positionH>
                      <wp:positionV relativeFrom="paragraph">
                        <wp:posOffset>996950</wp:posOffset>
                      </wp:positionV>
                      <wp:extent cx="211455" cy="61595"/>
                      <wp:effectExtent l="0" t="25400" r="17145" b="27305"/>
                      <wp:wrapNone/>
                      <wp:docPr id="202" name="直接箭头连接符 202"/>
                      <wp:cNvGraphicFramePr/>
                      <a:graphic xmlns:a="http://schemas.openxmlformats.org/drawingml/2006/main">
                        <a:graphicData uri="http://schemas.microsoft.com/office/word/2010/wordprocessingShape">
                          <wps:wsp>
                            <wps:cNvCnPr/>
                            <wps:spPr>
                              <a:xfrm>
                                <a:off x="0" y="0"/>
                                <a:ext cx="211455" cy="61595"/>
                              </a:xfrm>
                              <a:prstGeom prst="straightConnector1">
                                <a:avLst/>
                              </a:prstGeom>
                              <a:ln w="19050" cap="flat" cmpd="sng">
                                <a:solidFill>
                                  <a:srgbClr val="FFFF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margin-left:155.45pt;margin-top:78.5pt;height:4.85pt;width:16.65pt;z-index:251670528;mso-width-relative:page;mso-height-relative:page;" filled="f" stroked="t" coordsize="21600,21600" o:gfxdata="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&#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dz0ntkAAAALAQAADwAAAAAAAAABACAAAAAiAAAA&#10;ZHJzL2Rvd25yZXYueG1sUEsBAhQAFAAAAAgAh07iQBMPX4EGAgAA9gMAAA4AAAAAAAAAAQAgAAAA&#10;KAEAAGRycy9lMm9Eb2MueG1sUEsFBgAAAAAGAAYAWQEAAKAFAAAAAA==&#10;">
                      <v:fill on="f" focussize="0,0"/>
                      <v:stroke weight="1.5pt" color="#FFFF00" joinstyle="round" startarrow="open" endarrow="open"/>
                      <v:imagedata o:title=""/>
                      <o:lock v:ext="edit" aspectratio="f"/>
                    </v:shape>
                  </w:pict>
                </mc:Fallback>
              </mc:AlternateContent>
            </w:r>
            <w:r>
              <w:drawing>
                <wp:inline distT="0" distB="0" distL="114300" distR="114300">
                  <wp:extent cx="5101590" cy="2957195"/>
                  <wp:effectExtent l="0" t="0" r="3810" b="1460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1"/>
                          <a:stretch>
                            <a:fillRect/>
                          </a:stretch>
                        </pic:blipFill>
                        <pic:spPr>
                          <a:xfrm>
                            <a:off x="0" y="0"/>
                            <a:ext cx="5101590" cy="2957195"/>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74624" behindDoc="0" locked="0" layoutInCell="1" allowOverlap="1">
                      <wp:simplePos x="0" y="0"/>
                      <wp:positionH relativeFrom="column">
                        <wp:posOffset>701675</wp:posOffset>
                      </wp:positionH>
                      <wp:positionV relativeFrom="paragraph">
                        <wp:posOffset>1082040</wp:posOffset>
                      </wp:positionV>
                      <wp:extent cx="428625" cy="24574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428625" cy="245745"/>
                              </a:xfrm>
                              <a:prstGeom prst="rect">
                                <a:avLst/>
                              </a:prstGeom>
                              <a:noFill/>
                              <a:ln>
                                <a:noFill/>
                              </a:ln>
                              <a:effectLst/>
                            </wps:spPr>
                            <wps:txb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W4</w:t>
                                  </w:r>
                                </w:p>
                              </w:txbxContent>
                            </wps:txbx>
                            <wps:bodyPr upright="1"/>
                          </wps:wsp>
                        </a:graphicData>
                      </a:graphic>
                    </wp:anchor>
                  </w:drawing>
                </mc:Choice>
                <mc:Fallback>
                  <w:pict>
                    <v:shape id="_x0000_s1026" o:spid="_x0000_s1026" o:spt="202" type="#_x0000_t202" style="position:absolute;left:0pt;margin-left:55.25pt;margin-top:85.2pt;height:19.35pt;width:33.75pt;z-index:251674624;mso-width-relative:page;mso-height-relative:page;" filled="f" stroked="f" coordsize="21600,21600" o:gfxdata="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Y8&#10;HjnWAAAACwEAAA8AAAAAAAAAAQAgAAAAIgAAAGRycy9kb3ducmV2LnhtbFBLAQIUABQAAAAIAIdO&#10;4kB/yIb4swEAAF8DAAAOAAAAAAAAAAEAIAAAACUBAABkcnMvZTJvRG9jLnhtbFBLBQYAAAAABgAG&#10;AFkBAABKBQAAAAA=&#10;">
                      <v:fill on="f" focussize="0,0"/>
                      <v:stroke on="f"/>
                      <v:imagedata o:title=""/>
                      <o:lock v:ext="edit" aspectratio="f"/>
                      <v:textbo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W4</w:t>
                            </w:r>
                          </w:p>
                        </w:txbxContent>
                      </v:textbox>
                    </v:shape>
                  </w:pict>
                </mc:Fallback>
              </mc:AlternateContent>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59264" behindDoc="0" locked="0" layoutInCell="1" allowOverlap="1">
                      <wp:simplePos x="0" y="0"/>
                      <wp:positionH relativeFrom="column">
                        <wp:posOffset>973455</wp:posOffset>
                      </wp:positionH>
                      <wp:positionV relativeFrom="paragraph">
                        <wp:posOffset>1163955</wp:posOffset>
                      </wp:positionV>
                      <wp:extent cx="152400" cy="181610"/>
                      <wp:effectExtent l="0" t="0" r="0" b="8890"/>
                      <wp:wrapNone/>
                      <wp:docPr id="79" name="直接箭头连接符 79"/>
                      <wp:cNvGraphicFramePr/>
                      <a:graphic xmlns:a="http://schemas.openxmlformats.org/drawingml/2006/main">
                        <a:graphicData uri="http://schemas.microsoft.com/office/word/2010/wordprocessingShape">
                          <wps:wsp>
                            <wps:cNvCnPr/>
                            <wps:spPr>
                              <a:xfrm>
                                <a:off x="0" y="0"/>
                                <a:ext cx="152400" cy="181610"/>
                              </a:xfrm>
                              <a:prstGeom prst="straightConnector1">
                                <a:avLst/>
                              </a:prstGeom>
                              <a:ln w="19050" cap="flat" cmpd="sng">
                                <a:solidFill>
                                  <a:srgbClr val="FFFF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margin-left:76.65pt;margin-top:91.65pt;height:14.3pt;width:12pt;z-index:251659264;mso-width-relative:page;mso-height-relative:page;" filled="f" stroked="t" coordsize="21600,21600" o:gfxdata="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OC587WAAAACwEAAA8AAAAAAAAAAQAgAAAAIgAAAGRycy9k&#10;b3ducmV2LnhtbFBLAQIUABQAAAAIAIdO4kA5mclwBAIAAPUDAAAOAAAAAAAAAAEAIAAAACUBAABk&#10;cnMvZTJvRG9jLnhtbFBLBQYAAAAABgAGAFkBAACbBQAAAAA=&#10;">
                      <v:fill on="f" focussize="0,0"/>
                      <v:stroke weight="1.5pt" color="#FFFF00" joinstyle="round" startarrow="open" endarrow="open"/>
                      <v:imagedata o:title=""/>
                      <o:lock v:ext="edit" aspectratio="f"/>
                    </v:shape>
                  </w:pict>
                </mc:Fallback>
              </mc:AlternateContent>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64384" behindDoc="0" locked="0" layoutInCell="1" allowOverlap="1">
                      <wp:simplePos x="0" y="0"/>
                      <wp:positionH relativeFrom="column">
                        <wp:posOffset>365125</wp:posOffset>
                      </wp:positionH>
                      <wp:positionV relativeFrom="paragraph">
                        <wp:posOffset>1786255</wp:posOffset>
                      </wp:positionV>
                      <wp:extent cx="294640" cy="3810"/>
                      <wp:effectExtent l="0" t="52705" r="10160" b="57785"/>
                      <wp:wrapNone/>
                      <wp:docPr id="87" name="直接箭头连接符 87"/>
                      <wp:cNvGraphicFramePr/>
                      <a:graphic xmlns:a="http://schemas.openxmlformats.org/drawingml/2006/main">
                        <a:graphicData uri="http://schemas.microsoft.com/office/word/2010/wordprocessingShape">
                          <wps:wsp>
                            <wps:cNvCnPr/>
                            <wps:spPr>
                              <a:xfrm>
                                <a:off x="0" y="0"/>
                                <a:ext cx="294640" cy="3810"/>
                              </a:xfrm>
                              <a:prstGeom prst="straightConnector1">
                                <a:avLst/>
                              </a:prstGeom>
                              <a:ln w="19050" cap="flat" cmpd="sng">
                                <a:solidFill>
                                  <a:srgbClr val="FFFF00"/>
                                </a:solidFill>
                                <a:prstDash val="solid"/>
                                <a:headEnd type="arrow" w="med" len="med"/>
                                <a:tailEnd type="arrow" w="med" len="med"/>
                              </a:ln>
                            </wps:spPr>
                            <wps:bodyPr/>
                          </wps:wsp>
                        </a:graphicData>
                      </a:graphic>
                    </wp:anchor>
                  </w:drawing>
                </mc:Choice>
                <mc:Fallback>
                  <w:pict>
                    <v:shape id="_x0000_s1026" o:spid="_x0000_s1026" o:spt="32" type="#_x0000_t32" style="position:absolute;left:0pt;margin-left:28.75pt;margin-top:140.65pt;height:0.3pt;width:23.2pt;z-index:251664384;mso-width-relative:page;mso-height-relative:page;" filled="f" stroked="t" coordsize="21600,21600" o:gfxdata="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zebfdcAAAAKAQAADwAAAAAAAAABACAAAAAiAAAAZHJzL2Rv&#10;d25yZXYueG1sUEsBAhQAFAAAAAgAh07iQMS7wEgCAgAA8wMAAA4AAAAAAAAAAQAgAAAAJgEAAGRy&#10;cy9lMm9Eb2MueG1sUEsFBgAAAAAGAAYAWQEAAJoFAAAAAA==&#10;">
                      <v:fill on="f" focussize="0,0"/>
                      <v:stroke weight="1.5pt" color="#FFFF00" joinstyle="round" startarrow="open" endarrow="open"/>
                      <v:imagedata o:title=""/>
                      <o:lock v:ext="edit" aspectratio="f"/>
                    </v:shape>
                  </w:pict>
                </mc:Fallback>
              </mc:AlternateContent>
            </w:r>
            <w:r>
              <w:rPr>
                <w:rFonts w:hint="default" w:ascii="Times New Roman" w:hAnsi="Times New Roman" w:eastAsia="宋体" w:cs="Times New Roman"/>
                <w:color w:val="auto"/>
                <w:kern w:val="0"/>
                <w:sz w:val="24"/>
                <w:szCs w:val="20"/>
                <w:highlight w:val="none"/>
                <w:lang w:val="en-US" w:eastAsia="zh-CN" w:bidi="ar"/>
              </w:rPr>
              <mc:AlternateContent>
                <mc:Choice Requires="wps">
                  <w:drawing>
                    <wp:anchor distT="0" distB="0" distL="114300" distR="114300" simplePos="0" relativeHeight="251675648" behindDoc="0" locked="0" layoutInCell="1" allowOverlap="1">
                      <wp:simplePos x="0" y="0"/>
                      <wp:positionH relativeFrom="column">
                        <wp:posOffset>67945</wp:posOffset>
                      </wp:positionH>
                      <wp:positionV relativeFrom="paragraph">
                        <wp:posOffset>1456690</wp:posOffset>
                      </wp:positionV>
                      <wp:extent cx="428625" cy="245745"/>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428625" cy="245745"/>
                              </a:xfrm>
                              <a:prstGeom prst="rect">
                                <a:avLst/>
                              </a:prstGeom>
                              <a:noFill/>
                              <a:ln>
                                <a:noFill/>
                              </a:ln>
                              <a:effectLst/>
                            </wps:spPr>
                            <wps:txb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W5</w:t>
                                  </w:r>
                                </w:p>
                              </w:txbxContent>
                            </wps:txbx>
                            <wps:bodyPr upright="1"/>
                          </wps:wsp>
                        </a:graphicData>
                      </a:graphic>
                    </wp:anchor>
                  </w:drawing>
                </mc:Choice>
                <mc:Fallback>
                  <w:pict>
                    <v:shape id="_x0000_s1026" o:spid="_x0000_s1026" o:spt="202" type="#_x0000_t202" style="position:absolute;left:0pt;margin-left:5.35pt;margin-top:114.7pt;height:19.35pt;width:33.75pt;z-index:251675648;mso-width-relative:page;mso-height-relative:page;" filled="f" stroked="f" coordsize="21600,21600" o:gfxdata="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yb&#10;413WAAAACQEAAA8AAAAAAAAAAQAgAAAAIgAAAGRycy9kb3ducmV2LnhtbFBLAQIUABQAAAAIAIdO&#10;4kCA+tHmswEAAF8DAAAOAAAAAAAAAAEAIAAAACUBAABkcnMvZTJvRG9jLnhtbFBLBQYAAAAABgAG&#10;AFkBAABKBQAAAAA=&#10;">
                      <v:fill on="f" focussize="0,0"/>
                      <v:stroke on="f"/>
                      <v:imagedata o:title=""/>
                      <o:lock v:ext="edit" aspectratio="f"/>
                      <v:textbox>
                        <w:txbxContent>
                          <w:p>
                            <w:pPr>
                              <w:rPr>
                                <w:rFonts w:hint="default" w:ascii="Times New Roman" w:hAnsi="Times New Roman" w:eastAsia="宋体" w:cs="Times New Roman"/>
                                <w:color w:val="0000FF"/>
                                <w:highlight w:val="yellow"/>
                                <w:lang w:val="en-US" w:eastAsia="zh-CN"/>
                              </w:rPr>
                            </w:pPr>
                            <w:r>
                              <w:rPr>
                                <w:rFonts w:hint="eastAsia" w:ascii="Times New Roman" w:hAnsi="Times New Roman" w:eastAsia="宋体" w:cs="Times New Roman"/>
                                <w:color w:val="0000FF"/>
                                <w:highlight w:val="yellow"/>
                                <w:lang w:val="en-US" w:eastAsia="zh-CN"/>
                              </w:rPr>
                              <w:t>W5</w:t>
                            </w:r>
                          </w:p>
                        </w:txbxContent>
                      </v:textbox>
                    </v:shape>
                  </w:pict>
                </mc:Fallback>
              </mc:AlternateContent>
            </w:r>
          </w:p>
          <w:p>
            <w:pPr>
              <w:keepNext w:val="0"/>
              <w:keepLines w:val="0"/>
              <w:pageBreakBefore w:val="0"/>
              <w:widowControl w:val="0"/>
              <w:kinsoku/>
              <w:wordWrap/>
              <w:overflowPunct/>
              <w:topLinePunct w:val="0"/>
              <w:bidi w:val="0"/>
              <w:snapToGrid/>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图</w:t>
            </w:r>
            <w:r>
              <w:rPr>
                <w:rFonts w:hint="eastAsia" w:ascii="Times New Roman" w:hAnsi="Times New Roman" w:eastAsia="宋体" w:cs="Times New Roman"/>
                <w:b/>
                <w:bCs/>
                <w:color w:val="auto"/>
                <w:sz w:val="21"/>
                <w:szCs w:val="21"/>
                <w:highlight w:val="none"/>
                <w:lang w:val="en-US" w:eastAsia="zh-CN"/>
              </w:rPr>
              <w:t>3-4</w:t>
            </w:r>
            <w:r>
              <w:rPr>
                <w:rFonts w:hint="default" w:ascii="Times New Roman" w:hAnsi="Times New Roman" w:eastAsia="宋体" w:cs="Times New Roman"/>
                <w:b/>
                <w:bCs/>
                <w:color w:val="auto"/>
                <w:sz w:val="21"/>
                <w:szCs w:val="21"/>
                <w:highlight w:val="none"/>
                <w:lang w:val="en-US" w:eastAsia="zh-CN"/>
              </w:rPr>
              <w:t>引用监测段面图</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rPr>
              <w:t>监测结果表明：</w:t>
            </w:r>
            <w:r>
              <w:rPr>
                <w:rFonts w:hint="eastAsia" w:ascii="Times New Roman" w:hAnsi="Times New Roman" w:eastAsia="宋体" w:cs="Times New Roman"/>
                <w:color w:val="auto"/>
                <w:kern w:val="0"/>
                <w:sz w:val="24"/>
                <w:highlight w:val="none"/>
                <w:lang w:val="en-US" w:eastAsia="zh-CN"/>
              </w:rPr>
              <w:t>中心排渠、银河排渠、马嘶水均可达到《地表水环境质量标准》（GB3838-2002）</w:t>
            </w:r>
            <w:r>
              <w:rPr>
                <w:rFonts w:hint="default" w:ascii="Times New Roman" w:hAnsi="Times New Roman" w:eastAsia="宋体" w:cs="Times New Roman"/>
                <w:color w:val="auto"/>
                <w:sz w:val="24"/>
                <w:highlight w:val="none"/>
              </w:rPr>
              <w:t>Ⅴ</w:t>
            </w:r>
            <w:r>
              <w:rPr>
                <w:rFonts w:hint="eastAsia" w:ascii="Times New Roman" w:hAnsi="Times New Roman" w:eastAsia="宋体" w:cs="Times New Roman"/>
                <w:color w:val="auto"/>
                <w:kern w:val="0"/>
                <w:sz w:val="24"/>
                <w:highlight w:val="none"/>
                <w:lang w:val="en-US" w:eastAsia="zh-CN"/>
              </w:rPr>
              <w:t>类标准</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由此可见，中心排渠、银河排渠、马嘶水水环境质量现状良好。</w:t>
            </w:r>
          </w:p>
          <w:p>
            <w:pPr>
              <w:spacing w:line="360" w:lineRule="auto"/>
              <w:ind w:firstLine="482" w:firstLineChars="200"/>
              <w:rPr>
                <w:rFonts w:hint="default" w:ascii="Times New Roman" w:hAnsi="Times New Roman" w:eastAsia="宋体" w:cs="Times New Roman"/>
                <w:b/>
                <w:color w:val="auto"/>
                <w:kern w:val="28"/>
                <w:sz w:val="24"/>
                <w:highlight w:val="none"/>
              </w:rPr>
            </w:pPr>
            <w:r>
              <w:rPr>
                <w:rFonts w:hint="default" w:ascii="Times New Roman" w:hAnsi="Times New Roman" w:eastAsia="宋体" w:cs="Times New Roman"/>
                <w:b/>
                <w:color w:val="auto"/>
                <w:kern w:val="28"/>
                <w:sz w:val="24"/>
                <w:highlight w:val="none"/>
              </w:rPr>
              <w:t>3、声环境</w:t>
            </w:r>
          </w:p>
          <w:p>
            <w:pPr>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kern w:val="0"/>
                <w:sz w:val="24"/>
                <w:szCs w:val="21"/>
                <w:highlight w:val="none"/>
                <w:lang w:eastAsia="zh-CN"/>
              </w:rPr>
              <w:t>本项目</w:t>
            </w:r>
            <w:r>
              <w:rPr>
                <w:rFonts w:hint="default" w:ascii="Times New Roman" w:hAnsi="Times New Roman" w:eastAsia="宋体" w:cs="Times New Roman"/>
                <w:color w:val="auto"/>
                <w:kern w:val="0"/>
                <w:sz w:val="24"/>
                <w:szCs w:val="21"/>
                <w:highlight w:val="none"/>
              </w:rPr>
              <w:t>厂界外周边50米范围内不存在声环境保护目标，因此无需监测声环境质量现状。</w:t>
            </w:r>
          </w:p>
          <w:p>
            <w:pPr>
              <w:autoSpaceDE w:val="0"/>
              <w:autoSpaceDN w:val="0"/>
              <w:spacing w:line="360" w:lineRule="auto"/>
              <w:ind w:firstLine="482" w:firstLineChars="200"/>
              <w:textAlignment w:val="baseline"/>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4、生态环境</w:t>
            </w:r>
          </w:p>
          <w:p>
            <w:pPr>
              <w:keepNext/>
              <w:keepLines/>
              <w:pageBreakBefore/>
              <w:widowControl w:val="0"/>
              <w:kinsoku/>
              <w:wordWrap/>
              <w:overflowPunct/>
              <w:topLinePunct w:val="0"/>
              <w:autoSpaceDE/>
              <w:autoSpaceDN/>
              <w:bidi w:val="0"/>
              <w:adjustRightInd w:val="0"/>
              <w:snapToGrid w:val="0"/>
              <w:spacing w:line="360" w:lineRule="auto"/>
              <w:ind w:firstLine="480" w:firstLineChars="200"/>
              <w:textAlignment w:val="auto"/>
              <w:outlineLvl w:val="0"/>
              <w:rPr>
                <w:rFonts w:hint="default"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lang w:eastAsia="zh-CN"/>
              </w:rPr>
              <w:t>本项目</w:t>
            </w:r>
            <w:r>
              <w:rPr>
                <w:rFonts w:hint="default" w:ascii="Times New Roman" w:hAnsi="Times New Roman" w:eastAsia="宋体" w:cs="Times New Roman"/>
                <w:color w:val="auto"/>
                <w:kern w:val="0"/>
                <w:sz w:val="24"/>
                <w:szCs w:val="21"/>
                <w:highlight w:val="none"/>
                <w:lang w:val="en-US" w:eastAsia="zh-CN"/>
              </w:rPr>
              <w:t>依托现有已建成厂房进行生产活动，</w:t>
            </w:r>
            <w:r>
              <w:rPr>
                <w:rFonts w:hint="default" w:ascii="Times New Roman" w:hAnsi="Times New Roman" w:eastAsia="宋体" w:cs="Times New Roman"/>
                <w:color w:val="auto"/>
                <w:kern w:val="0"/>
                <w:sz w:val="24"/>
                <w:szCs w:val="21"/>
                <w:highlight w:val="none"/>
              </w:rPr>
              <w:t>不涉及生态环境保护目标，不开展生态现状调查。</w:t>
            </w:r>
          </w:p>
          <w:p>
            <w:pPr>
              <w:spacing w:line="360" w:lineRule="auto"/>
              <w:ind w:firstLine="482" w:firstLineChars="200"/>
              <w:rPr>
                <w:rFonts w:hint="default" w:ascii="Times New Roman" w:hAnsi="Times New Roman" w:eastAsia="宋体" w:cs="Times New Roman"/>
                <w:b/>
                <w:color w:val="auto"/>
                <w:kern w:val="28"/>
                <w:sz w:val="24"/>
                <w:highlight w:val="none"/>
                <w:lang w:val="en-US" w:eastAsia="zh-CN"/>
              </w:rPr>
            </w:pPr>
            <w:r>
              <w:rPr>
                <w:rFonts w:hint="default" w:ascii="Times New Roman" w:hAnsi="Times New Roman" w:eastAsia="宋体" w:cs="Times New Roman"/>
                <w:b/>
                <w:color w:val="auto"/>
                <w:kern w:val="28"/>
                <w:sz w:val="24"/>
                <w:highlight w:val="none"/>
                <w:lang w:val="en-US" w:eastAsia="zh-CN"/>
              </w:rPr>
              <w:t>5</w:t>
            </w:r>
            <w:r>
              <w:rPr>
                <w:rFonts w:hint="default" w:ascii="Times New Roman" w:hAnsi="Times New Roman" w:eastAsia="宋体" w:cs="Times New Roman"/>
                <w:b/>
                <w:color w:val="auto"/>
                <w:kern w:val="28"/>
                <w:sz w:val="24"/>
                <w:highlight w:val="none"/>
              </w:rPr>
              <w:t>、</w:t>
            </w:r>
            <w:r>
              <w:rPr>
                <w:rFonts w:hint="default" w:ascii="Times New Roman" w:hAnsi="Times New Roman" w:eastAsia="宋体" w:cs="Times New Roman"/>
                <w:b/>
                <w:color w:val="auto"/>
                <w:kern w:val="28"/>
                <w:sz w:val="24"/>
                <w:highlight w:val="none"/>
                <w:lang w:val="en-US" w:eastAsia="zh-CN"/>
              </w:rPr>
              <w:t>地下水、土壤</w:t>
            </w:r>
          </w:p>
          <w:p>
            <w:pPr>
              <w:keepNext w:val="0"/>
              <w:keepLines w:val="0"/>
              <w:pageBreakBefore w:val="0"/>
              <w:widowControl w:val="0"/>
              <w:kinsoku/>
              <w:wordWrap/>
              <w:overflowPunct/>
              <w:topLinePunct w:val="0"/>
              <w:autoSpaceDE/>
              <w:autoSpaceDN/>
              <w:bidi w:val="0"/>
              <w:spacing w:line="360" w:lineRule="auto"/>
              <w:ind w:firstLine="480" w:firstLineChars="200"/>
              <w:jc w:val="both"/>
              <w:textAlignment w:val="auto"/>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 w:val="24"/>
                <w:szCs w:val="21"/>
                <w:highlight w:val="none"/>
                <w:lang w:eastAsia="zh-CN"/>
              </w:rPr>
              <w:t>本项目</w:t>
            </w:r>
            <w:r>
              <w:rPr>
                <w:rFonts w:hint="default" w:ascii="Times New Roman" w:hAnsi="Times New Roman" w:eastAsia="宋体" w:cs="Times New Roman"/>
                <w:color w:val="auto"/>
                <w:kern w:val="0"/>
                <w:sz w:val="24"/>
                <w:szCs w:val="21"/>
                <w:highlight w:val="none"/>
              </w:rPr>
              <w:t>无地下水、土壤污染途径，故不开展地下水、土壤现状调查。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459" w:type="dxa"/>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环境</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保护</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目标</w:t>
            </w:r>
          </w:p>
        </w:tc>
        <w:tc>
          <w:tcPr>
            <w:tcW w:w="825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1.大气环境：</w:t>
            </w:r>
            <w:r>
              <w:rPr>
                <w:rFonts w:hint="eastAsia" w:ascii="Times New Roman" w:hAnsi="Times New Roman" w:eastAsia="宋体" w:cs="Times New Roman"/>
                <w:bCs/>
                <w:color w:val="auto"/>
                <w:sz w:val="24"/>
                <w:szCs w:val="24"/>
                <w:highlight w:val="none"/>
                <w:lang w:eastAsia="zh-CN"/>
              </w:rPr>
              <w:t>本项目</w:t>
            </w:r>
            <w:r>
              <w:rPr>
                <w:rFonts w:hint="default" w:ascii="Times New Roman" w:hAnsi="Times New Roman" w:eastAsia="宋体" w:cs="Times New Roman"/>
                <w:color w:val="auto"/>
                <w:kern w:val="0"/>
                <w:sz w:val="24"/>
                <w:highlight w:val="none"/>
              </w:rPr>
              <w:t>厂界外500米范围内的大气环境保护目标见下表。</w:t>
            </w:r>
          </w:p>
          <w:p>
            <w:pPr>
              <w:widowControl/>
              <w:adjustRightInd w:val="0"/>
              <w:snapToGrid w:val="0"/>
              <w:ind w:firstLine="422" w:firstLineChars="20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表3-</w:t>
            </w:r>
            <w:r>
              <w:rPr>
                <w:rFonts w:hint="eastAsia" w:ascii="Times New Roman" w:hAnsi="Times New Roman" w:eastAsia="宋体" w:cs="Times New Roman"/>
                <w:b/>
                <w:color w:val="auto"/>
                <w:sz w:val="21"/>
                <w:szCs w:val="21"/>
                <w:highlight w:val="none"/>
                <w:lang w:val="en-US" w:eastAsia="zh-CN"/>
              </w:rPr>
              <w:t>5</w:t>
            </w:r>
            <w:r>
              <w:rPr>
                <w:rFonts w:hint="default" w:ascii="Times New Roman" w:hAnsi="Times New Roman" w:eastAsia="宋体" w:cs="Times New Roman"/>
                <w:b/>
                <w:color w:val="auto"/>
                <w:sz w:val="21"/>
                <w:szCs w:val="21"/>
                <w:highlight w:val="none"/>
              </w:rPr>
              <w:t>环境保护目标一览表</w:t>
            </w:r>
          </w:p>
          <w:tbl>
            <w:tblPr>
              <w:tblStyle w:val="24"/>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894"/>
              <w:gridCol w:w="1238"/>
              <w:gridCol w:w="1181"/>
              <w:gridCol w:w="733"/>
              <w:gridCol w:w="764"/>
              <w:gridCol w:w="646"/>
              <w:gridCol w:w="615"/>
              <w:gridCol w:w="725"/>
              <w:gridCol w:w="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69" w:type="pct"/>
                  <w:vMerge w:val="restart"/>
                  <w:noWrap w:val="0"/>
                  <w:vAlign w:val="center"/>
                </w:tcPr>
                <w:p>
                  <w:pPr>
                    <w:autoSpaceDE w:val="0"/>
                    <w:autoSpaceDN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autoSpaceDE w:val="0"/>
                    <w:autoSpaceDN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549" w:type="pct"/>
                  <w:vMerge w:val="restart"/>
                  <w:noWrap w:val="0"/>
                  <w:vAlign w:val="center"/>
                </w:tcPr>
                <w:p>
                  <w:pPr>
                    <w:autoSpaceDE w:val="0"/>
                    <w:autoSpaceDN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486" w:type="pct"/>
                  <w:gridSpan w:val="2"/>
                  <w:noWrap w:val="0"/>
                  <w:vAlign w:val="center"/>
                </w:tcPr>
                <w:p>
                  <w:pPr>
                    <w:autoSpaceDE w:val="0"/>
                    <w:autoSpaceDN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450"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w:t>
                  </w:r>
                </w:p>
                <w:p>
                  <w:pPr>
                    <w:keepNext w:val="0"/>
                    <w:keepLines w:val="0"/>
                    <w:pageBreakBefore w:val="0"/>
                    <w:widowControl w:val="0"/>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对象</w:t>
                  </w:r>
                </w:p>
              </w:tc>
              <w:tc>
                <w:tcPr>
                  <w:tcW w:w="469"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w:t>
                  </w:r>
                </w:p>
                <w:p>
                  <w:pPr>
                    <w:keepNext w:val="0"/>
                    <w:keepLines w:val="0"/>
                    <w:pageBreakBefore w:val="0"/>
                    <w:widowControl w:val="0"/>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tc>
              <w:tc>
                <w:tcPr>
                  <w:tcW w:w="397"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w:t>
                  </w:r>
                </w:p>
              </w:tc>
              <w:tc>
                <w:tcPr>
                  <w:tcW w:w="377"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相对方位</w:t>
                  </w:r>
                </w:p>
              </w:tc>
              <w:tc>
                <w:tcPr>
                  <w:tcW w:w="445"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与厂界距离</w:t>
                  </w:r>
                </w:p>
              </w:tc>
              <w:tc>
                <w:tcPr>
                  <w:tcW w:w="454" w:type="pct"/>
                  <w:vMerge w:val="restart"/>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与产污</w:t>
                  </w:r>
                  <w:r>
                    <w:rPr>
                      <w:rFonts w:hint="default" w:ascii="Times New Roman" w:hAnsi="Times New Roman" w:eastAsia="宋体" w:cs="Times New Roman"/>
                      <w:b/>
                      <w:bCs/>
                      <w:color w:val="auto"/>
                      <w:sz w:val="21"/>
                      <w:szCs w:val="21"/>
                      <w:highlight w:val="none"/>
                    </w:rPr>
                    <w:t>车间距离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369"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c>
                <w:tcPr>
                  <w:tcW w:w="549"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c>
                <w:tcPr>
                  <w:tcW w:w="760" w:type="pct"/>
                  <w:noWrap w:val="0"/>
                  <w:vAlign w:val="center"/>
                </w:tcPr>
                <w:p>
                  <w:pPr>
                    <w:autoSpaceDE w:val="0"/>
                    <w:autoSpaceDN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经度(</w:t>
                  </w:r>
                  <w:r>
                    <w:rPr>
                      <w:rFonts w:hint="default" w:ascii="Times New Roman" w:hAnsi="Times New Roman" w:eastAsia="宋体" w:cs="Times New Roman"/>
                      <w:b/>
                      <w:bCs/>
                      <w:color w:val="auto"/>
                      <w:sz w:val="21"/>
                      <w:szCs w:val="21"/>
                      <w:highlight w:val="none"/>
                      <w:vertAlign w:val="superscript"/>
                    </w:rPr>
                    <w:t>。</w:t>
                  </w:r>
                  <w:r>
                    <w:rPr>
                      <w:rFonts w:hint="default" w:ascii="Times New Roman" w:hAnsi="Times New Roman" w:eastAsia="宋体" w:cs="Times New Roman"/>
                      <w:b/>
                      <w:bCs/>
                      <w:color w:val="auto"/>
                      <w:sz w:val="21"/>
                      <w:szCs w:val="21"/>
                      <w:highlight w:val="none"/>
                    </w:rPr>
                    <w:t>)</w:t>
                  </w:r>
                </w:p>
              </w:tc>
              <w:tc>
                <w:tcPr>
                  <w:tcW w:w="725" w:type="pct"/>
                  <w:noWrap w:val="0"/>
                  <w:vAlign w:val="center"/>
                </w:tcPr>
                <w:p>
                  <w:pPr>
                    <w:autoSpaceDE w:val="0"/>
                    <w:autoSpaceDN w:val="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纬度(</w:t>
                  </w:r>
                  <w:r>
                    <w:rPr>
                      <w:rFonts w:hint="default" w:ascii="Times New Roman" w:hAnsi="Times New Roman" w:eastAsia="宋体" w:cs="Times New Roman"/>
                      <w:b/>
                      <w:bCs/>
                      <w:color w:val="auto"/>
                      <w:sz w:val="21"/>
                      <w:szCs w:val="21"/>
                      <w:highlight w:val="none"/>
                      <w:vertAlign w:val="superscript"/>
                    </w:rPr>
                    <w:t>。</w:t>
                  </w:r>
                  <w:r>
                    <w:rPr>
                      <w:rFonts w:hint="default" w:ascii="Times New Roman" w:hAnsi="Times New Roman" w:eastAsia="宋体" w:cs="Times New Roman"/>
                      <w:b/>
                      <w:bCs/>
                      <w:color w:val="auto"/>
                      <w:sz w:val="21"/>
                      <w:szCs w:val="21"/>
                      <w:highlight w:val="none"/>
                    </w:rPr>
                    <w:t>)</w:t>
                  </w:r>
                </w:p>
              </w:tc>
              <w:tc>
                <w:tcPr>
                  <w:tcW w:w="450"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c>
                <w:tcPr>
                  <w:tcW w:w="469"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c>
                <w:tcPr>
                  <w:tcW w:w="397"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c>
                <w:tcPr>
                  <w:tcW w:w="377"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c>
                <w:tcPr>
                  <w:tcW w:w="445"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c>
                <w:tcPr>
                  <w:tcW w:w="454"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369" w:type="pct"/>
                  <w:vMerge w:val="restar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w:t>
                  </w:r>
                </w:p>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空气</w:t>
                  </w:r>
                </w:p>
              </w:tc>
              <w:tc>
                <w:tcPr>
                  <w:tcW w:w="549"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隆腾花园</w:t>
                  </w:r>
                </w:p>
              </w:tc>
              <w:tc>
                <w:tcPr>
                  <w:tcW w:w="760"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114.143009</w:t>
                  </w:r>
                </w:p>
              </w:tc>
              <w:tc>
                <w:tcPr>
                  <w:tcW w:w="725"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23.147892</w:t>
                  </w:r>
                </w:p>
              </w:tc>
              <w:tc>
                <w:tcPr>
                  <w:tcW w:w="450" w:type="pct"/>
                  <w:noWrap w:val="0"/>
                  <w:vAlign w:val="center"/>
                </w:tcPr>
                <w:p>
                  <w:pPr>
                    <w:jc w:val="center"/>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住宅区</w:t>
                  </w:r>
                </w:p>
              </w:tc>
              <w:tc>
                <w:tcPr>
                  <w:tcW w:w="469"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约</w:t>
                  </w:r>
                  <w:r>
                    <w:rPr>
                      <w:rFonts w:hint="eastAsia" w:ascii="Times New Roman" w:hAnsi="Times New Roman" w:eastAsia="宋体"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rPr>
                    <w:t>人</w:t>
                  </w:r>
                </w:p>
              </w:tc>
              <w:tc>
                <w:tcPr>
                  <w:tcW w:w="397" w:type="pct"/>
                  <w:vMerge w:val="restar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大气</w:t>
                  </w:r>
                </w:p>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二类区</w:t>
                  </w:r>
                </w:p>
              </w:tc>
              <w:tc>
                <w:tcPr>
                  <w:tcW w:w="377" w:type="pct"/>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西北面</w:t>
                  </w:r>
                </w:p>
              </w:tc>
              <w:tc>
                <w:tcPr>
                  <w:tcW w:w="445"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453</w:t>
                  </w:r>
                  <w:r>
                    <w:rPr>
                      <w:rFonts w:hint="default" w:ascii="Times New Roman" w:hAnsi="Times New Roman" w:eastAsia="宋体" w:cs="Times New Roman"/>
                      <w:color w:val="auto"/>
                      <w:sz w:val="21"/>
                      <w:szCs w:val="21"/>
                      <w:highlight w:val="none"/>
                    </w:rPr>
                    <w:t>m</w:t>
                  </w:r>
                </w:p>
              </w:tc>
              <w:tc>
                <w:tcPr>
                  <w:tcW w:w="454"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471</w:t>
                  </w:r>
                  <w:r>
                    <w:rPr>
                      <w:rFonts w:hint="default" w:ascii="Times New Roman" w:hAnsi="Times New Roman" w:eastAsia="宋体" w:cs="Times New Roman"/>
                      <w:color w:val="auto"/>
                      <w:sz w:val="21"/>
                      <w:szCs w:val="21"/>
                      <w:highlight w:val="none"/>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69"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c>
                <w:tcPr>
                  <w:tcW w:w="549"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陈村散户</w:t>
                  </w:r>
                </w:p>
              </w:tc>
              <w:tc>
                <w:tcPr>
                  <w:tcW w:w="760"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114.149135</w:t>
                  </w:r>
                </w:p>
              </w:tc>
              <w:tc>
                <w:tcPr>
                  <w:tcW w:w="725"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23.148789</w:t>
                  </w:r>
                </w:p>
              </w:tc>
              <w:tc>
                <w:tcPr>
                  <w:tcW w:w="450"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村庄</w:t>
                  </w:r>
                </w:p>
              </w:tc>
              <w:tc>
                <w:tcPr>
                  <w:tcW w:w="469"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约</w:t>
                  </w:r>
                  <w:r>
                    <w:rPr>
                      <w:rFonts w:hint="eastAsia" w:ascii="Times New Roman" w:hAnsi="Times New Roman" w:eastAsia="宋体" w:cs="Times New Roman"/>
                      <w:color w:val="auto"/>
                      <w:sz w:val="21"/>
                      <w:szCs w:val="21"/>
                      <w:highlight w:val="none"/>
                      <w:lang w:val="en-US" w:eastAsia="zh-CN"/>
                    </w:rPr>
                    <w:t>200</w:t>
                  </w:r>
                  <w:r>
                    <w:rPr>
                      <w:rFonts w:hint="default" w:ascii="Times New Roman" w:hAnsi="Times New Roman" w:eastAsia="宋体" w:cs="Times New Roman"/>
                      <w:color w:val="auto"/>
                      <w:sz w:val="21"/>
                      <w:szCs w:val="21"/>
                      <w:highlight w:val="none"/>
                    </w:rPr>
                    <w:t>人</w:t>
                  </w:r>
                </w:p>
              </w:tc>
              <w:tc>
                <w:tcPr>
                  <w:tcW w:w="397" w:type="pct"/>
                  <w:vMerge w:val="continue"/>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p>
              </w:tc>
              <w:tc>
                <w:tcPr>
                  <w:tcW w:w="377" w:type="pct"/>
                  <w:noWrap w:val="0"/>
                  <w:vAlign w:val="center"/>
                </w:tcPr>
                <w:p>
                  <w:pPr>
                    <w:autoSpaceDE w:val="0"/>
                    <w:autoSpaceDN w:val="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东北面</w:t>
                  </w:r>
                </w:p>
              </w:tc>
              <w:tc>
                <w:tcPr>
                  <w:tcW w:w="445"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335</w:t>
                  </w:r>
                  <w:r>
                    <w:rPr>
                      <w:rFonts w:hint="default" w:ascii="Times New Roman" w:hAnsi="Times New Roman" w:eastAsia="宋体" w:cs="Times New Roman"/>
                      <w:color w:val="auto"/>
                      <w:sz w:val="21"/>
                      <w:szCs w:val="21"/>
                      <w:highlight w:val="none"/>
                    </w:rPr>
                    <w:t>m</w:t>
                  </w:r>
                </w:p>
              </w:tc>
              <w:tc>
                <w:tcPr>
                  <w:tcW w:w="454" w:type="pct"/>
                  <w:noWrap w:val="0"/>
                  <w:vAlign w:val="center"/>
                </w:tcPr>
                <w:p>
                  <w:pPr>
                    <w:autoSpaceDE w:val="0"/>
                    <w:autoSpaceDN w:val="0"/>
                    <w:jc w:val="center"/>
                    <w:textAlignment w:val="baseline"/>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381</w:t>
                  </w:r>
                  <w:r>
                    <w:rPr>
                      <w:rFonts w:hint="default" w:ascii="Times New Roman" w:hAnsi="Times New Roman" w:eastAsia="宋体" w:cs="Times New Roman"/>
                      <w:color w:val="auto"/>
                      <w:sz w:val="21"/>
                      <w:szCs w:val="21"/>
                      <w:highlight w:val="none"/>
                    </w:rPr>
                    <w:t>m</w:t>
                  </w:r>
                </w:p>
              </w:tc>
            </w:tr>
          </w:tbl>
          <w:p>
            <w:pPr>
              <w:widowControl/>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2.声环境：</w:t>
            </w:r>
            <w:r>
              <w:rPr>
                <w:rFonts w:hint="eastAsia" w:ascii="Times New Roman" w:hAnsi="Times New Roman" w:eastAsia="宋体" w:cs="Times New Roman"/>
                <w:bCs/>
                <w:color w:val="auto"/>
                <w:sz w:val="24"/>
                <w:szCs w:val="24"/>
                <w:highlight w:val="none"/>
                <w:lang w:eastAsia="zh-CN"/>
              </w:rPr>
              <w:t>本项目</w:t>
            </w:r>
            <w:r>
              <w:rPr>
                <w:rFonts w:hint="default" w:ascii="Times New Roman" w:hAnsi="Times New Roman" w:eastAsia="宋体" w:cs="Times New Roman"/>
                <w:color w:val="auto"/>
                <w:kern w:val="0"/>
                <w:sz w:val="24"/>
                <w:highlight w:val="none"/>
              </w:rPr>
              <w:t>厂界外50米范围内无声环境保护目标。</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color w:val="auto"/>
                <w:kern w:val="0"/>
                <w:sz w:val="24"/>
                <w:highlight w:val="none"/>
              </w:rPr>
              <w:t>3.地下水环境：</w:t>
            </w:r>
            <w:r>
              <w:rPr>
                <w:rFonts w:hint="eastAsia" w:ascii="Times New Roman" w:hAnsi="Times New Roman" w:eastAsia="宋体" w:cs="Times New Roman"/>
                <w:bCs/>
                <w:color w:val="auto"/>
                <w:sz w:val="24"/>
                <w:szCs w:val="24"/>
                <w:highlight w:val="none"/>
                <w:lang w:eastAsia="zh-CN"/>
              </w:rPr>
              <w:t>本项目</w:t>
            </w:r>
            <w:r>
              <w:rPr>
                <w:rFonts w:hint="default" w:ascii="Times New Roman" w:hAnsi="Times New Roman" w:eastAsia="宋体" w:cs="Times New Roman"/>
                <w:color w:val="auto"/>
                <w:kern w:val="0"/>
                <w:sz w:val="24"/>
                <w:highlight w:val="none"/>
              </w:rPr>
              <w:t>厂界500米范围内无地下水集中式饮用水水源和热水、矿泉水、温泉等特殊地下水资源。</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highlight w:val="none"/>
              </w:rPr>
              <w:t>4.生态环境：</w:t>
            </w:r>
            <w:r>
              <w:rPr>
                <w:rFonts w:hint="eastAsia" w:ascii="Times New Roman" w:hAnsi="Times New Roman" w:eastAsia="宋体" w:cs="Times New Roman"/>
                <w:bCs/>
                <w:color w:val="auto"/>
                <w:sz w:val="24"/>
                <w:szCs w:val="24"/>
                <w:highlight w:val="none"/>
                <w:lang w:eastAsia="zh-CN"/>
              </w:rPr>
              <w:t>本项目</w:t>
            </w:r>
            <w:r>
              <w:rPr>
                <w:rFonts w:hint="default" w:ascii="Times New Roman" w:hAnsi="Times New Roman" w:eastAsia="宋体" w:cs="Times New Roman"/>
                <w:color w:val="auto"/>
                <w:kern w:val="0"/>
                <w:sz w:val="24"/>
                <w:highlight w:val="none"/>
                <w:lang w:val="en-US" w:eastAsia="zh-CN"/>
              </w:rPr>
              <w:t>依托现有已建成厂房进行生产</w:t>
            </w:r>
            <w:r>
              <w:rPr>
                <w:rFonts w:hint="default"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eastAsia="zh-CN"/>
              </w:rPr>
              <w:t>本项目</w:t>
            </w:r>
            <w:r>
              <w:rPr>
                <w:rFonts w:hint="default" w:ascii="Times New Roman" w:hAnsi="Times New Roman" w:eastAsia="宋体" w:cs="Times New Roman"/>
                <w:color w:val="auto"/>
                <w:kern w:val="0"/>
                <w:sz w:val="24"/>
                <w:highlight w:val="none"/>
              </w:rPr>
              <w:t>不涉及生态环境保护目标。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2" w:hRule="atLeast"/>
          <w:jc w:val="center"/>
        </w:trPr>
        <w:tc>
          <w:tcPr>
            <w:tcW w:w="459" w:type="dxa"/>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污染</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物排</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放控</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制标</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准</w:t>
            </w:r>
          </w:p>
        </w:tc>
        <w:tc>
          <w:tcPr>
            <w:tcW w:w="8252" w:type="dxa"/>
            <w:noWrap w:val="0"/>
            <w:vAlign w:val="center"/>
          </w:tcPr>
          <w:p>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1、废水排放标准</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项目无生产废水产生。</w:t>
            </w:r>
          </w:p>
          <w:p>
            <w:pPr>
              <w:numPr>
                <w:ilvl w:val="0"/>
                <w:numId w:val="0"/>
              </w:numPr>
              <w:adjustRightInd w:val="0"/>
              <w:snapToGrid w:val="0"/>
              <w:spacing w:line="360" w:lineRule="auto"/>
              <w:ind w:firstLine="480" w:firstLineChars="200"/>
              <w:jc w:val="left"/>
              <w:rPr>
                <w:rFonts w:hint="default" w:ascii="Times New Roman" w:hAnsi="Times New Roman" w:eastAsia="宋体" w:cs="Times New Roman"/>
                <w:bCs/>
                <w:color w:val="auto"/>
                <w:sz w:val="24"/>
                <w:highlight w:val="none"/>
              </w:rPr>
            </w:pPr>
            <w:r>
              <w:rPr>
                <w:rFonts w:hint="eastAsia" w:ascii="Times New Roman" w:hAnsi="Times New Roman" w:eastAsia="宋体" w:cs="Times New Roman"/>
                <w:color w:val="auto"/>
                <w:sz w:val="24"/>
                <w:szCs w:val="24"/>
                <w:highlight w:val="none"/>
                <w:lang w:val="en-US" w:eastAsia="zh-CN"/>
              </w:rPr>
              <w:t>项目外排废水主要为员工生活污水，项目所在区域已经完成与</w:t>
            </w:r>
            <w:r>
              <w:rPr>
                <w:rFonts w:hint="eastAsia" w:cs="Times New Roman"/>
                <w:color w:val="auto"/>
                <w:sz w:val="24"/>
                <w:szCs w:val="24"/>
                <w:highlight w:val="none"/>
                <w:lang w:val="en-US" w:eastAsia="zh-CN"/>
              </w:rPr>
              <w:t>博罗县龙溪镇污水处理厂</w:t>
            </w:r>
            <w:r>
              <w:rPr>
                <w:rFonts w:hint="eastAsia" w:ascii="Times New Roman" w:hAnsi="Times New Roman" w:eastAsia="宋体" w:cs="Times New Roman"/>
                <w:color w:val="auto"/>
                <w:sz w:val="24"/>
                <w:szCs w:val="24"/>
                <w:highlight w:val="none"/>
                <w:lang w:val="en-US" w:eastAsia="zh-CN"/>
              </w:rPr>
              <w:t>截污管网的接驳工作，项目生活污水经三级化粪池预处理达到广东省地方标准《水污染物排放限值</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（DB44/26-2001）标准中第二时段的三级标准后排入</w:t>
            </w:r>
            <w:r>
              <w:rPr>
                <w:rFonts w:hint="eastAsia" w:cs="Times New Roman"/>
                <w:color w:val="auto"/>
                <w:sz w:val="24"/>
                <w:szCs w:val="24"/>
                <w:highlight w:val="none"/>
                <w:lang w:val="en-US" w:eastAsia="zh-CN"/>
              </w:rPr>
              <w:t>博罗县龙溪镇污水处理厂处理</w:t>
            </w:r>
            <w:r>
              <w:rPr>
                <w:rFonts w:hint="eastAsia" w:ascii="Times New Roman" w:hAnsi="Times New Roman" w:eastAsia="宋体" w:cs="Times New Roman"/>
                <w:color w:val="auto"/>
                <w:sz w:val="24"/>
                <w:szCs w:val="24"/>
                <w:highlight w:val="none"/>
                <w:lang w:val="en-US" w:eastAsia="zh-CN"/>
              </w:rPr>
              <w:t>，尾水氨氮、总磷执行地表Ⅴ类水标准，其他指标执行执行《城镇污水处理厂污染物排放标准》（GB18918-2002）一级标准的A类标准和广东省地方标准《水污染物排放限值》（DB44/26-2001）中第二时段一级标准中较严</w:t>
            </w:r>
            <w:r>
              <w:rPr>
                <w:rFonts w:hint="eastAsia" w:cs="Times New Roman"/>
                <w:color w:val="auto"/>
                <w:sz w:val="24"/>
                <w:szCs w:val="24"/>
                <w:highlight w:val="none"/>
                <w:lang w:val="en-US" w:eastAsia="zh-CN"/>
              </w:rPr>
              <w:t>值</w:t>
            </w:r>
            <w:r>
              <w:rPr>
                <w:rFonts w:hint="eastAsia" w:ascii="Times New Roman" w:hAnsi="Times New Roman" w:eastAsia="宋体" w:cs="Times New Roman"/>
                <w:color w:val="auto"/>
                <w:sz w:val="24"/>
                <w:szCs w:val="24"/>
                <w:highlight w:val="none"/>
                <w:lang w:val="en-US" w:eastAsia="zh-CN"/>
              </w:rPr>
              <w:t>，具体数据见下表</w:t>
            </w:r>
            <w:r>
              <w:rPr>
                <w:rFonts w:hint="default" w:ascii="Times New Roman" w:hAnsi="Times New Roman" w:eastAsia="宋体" w:cs="Times New Roman"/>
                <w:bCs/>
                <w:color w:val="auto"/>
                <w:sz w:val="24"/>
                <w:highlight w:val="none"/>
              </w:rPr>
              <w:t>。</w:t>
            </w:r>
          </w:p>
          <w:p>
            <w:pPr>
              <w:autoSpaceDE w:val="0"/>
              <w:autoSpaceDN w:val="0"/>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表3-</w:t>
            </w:r>
            <w:r>
              <w:rPr>
                <w:rFonts w:hint="eastAsia" w:ascii="Times New Roman" w:hAnsi="Times New Roman" w:eastAsia="宋体" w:cs="Times New Roman"/>
                <w:b/>
                <w:color w:val="auto"/>
                <w:szCs w:val="21"/>
                <w:highlight w:val="none"/>
                <w:lang w:val="en-US" w:eastAsia="zh-CN"/>
              </w:rPr>
              <w:t>6</w:t>
            </w:r>
            <w:r>
              <w:rPr>
                <w:rFonts w:hint="eastAsia"/>
                <w:b/>
                <w:color w:val="auto"/>
                <w:kern w:val="2"/>
                <w:sz w:val="21"/>
                <w:szCs w:val="21"/>
                <w:highlight w:val="none"/>
                <w:lang w:val="en-US" w:eastAsia="zh-CN" w:bidi="ar-SA"/>
              </w:rPr>
              <w:t>博罗县龙溪镇污水处理厂</w:t>
            </w:r>
            <w:r>
              <w:rPr>
                <w:rFonts w:hint="eastAsia" w:cs="Times New Roman"/>
                <w:b/>
                <w:color w:val="auto"/>
                <w:kern w:val="2"/>
                <w:sz w:val="21"/>
                <w:szCs w:val="21"/>
                <w:highlight w:val="none"/>
                <w:lang w:val="en-US" w:eastAsia="zh-CN" w:bidi="ar-SA"/>
              </w:rPr>
              <w:t>处理</w:t>
            </w:r>
            <w:r>
              <w:rPr>
                <w:rFonts w:hint="eastAsia" w:ascii="Times New Roman" w:hAnsi="Times New Roman" w:eastAsia="宋体" w:cs="Times New Roman"/>
                <w:b/>
                <w:color w:val="auto"/>
                <w:kern w:val="2"/>
                <w:sz w:val="21"/>
                <w:szCs w:val="21"/>
                <w:highlight w:val="none"/>
                <w:lang w:val="en-US" w:eastAsia="zh-CN" w:bidi="ar-SA"/>
              </w:rPr>
              <w:t>接管标准和出水指标</w:t>
            </w:r>
          </w:p>
          <w:tbl>
            <w:tblPr>
              <w:tblStyle w:val="24"/>
              <w:tblW w:w="80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14"/>
              <w:gridCol w:w="1335"/>
              <w:gridCol w:w="938"/>
              <w:gridCol w:w="616"/>
              <w:gridCol w:w="750"/>
              <w:gridCol w:w="9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atLeast"/>
                <w:jc w:val="center"/>
              </w:trPr>
              <w:tc>
                <w:tcPr>
                  <w:tcW w:w="3414"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246" w:firstLine="0" w:firstLineChars="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执行标准</w:t>
                  </w:r>
                </w:p>
              </w:tc>
              <w:tc>
                <w:tcPr>
                  <w:tcW w:w="133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firstLine="0" w:firstLineChars="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CODcr</w:t>
                  </w:r>
                </w:p>
              </w:tc>
              <w:tc>
                <w:tcPr>
                  <w:tcW w:w="938"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firstLine="0" w:firstLineChars="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position w:val="2"/>
                      <w:sz w:val="21"/>
                      <w:highlight w:val="none"/>
                    </w:rPr>
                    <w:t>BOD</w:t>
                  </w:r>
                  <w:r>
                    <w:rPr>
                      <w:rFonts w:hint="default" w:ascii="Times New Roman" w:hAnsi="Times New Roman" w:cs="Times New Roman"/>
                      <w:b/>
                      <w:color w:val="auto"/>
                      <w:position w:val="2"/>
                      <w:sz w:val="21"/>
                      <w:highlight w:val="none"/>
                      <w:vertAlign w:val="subscript"/>
                    </w:rPr>
                    <w:t>5</w:t>
                  </w:r>
                </w:p>
              </w:tc>
              <w:tc>
                <w:tcPr>
                  <w:tcW w:w="616"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leftChars="0" w:right="0" w:firstLine="0" w:firstLineChars="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w w:val="95"/>
                      <w:sz w:val="21"/>
                      <w:highlight w:val="none"/>
                    </w:rPr>
                    <w:t>SS</w:t>
                  </w:r>
                </w:p>
              </w:tc>
              <w:tc>
                <w:tcPr>
                  <w:tcW w:w="750"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氨氮</w:t>
                  </w:r>
                </w:p>
              </w:tc>
              <w:tc>
                <w:tcPr>
                  <w:tcW w:w="98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总磷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6" w:hRule="atLeast"/>
                <w:jc w:val="center"/>
              </w:trPr>
              <w:tc>
                <w:tcPr>
                  <w:tcW w:w="3414"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255" w:right="25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《水污染物排放限值》（DB44/26-2001）第二时段三级标准</w:t>
                  </w:r>
                </w:p>
              </w:tc>
              <w:tc>
                <w:tcPr>
                  <w:tcW w:w="133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500</w:t>
                  </w:r>
                </w:p>
              </w:tc>
              <w:tc>
                <w:tcPr>
                  <w:tcW w:w="938"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300</w:t>
                  </w:r>
                </w:p>
              </w:tc>
              <w:tc>
                <w:tcPr>
                  <w:tcW w:w="616"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400</w:t>
                  </w:r>
                </w:p>
              </w:tc>
              <w:tc>
                <w:tcPr>
                  <w:tcW w:w="750"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w w:val="99"/>
                      <w:sz w:val="21"/>
                      <w:highlight w:val="none"/>
                    </w:rPr>
                    <w:t>—</w:t>
                  </w:r>
                </w:p>
              </w:tc>
              <w:tc>
                <w:tcPr>
                  <w:tcW w:w="98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w w:val="99"/>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jc w:val="center"/>
              </w:trPr>
              <w:tc>
                <w:tcPr>
                  <w:tcW w:w="3414"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255" w:right="25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《水污染物排放限值》（DB44/26-2001）第二时段一级标准</w:t>
                  </w:r>
                </w:p>
              </w:tc>
              <w:tc>
                <w:tcPr>
                  <w:tcW w:w="133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90</w:t>
                  </w:r>
                </w:p>
              </w:tc>
              <w:tc>
                <w:tcPr>
                  <w:tcW w:w="938"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w:t>
                  </w:r>
                </w:p>
              </w:tc>
              <w:tc>
                <w:tcPr>
                  <w:tcW w:w="616"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60</w:t>
                  </w:r>
                </w:p>
              </w:tc>
              <w:tc>
                <w:tcPr>
                  <w:tcW w:w="750"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c>
                <w:tcPr>
                  <w:tcW w:w="98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w w:val="99"/>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3414"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255" w:right="25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《城镇污水处理厂污染物排放标准》(GB18918-2002）一级A标准</w:t>
                  </w:r>
                </w:p>
              </w:tc>
              <w:tc>
                <w:tcPr>
                  <w:tcW w:w="133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50</w:t>
                  </w:r>
                </w:p>
              </w:tc>
              <w:tc>
                <w:tcPr>
                  <w:tcW w:w="938"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c>
                <w:tcPr>
                  <w:tcW w:w="616"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c>
                <w:tcPr>
                  <w:tcW w:w="750"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w w:val="99"/>
                      <w:sz w:val="21"/>
                      <w:highlight w:val="none"/>
                    </w:rPr>
                    <w:t>5</w:t>
                  </w:r>
                </w:p>
              </w:tc>
              <w:tc>
                <w:tcPr>
                  <w:tcW w:w="98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1" w:hRule="atLeast"/>
                <w:jc w:val="center"/>
              </w:trPr>
              <w:tc>
                <w:tcPr>
                  <w:tcW w:w="3414"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255" w:right="25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《水污染物排放限值》（DB44/26-2001）第二时段一级标准(城镇</w:t>
                  </w:r>
                  <w:r>
                    <w:rPr>
                      <w:rFonts w:hint="default" w:ascii="Times New Roman" w:hAnsi="Times New Roman" w:cs="Times New Roman"/>
                      <w:color w:val="auto"/>
                      <w:sz w:val="21"/>
                      <w:highlight w:val="none"/>
                      <w:lang w:val="en-US" w:eastAsia="zh-CN"/>
                    </w:rPr>
                    <w:t>二</w:t>
                  </w:r>
                  <w:r>
                    <w:rPr>
                      <w:rFonts w:hint="default" w:ascii="Times New Roman" w:hAnsi="Times New Roman" w:cs="Times New Roman"/>
                      <w:color w:val="auto"/>
                      <w:sz w:val="21"/>
                      <w:highlight w:val="none"/>
                    </w:rPr>
                    <w:t>级污水处理厂）</w:t>
                  </w:r>
                </w:p>
              </w:tc>
              <w:tc>
                <w:tcPr>
                  <w:tcW w:w="133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40</w:t>
                  </w:r>
                </w:p>
              </w:tc>
              <w:tc>
                <w:tcPr>
                  <w:tcW w:w="938"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w:t>
                  </w:r>
                </w:p>
              </w:tc>
              <w:tc>
                <w:tcPr>
                  <w:tcW w:w="616"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20</w:t>
                  </w:r>
                </w:p>
              </w:tc>
              <w:tc>
                <w:tcPr>
                  <w:tcW w:w="750"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c>
                <w:tcPr>
                  <w:tcW w:w="98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w w:val="99"/>
                      <w:sz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jc w:val="center"/>
              </w:trPr>
              <w:tc>
                <w:tcPr>
                  <w:tcW w:w="3414"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255" w:right="243"/>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《地表水环境质量标准》</w:t>
                  </w:r>
                  <w:r>
                    <w:rPr>
                      <w:rFonts w:hint="default" w:ascii="Times New Roman" w:hAnsi="Times New Roman" w:eastAsia="Times New Roman" w:cs="Times New Roman"/>
                      <w:color w:val="auto"/>
                      <w:sz w:val="21"/>
                      <w:highlight w:val="none"/>
                    </w:rPr>
                    <w:t>(GB3838-2002</w:t>
                  </w:r>
                  <w:r>
                    <w:rPr>
                      <w:rFonts w:hint="default" w:ascii="Times New Roman" w:hAnsi="Times New Roman" w:cs="Times New Roman"/>
                      <w:color w:val="auto"/>
                      <w:sz w:val="21"/>
                      <w:highlight w:val="none"/>
                    </w:rPr>
                    <w:t>）中的</w:t>
                  </w:r>
                  <w:r>
                    <w:rPr>
                      <w:rFonts w:hint="default" w:ascii="Times New Roman" w:hAnsi="Times New Roman" w:eastAsia="Times New Roman" w:cs="Times New Roman"/>
                      <w:color w:val="auto"/>
                      <w:sz w:val="21"/>
                      <w:highlight w:val="none"/>
                    </w:rPr>
                    <w:t>V</w:t>
                  </w:r>
                  <w:r>
                    <w:rPr>
                      <w:rFonts w:hint="default" w:ascii="Times New Roman" w:hAnsi="Times New Roman" w:cs="Times New Roman"/>
                      <w:color w:val="auto"/>
                      <w:sz w:val="21"/>
                      <w:highlight w:val="none"/>
                    </w:rPr>
                    <w:t>类水标准</w:t>
                  </w:r>
                </w:p>
              </w:tc>
              <w:tc>
                <w:tcPr>
                  <w:tcW w:w="133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40</w:t>
                  </w:r>
                </w:p>
              </w:tc>
              <w:tc>
                <w:tcPr>
                  <w:tcW w:w="938"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c>
                <w:tcPr>
                  <w:tcW w:w="616"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w w:val="99"/>
                      <w:sz w:val="21"/>
                      <w:highlight w:val="none"/>
                    </w:rPr>
                    <w:t>/</w:t>
                  </w:r>
                </w:p>
              </w:tc>
              <w:tc>
                <w:tcPr>
                  <w:tcW w:w="750"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w w:val="99"/>
                      <w:sz w:val="21"/>
                      <w:highlight w:val="none"/>
                    </w:rPr>
                    <w:t>2</w:t>
                  </w:r>
                </w:p>
              </w:tc>
              <w:tc>
                <w:tcPr>
                  <w:tcW w:w="98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8" w:hRule="atLeast"/>
                <w:jc w:val="center"/>
              </w:trPr>
              <w:tc>
                <w:tcPr>
                  <w:tcW w:w="3414"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255" w:right="243"/>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污水处理厂出水水质</w:t>
                  </w:r>
                </w:p>
              </w:tc>
              <w:tc>
                <w:tcPr>
                  <w:tcW w:w="133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40</w:t>
                  </w:r>
                </w:p>
              </w:tc>
              <w:tc>
                <w:tcPr>
                  <w:tcW w:w="938"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10</w:t>
                  </w:r>
                </w:p>
              </w:tc>
              <w:tc>
                <w:tcPr>
                  <w:tcW w:w="616"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10</w:t>
                  </w:r>
                </w:p>
              </w:tc>
              <w:tc>
                <w:tcPr>
                  <w:tcW w:w="750"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w w:val="99"/>
                      <w:sz w:val="21"/>
                      <w:highlight w:val="none"/>
                    </w:rPr>
                    <w:t>2</w:t>
                  </w:r>
                </w:p>
              </w:tc>
              <w:tc>
                <w:tcPr>
                  <w:tcW w:w="985" w:type="dxa"/>
                  <w:vAlign w:val="center"/>
                </w:tcPr>
                <w:p>
                  <w:pPr>
                    <w:pStyle w:val="34"/>
                    <w:keepNext w:val="0"/>
                    <w:keepLines w:val="0"/>
                    <w:pageBreakBefore w:val="0"/>
                    <w:widowControl w:val="0"/>
                    <w:kinsoku/>
                    <w:wordWrap/>
                    <w:overflowPunct/>
                    <w:topLinePunct w:val="0"/>
                    <w:autoSpaceDE w:val="0"/>
                    <w:autoSpaceDN w:val="0"/>
                    <w:bidi w:val="0"/>
                    <w:adjustRightInd w:val="0"/>
                    <w:snapToGrid w:val="0"/>
                    <w:spacing w:before="0" w:line="240" w:lineRule="auto"/>
                    <w:ind w:left="0" w:right="0"/>
                    <w:jc w:val="center"/>
                    <w:textAlignment w:val="auto"/>
                    <w:outlineLvl w:val="9"/>
                    <w:rPr>
                      <w:rFonts w:hint="default" w:ascii="Times New Roman" w:hAnsi="Times New Roman" w:cs="Times New Roman"/>
                      <w:b/>
                      <w:color w:val="auto"/>
                      <w:sz w:val="21"/>
                      <w:highlight w:val="none"/>
                    </w:rPr>
                  </w:pPr>
                  <w:r>
                    <w:rPr>
                      <w:rFonts w:hint="default" w:ascii="Times New Roman" w:hAnsi="Times New Roman" w:cs="Times New Roman"/>
                      <w:b/>
                      <w:color w:val="auto"/>
                      <w:sz w:val="21"/>
                      <w:highlight w:val="none"/>
                    </w:rPr>
                    <w:t>0.4</w:t>
                  </w:r>
                </w:p>
              </w:tc>
            </w:tr>
          </w:tbl>
          <w:p>
            <w:pPr>
              <w:adjustRightInd w:val="0"/>
              <w:snapToGrid w:val="0"/>
              <w:spacing w:line="360" w:lineRule="auto"/>
              <w:ind w:firstLine="482"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1"/>
                <w:highlight w:val="none"/>
              </w:rPr>
              <w:t>2、废气排放标准</w:t>
            </w:r>
          </w:p>
          <w:p>
            <w:pPr>
              <w:widowControl/>
              <w:autoSpaceDE w:val="0"/>
              <w:autoSpaceDN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注塑产产生的</w:t>
            </w:r>
            <w:r>
              <w:rPr>
                <w:rFonts w:hint="default" w:ascii="Times New Roman" w:hAnsi="Times New Roman" w:eastAsia="宋体" w:cs="Times New Roman"/>
                <w:color w:val="auto"/>
                <w:sz w:val="24"/>
                <w:highlight w:val="none"/>
                <w:lang w:val="en-US" w:eastAsia="zh-CN"/>
              </w:rPr>
              <w:t>非甲烷总烃执行</w:t>
            </w:r>
            <w:r>
              <w:rPr>
                <w:rFonts w:hint="default" w:ascii="Times New Roman" w:hAnsi="Times New Roman" w:eastAsia="宋体" w:cs="Times New Roman"/>
                <w:color w:val="auto"/>
                <w:sz w:val="24"/>
                <w:highlight w:val="none"/>
              </w:rPr>
              <w:t>《合成树脂工业污染物排放标准》（GB31572-2015）表5大气污染物特别排放限值及表9企业边界大气污染物浓度限值；</w:t>
            </w:r>
          </w:p>
          <w:p>
            <w:pPr>
              <w:widowControl/>
              <w:adjustRightInd w:val="0"/>
              <w:snapToGrid w:val="0"/>
              <w:spacing w:line="240" w:lineRule="auto"/>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eastAsia="zh-CN"/>
              </w:rPr>
              <w:t>表</w:t>
            </w:r>
            <w:r>
              <w:rPr>
                <w:rFonts w:hint="default" w:ascii="Times New Roman" w:hAnsi="Times New Roman" w:eastAsia="宋体" w:cs="Times New Roman"/>
                <w:b/>
                <w:bCs/>
                <w:color w:val="auto"/>
                <w:szCs w:val="21"/>
                <w:highlight w:val="none"/>
                <w:lang w:val="en-US" w:eastAsia="zh-CN"/>
              </w:rPr>
              <w:t>3-</w:t>
            </w:r>
            <w:r>
              <w:rPr>
                <w:rFonts w:hint="eastAsia" w:ascii="Times New Roman" w:hAnsi="Times New Roman" w:eastAsia="宋体" w:cs="Times New Roman"/>
                <w:b/>
                <w:bCs/>
                <w:color w:val="auto"/>
                <w:szCs w:val="21"/>
                <w:highlight w:val="none"/>
                <w:lang w:val="en-US" w:eastAsia="zh-CN"/>
              </w:rPr>
              <w:t>7</w:t>
            </w:r>
            <w:r>
              <w:rPr>
                <w:rFonts w:hint="default" w:ascii="Times New Roman" w:hAnsi="Times New Roman" w:eastAsia="宋体" w:cs="Times New Roman"/>
                <w:b/>
                <w:bCs/>
                <w:color w:val="auto"/>
                <w:szCs w:val="21"/>
                <w:highlight w:val="none"/>
                <w:lang w:val="en-US" w:eastAsia="zh-CN"/>
              </w:rPr>
              <w:t>《合成树脂工业大气污染物排放标准》</w:t>
            </w:r>
          </w:p>
          <w:tbl>
            <w:tblPr>
              <w:tblStyle w:val="25"/>
              <w:tblW w:w="8078"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801"/>
              <w:gridCol w:w="2587"/>
              <w:gridCol w:w="2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327" w:type="dxa"/>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Cs w:val="21"/>
                      <w:highlight w:val="none"/>
                      <w:vertAlign w:val="baseline"/>
                      <w:lang w:eastAsia="zh-CN"/>
                    </w:rPr>
                  </w:pPr>
                  <w:r>
                    <w:rPr>
                      <w:rFonts w:hint="default" w:ascii="Times New Roman" w:hAnsi="Times New Roman" w:eastAsia="宋体" w:cs="Times New Roman"/>
                      <w:b/>
                      <w:bCs/>
                      <w:color w:val="auto"/>
                      <w:szCs w:val="21"/>
                      <w:highlight w:val="none"/>
                      <w:vertAlign w:val="baseline"/>
                      <w:lang w:eastAsia="zh-CN"/>
                    </w:rPr>
                    <w:t>污染物项目</w:t>
                  </w:r>
                </w:p>
              </w:tc>
              <w:tc>
                <w:tcPr>
                  <w:tcW w:w="1801" w:type="dxa"/>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Cs w:val="21"/>
                      <w:highlight w:val="none"/>
                      <w:vertAlign w:val="baseline"/>
                      <w:lang w:eastAsia="zh-CN"/>
                    </w:rPr>
                  </w:pPr>
                  <w:r>
                    <w:rPr>
                      <w:rFonts w:hint="default" w:ascii="Times New Roman" w:hAnsi="Times New Roman" w:eastAsia="宋体" w:cs="Times New Roman"/>
                      <w:b/>
                      <w:bCs/>
                      <w:color w:val="auto"/>
                      <w:szCs w:val="21"/>
                      <w:highlight w:val="none"/>
                      <w:vertAlign w:val="baseline"/>
                      <w:lang w:eastAsia="zh-CN"/>
                    </w:rPr>
                    <w:t>排气筒高度（</w:t>
                  </w:r>
                  <w:r>
                    <w:rPr>
                      <w:rFonts w:hint="default" w:ascii="Times New Roman" w:hAnsi="Times New Roman" w:eastAsia="宋体" w:cs="Times New Roman"/>
                      <w:b/>
                      <w:bCs/>
                      <w:color w:val="auto"/>
                      <w:szCs w:val="21"/>
                      <w:highlight w:val="none"/>
                      <w:vertAlign w:val="baseline"/>
                      <w:lang w:val="en-US" w:eastAsia="zh-CN"/>
                    </w:rPr>
                    <w:t>m</w:t>
                  </w:r>
                  <w:r>
                    <w:rPr>
                      <w:rFonts w:hint="default" w:ascii="Times New Roman" w:hAnsi="Times New Roman" w:eastAsia="宋体" w:cs="Times New Roman"/>
                      <w:b/>
                      <w:bCs/>
                      <w:color w:val="auto"/>
                      <w:szCs w:val="21"/>
                      <w:highlight w:val="none"/>
                      <w:vertAlign w:val="baseline"/>
                      <w:lang w:eastAsia="zh-CN"/>
                    </w:rPr>
                    <w:t>）</w:t>
                  </w:r>
                </w:p>
              </w:tc>
              <w:tc>
                <w:tcPr>
                  <w:tcW w:w="2587" w:type="dxa"/>
                  <w:noWrap w:val="0"/>
                  <w:vAlign w:val="center"/>
                </w:tcPr>
                <w:p>
                  <w:pPr>
                    <w:widowControl/>
                    <w:adjustRightInd w:val="0"/>
                    <w:snapToGrid w:val="0"/>
                    <w:spacing w:line="240" w:lineRule="auto"/>
                    <w:jc w:val="center"/>
                    <w:rPr>
                      <w:rFonts w:hint="default" w:ascii="Times New Roman" w:hAnsi="Times New Roman" w:eastAsia="宋体" w:cs="Times New Roman"/>
                      <w:b/>
                      <w:bCs/>
                      <w:color w:val="auto"/>
                      <w:szCs w:val="21"/>
                      <w:highlight w:val="none"/>
                      <w:vertAlign w:val="baseline"/>
                    </w:rPr>
                  </w:pPr>
                  <w:r>
                    <w:rPr>
                      <w:rFonts w:hint="default" w:ascii="Times New Roman" w:hAnsi="Times New Roman" w:eastAsia="宋体" w:cs="Times New Roman"/>
                      <w:b/>
                      <w:bCs/>
                      <w:color w:val="auto"/>
                      <w:szCs w:val="21"/>
                      <w:highlight w:val="none"/>
                      <w:vertAlign w:val="baseline"/>
                    </w:rPr>
                    <w:t>特别排放限值（mg/m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vertAlign w:val="baseline"/>
                    </w:rPr>
                    <w:t>）</w:t>
                  </w:r>
                </w:p>
              </w:tc>
              <w:tc>
                <w:tcPr>
                  <w:tcW w:w="2363" w:type="dxa"/>
                  <w:noWrap w:val="0"/>
                  <w:vAlign w:val="center"/>
                </w:tcPr>
                <w:p>
                  <w:pPr>
                    <w:widowControl/>
                    <w:adjustRightInd w:val="0"/>
                    <w:snapToGrid w:val="0"/>
                    <w:spacing w:line="240" w:lineRule="auto"/>
                    <w:jc w:val="both"/>
                    <w:rPr>
                      <w:rFonts w:hint="default" w:ascii="Times New Roman" w:hAnsi="Times New Roman" w:eastAsia="宋体" w:cs="Times New Roman"/>
                      <w:b/>
                      <w:bCs/>
                      <w:color w:val="auto"/>
                      <w:szCs w:val="21"/>
                      <w:highlight w:val="none"/>
                      <w:vertAlign w:val="baseline"/>
                    </w:rPr>
                  </w:pPr>
                  <w:r>
                    <w:rPr>
                      <w:rFonts w:hint="default" w:ascii="Times New Roman" w:hAnsi="Times New Roman" w:eastAsia="宋体" w:cs="Times New Roman"/>
                      <w:b/>
                      <w:bCs/>
                      <w:color w:val="auto"/>
                      <w:szCs w:val="21"/>
                      <w:highlight w:val="none"/>
                      <w:vertAlign w:val="baseline"/>
                    </w:rPr>
                    <w:t>无组织放限值（mg/m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vertAlign w:val="baseli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27" w:type="dxa"/>
                  <w:noWrap w:val="0"/>
                  <w:vAlign w:val="center"/>
                </w:tcPr>
                <w:p>
                  <w:pPr>
                    <w:widowControl/>
                    <w:adjustRightInd w:val="0"/>
                    <w:snapToGrid w:val="0"/>
                    <w:spacing w:line="240" w:lineRule="auto"/>
                    <w:jc w:val="center"/>
                    <w:rPr>
                      <w:rFonts w:hint="default" w:ascii="Times New Roman" w:hAnsi="Times New Roman" w:eastAsia="宋体" w:cs="Times New Roman"/>
                      <w:b w:val="0"/>
                      <w:bCs w:val="0"/>
                      <w:color w:val="auto"/>
                      <w:szCs w:val="21"/>
                      <w:highlight w:val="none"/>
                      <w:vertAlign w:val="baseline"/>
                    </w:rPr>
                  </w:pPr>
                  <w:r>
                    <w:rPr>
                      <w:rFonts w:hint="default" w:ascii="Times New Roman" w:hAnsi="Times New Roman" w:eastAsia="宋体" w:cs="Times New Roman"/>
                      <w:b w:val="0"/>
                      <w:bCs w:val="0"/>
                      <w:color w:val="auto"/>
                      <w:szCs w:val="21"/>
                      <w:highlight w:val="none"/>
                      <w:vertAlign w:val="baseline"/>
                    </w:rPr>
                    <w:t>非甲烷总烃</w:t>
                  </w:r>
                </w:p>
              </w:tc>
              <w:tc>
                <w:tcPr>
                  <w:tcW w:w="1801" w:type="dxa"/>
                  <w:noWrap w:val="0"/>
                  <w:vAlign w:val="center"/>
                </w:tcPr>
                <w:p>
                  <w:pPr>
                    <w:widowControl/>
                    <w:adjustRightInd w:val="0"/>
                    <w:snapToGrid w:val="0"/>
                    <w:spacing w:line="240" w:lineRule="auto"/>
                    <w:jc w:val="center"/>
                    <w:rPr>
                      <w:rFonts w:hint="default" w:ascii="Times New Roman" w:hAnsi="Times New Roman" w:eastAsia="宋体" w:cs="Times New Roman"/>
                      <w:b w:val="0"/>
                      <w:bCs w:val="0"/>
                      <w:color w:val="auto"/>
                      <w:szCs w:val="21"/>
                      <w:highlight w:val="none"/>
                      <w:vertAlign w:val="baseline"/>
                      <w:lang w:val="en-US" w:eastAsia="zh-CN"/>
                    </w:rPr>
                  </w:pPr>
                  <w:r>
                    <w:rPr>
                      <w:rFonts w:hint="default" w:ascii="Times New Roman" w:hAnsi="Times New Roman" w:eastAsia="宋体" w:cs="Times New Roman"/>
                      <w:b w:val="0"/>
                      <w:bCs w:val="0"/>
                      <w:color w:val="auto"/>
                      <w:szCs w:val="21"/>
                      <w:highlight w:val="none"/>
                      <w:vertAlign w:val="baseline"/>
                      <w:lang w:val="en-US" w:eastAsia="zh-CN"/>
                    </w:rPr>
                    <w:t>15</w:t>
                  </w:r>
                </w:p>
              </w:tc>
              <w:tc>
                <w:tcPr>
                  <w:tcW w:w="2587" w:type="dxa"/>
                  <w:noWrap w:val="0"/>
                  <w:vAlign w:val="center"/>
                </w:tcPr>
                <w:p>
                  <w:pPr>
                    <w:widowControl/>
                    <w:adjustRightInd w:val="0"/>
                    <w:snapToGrid w:val="0"/>
                    <w:spacing w:line="240" w:lineRule="auto"/>
                    <w:jc w:val="center"/>
                    <w:rPr>
                      <w:rFonts w:hint="default" w:ascii="Times New Roman" w:hAnsi="Times New Roman" w:eastAsia="宋体" w:cs="Times New Roman"/>
                      <w:b w:val="0"/>
                      <w:bCs w:val="0"/>
                      <w:color w:val="auto"/>
                      <w:szCs w:val="21"/>
                      <w:highlight w:val="none"/>
                      <w:vertAlign w:val="baseline"/>
                      <w:lang w:val="en-US" w:eastAsia="zh-CN"/>
                    </w:rPr>
                  </w:pPr>
                  <w:r>
                    <w:rPr>
                      <w:rFonts w:hint="default" w:ascii="Times New Roman" w:hAnsi="Times New Roman" w:eastAsia="宋体" w:cs="Times New Roman"/>
                      <w:b w:val="0"/>
                      <w:bCs w:val="0"/>
                      <w:color w:val="auto"/>
                      <w:szCs w:val="21"/>
                      <w:highlight w:val="none"/>
                      <w:vertAlign w:val="baseline"/>
                      <w:lang w:val="en-US" w:eastAsia="zh-CN"/>
                    </w:rPr>
                    <w:t>60</w:t>
                  </w:r>
                </w:p>
              </w:tc>
              <w:tc>
                <w:tcPr>
                  <w:tcW w:w="2363" w:type="dxa"/>
                  <w:noWrap w:val="0"/>
                  <w:vAlign w:val="center"/>
                </w:tcPr>
                <w:p>
                  <w:pPr>
                    <w:widowControl/>
                    <w:adjustRightInd w:val="0"/>
                    <w:snapToGrid w:val="0"/>
                    <w:spacing w:line="240" w:lineRule="auto"/>
                    <w:jc w:val="center"/>
                    <w:rPr>
                      <w:rFonts w:hint="default" w:ascii="Times New Roman" w:hAnsi="Times New Roman" w:eastAsia="宋体" w:cs="Times New Roman"/>
                      <w:b w:val="0"/>
                      <w:bCs w:val="0"/>
                      <w:color w:val="auto"/>
                      <w:szCs w:val="21"/>
                      <w:highlight w:val="none"/>
                      <w:vertAlign w:val="baseline"/>
                      <w:lang w:val="en-US" w:eastAsia="zh-CN"/>
                    </w:rPr>
                  </w:pPr>
                  <w:r>
                    <w:rPr>
                      <w:rFonts w:hint="default" w:ascii="Times New Roman" w:hAnsi="Times New Roman" w:eastAsia="宋体" w:cs="Times New Roman"/>
                      <w:b w:val="0"/>
                      <w:bCs w:val="0"/>
                      <w:color w:val="auto"/>
                      <w:szCs w:val="21"/>
                      <w:highlight w:val="none"/>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8078" w:type="dxa"/>
                  <w:gridSpan w:val="4"/>
                  <w:noWrap w:val="0"/>
                  <w:vAlign w:val="center"/>
                </w:tcPr>
                <w:p>
                  <w:pPr>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注：（2）有机硅树脂采用单位产品氯化氢排放量（0.1kg/t产品）。</w:t>
                  </w:r>
                </w:p>
              </w:tc>
            </w:tr>
          </w:tbl>
          <w:p>
            <w:pPr>
              <w:keepNext w:val="0"/>
              <w:pageBreakBefore w:val="0"/>
              <w:widowControl/>
              <w:kinsoku/>
              <w:bidi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厂区内无组织排放VOCs应参</w:t>
            </w:r>
            <w:r>
              <w:rPr>
                <w:rFonts w:hint="default" w:ascii="Times New Roman" w:hAnsi="Times New Roman" w:eastAsia="宋体" w:cs="Times New Roman"/>
                <w:color w:val="auto"/>
                <w:kern w:val="2"/>
                <w:sz w:val="24"/>
                <w:szCs w:val="24"/>
                <w:highlight w:val="none"/>
                <w:lang w:val="en-US" w:eastAsia="zh-CN" w:bidi="ar-SA"/>
              </w:rPr>
              <w:t>照</w:t>
            </w:r>
            <w:r>
              <w:rPr>
                <w:rFonts w:hint="default" w:ascii="Times New Roman" w:hAnsi="Times New Roman" w:eastAsia="宋体" w:cs="Times New Roman"/>
                <w:color w:val="auto"/>
                <w:sz w:val="24"/>
                <w:szCs w:val="24"/>
                <w:highlight w:val="none"/>
                <w:lang w:eastAsia="zh-CN"/>
              </w:rPr>
              <w:t>广东省《固定污染源挥发性有机物综合排放标准》（</w:t>
            </w:r>
            <w:r>
              <w:rPr>
                <w:rFonts w:hint="default" w:ascii="Times New Roman" w:hAnsi="Times New Roman" w:eastAsia="宋体" w:cs="Times New Roman"/>
                <w:color w:val="auto"/>
                <w:sz w:val="24"/>
                <w:szCs w:val="24"/>
                <w:highlight w:val="none"/>
                <w:lang w:val="en-US" w:eastAsia="zh-CN"/>
              </w:rPr>
              <w:t>DB44/2367-2022</w:t>
            </w:r>
            <w:r>
              <w:rPr>
                <w:rFonts w:hint="default" w:ascii="Times New Roman" w:hAnsi="Times New Roman" w:eastAsia="宋体" w:cs="Times New Roman"/>
                <w:color w:val="auto"/>
                <w:sz w:val="24"/>
                <w:szCs w:val="24"/>
                <w:highlight w:val="none"/>
                <w:lang w:eastAsia="zh-CN"/>
              </w:rPr>
              <w:t>）中表</w:t>
            </w:r>
            <w:r>
              <w:rPr>
                <w:rFonts w:hint="default" w:ascii="Times New Roman" w:hAnsi="Times New Roman" w:eastAsia="宋体" w:cs="Times New Roman"/>
                <w:color w:val="auto"/>
                <w:sz w:val="24"/>
                <w:szCs w:val="24"/>
                <w:highlight w:val="none"/>
                <w:lang w:val="en-US" w:eastAsia="zh-CN"/>
              </w:rPr>
              <w:t>3厂区内VOCs无组织排放限值</w:t>
            </w:r>
            <w:r>
              <w:rPr>
                <w:rFonts w:hint="default" w:ascii="Times New Roman" w:hAnsi="Times New Roman" w:eastAsia="宋体" w:cs="Times New Roman"/>
                <w:color w:val="auto"/>
                <w:kern w:val="2"/>
                <w:sz w:val="24"/>
                <w:szCs w:val="24"/>
                <w:highlight w:val="none"/>
                <w:lang w:val="en-US" w:eastAsia="zh-CN" w:bidi="ar-SA"/>
              </w:rPr>
              <w:t>要求：</w:t>
            </w:r>
          </w:p>
          <w:p>
            <w:pPr>
              <w:ind w:firstLine="422" w:firstLineChars="200"/>
              <w:jc w:val="center"/>
              <w:rPr>
                <w:rFonts w:hint="default" w:ascii="Times New Roman" w:hAnsi="Times New Roman" w:eastAsia="宋体" w:cs="Times New Roman"/>
                <w:b/>
                <w:bCs/>
                <w:color w:val="auto"/>
                <w:kern w:val="2"/>
                <w:sz w:val="21"/>
                <w:szCs w:val="21"/>
                <w:highlight w:val="none"/>
                <w:lang w:val="en-US" w:eastAsia="zh-CN" w:bidi="ar"/>
              </w:rPr>
            </w:pPr>
            <w:r>
              <w:rPr>
                <w:rFonts w:hint="default" w:ascii="Times New Roman" w:hAnsi="Times New Roman" w:eastAsia="宋体" w:cs="Times New Roman"/>
                <w:b/>
                <w:bCs/>
                <w:color w:val="auto"/>
                <w:kern w:val="2"/>
                <w:sz w:val="21"/>
                <w:szCs w:val="21"/>
                <w:highlight w:val="none"/>
                <w:lang w:val="en-US" w:eastAsia="zh-CN" w:bidi="ar"/>
              </w:rPr>
              <w:t>表3-</w:t>
            </w:r>
            <w:r>
              <w:rPr>
                <w:rFonts w:hint="eastAsia" w:ascii="Times New Roman" w:hAnsi="Times New Roman" w:eastAsia="宋体" w:cs="Times New Roman"/>
                <w:b/>
                <w:bCs/>
                <w:color w:val="auto"/>
                <w:kern w:val="2"/>
                <w:sz w:val="21"/>
                <w:szCs w:val="21"/>
                <w:highlight w:val="none"/>
                <w:lang w:val="en-US" w:eastAsia="zh-CN" w:bidi="ar"/>
              </w:rPr>
              <w:t>9</w:t>
            </w:r>
            <w:r>
              <w:rPr>
                <w:rFonts w:hint="default" w:ascii="Times New Roman" w:hAnsi="Times New Roman" w:eastAsia="宋体" w:cs="Times New Roman"/>
                <w:b/>
                <w:bCs/>
                <w:color w:val="auto"/>
                <w:sz w:val="21"/>
                <w:szCs w:val="21"/>
                <w:highlight w:val="none"/>
                <w:lang w:eastAsia="zh-CN"/>
              </w:rPr>
              <w:t>广东省《固定污染源挥发性有机物综合排放标准》（</w:t>
            </w:r>
            <w:r>
              <w:rPr>
                <w:rFonts w:hint="default" w:ascii="Times New Roman" w:hAnsi="Times New Roman" w:eastAsia="宋体" w:cs="Times New Roman"/>
                <w:b/>
                <w:bCs/>
                <w:color w:val="auto"/>
                <w:sz w:val="21"/>
                <w:szCs w:val="21"/>
                <w:highlight w:val="none"/>
                <w:lang w:val="en-US" w:eastAsia="zh-CN"/>
              </w:rPr>
              <w:t>DB44/2367-2022</w:t>
            </w:r>
            <w:r>
              <w:rPr>
                <w:rFonts w:hint="default" w:ascii="Times New Roman" w:hAnsi="Times New Roman" w:eastAsia="宋体" w:cs="Times New Roman"/>
                <w:b/>
                <w:bCs/>
                <w:color w:val="auto"/>
                <w:sz w:val="21"/>
                <w:szCs w:val="21"/>
                <w:highlight w:val="none"/>
                <w:lang w:eastAsia="zh-CN"/>
              </w:rPr>
              <w:t>）</w:t>
            </w:r>
          </w:p>
          <w:tbl>
            <w:tblPr>
              <w:tblStyle w:val="25"/>
              <w:tblW w:w="8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2134"/>
              <w:gridCol w:w="2637"/>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1562" w:type="dxa"/>
                  <w:noWrap w:val="0"/>
                  <w:vAlign w:val="center"/>
                </w:tcPr>
                <w:p>
                  <w:pPr>
                    <w:widowControl/>
                    <w:adjustRightInd w:val="0"/>
                    <w:snapToGrid w:val="0"/>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污染物项目</w:t>
                  </w:r>
                </w:p>
              </w:tc>
              <w:tc>
                <w:tcPr>
                  <w:tcW w:w="2134" w:type="dxa"/>
                  <w:noWrap w:val="0"/>
                  <w:vAlign w:val="center"/>
                </w:tcPr>
                <w:p>
                  <w:pPr>
                    <w:widowControl/>
                    <w:adjustRightInd w:val="0"/>
                    <w:snapToGrid w:val="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排放限值</w:t>
                  </w:r>
                  <w:r>
                    <w:rPr>
                      <w:rFonts w:hint="default" w:ascii="Times New Roman" w:hAnsi="Times New Roman" w:eastAsia="宋体" w:cs="Times New Roman"/>
                      <w:b/>
                      <w:bCs/>
                      <w:color w:val="auto"/>
                      <w:kern w:val="0"/>
                      <w:sz w:val="21"/>
                      <w:szCs w:val="21"/>
                      <w:highlight w:val="none"/>
                      <w:lang w:val="en-US" w:eastAsia="zh-CN"/>
                    </w:rPr>
                    <w:t>mg/m³</w:t>
                  </w:r>
                </w:p>
              </w:tc>
              <w:tc>
                <w:tcPr>
                  <w:tcW w:w="2637" w:type="dxa"/>
                  <w:noWrap w:val="0"/>
                  <w:vAlign w:val="center"/>
                </w:tcPr>
                <w:p>
                  <w:pPr>
                    <w:widowControl/>
                    <w:adjustRightInd w:val="0"/>
                    <w:snapToGrid w:val="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限值含义</w:t>
                  </w:r>
                </w:p>
              </w:tc>
              <w:tc>
                <w:tcPr>
                  <w:tcW w:w="1725" w:type="dxa"/>
                  <w:noWrap w:val="0"/>
                  <w:vAlign w:val="center"/>
                </w:tcPr>
                <w:p>
                  <w:pPr>
                    <w:widowControl/>
                    <w:adjustRightInd w:val="0"/>
                    <w:snapToGrid w:val="0"/>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lang w:eastAsia="zh-CN"/>
                    </w:rPr>
                    <w:t>无组织监控位置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562" w:type="dxa"/>
                  <w:vMerge w:val="restart"/>
                  <w:noWrap w:val="0"/>
                  <w:vAlign w:val="center"/>
                </w:tcPr>
                <w:p>
                  <w:pPr>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非甲烷总烃</w:t>
                  </w:r>
                </w:p>
              </w:tc>
              <w:tc>
                <w:tcPr>
                  <w:tcW w:w="2134"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637" w:type="dxa"/>
                  <w:noWrap w:val="0"/>
                  <w:vAlign w:val="center"/>
                </w:tcPr>
                <w:p>
                  <w:pP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监控点处1h平均浓度值</w:t>
                  </w:r>
                </w:p>
              </w:tc>
              <w:tc>
                <w:tcPr>
                  <w:tcW w:w="172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vertAlign w:val="baseline"/>
                      <w:lang w:eastAsia="zh-CN" w:bidi="ar"/>
                    </w:rPr>
                  </w:pPr>
                  <w:r>
                    <w:rPr>
                      <w:rFonts w:hint="default" w:ascii="Times New Roman" w:hAnsi="Times New Roman" w:eastAsia="宋体" w:cs="Times New Roman"/>
                      <w:color w:val="auto"/>
                      <w:sz w:val="21"/>
                      <w:szCs w:val="21"/>
                      <w:highlight w:val="none"/>
                      <w:lang w:val="en-US" w:eastAsia="zh-CN"/>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562" w:type="dxa"/>
                  <w:vMerge w:val="continue"/>
                  <w:noWrap w:val="0"/>
                  <w:vAlign w:val="center"/>
                </w:tcPr>
                <w:p>
                  <w:pPr>
                    <w:snapToGrid w:val="0"/>
                    <w:jc w:val="center"/>
                    <w:rPr>
                      <w:rFonts w:hint="default" w:ascii="Times New Roman" w:hAnsi="Times New Roman" w:eastAsia="宋体" w:cs="Times New Roman"/>
                      <w:color w:val="auto"/>
                      <w:sz w:val="21"/>
                      <w:szCs w:val="21"/>
                      <w:highlight w:val="none"/>
                      <w:lang w:eastAsia="zh-CN"/>
                    </w:rPr>
                  </w:pPr>
                </w:p>
              </w:tc>
              <w:tc>
                <w:tcPr>
                  <w:tcW w:w="2134"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2637" w:type="dxa"/>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监控点处任意一次浓度值</w:t>
                  </w:r>
                </w:p>
              </w:tc>
              <w:tc>
                <w:tcPr>
                  <w:tcW w:w="1725" w:type="dxa"/>
                  <w:vMerge w:val="continue"/>
                  <w:noWrap w:val="0"/>
                  <w:vAlign w:val="center"/>
                </w:tcPr>
                <w:p>
                  <w:pPr>
                    <w:widowControl/>
                    <w:spacing w:line="360" w:lineRule="auto"/>
                    <w:jc w:val="center"/>
                    <w:rPr>
                      <w:rFonts w:hint="default" w:ascii="Times New Roman" w:hAnsi="Times New Roman" w:eastAsia="宋体" w:cs="Times New Roman"/>
                      <w:color w:val="auto"/>
                      <w:sz w:val="21"/>
                      <w:szCs w:val="21"/>
                      <w:highlight w:val="none"/>
                      <w:vertAlign w:val="baseline"/>
                      <w:lang w:bidi="ar"/>
                    </w:rPr>
                  </w:pPr>
                </w:p>
              </w:tc>
            </w:tr>
          </w:tbl>
          <w:p>
            <w:pPr>
              <w:widowControl/>
              <w:adjustRightInd w:val="0"/>
              <w:snapToGrid w:val="0"/>
              <w:spacing w:line="360" w:lineRule="auto"/>
              <w:ind w:firstLine="482" w:firstLineChars="200"/>
              <w:rPr>
                <w:rFonts w:hint="default" w:ascii="Times New Roman" w:hAnsi="Times New Roman" w:eastAsia="宋体" w:cs="Times New Roman"/>
                <w:b/>
                <w:bCs/>
                <w:color w:val="auto"/>
                <w:sz w:val="24"/>
                <w:szCs w:val="21"/>
                <w:highlight w:val="none"/>
              </w:rPr>
            </w:pPr>
            <w:r>
              <w:rPr>
                <w:rFonts w:hint="default" w:ascii="Times New Roman" w:hAnsi="Times New Roman" w:eastAsia="宋体" w:cs="Times New Roman"/>
                <w:b/>
                <w:bCs/>
                <w:color w:val="auto"/>
                <w:sz w:val="24"/>
                <w:szCs w:val="21"/>
                <w:highlight w:val="none"/>
              </w:rPr>
              <w:t>3、噪声排放标准</w:t>
            </w:r>
          </w:p>
          <w:p>
            <w:pPr>
              <w:spacing w:line="336" w:lineRule="auto"/>
              <w:ind w:firstLine="480" w:firstLineChars="200"/>
              <w:rPr>
                <w:rFonts w:hint="default" w:ascii="Times New Roman" w:hAnsi="Times New Roman" w:eastAsia="宋体" w:cs="Times New Roman"/>
                <w:b/>
                <w:bCs/>
                <w:color w:val="auto"/>
                <w:szCs w:val="21"/>
                <w:highlight w:val="none"/>
              </w:rPr>
            </w:pPr>
            <w:r>
              <w:rPr>
                <w:rFonts w:hint="eastAsia" w:ascii="Times New Roman" w:hAnsi="Times New Roman" w:eastAsia="宋体" w:cs="Times New Roman"/>
                <w:color w:val="auto"/>
                <w:sz w:val="24"/>
                <w:highlight w:val="none"/>
                <w:lang w:eastAsia="zh-CN"/>
              </w:rPr>
              <w:t>本项目</w:t>
            </w:r>
            <w:r>
              <w:rPr>
                <w:rFonts w:hint="default" w:ascii="Times New Roman" w:hAnsi="Times New Roman" w:eastAsia="宋体" w:cs="Times New Roman"/>
                <w:color w:val="auto"/>
                <w:sz w:val="24"/>
                <w:highlight w:val="none"/>
              </w:rPr>
              <w:t>噪声执行《工业企业厂界环境噪声排放标准》（GB12348-2008）中的2类标准。具体标准限值见下表。</w:t>
            </w:r>
          </w:p>
          <w:p>
            <w:pPr>
              <w:autoSpaceDE w:val="0"/>
              <w:autoSpaceDN w:val="0"/>
              <w:jc w:val="center"/>
              <w:textAlignment w:val="baseline"/>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表3-1</w:t>
            </w:r>
            <w:r>
              <w:rPr>
                <w:rFonts w:hint="eastAsia" w:ascii="Times New Roman" w:hAnsi="Times New Roman" w:eastAsia="宋体" w:cs="Times New Roman"/>
                <w:b/>
                <w:bCs/>
                <w:color w:val="auto"/>
                <w:szCs w:val="21"/>
                <w:highlight w:val="none"/>
                <w:lang w:val="en-US" w:eastAsia="zh-CN"/>
              </w:rPr>
              <w:t>1</w:t>
            </w:r>
            <w:r>
              <w:rPr>
                <w:rFonts w:hint="default" w:ascii="Times New Roman" w:hAnsi="Times New Roman" w:eastAsia="宋体" w:cs="Times New Roman"/>
                <w:b/>
                <w:bCs/>
                <w:color w:val="auto"/>
                <w:szCs w:val="21"/>
                <w:highlight w:val="none"/>
              </w:rPr>
              <w:t>《工业企业厂界环境噪声排放标准》限值（单位：dB(A））</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682"/>
              <w:gridCol w:w="955"/>
              <w:gridCol w:w="5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pPr>
                    <w:autoSpaceDE w:val="0"/>
                    <w:autoSpaceDN w:val="0"/>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类别</w:t>
                  </w:r>
                </w:p>
              </w:tc>
              <w:tc>
                <w:tcPr>
                  <w:tcW w:w="425" w:type="pct"/>
                  <w:noWrap w:val="0"/>
                  <w:vAlign w:val="center"/>
                </w:tcPr>
                <w:p>
                  <w:pPr>
                    <w:autoSpaceDE w:val="0"/>
                    <w:autoSpaceDN w:val="0"/>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昼间</w:t>
                  </w:r>
                </w:p>
              </w:tc>
              <w:tc>
                <w:tcPr>
                  <w:tcW w:w="595" w:type="pct"/>
                  <w:noWrap w:val="0"/>
                  <w:vAlign w:val="center"/>
                </w:tcPr>
                <w:p>
                  <w:pPr>
                    <w:autoSpaceDE w:val="0"/>
                    <w:autoSpaceDN w:val="0"/>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夜间</w:t>
                  </w:r>
                </w:p>
              </w:tc>
              <w:tc>
                <w:tcPr>
                  <w:tcW w:w="3482" w:type="pct"/>
                  <w:noWrap w:val="0"/>
                  <w:vAlign w:val="center"/>
                </w:tcPr>
                <w:p>
                  <w:pPr>
                    <w:autoSpaceDE w:val="0"/>
                    <w:autoSpaceDN w:val="0"/>
                    <w:jc w:val="center"/>
                    <w:textAlignment w:val="baseline"/>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 w:type="pct"/>
                  <w:noWrap w:val="0"/>
                  <w:vAlign w:val="center"/>
                </w:tcPr>
                <w:p>
                  <w:pPr>
                    <w:autoSpaceDE w:val="0"/>
                    <w:autoSpaceDN w:val="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2类</w:t>
                  </w:r>
                </w:p>
              </w:tc>
              <w:tc>
                <w:tcPr>
                  <w:tcW w:w="425" w:type="pct"/>
                  <w:noWrap w:val="0"/>
                  <w:vAlign w:val="center"/>
                </w:tcPr>
                <w:p>
                  <w:pPr>
                    <w:autoSpaceDE w:val="0"/>
                    <w:autoSpaceDN w:val="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60</w:t>
                  </w:r>
                </w:p>
              </w:tc>
              <w:tc>
                <w:tcPr>
                  <w:tcW w:w="595" w:type="pct"/>
                  <w:noWrap w:val="0"/>
                  <w:vAlign w:val="center"/>
                </w:tcPr>
                <w:p>
                  <w:pPr>
                    <w:autoSpaceDE w:val="0"/>
                    <w:autoSpaceDN w:val="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50</w:t>
                  </w:r>
                </w:p>
              </w:tc>
              <w:tc>
                <w:tcPr>
                  <w:tcW w:w="3482" w:type="pct"/>
                  <w:noWrap w:val="0"/>
                  <w:vAlign w:val="center"/>
                </w:tcPr>
                <w:p>
                  <w:pPr>
                    <w:autoSpaceDE w:val="0"/>
                    <w:autoSpaceDN w:val="0"/>
                    <w:jc w:val="center"/>
                    <w:textAlignment w:val="baseline"/>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《工业企业厂界环境噪声排放标准》（GB12348-2008）</w:t>
                  </w:r>
                </w:p>
              </w:tc>
            </w:tr>
          </w:tbl>
          <w:p>
            <w:pPr>
              <w:spacing w:line="360" w:lineRule="auto"/>
              <w:ind w:firstLine="482" w:firstLineChars="20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4、固体废物执行标准</w:t>
            </w:r>
          </w:p>
          <w:p>
            <w:pPr>
              <w:adjustRightInd w:val="0"/>
              <w:snapToGrid w:val="0"/>
              <w:spacing w:line="360" w:lineRule="auto"/>
              <w:ind w:firstLine="480" w:firstLineChars="200"/>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sz w:val="24"/>
                <w:szCs w:val="24"/>
                <w:highlight w:val="none"/>
                <w:lang w:val="en-US" w:eastAsia="zh-CN"/>
              </w:rPr>
              <w:t>项目运营期一般固体废物执行《中华人民共和国固体废物污染环境防治法》（2020年4月29日修订，2020年9月1日施行）、《广东省固体废物污染环境防治条例》（2018年11月29日修订，2019年3月1日施行）、《一般工业固体废物贮存和填埋污染控制标准》（GB18599-2020）；危险废物执行《危险废物贮存污染控制标准》（GB18597-2001）及2013年修改单中的相关规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2" w:hRule="atLeast"/>
          <w:jc w:val="center"/>
        </w:trPr>
        <w:tc>
          <w:tcPr>
            <w:tcW w:w="459" w:type="dxa"/>
            <w:noWrap w:val="0"/>
            <w:vAlign w:val="center"/>
          </w:tcPr>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控制</w:t>
            </w:r>
          </w:p>
          <w:p>
            <w:pP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指标</w:t>
            </w:r>
          </w:p>
        </w:tc>
        <w:tc>
          <w:tcPr>
            <w:tcW w:w="8252" w:type="dxa"/>
            <w:noWrap w:val="0"/>
            <w:vAlign w:val="center"/>
          </w:tcPr>
          <w:p>
            <w:pPr>
              <w:ind w:firstLine="482"/>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表3-1</w:t>
            </w:r>
            <w:r>
              <w:rPr>
                <w:rFonts w:hint="eastAsia" w:ascii="Times New Roman" w:hAnsi="Times New Roman" w:eastAsia="宋体" w:cs="Times New Roman"/>
                <w:b/>
                <w:bCs/>
                <w:color w:val="auto"/>
                <w:sz w:val="21"/>
                <w:szCs w:val="21"/>
                <w:highlight w:val="none"/>
                <w:lang w:val="en-US" w:eastAsia="zh-CN"/>
              </w:rPr>
              <w:t>2本项目</w:t>
            </w:r>
            <w:r>
              <w:rPr>
                <w:rFonts w:hint="default" w:ascii="Times New Roman" w:hAnsi="Times New Roman" w:eastAsia="宋体" w:cs="Times New Roman"/>
                <w:b/>
                <w:bCs/>
                <w:color w:val="auto"/>
                <w:sz w:val="21"/>
                <w:szCs w:val="21"/>
                <w:highlight w:val="none"/>
              </w:rPr>
              <w:t>污染物总量控制指标</w:t>
            </w:r>
          </w:p>
          <w:tbl>
            <w:tblPr>
              <w:tblStyle w:val="24"/>
              <w:tblW w:w="5056" w:type="pct"/>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305"/>
              <w:gridCol w:w="1065"/>
              <w:gridCol w:w="1501"/>
              <w:gridCol w:w="1412"/>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52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kern w:val="21"/>
                      <w:szCs w:val="21"/>
                      <w:highlight w:val="none"/>
                    </w:rPr>
                  </w:pPr>
                  <w:r>
                    <w:rPr>
                      <w:rFonts w:hint="default" w:ascii="Times New Roman" w:hAnsi="Times New Roman" w:eastAsia="宋体" w:cs="Times New Roman"/>
                      <w:b/>
                      <w:bCs/>
                      <w:color w:val="auto"/>
                      <w:kern w:val="21"/>
                      <w:szCs w:val="21"/>
                      <w:highlight w:val="none"/>
                    </w:rPr>
                    <w:t>污染物</w:t>
                  </w:r>
                </w:p>
              </w:tc>
              <w:tc>
                <w:tcPr>
                  <w:tcW w:w="80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kern w:val="21"/>
                      <w:szCs w:val="21"/>
                      <w:highlight w:val="none"/>
                    </w:rPr>
                  </w:pPr>
                  <w:r>
                    <w:rPr>
                      <w:rFonts w:hint="default" w:ascii="Times New Roman" w:hAnsi="Times New Roman" w:eastAsia="宋体" w:cs="Times New Roman"/>
                      <w:b/>
                      <w:bCs/>
                      <w:color w:val="auto"/>
                      <w:kern w:val="21"/>
                      <w:szCs w:val="21"/>
                      <w:highlight w:val="none"/>
                    </w:rPr>
                    <w:t>指标</w:t>
                  </w:r>
                </w:p>
              </w:tc>
              <w:tc>
                <w:tcPr>
                  <w:tcW w:w="65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kern w:val="21"/>
                      <w:szCs w:val="21"/>
                      <w:highlight w:val="none"/>
                      <w:lang w:val="en-US" w:eastAsia="zh-CN"/>
                    </w:rPr>
                  </w:pPr>
                  <w:r>
                    <w:rPr>
                      <w:rFonts w:hint="default" w:ascii="Times New Roman" w:hAnsi="Times New Roman" w:eastAsia="宋体" w:cs="Times New Roman"/>
                      <w:b/>
                      <w:bCs/>
                      <w:color w:val="auto"/>
                      <w:kern w:val="21"/>
                      <w:szCs w:val="21"/>
                      <w:highlight w:val="none"/>
                    </w:rPr>
                    <w:t>排放形式</w:t>
                  </w:r>
                </w:p>
              </w:tc>
              <w:tc>
                <w:tcPr>
                  <w:tcW w:w="92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kern w:val="21"/>
                      <w:szCs w:val="21"/>
                      <w:highlight w:val="none"/>
                      <w:lang w:val="en-US" w:eastAsia="zh-CN"/>
                    </w:rPr>
                  </w:pPr>
                  <w:r>
                    <w:rPr>
                      <w:rFonts w:hint="default" w:ascii="Times New Roman" w:hAnsi="Times New Roman" w:eastAsia="宋体" w:cs="Times New Roman"/>
                      <w:b/>
                      <w:bCs/>
                      <w:color w:val="auto"/>
                      <w:kern w:val="21"/>
                      <w:szCs w:val="21"/>
                      <w:highlight w:val="none"/>
                    </w:rPr>
                    <w:t>达标排放浓度</w:t>
                  </w:r>
                </w:p>
              </w:tc>
              <w:tc>
                <w:tcPr>
                  <w:tcW w:w="86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kern w:val="21"/>
                      <w:szCs w:val="21"/>
                      <w:highlight w:val="none"/>
                    </w:rPr>
                  </w:pPr>
                  <w:r>
                    <w:rPr>
                      <w:rFonts w:hint="default" w:ascii="Times New Roman" w:hAnsi="Times New Roman" w:eastAsia="宋体" w:cs="Times New Roman"/>
                      <w:b/>
                      <w:bCs/>
                      <w:color w:val="auto"/>
                      <w:kern w:val="21"/>
                      <w:szCs w:val="21"/>
                      <w:highlight w:val="none"/>
                    </w:rPr>
                    <w:t>达标排放量</w:t>
                  </w:r>
                </w:p>
              </w:tc>
              <w:tc>
                <w:tcPr>
                  <w:tcW w:w="1215"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b/>
                      <w:bCs/>
                      <w:color w:val="auto"/>
                      <w:kern w:val="21"/>
                      <w:szCs w:val="21"/>
                      <w:highlight w:val="none"/>
                    </w:rPr>
                  </w:pPr>
                  <w:r>
                    <w:rPr>
                      <w:rFonts w:hint="default" w:ascii="Times New Roman" w:hAnsi="Times New Roman" w:eastAsia="宋体" w:cs="Times New Roman"/>
                      <w:b/>
                      <w:bCs/>
                      <w:color w:val="auto"/>
                      <w:kern w:val="21"/>
                      <w:szCs w:val="21"/>
                      <w:highlight w:val="none"/>
                    </w:rPr>
                    <w:t>总量建议控制指标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529"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生活</w:t>
                  </w:r>
                </w:p>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污水</w:t>
                  </w:r>
                </w:p>
              </w:tc>
              <w:tc>
                <w:tcPr>
                  <w:tcW w:w="80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废水量</w:t>
                  </w:r>
                </w:p>
              </w:tc>
              <w:tc>
                <w:tcPr>
                  <w:tcW w:w="65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w:t>
                  </w:r>
                </w:p>
              </w:tc>
              <w:tc>
                <w:tcPr>
                  <w:tcW w:w="92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eastAsia="宋体" w:cs="Times New Roman"/>
                      <w:color w:val="auto"/>
                      <w:kern w:val="21"/>
                      <w:szCs w:val="21"/>
                      <w:highlight w:val="none"/>
                    </w:rPr>
                    <w:t>/</w:t>
                  </w:r>
                </w:p>
              </w:tc>
              <w:tc>
                <w:tcPr>
                  <w:tcW w:w="86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360</w:t>
                  </w:r>
                  <w:r>
                    <w:rPr>
                      <w:rFonts w:hint="default" w:ascii="Times New Roman" w:hAnsi="Times New Roman" w:eastAsia="宋体" w:cs="Times New Roman"/>
                      <w:color w:val="auto"/>
                      <w:kern w:val="21"/>
                      <w:sz w:val="21"/>
                      <w:szCs w:val="21"/>
                      <w:highlight w:val="none"/>
                    </w:rPr>
                    <w:t>t/a</w:t>
                  </w:r>
                </w:p>
              </w:tc>
              <w:tc>
                <w:tcPr>
                  <w:tcW w:w="1215"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szCs w:val="21"/>
                      <w:highlight w:val="none"/>
                    </w:rPr>
                    <w:t>来源于</w:t>
                  </w:r>
                  <w:r>
                    <w:rPr>
                      <w:rFonts w:hint="eastAsia" w:ascii="Times New Roman" w:hAnsi="Times New Roman" w:eastAsia="宋体" w:cs="Times New Roman"/>
                      <w:color w:val="auto"/>
                      <w:szCs w:val="21"/>
                      <w:highlight w:val="none"/>
                      <w:lang w:val="en-US" w:eastAsia="zh-CN"/>
                    </w:rPr>
                    <w:t>博罗县龙溪镇污水处理厂</w:t>
                  </w:r>
                  <w:r>
                    <w:rPr>
                      <w:rFonts w:hint="default" w:ascii="Times New Roman" w:hAnsi="Times New Roman" w:eastAsia="宋体" w:cs="Times New Roman"/>
                      <w:color w:val="auto"/>
                      <w:szCs w:val="21"/>
                      <w:highlight w:val="none"/>
                    </w:rPr>
                    <w:t>，项目不另外</w:t>
                  </w:r>
                  <w:r>
                    <w:rPr>
                      <w:rFonts w:hint="default" w:ascii="Times New Roman" w:hAnsi="Times New Roman" w:eastAsia="宋体" w:cs="Times New Roman"/>
                      <w:color w:val="auto"/>
                      <w:kern w:val="21"/>
                      <w:szCs w:val="21"/>
                      <w:highlight w:val="none"/>
                    </w:rPr>
                    <w:t>调配总量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29"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p>
              </w:tc>
              <w:tc>
                <w:tcPr>
                  <w:tcW w:w="80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CODcr</w:t>
                  </w:r>
                </w:p>
              </w:tc>
              <w:tc>
                <w:tcPr>
                  <w:tcW w:w="65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w:t>
                  </w:r>
                </w:p>
              </w:tc>
              <w:tc>
                <w:tcPr>
                  <w:tcW w:w="92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40mg/L</w:t>
                  </w:r>
                </w:p>
              </w:tc>
              <w:tc>
                <w:tcPr>
                  <w:tcW w:w="86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0.0144</w:t>
                  </w:r>
                  <w:r>
                    <w:rPr>
                      <w:rFonts w:hint="default" w:ascii="Times New Roman" w:hAnsi="Times New Roman" w:eastAsia="宋体" w:cs="Times New Roman"/>
                      <w:color w:val="auto"/>
                      <w:kern w:val="21"/>
                      <w:sz w:val="21"/>
                      <w:szCs w:val="21"/>
                      <w:highlight w:val="none"/>
                    </w:rPr>
                    <w:t>t/a</w:t>
                  </w:r>
                </w:p>
              </w:tc>
              <w:tc>
                <w:tcPr>
                  <w:tcW w:w="1215"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529"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p>
              </w:tc>
              <w:tc>
                <w:tcPr>
                  <w:tcW w:w="803"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NH</w:t>
                  </w:r>
                  <w:r>
                    <w:rPr>
                      <w:rFonts w:hint="default" w:ascii="Times New Roman" w:hAnsi="Times New Roman" w:eastAsia="宋体" w:cs="Times New Roman"/>
                      <w:color w:val="auto"/>
                      <w:kern w:val="21"/>
                      <w:szCs w:val="21"/>
                      <w:highlight w:val="none"/>
                      <w:vertAlign w:val="subscript"/>
                    </w:rPr>
                    <w:t>3</w:t>
                  </w:r>
                  <w:r>
                    <w:rPr>
                      <w:rFonts w:hint="default" w:ascii="Times New Roman" w:hAnsi="Times New Roman" w:eastAsia="宋体" w:cs="Times New Roman"/>
                      <w:color w:val="auto"/>
                      <w:kern w:val="21"/>
                      <w:szCs w:val="21"/>
                      <w:highlight w:val="none"/>
                    </w:rPr>
                    <w:t>-N</w:t>
                  </w:r>
                </w:p>
              </w:tc>
              <w:tc>
                <w:tcPr>
                  <w:tcW w:w="65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w:t>
                  </w:r>
                </w:p>
              </w:tc>
              <w:tc>
                <w:tcPr>
                  <w:tcW w:w="92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2mg/L</w:t>
                  </w:r>
                </w:p>
              </w:tc>
              <w:tc>
                <w:tcPr>
                  <w:tcW w:w="86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0.0007</w:t>
                  </w:r>
                  <w:r>
                    <w:rPr>
                      <w:rFonts w:hint="default" w:ascii="Times New Roman" w:hAnsi="Times New Roman" w:eastAsia="宋体" w:cs="Times New Roman"/>
                      <w:color w:val="auto"/>
                      <w:kern w:val="21"/>
                      <w:sz w:val="21"/>
                      <w:szCs w:val="21"/>
                      <w:highlight w:val="none"/>
                    </w:rPr>
                    <w:t>t/a</w:t>
                  </w:r>
                </w:p>
              </w:tc>
              <w:tc>
                <w:tcPr>
                  <w:tcW w:w="1215" w:type="pct"/>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529" w:type="pct"/>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lang w:val="en-US" w:eastAsia="zh-CN"/>
                    </w:rPr>
                  </w:pPr>
                  <w:r>
                    <w:rPr>
                      <w:rFonts w:hint="default" w:ascii="Times New Roman" w:hAnsi="Times New Roman" w:eastAsia="宋体" w:cs="Times New Roman"/>
                      <w:color w:val="auto"/>
                      <w:kern w:val="21"/>
                      <w:szCs w:val="21"/>
                      <w:highlight w:val="none"/>
                      <w:lang w:val="en-US" w:eastAsia="zh-CN"/>
                    </w:rPr>
                    <w:t>废气</w:t>
                  </w:r>
                </w:p>
              </w:tc>
              <w:tc>
                <w:tcPr>
                  <w:tcW w:w="803"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lang w:eastAsia="zh-CN"/>
                    </w:rPr>
                  </w:pPr>
                  <w:r>
                    <w:rPr>
                      <w:rFonts w:hint="default" w:ascii="Times New Roman" w:hAnsi="Times New Roman" w:eastAsia="宋体" w:cs="Times New Roman"/>
                      <w:color w:val="auto"/>
                      <w:szCs w:val="21"/>
                      <w:highlight w:val="none"/>
                    </w:rPr>
                    <w:t>VOCs</w:t>
                  </w:r>
                </w:p>
              </w:tc>
              <w:tc>
                <w:tcPr>
                  <w:tcW w:w="65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21"/>
                      <w:szCs w:val="21"/>
                      <w:highlight w:val="none"/>
                    </w:rPr>
                    <w:t>有组织</w:t>
                  </w:r>
                </w:p>
              </w:tc>
              <w:tc>
                <w:tcPr>
                  <w:tcW w:w="92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szCs w:val="21"/>
                      <w:highlight w:val="none"/>
                      <w:lang w:val="en-US" w:eastAsia="zh-CN"/>
                    </w:rPr>
                    <w:t>60</w:t>
                  </w:r>
                  <w:r>
                    <w:rPr>
                      <w:rFonts w:hint="default" w:ascii="Times New Roman" w:hAnsi="Times New Roman" w:eastAsia="宋体" w:cs="Times New Roman"/>
                      <w:color w:val="auto"/>
                      <w:szCs w:val="21"/>
                      <w:highlight w:val="none"/>
                    </w:rPr>
                    <w:t>mg/m</w:t>
                  </w:r>
                  <w:r>
                    <w:rPr>
                      <w:rFonts w:hint="default" w:ascii="Times New Roman" w:hAnsi="Times New Roman" w:eastAsia="宋体" w:cs="Times New Roman"/>
                      <w:color w:val="auto"/>
                      <w:szCs w:val="21"/>
                      <w:highlight w:val="none"/>
                      <w:vertAlign w:val="superscript"/>
                    </w:rPr>
                    <w:t>3</w:t>
                  </w:r>
                </w:p>
              </w:tc>
              <w:tc>
                <w:tcPr>
                  <w:tcW w:w="86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0.018</w:t>
                  </w:r>
                  <w:r>
                    <w:rPr>
                      <w:rFonts w:hint="default" w:ascii="Times New Roman" w:hAnsi="Times New Roman" w:eastAsia="宋体" w:cs="Times New Roman"/>
                      <w:color w:val="auto"/>
                      <w:sz w:val="21"/>
                      <w:szCs w:val="21"/>
                      <w:highlight w:val="none"/>
                      <w:lang w:val="en-US" w:eastAsia="zh-CN"/>
                    </w:rPr>
                    <w:t>t/a</w:t>
                  </w:r>
                </w:p>
              </w:tc>
              <w:tc>
                <w:tcPr>
                  <w:tcW w:w="1215" w:type="pct"/>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0.077</w:t>
                  </w:r>
                  <w:r>
                    <w:rPr>
                      <w:rFonts w:hint="default" w:ascii="Times New Roman" w:hAnsi="Times New Roman" w:eastAsia="宋体" w:cs="Times New Roman"/>
                      <w:color w:val="auto"/>
                      <w:szCs w:val="21"/>
                      <w:highlight w:val="none"/>
                      <w:lang w:val="en-US" w:eastAsia="zh-CN"/>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529"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magenta"/>
                    </w:rPr>
                  </w:pPr>
                </w:p>
              </w:tc>
              <w:tc>
                <w:tcPr>
                  <w:tcW w:w="803"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magenta"/>
                    </w:rPr>
                  </w:pPr>
                </w:p>
              </w:tc>
              <w:tc>
                <w:tcPr>
                  <w:tcW w:w="65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kern w:val="21"/>
                      <w:szCs w:val="21"/>
                      <w:highlight w:val="none"/>
                    </w:rPr>
                    <w:t>无组织</w:t>
                  </w:r>
                </w:p>
              </w:tc>
              <w:tc>
                <w:tcPr>
                  <w:tcW w:w="92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szCs w:val="21"/>
                      <w:highlight w:val="none"/>
                      <w:lang w:val="en-US" w:eastAsia="zh-CN"/>
                    </w:rPr>
                    <w:t>4.0</w:t>
                  </w:r>
                  <w:r>
                    <w:rPr>
                      <w:rFonts w:hint="default" w:ascii="Times New Roman" w:hAnsi="Times New Roman" w:eastAsia="宋体" w:cs="Times New Roman"/>
                      <w:color w:val="auto"/>
                      <w:szCs w:val="21"/>
                      <w:highlight w:val="none"/>
                    </w:rPr>
                    <w:t>mg/m</w:t>
                  </w:r>
                  <w:r>
                    <w:rPr>
                      <w:rFonts w:hint="default" w:ascii="Times New Roman" w:hAnsi="Times New Roman" w:eastAsia="宋体" w:cs="Times New Roman"/>
                      <w:color w:val="auto"/>
                      <w:szCs w:val="21"/>
                      <w:highlight w:val="none"/>
                      <w:vertAlign w:val="superscript"/>
                    </w:rPr>
                    <w:t>3</w:t>
                  </w:r>
                </w:p>
              </w:tc>
              <w:tc>
                <w:tcPr>
                  <w:tcW w:w="86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color w:val="auto"/>
                      <w:kern w:val="21"/>
                      <w:sz w:val="21"/>
                      <w:szCs w:val="21"/>
                      <w:highlight w:val="none"/>
                      <w:lang w:val="en-US" w:eastAsia="zh-CN"/>
                    </w:rPr>
                    <w:t>0.059</w:t>
                  </w:r>
                  <w:r>
                    <w:rPr>
                      <w:rFonts w:hint="default" w:ascii="Times New Roman" w:hAnsi="Times New Roman" w:eastAsia="宋体" w:cs="Times New Roman"/>
                      <w:color w:val="auto"/>
                      <w:kern w:val="21"/>
                      <w:sz w:val="21"/>
                      <w:szCs w:val="21"/>
                      <w:highlight w:val="none"/>
                      <w:lang w:val="en-US" w:eastAsia="zh-CN"/>
                    </w:rPr>
                    <w:t>t/a</w:t>
                  </w:r>
                </w:p>
              </w:tc>
              <w:tc>
                <w:tcPr>
                  <w:tcW w:w="1215"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magent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29"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magenta"/>
                    </w:rPr>
                  </w:pPr>
                </w:p>
              </w:tc>
              <w:tc>
                <w:tcPr>
                  <w:tcW w:w="803"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magenta"/>
                    </w:rPr>
                  </w:pPr>
                </w:p>
              </w:tc>
              <w:tc>
                <w:tcPr>
                  <w:tcW w:w="65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21"/>
                      <w:szCs w:val="21"/>
                      <w:highlight w:val="none"/>
                    </w:rPr>
                    <w:t>合计</w:t>
                  </w:r>
                </w:p>
              </w:tc>
              <w:tc>
                <w:tcPr>
                  <w:tcW w:w="924"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1"/>
                      <w:szCs w:val="21"/>
                      <w:highlight w:val="none"/>
                    </w:rPr>
                  </w:pPr>
                  <w:r>
                    <w:rPr>
                      <w:rFonts w:hint="default" w:ascii="Times New Roman" w:hAnsi="Times New Roman" w:eastAsia="宋体" w:cs="Times New Roman"/>
                      <w:color w:val="auto"/>
                      <w:szCs w:val="21"/>
                      <w:highlight w:val="none"/>
                    </w:rPr>
                    <w:t>/</w:t>
                  </w:r>
                </w:p>
              </w:tc>
              <w:tc>
                <w:tcPr>
                  <w:tcW w:w="869"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napToGrid w:val="0"/>
                      <w:color w:val="auto"/>
                      <w:kern w:val="21"/>
                      <w:sz w:val="21"/>
                      <w:szCs w:val="21"/>
                      <w:highlight w:val="none"/>
                    </w:rPr>
                  </w:pPr>
                  <w:r>
                    <w:rPr>
                      <w:rFonts w:hint="eastAsia" w:ascii="Times New Roman" w:hAnsi="Times New Roman" w:eastAsia="宋体" w:cs="Times New Roman"/>
                      <w:snapToGrid w:val="0"/>
                      <w:color w:val="auto"/>
                      <w:kern w:val="21"/>
                      <w:sz w:val="21"/>
                      <w:szCs w:val="21"/>
                      <w:highlight w:val="none"/>
                      <w:lang w:val="en-US" w:eastAsia="zh-CN"/>
                    </w:rPr>
                    <w:t>0.077</w:t>
                  </w:r>
                  <w:r>
                    <w:rPr>
                      <w:rFonts w:hint="default" w:ascii="Times New Roman" w:hAnsi="Times New Roman" w:eastAsia="宋体" w:cs="Times New Roman"/>
                      <w:snapToGrid w:val="0"/>
                      <w:color w:val="auto"/>
                      <w:kern w:val="21"/>
                      <w:sz w:val="21"/>
                      <w:szCs w:val="21"/>
                      <w:highlight w:val="none"/>
                    </w:rPr>
                    <w:t>t/a</w:t>
                  </w:r>
                </w:p>
              </w:tc>
              <w:tc>
                <w:tcPr>
                  <w:tcW w:w="1215" w:type="pct"/>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magenta"/>
                    </w:rPr>
                  </w:pPr>
                </w:p>
              </w:tc>
            </w:tr>
          </w:tbl>
          <w:p>
            <w:pPr>
              <w:pStyle w:val="2"/>
              <w:rPr>
                <w:rFonts w:hint="default" w:ascii="Times New Roman" w:hAnsi="Times New Roman" w:eastAsia="宋体" w:cs="Times New Roman"/>
                <w:color w:val="auto"/>
                <w:highlight w:val="none"/>
              </w:rPr>
            </w:pPr>
          </w:p>
        </w:tc>
      </w:tr>
    </w:tbl>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numPr>
          <w:ilvl w:val="0"/>
          <w:numId w:val="0"/>
        </w:numPr>
        <w:spacing w:before="0" w:beforeAutospacing="0" w:after="0" w:afterAutospacing="0"/>
        <w:ind w:leftChars="0"/>
        <w:jc w:val="both"/>
        <w:outlineLvl w:val="0"/>
        <w:rPr>
          <w:rFonts w:hint="eastAsia" w:ascii="黑体" w:hAnsi="黑体" w:eastAsia="黑体"/>
          <w:snapToGrid w:val="0"/>
          <w:color w:val="auto"/>
          <w:sz w:val="30"/>
          <w:szCs w:val="30"/>
          <w:highlight w:val="none"/>
        </w:rPr>
      </w:pPr>
    </w:p>
    <w:p>
      <w:pPr>
        <w:pStyle w:val="23"/>
        <w:adjustRightInd w:val="0"/>
        <w:snapToGrid w:val="0"/>
        <w:spacing w:before="0" w:beforeAutospacing="0" w:after="0" w:afterAutospacing="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四、主要环境影响和保护措施</w:t>
      </w:r>
    </w:p>
    <w:tbl>
      <w:tblPr>
        <w:tblStyle w:val="24"/>
        <w:tblW w:w="921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2"/>
        <w:gridCol w:w="89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744" w:hRule="atLeast"/>
          <w:jc w:val="center"/>
        </w:trPr>
        <w:tc>
          <w:tcPr>
            <w:tcW w:w="312" w:type="dxa"/>
            <w:noWrap w:val="0"/>
            <w:tcMar>
              <w:left w:w="28" w:type="dxa"/>
              <w:right w:w="28" w:type="dxa"/>
            </w:tcMar>
            <w:vAlign w:val="center"/>
          </w:tcPr>
          <w:p>
            <w:pPr>
              <w:pStyle w:val="23"/>
              <w:widowControl w:val="0"/>
              <w:adjustRightInd w:val="0"/>
              <w:snapToGrid w:val="0"/>
              <w:spacing w:before="0" w:beforeAutospacing="0" w:after="0" w:afterAutospacing="0"/>
              <w:jc w:val="center"/>
              <w:rPr>
                <w:rFonts w:hint="eastAsia" w:ascii="Times New Roman" w:hAnsi="Times New Roman" w:cs="宋体"/>
                <w:color w:val="0C0C0C"/>
                <w:kern w:val="2"/>
                <w:szCs w:val="21"/>
                <w:highlight w:val="none"/>
              </w:rPr>
            </w:pPr>
            <w:r>
              <w:rPr>
                <w:rFonts w:hint="eastAsia" w:ascii="Times New Roman" w:hAnsi="Times New Roman" w:cs="宋体"/>
                <w:color w:val="0C0C0C"/>
                <w:kern w:val="2"/>
                <w:szCs w:val="21"/>
                <w:highlight w:val="none"/>
              </w:rPr>
              <w:t>施工</w:t>
            </w:r>
          </w:p>
          <w:p>
            <w:pPr>
              <w:pStyle w:val="23"/>
              <w:widowControl w:val="0"/>
              <w:adjustRightInd w:val="0"/>
              <w:snapToGrid w:val="0"/>
              <w:spacing w:before="0" w:beforeAutospacing="0" w:after="0" w:afterAutospacing="0"/>
              <w:jc w:val="center"/>
              <w:rPr>
                <w:rFonts w:hint="eastAsia" w:ascii="Times New Roman" w:hAnsi="Times New Roman" w:cs="宋体"/>
                <w:color w:val="0C0C0C"/>
                <w:kern w:val="2"/>
                <w:szCs w:val="21"/>
                <w:highlight w:val="none"/>
              </w:rPr>
            </w:pPr>
            <w:r>
              <w:rPr>
                <w:rFonts w:hint="eastAsia" w:ascii="Times New Roman" w:hAnsi="Times New Roman" w:cs="宋体"/>
                <w:color w:val="0C0C0C"/>
                <w:kern w:val="2"/>
                <w:szCs w:val="21"/>
                <w:highlight w:val="none"/>
              </w:rPr>
              <w:t>期环</w:t>
            </w:r>
          </w:p>
          <w:p>
            <w:pPr>
              <w:pStyle w:val="23"/>
              <w:widowControl w:val="0"/>
              <w:adjustRightInd w:val="0"/>
              <w:snapToGrid w:val="0"/>
              <w:spacing w:before="0" w:beforeAutospacing="0" w:after="0" w:afterAutospacing="0"/>
              <w:jc w:val="center"/>
              <w:rPr>
                <w:rFonts w:hint="eastAsia" w:ascii="Times New Roman" w:hAnsi="Times New Roman" w:cs="宋体"/>
                <w:color w:val="0C0C0C"/>
                <w:kern w:val="2"/>
                <w:szCs w:val="21"/>
                <w:highlight w:val="none"/>
              </w:rPr>
            </w:pPr>
            <w:r>
              <w:rPr>
                <w:rFonts w:hint="eastAsia" w:ascii="Times New Roman" w:hAnsi="Times New Roman" w:cs="宋体"/>
                <w:color w:val="0C0C0C"/>
                <w:kern w:val="2"/>
                <w:szCs w:val="21"/>
                <w:highlight w:val="none"/>
              </w:rPr>
              <w:t>境保</w:t>
            </w:r>
          </w:p>
          <w:p>
            <w:pPr>
              <w:pStyle w:val="23"/>
              <w:widowControl w:val="0"/>
              <w:adjustRightInd w:val="0"/>
              <w:snapToGrid w:val="0"/>
              <w:spacing w:before="0" w:beforeAutospacing="0" w:after="0" w:afterAutospacing="0"/>
              <w:jc w:val="center"/>
              <w:rPr>
                <w:rFonts w:hint="eastAsia" w:ascii="Times New Roman" w:hAnsi="Times New Roman" w:cs="宋体"/>
                <w:color w:val="0C0C0C"/>
                <w:kern w:val="2"/>
                <w:szCs w:val="21"/>
                <w:highlight w:val="none"/>
              </w:rPr>
            </w:pPr>
            <w:r>
              <w:rPr>
                <w:rFonts w:hint="eastAsia" w:ascii="Times New Roman" w:hAnsi="Times New Roman" w:cs="宋体"/>
                <w:color w:val="0C0C0C"/>
                <w:kern w:val="2"/>
                <w:szCs w:val="21"/>
                <w:highlight w:val="none"/>
              </w:rPr>
              <w:t>护措</w:t>
            </w:r>
          </w:p>
          <w:p>
            <w:pPr>
              <w:pStyle w:val="23"/>
              <w:widowControl w:val="0"/>
              <w:adjustRightInd w:val="0"/>
              <w:snapToGrid w:val="0"/>
              <w:spacing w:before="0" w:beforeAutospacing="0" w:after="0" w:afterAutospacing="0"/>
              <w:jc w:val="center"/>
              <w:rPr>
                <w:rFonts w:hint="eastAsia" w:ascii="Times New Roman" w:hAnsi="Times New Roman" w:cs="宋体"/>
                <w:bCs/>
                <w:color w:val="0C0C0C"/>
                <w:kern w:val="2"/>
                <w:szCs w:val="21"/>
                <w:highlight w:val="none"/>
              </w:rPr>
            </w:pPr>
            <w:r>
              <w:rPr>
                <w:rFonts w:hint="eastAsia" w:ascii="Times New Roman" w:hAnsi="Times New Roman" w:cs="宋体"/>
                <w:color w:val="0C0C0C"/>
                <w:kern w:val="2"/>
                <w:szCs w:val="21"/>
                <w:highlight w:val="none"/>
              </w:rPr>
              <w:t>施</w:t>
            </w:r>
          </w:p>
        </w:tc>
        <w:tc>
          <w:tcPr>
            <w:tcW w:w="8900" w:type="dxa"/>
            <w:noWrap w:val="0"/>
            <w:vAlign w:val="center"/>
          </w:tcPr>
          <w:p>
            <w:pPr>
              <w:adjustRightInd w:val="0"/>
              <w:snapToGrid w:val="0"/>
              <w:rPr>
                <w:rFonts w:hint="eastAsia" w:cs="宋体"/>
                <w:bCs/>
                <w:color w:val="0C0C0C"/>
                <w:spacing w:val="-10"/>
                <w:sz w:val="24"/>
                <w:szCs w:val="21"/>
                <w:highlight w:val="none"/>
              </w:rPr>
            </w:pPr>
            <w:r>
              <w:rPr>
                <w:rFonts w:hint="eastAsia"/>
                <w:color w:val="0C0C0C"/>
                <w:sz w:val="24"/>
                <w:highlight w:val="none"/>
              </w:rPr>
              <w:t>建设单位利用现有厂房进行生产，不再进行土建等施工，因此不存在施工期环境影响</w:t>
            </w:r>
            <w:r>
              <w:rPr>
                <w:rFonts w:hint="eastAsia" w:cs="宋体"/>
                <w:bCs/>
                <w:color w:val="0C0C0C"/>
                <w:spacing w:val="-10"/>
                <w:sz w:val="24"/>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312" w:type="dxa"/>
            <w:noWrap w:val="0"/>
            <w:tcMar>
              <w:left w:w="28" w:type="dxa"/>
              <w:right w:w="28" w:type="dxa"/>
            </w:tcMar>
            <w:vAlign w:val="center"/>
          </w:tcPr>
          <w:p>
            <w:pPr>
              <w:adjustRightInd w:val="0"/>
              <w:snapToGrid w:val="0"/>
              <w:jc w:val="center"/>
              <w:rPr>
                <w:rFonts w:hint="eastAsia" w:cs="宋体"/>
                <w:bCs/>
                <w:color w:val="0C0C0C"/>
                <w:sz w:val="24"/>
                <w:szCs w:val="21"/>
                <w:highlight w:val="none"/>
              </w:rPr>
            </w:pPr>
            <w:r>
              <w:rPr>
                <w:rFonts w:hint="eastAsia" w:cs="宋体"/>
                <w:bCs/>
                <w:color w:val="0C0C0C"/>
                <w:sz w:val="24"/>
                <w:szCs w:val="21"/>
                <w:highlight w:val="none"/>
              </w:rPr>
              <w:t>运营</w:t>
            </w:r>
          </w:p>
          <w:p>
            <w:pPr>
              <w:adjustRightInd w:val="0"/>
              <w:snapToGrid w:val="0"/>
              <w:jc w:val="center"/>
              <w:rPr>
                <w:rFonts w:hint="eastAsia" w:cs="宋体"/>
                <w:bCs/>
                <w:color w:val="0C0C0C"/>
                <w:sz w:val="24"/>
                <w:szCs w:val="21"/>
                <w:highlight w:val="none"/>
              </w:rPr>
            </w:pPr>
            <w:r>
              <w:rPr>
                <w:rFonts w:hint="eastAsia" w:cs="宋体"/>
                <w:bCs/>
                <w:color w:val="0C0C0C"/>
                <w:sz w:val="24"/>
                <w:szCs w:val="21"/>
                <w:highlight w:val="none"/>
              </w:rPr>
              <w:t>期环</w:t>
            </w:r>
          </w:p>
          <w:p>
            <w:pPr>
              <w:adjustRightInd w:val="0"/>
              <w:snapToGrid w:val="0"/>
              <w:jc w:val="center"/>
              <w:rPr>
                <w:rFonts w:hint="eastAsia" w:cs="宋体"/>
                <w:bCs/>
                <w:color w:val="0C0C0C"/>
                <w:sz w:val="24"/>
                <w:szCs w:val="21"/>
                <w:highlight w:val="none"/>
              </w:rPr>
            </w:pPr>
            <w:r>
              <w:rPr>
                <w:rFonts w:hint="eastAsia" w:cs="宋体"/>
                <w:bCs/>
                <w:color w:val="0C0C0C"/>
                <w:sz w:val="24"/>
                <w:szCs w:val="21"/>
                <w:highlight w:val="none"/>
              </w:rPr>
              <w:t>境影</w:t>
            </w:r>
          </w:p>
          <w:p>
            <w:pPr>
              <w:adjustRightInd w:val="0"/>
              <w:snapToGrid w:val="0"/>
              <w:jc w:val="center"/>
              <w:rPr>
                <w:rFonts w:hint="eastAsia" w:cs="宋体"/>
                <w:bCs/>
                <w:color w:val="0C0C0C"/>
                <w:sz w:val="24"/>
                <w:szCs w:val="21"/>
                <w:highlight w:val="none"/>
              </w:rPr>
            </w:pPr>
            <w:r>
              <w:rPr>
                <w:rFonts w:hint="eastAsia" w:cs="宋体"/>
                <w:bCs/>
                <w:color w:val="0C0C0C"/>
                <w:sz w:val="24"/>
                <w:szCs w:val="21"/>
                <w:highlight w:val="none"/>
              </w:rPr>
              <w:t>响和</w:t>
            </w:r>
          </w:p>
          <w:p>
            <w:pPr>
              <w:adjustRightInd w:val="0"/>
              <w:snapToGrid w:val="0"/>
              <w:jc w:val="center"/>
              <w:rPr>
                <w:rFonts w:hint="eastAsia" w:cs="宋体"/>
                <w:bCs/>
                <w:color w:val="0C0C0C"/>
                <w:sz w:val="24"/>
                <w:szCs w:val="21"/>
                <w:highlight w:val="none"/>
              </w:rPr>
            </w:pPr>
            <w:r>
              <w:rPr>
                <w:rFonts w:hint="eastAsia" w:cs="宋体"/>
                <w:bCs/>
                <w:color w:val="0C0C0C"/>
                <w:sz w:val="24"/>
                <w:szCs w:val="21"/>
                <w:highlight w:val="none"/>
              </w:rPr>
              <w:t>保护</w:t>
            </w:r>
          </w:p>
          <w:p>
            <w:pPr>
              <w:pStyle w:val="23"/>
              <w:widowControl w:val="0"/>
              <w:adjustRightInd w:val="0"/>
              <w:snapToGrid w:val="0"/>
              <w:spacing w:before="0" w:beforeAutospacing="0" w:after="0" w:afterAutospacing="0"/>
              <w:jc w:val="center"/>
              <w:rPr>
                <w:rFonts w:hint="eastAsia" w:ascii="Times New Roman" w:hAnsi="Times New Roman" w:cs="宋体"/>
                <w:color w:val="0C0C0C"/>
                <w:kern w:val="2"/>
                <w:szCs w:val="21"/>
                <w:highlight w:val="none"/>
              </w:rPr>
            </w:pPr>
            <w:r>
              <w:rPr>
                <w:rFonts w:hint="eastAsia" w:ascii="Times New Roman" w:hAnsi="Times New Roman" w:cs="宋体"/>
                <w:bCs/>
                <w:color w:val="0C0C0C"/>
                <w:szCs w:val="21"/>
                <w:highlight w:val="none"/>
              </w:rPr>
              <w:t>措施</w:t>
            </w:r>
          </w:p>
        </w:tc>
        <w:tc>
          <w:tcPr>
            <w:tcW w:w="8900" w:type="dxa"/>
            <w:noWrap w:val="0"/>
            <w:vAlign w:val="center"/>
          </w:tcPr>
          <w:p>
            <w:pPr>
              <w:numPr>
                <w:ilvl w:val="0"/>
                <w:numId w:val="4"/>
              </w:numPr>
              <w:adjustRightInd w:val="0"/>
              <w:snapToGrid w:val="0"/>
              <w:spacing w:line="360" w:lineRule="auto"/>
              <w:ind w:firstLine="482" w:firstLineChars="200"/>
              <w:rPr>
                <w:b/>
                <w:bCs/>
                <w:color w:val="0C0C0C"/>
                <w:sz w:val="24"/>
                <w:highlight w:val="none"/>
              </w:rPr>
            </w:pPr>
            <w:r>
              <w:rPr>
                <w:rFonts w:hint="eastAsia"/>
                <w:b/>
                <w:bCs/>
                <w:color w:val="0C0C0C"/>
                <w:sz w:val="24"/>
                <w:highlight w:val="none"/>
              </w:rPr>
              <w:t>废气</w:t>
            </w:r>
          </w:p>
          <w:p>
            <w:pPr>
              <w:pStyle w:val="5"/>
              <w:adjustRightInd w:val="0"/>
              <w:spacing w:before="0" w:after="0" w:line="360" w:lineRule="auto"/>
              <w:ind w:left="420" w:firstLine="0"/>
              <w:outlineLvl w:val="0"/>
              <w:rPr>
                <w:rFonts w:hint="eastAsia" w:eastAsia="宋体"/>
                <w:color w:val="0C0C0C"/>
                <w:kern w:val="2"/>
                <w:sz w:val="24"/>
                <w:szCs w:val="24"/>
                <w:highlight w:val="none"/>
              </w:rPr>
            </w:pPr>
            <w:r>
              <w:rPr>
                <w:rFonts w:hint="eastAsia" w:eastAsia="宋体"/>
                <w:color w:val="0C0C0C"/>
                <w:kern w:val="2"/>
                <w:sz w:val="24"/>
                <w:szCs w:val="24"/>
                <w:highlight w:val="none"/>
              </w:rPr>
              <w:t>1.1废气源强</w:t>
            </w:r>
          </w:p>
          <w:p>
            <w:pPr>
              <w:adjustRightInd w:val="0"/>
              <w:snapToGrid w:val="0"/>
              <w:spacing w:line="360" w:lineRule="auto"/>
              <w:ind w:firstLine="480" w:firstLineChars="200"/>
              <w:rPr>
                <w:rFonts w:hint="eastAsia" w:cs="宋体"/>
                <w:bCs/>
                <w:color w:val="0C0C0C"/>
                <w:spacing w:val="-10"/>
                <w:sz w:val="24"/>
                <w:szCs w:val="21"/>
                <w:highlight w:val="none"/>
              </w:rPr>
            </w:pPr>
            <w:r>
              <w:rPr>
                <w:rFonts w:hint="eastAsia"/>
                <w:color w:val="0C0C0C"/>
                <w:sz w:val="24"/>
                <w:highlight w:val="none"/>
                <w:lang w:eastAsia="zh-CN" w:bidi="ar"/>
              </w:rPr>
              <w:t>本项目</w:t>
            </w:r>
            <w:r>
              <w:rPr>
                <w:rFonts w:hint="eastAsia"/>
                <w:color w:val="0C0C0C"/>
                <w:sz w:val="24"/>
                <w:highlight w:val="none"/>
              </w:rPr>
              <w:t>工艺</w:t>
            </w:r>
            <w:r>
              <w:rPr>
                <w:rFonts w:hint="eastAsia"/>
                <w:color w:val="0C0C0C"/>
                <w:sz w:val="24"/>
                <w:highlight w:val="none"/>
                <w:lang w:bidi="ar"/>
              </w:rPr>
              <w:t>废气主要包括：</w:t>
            </w:r>
            <w:r>
              <w:rPr>
                <w:rFonts w:hint="eastAsia"/>
                <w:color w:val="0C0C0C"/>
                <w:sz w:val="24"/>
                <w:highlight w:val="none"/>
                <w:lang w:eastAsia="zh-CN" w:bidi="ar"/>
              </w:rPr>
              <w:t>注塑废气、破碎废气、焊接废气</w:t>
            </w:r>
            <w:r>
              <w:rPr>
                <w:rFonts w:hint="eastAsia" w:cs="宋体"/>
                <w:bCs/>
                <w:color w:val="0C0C0C"/>
                <w:spacing w:val="-10"/>
                <w:sz w:val="24"/>
                <w:szCs w:val="21"/>
                <w:highlight w:val="none"/>
              </w:rPr>
              <w:t>。</w:t>
            </w:r>
          </w:p>
          <w:p>
            <w:pPr>
              <w:adjustRightInd w:val="0"/>
              <w:snapToGrid w:val="0"/>
              <w:jc w:val="center"/>
              <w:rPr>
                <w:b/>
                <w:bCs/>
                <w:color w:val="0C0C0C"/>
                <w:szCs w:val="21"/>
                <w:highlight w:val="none"/>
              </w:rPr>
            </w:pPr>
            <w:r>
              <w:rPr>
                <w:rFonts w:hint="eastAsia"/>
                <w:b/>
                <w:bCs/>
                <w:color w:val="0C0C0C"/>
                <w:szCs w:val="21"/>
                <w:highlight w:val="none"/>
              </w:rPr>
              <w:t>表</w:t>
            </w:r>
            <w:r>
              <w:rPr>
                <w:rFonts w:hint="eastAsia"/>
                <w:b/>
                <w:bCs/>
                <w:color w:val="0C0C0C"/>
                <w:szCs w:val="21"/>
                <w:highlight w:val="none"/>
                <w:lang w:val="en-US" w:eastAsia="zh-CN"/>
              </w:rPr>
              <w:t xml:space="preserve">4-1 </w:t>
            </w:r>
            <w:r>
              <w:rPr>
                <w:rFonts w:hint="eastAsia"/>
                <w:b/>
                <w:bCs/>
                <w:color w:val="0C0C0C"/>
                <w:szCs w:val="21"/>
                <w:highlight w:val="none"/>
              </w:rPr>
              <w:t>项目大气污染物源强核算结果一览表</w:t>
            </w:r>
          </w:p>
          <w:tbl>
            <w:tblPr>
              <w:tblStyle w:val="24"/>
              <w:tblW w:w="50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
              <w:gridCol w:w="597"/>
              <w:gridCol w:w="672"/>
              <w:gridCol w:w="672"/>
              <w:gridCol w:w="627"/>
              <w:gridCol w:w="761"/>
              <w:gridCol w:w="657"/>
              <w:gridCol w:w="634"/>
              <w:gridCol w:w="597"/>
              <w:gridCol w:w="763"/>
              <w:gridCol w:w="665"/>
              <w:gridCol w:w="747"/>
              <w:gridCol w:w="728"/>
              <w:gridCol w:w="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214" w:type="pct"/>
                  <w:vMerge w:val="restart"/>
                  <w:noWrap w:val="0"/>
                  <w:vAlign w:val="center"/>
                </w:tcPr>
                <w:p>
                  <w:pPr>
                    <w:adjustRightInd w:val="0"/>
                    <w:snapToGrid w:val="0"/>
                    <w:jc w:val="center"/>
                    <w:rPr>
                      <w:rFonts w:hint="eastAsia" w:ascii="宋体" w:hAnsi="宋体" w:cs="宋体"/>
                      <w:b/>
                      <w:bCs/>
                      <w:color w:val="0C0C0C"/>
                      <w:sz w:val="18"/>
                      <w:szCs w:val="18"/>
                      <w:highlight w:val="none"/>
                    </w:rPr>
                  </w:pPr>
                  <w:r>
                    <w:rPr>
                      <w:rFonts w:hint="eastAsia" w:ascii="宋体" w:hAnsi="宋体" w:cs="宋体"/>
                      <w:b/>
                      <w:bCs/>
                      <w:color w:val="0C0C0C"/>
                      <w:sz w:val="18"/>
                      <w:szCs w:val="18"/>
                      <w:highlight w:val="none"/>
                    </w:rPr>
                    <w:t>产污</w:t>
                  </w:r>
                </w:p>
                <w:p>
                  <w:pPr>
                    <w:adjustRightInd w:val="0"/>
                    <w:snapToGrid w:val="0"/>
                    <w:jc w:val="center"/>
                    <w:rPr>
                      <w:rFonts w:hint="eastAsia" w:ascii="宋体" w:hAnsi="宋体" w:cs="宋体"/>
                      <w:b/>
                      <w:bCs/>
                      <w:color w:val="0C0C0C"/>
                      <w:sz w:val="18"/>
                      <w:szCs w:val="18"/>
                      <w:highlight w:val="none"/>
                    </w:rPr>
                  </w:pPr>
                  <w:r>
                    <w:rPr>
                      <w:rFonts w:hint="eastAsia" w:ascii="宋体" w:hAnsi="宋体" w:cs="宋体"/>
                      <w:b/>
                      <w:bCs/>
                      <w:color w:val="0C0C0C"/>
                      <w:sz w:val="18"/>
                      <w:szCs w:val="18"/>
                      <w:highlight w:val="none"/>
                    </w:rPr>
                    <w:t>环节</w:t>
                  </w:r>
                </w:p>
              </w:tc>
              <w:tc>
                <w:tcPr>
                  <w:tcW w:w="338" w:type="pct"/>
                  <w:vMerge w:val="restart"/>
                  <w:noWrap w:val="0"/>
                  <w:vAlign w:val="center"/>
                </w:tcPr>
                <w:p>
                  <w:pPr>
                    <w:adjustRightInd w:val="0"/>
                    <w:snapToGrid w:val="0"/>
                    <w:jc w:val="center"/>
                    <w:rPr>
                      <w:rFonts w:hint="eastAsia" w:ascii="宋体" w:hAnsi="宋体" w:cs="宋体"/>
                      <w:b/>
                      <w:bCs/>
                      <w:color w:val="0C0C0C"/>
                      <w:sz w:val="18"/>
                      <w:szCs w:val="18"/>
                      <w:highlight w:val="none"/>
                    </w:rPr>
                  </w:pPr>
                  <w:r>
                    <w:rPr>
                      <w:rFonts w:hint="eastAsia" w:ascii="宋体" w:hAnsi="宋体" w:cs="宋体"/>
                      <w:b/>
                      <w:bCs/>
                      <w:color w:val="0C0C0C"/>
                      <w:sz w:val="18"/>
                      <w:szCs w:val="18"/>
                      <w:highlight w:val="none"/>
                    </w:rPr>
                    <w:t>污染物种类</w:t>
                  </w:r>
                </w:p>
              </w:tc>
              <w:tc>
                <w:tcPr>
                  <w:tcW w:w="1117" w:type="pct"/>
                  <w:gridSpan w:val="3"/>
                  <w:noWrap w:val="0"/>
                  <w:vAlign w:val="center"/>
                </w:tcPr>
                <w:p>
                  <w:pPr>
                    <w:adjustRightInd w:val="0"/>
                    <w:snapToGrid w:val="0"/>
                    <w:jc w:val="center"/>
                    <w:rPr>
                      <w:rFonts w:hint="eastAsia" w:ascii="宋体" w:hAnsi="宋体" w:cs="宋体"/>
                      <w:b/>
                      <w:bCs/>
                      <w:color w:val="0C0C0C"/>
                      <w:sz w:val="18"/>
                      <w:szCs w:val="18"/>
                      <w:highlight w:val="none"/>
                    </w:rPr>
                  </w:pPr>
                  <w:r>
                    <w:rPr>
                      <w:rFonts w:hint="eastAsia" w:ascii="宋体" w:hAnsi="宋体" w:cs="宋体"/>
                      <w:b/>
                      <w:bCs/>
                      <w:color w:val="0C0C0C"/>
                      <w:sz w:val="18"/>
                      <w:szCs w:val="18"/>
                      <w:highlight w:val="none"/>
                    </w:rPr>
                    <w:t>污染物产生</w:t>
                  </w:r>
                </w:p>
              </w:tc>
              <w:tc>
                <w:tcPr>
                  <w:tcW w:w="1934" w:type="pct"/>
                  <w:gridSpan w:val="5"/>
                  <w:noWrap w:val="0"/>
                  <w:vAlign w:val="center"/>
                </w:tcPr>
                <w:p>
                  <w:pPr>
                    <w:adjustRightInd w:val="0"/>
                    <w:snapToGrid w:val="0"/>
                    <w:jc w:val="center"/>
                    <w:rPr>
                      <w:rFonts w:hint="eastAsia" w:ascii="宋体" w:hAnsi="宋体" w:cs="宋体"/>
                      <w:b/>
                      <w:bCs/>
                      <w:color w:val="0C0C0C"/>
                      <w:sz w:val="18"/>
                      <w:szCs w:val="18"/>
                      <w:highlight w:val="none"/>
                    </w:rPr>
                  </w:pPr>
                  <w:r>
                    <w:rPr>
                      <w:rFonts w:hint="eastAsia" w:ascii="宋体" w:hAnsi="宋体" w:cs="宋体"/>
                      <w:b/>
                      <w:bCs/>
                      <w:color w:val="0C0C0C"/>
                      <w:sz w:val="18"/>
                      <w:szCs w:val="18"/>
                      <w:highlight w:val="none"/>
                    </w:rPr>
                    <w:t>治理效率</w:t>
                  </w:r>
                </w:p>
              </w:tc>
              <w:tc>
                <w:tcPr>
                  <w:tcW w:w="1213" w:type="pct"/>
                  <w:gridSpan w:val="3"/>
                  <w:noWrap w:val="0"/>
                  <w:vAlign w:val="center"/>
                </w:tcPr>
                <w:p>
                  <w:pPr>
                    <w:adjustRightInd w:val="0"/>
                    <w:snapToGrid w:val="0"/>
                    <w:jc w:val="center"/>
                    <w:rPr>
                      <w:rFonts w:hint="eastAsia" w:ascii="宋体" w:hAnsi="宋体" w:cs="宋体"/>
                      <w:b/>
                      <w:bCs/>
                      <w:color w:val="0C0C0C"/>
                      <w:sz w:val="18"/>
                      <w:szCs w:val="18"/>
                      <w:highlight w:val="none"/>
                    </w:rPr>
                  </w:pPr>
                  <w:r>
                    <w:rPr>
                      <w:rFonts w:hint="eastAsia" w:ascii="宋体" w:hAnsi="宋体" w:cs="宋体"/>
                      <w:b/>
                      <w:bCs/>
                      <w:color w:val="0C0C0C"/>
                      <w:sz w:val="18"/>
                      <w:szCs w:val="18"/>
                      <w:highlight w:val="none"/>
                    </w:rPr>
                    <w:t>排放情况</w:t>
                  </w:r>
                </w:p>
              </w:tc>
              <w:tc>
                <w:tcPr>
                  <w:tcW w:w="180" w:type="pct"/>
                  <w:vMerge w:val="restart"/>
                  <w:noWrap w:val="0"/>
                  <w:vAlign w:val="center"/>
                </w:tcPr>
                <w:p>
                  <w:pPr>
                    <w:adjustRightInd w:val="0"/>
                    <w:snapToGrid w:val="0"/>
                    <w:jc w:val="center"/>
                    <w:rPr>
                      <w:b/>
                      <w:bCs/>
                      <w:color w:val="0C0C0C"/>
                      <w:sz w:val="15"/>
                      <w:szCs w:val="15"/>
                      <w:highlight w:val="none"/>
                    </w:rPr>
                  </w:pPr>
                  <w:r>
                    <w:rPr>
                      <w:b/>
                      <w:bCs/>
                      <w:color w:val="0C0C0C"/>
                      <w:sz w:val="18"/>
                      <w:szCs w:val="18"/>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14" w:type="pct"/>
                  <w:vMerge w:val="continue"/>
                  <w:noWrap w:val="0"/>
                  <w:vAlign w:val="center"/>
                </w:tcPr>
                <w:p>
                  <w:pPr>
                    <w:adjustRightInd w:val="0"/>
                    <w:snapToGrid w:val="0"/>
                    <w:jc w:val="center"/>
                    <w:rPr>
                      <w:rFonts w:hint="eastAsia" w:ascii="宋体" w:hAnsi="宋体" w:cs="宋体"/>
                      <w:b/>
                      <w:bCs/>
                      <w:color w:val="0C0C0C"/>
                      <w:sz w:val="18"/>
                      <w:szCs w:val="18"/>
                      <w:highlight w:val="none"/>
                    </w:rPr>
                  </w:pPr>
                </w:p>
              </w:tc>
              <w:tc>
                <w:tcPr>
                  <w:tcW w:w="338" w:type="pct"/>
                  <w:vMerge w:val="continue"/>
                  <w:noWrap w:val="0"/>
                  <w:vAlign w:val="center"/>
                </w:tcPr>
                <w:p>
                  <w:pPr>
                    <w:adjustRightInd w:val="0"/>
                    <w:snapToGrid w:val="0"/>
                    <w:jc w:val="center"/>
                    <w:rPr>
                      <w:rFonts w:hint="eastAsia" w:ascii="宋体" w:hAnsi="宋体" w:cs="宋体"/>
                      <w:b/>
                      <w:bCs/>
                      <w:color w:val="0C0C0C"/>
                      <w:sz w:val="18"/>
                      <w:szCs w:val="18"/>
                      <w:highlight w:val="none"/>
                    </w:rPr>
                  </w:pPr>
                </w:p>
              </w:tc>
              <w:tc>
                <w:tcPr>
                  <w:tcW w:w="381"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产生量t/a</w:t>
                  </w:r>
                </w:p>
              </w:tc>
              <w:tc>
                <w:tcPr>
                  <w:tcW w:w="381"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速率kg/h</w:t>
                  </w:r>
                </w:p>
              </w:tc>
              <w:tc>
                <w:tcPr>
                  <w:tcW w:w="355"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浓度mg/m</w:t>
                  </w:r>
                  <w:r>
                    <w:rPr>
                      <w:b/>
                      <w:bCs/>
                      <w:color w:val="0C0C0C"/>
                      <w:sz w:val="18"/>
                      <w:szCs w:val="18"/>
                      <w:highlight w:val="none"/>
                      <w:vertAlign w:val="superscript"/>
                    </w:rPr>
                    <w:t>3</w:t>
                  </w:r>
                </w:p>
              </w:tc>
              <w:tc>
                <w:tcPr>
                  <w:tcW w:w="431"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工艺</w:t>
                  </w:r>
                </w:p>
              </w:tc>
              <w:tc>
                <w:tcPr>
                  <w:tcW w:w="372"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处理能力m</w:t>
                  </w:r>
                  <w:r>
                    <w:rPr>
                      <w:b/>
                      <w:bCs/>
                      <w:color w:val="0C0C0C"/>
                      <w:sz w:val="18"/>
                      <w:szCs w:val="18"/>
                      <w:highlight w:val="none"/>
                      <w:vertAlign w:val="superscript"/>
                    </w:rPr>
                    <w:t>3</w:t>
                  </w:r>
                  <w:r>
                    <w:rPr>
                      <w:b/>
                      <w:bCs/>
                      <w:color w:val="0C0C0C"/>
                      <w:sz w:val="18"/>
                      <w:szCs w:val="18"/>
                      <w:highlight w:val="none"/>
                    </w:rPr>
                    <w:t>/h</w:t>
                  </w:r>
                </w:p>
              </w:tc>
              <w:tc>
                <w:tcPr>
                  <w:tcW w:w="359"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收集效率%</w:t>
                  </w:r>
                </w:p>
              </w:tc>
              <w:tc>
                <w:tcPr>
                  <w:tcW w:w="338"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去除效率%</w:t>
                  </w:r>
                </w:p>
              </w:tc>
              <w:tc>
                <w:tcPr>
                  <w:tcW w:w="432"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是否为可行技术</w:t>
                  </w:r>
                </w:p>
              </w:tc>
              <w:tc>
                <w:tcPr>
                  <w:tcW w:w="377"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排放量t/a</w:t>
                  </w:r>
                </w:p>
              </w:tc>
              <w:tc>
                <w:tcPr>
                  <w:tcW w:w="423"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排放速率kg/h</w:t>
                  </w:r>
                </w:p>
              </w:tc>
              <w:tc>
                <w:tcPr>
                  <w:tcW w:w="412" w:type="pct"/>
                  <w:noWrap w:val="0"/>
                  <w:vAlign w:val="center"/>
                </w:tcPr>
                <w:p>
                  <w:pPr>
                    <w:adjustRightInd w:val="0"/>
                    <w:snapToGrid w:val="0"/>
                    <w:jc w:val="center"/>
                    <w:rPr>
                      <w:b/>
                      <w:bCs/>
                      <w:color w:val="0C0C0C"/>
                      <w:sz w:val="18"/>
                      <w:szCs w:val="18"/>
                      <w:highlight w:val="none"/>
                    </w:rPr>
                  </w:pPr>
                  <w:r>
                    <w:rPr>
                      <w:b/>
                      <w:bCs/>
                      <w:color w:val="0C0C0C"/>
                      <w:sz w:val="18"/>
                      <w:szCs w:val="18"/>
                      <w:highlight w:val="none"/>
                    </w:rPr>
                    <w:t>排放</w:t>
                  </w:r>
                </w:p>
                <w:p>
                  <w:pPr>
                    <w:adjustRightInd w:val="0"/>
                    <w:snapToGrid w:val="0"/>
                    <w:jc w:val="center"/>
                    <w:rPr>
                      <w:b/>
                      <w:bCs/>
                      <w:color w:val="0C0C0C"/>
                      <w:sz w:val="18"/>
                      <w:szCs w:val="18"/>
                      <w:highlight w:val="none"/>
                    </w:rPr>
                  </w:pPr>
                  <w:r>
                    <w:rPr>
                      <w:b/>
                      <w:bCs/>
                      <w:color w:val="0C0C0C"/>
                      <w:sz w:val="18"/>
                      <w:szCs w:val="18"/>
                      <w:highlight w:val="none"/>
                    </w:rPr>
                    <w:t>浓度mg/m</w:t>
                  </w:r>
                  <w:r>
                    <w:rPr>
                      <w:b/>
                      <w:bCs/>
                      <w:color w:val="0C0C0C"/>
                      <w:sz w:val="18"/>
                      <w:szCs w:val="18"/>
                      <w:highlight w:val="none"/>
                      <w:vertAlign w:val="superscript"/>
                    </w:rPr>
                    <w:t>3</w:t>
                  </w:r>
                </w:p>
              </w:tc>
              <w:tc>
                <w:tcPr>
                  <w:tcW w:w="180" w:type="pct"/>
                  <w:vMerge w:val="continue"/>
                  <w:noWrap w:val="0"/>
                  <w:vAlign w:val="center"/>
                </w:tcPr>
                <w:p>
                  <w:pPr>
                    <w:adjustRightInd w:val="0"/>
                    <w:snapToGrid w:val="0"/>
                    <w:jc w:val="center"/>
                    <w:rPr>
                      <w:b/>
                      <w:bCs/>
                      <w:color w:val="0C0C0C"/>
                      <w:sz w:val="15"/>
                      <w:szCs w:val="15"/>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14" w:type="pct"/>
                  <w:vMerge w:val="restart"/>
                  <w:noWrap w:val="0"/>
                  <w:vAlign w:val="center"/>
                </w:tcPr>
                <w:p>
                  <w:pPr>
                    <w:adjustRightInd w:val="0"/>
                    <w:snapToGrid w:val="0"/>
                    <w:jc w:val="center"/>
                    <w:rPr>
                      <w:rFonts w:hint="default" w:eastAsia="宋体"/>
                      <w:color w:val="0C0C0C"/>
                      <w:sz w:val="18"/>
                      <w:szCs w:val="18"/>
                      <w:highlight w:val="none"/>
                      <w:lang w:val="en-US" w:eastAsia="zh-CN"/>
                    </w:rPr>
                  </w:pPr>
                  <w:r>
                    <w:rPr>
                      <w:rFonts w:hint="eastAsia"/>
                      <w:color w:val="0C0C0C"/>
                      <w:sz w:val="18"/>
                      <w:szCs w:val="18"/>
                      <w:highlight w:val="none"/>
                      <w:lang w:eastAsia="zh-CN"/>
                    </w:rPr>
                    <w:t>注塑</w:t>
                  </w:r>
                </w:p>
              </w:tc>
              <w:tc>
                <w:tcPr>
                  <w:tcW w:w="338" w:type="pct"/>
                  <w:vMerge w:val="restart"/>
                  <w:noWrap w:val="0"/>
                  <w:vAlign w:val="center"/>
                </w:tcPr>
                <w:p>
                  <w:pPr>
                    <w:adjustRightInd w:val="0"/>
                    <w:snapToGrid w:val="0"/>
                    <w:jc w:val="center"/>
                    <w:rPr>
                      <w:color w:val="0C0C0C"/>
                      <w:sz w:val="18"/>
                      <w:szCs w:val="18"/>
                      <w:highlight w:val="none"/>
                    </w:rPr>
                  </w:pPr>
                  <w:r>
                    <w:rPr>
                      <w:rFonts w:hint="eastAsia"/>
                      <w:color w:val="0C0C0C"/>
                      <w:sz w:val="18"/>
                      <w:szCs w:val="18"/>
                      <w:highlight w:val="none"/>
                    </w:rPr>
                    <w:t>非甲烷总烃</w:t>
                  </w:r>
                </w:p>
              </w:tc>
              <w:tc>
                <w:tcPr>
                  <w:tcW w:w="381"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eastAsia="宋体"/>
                      <w:color w:val="0C0C0C"/>
                      <w:sz w:val="18"/>
                      <w:szCs w:val="18"/>
                      <w:highlight w:val="none"/>
                      <w:lang w:val="en-US" w:eastAsia="zh-CN"/>
                    </w:rPr>
                    <w:t>0.089</w:t>
                  </w:r>
                </w:p>
              </w:tc>
              <w:tc>
                <w:tcPr>
                  <w:tcW w:w="381"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eastAsia="宋体"/>
                      <w:color w:val="0C0C0C"/>
                      <w:sz w:val="18"/>
                      <w:szCs w:val="18"/>
                      <w:highlight w:val="none"/>
                      <w:lang w:val="en-US" w:eastAsia="zh-CN"/>
                    </w:rPr>
                    <w:t>0.025</w:t>
                  </w:r>
                </w:p>
              </w:tc>
              <w:tc>
                <w:tcPr>
                  <w:tcW w:w="355"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eastAsia="宋体"/>
                      <w:color w:val="0C0C0C"/>
                      <w:sz w:val="18"/>
                      <w:szCs w:val="18"/>
                      <w:highlight w:val="none"/>
                      <w:lang w:val="en-US" w:eastAsia="zh-CN"/>
                    </w:rPr>
                    <w:t>4.13</w:t>
                  </w:r>
                </w:p>
              </w:tc>
              <w:tc>
                <w:tcPr>
                  <w:tcW w:w="431"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color w:val="0C0C0C"/>
                      <w:sz w:val="18"/>
                      <w:szCs w:val="18"/>
                      <w:highlight w:val="none"/>
                      <w:lang w:val="en-US" w:eastAsia="zh-CN"/>
                    </w:rPr>
                    <w:t>二级活性炭吸附</w:t>
                  </w:r>
                </w:p>
              </w:tc>
              <w:tc>
                <w:tcPr>
                  <w:tcW w:w="372" w:type="pct"/>
                  <w:noWrap w:val="0"/>
                  <w:vAlign w:val="center"/>
                </w:tcPr>
                <w:p>
                  <w:pPr>
                    <w:adjustRightInd w:val="0"/>
                    <w:snapToGrid w:val="0"/>
                    <w:jc w:val="center"/>
                    <w:rPr>
                      <w:rFonts w:hint="default" w:eastAsia="宋体"/>
                      <w:color w:val="0C0C0C"/>
                      <w:sz w:val="16"/>
                      <w:szCs w:val="16"/>
                      <w:highlight w:val="none"/>
                      <w:lang w:val="en-US" w:eastAsia="zh-CN"/>
                    </w:rPr>
                  </w:pPr>
                  <w:r>
                    <w:rPr>
                      <w:rFonts w:hint="eastAsia" w:eastAsia="宋体"/>
                      <w:color w:val="0C0C0C"/>
                      <w:sz w:val="16"/>
                      <w:szCs w:val="16"/>
                      <w:highlight w:val="none"/>
                      <w:lang w:val="en-US" w:eastAsia="zh-CN"/>
                    </w:rPr>
                    <w:t>6000</w:t>
                  </w:r>
                </w:p>
              </w:tc>
              <w:tc>
                <w:tcPr>
                  <w:tcW w:w="359"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color w:val="0C0C0C"/>
                      <w:sz w:val="18"/>
                      <w:szCs w:val="18"/>
                      <w:highlight w:val="none"/>
                      <w:lang w:val="en-US" w:eastAsia="zh-CN"/>
                    </w:rPr>
                    <w:t>60</w:t>
                  </w:r>
                </w:p>
              </w:tc>
              <w:tc>
                <w:tcPr>
                  <w:tcW w:w="338"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color w:val="0C0C0C"/>
                      <w:sz w:val="18"/>
                      <w:szCs w:val="18"/>
                      <w:highlight w:val="none"/>
                      <w:lang w:val="en-US" w:eastAsia="zh-CN"/>
                    </w:rPr>
                    <w:t>80</w:t>
                  </w:r>
                </w:p>
              </w:tc>
              <w:tc>
                <w:tcPr>
                  <w:tcW w:w="432" w:type="pct"/>
                  <w:noWrap w:val="0"/>
                  <w:vAlign w:val="center"/>
                </w:tcPr>
                <w:p>
                  <w:pPr>
                    <w:adjustRightInd w:val="0"/>
                    <w:snapToGrid w:val="0"/>
                    <w:jc w:val="center"/>
                    <w:rPr>
                      <w:rFonts w:hint="eastAsia"/>
                      <w:color w:val="0C0C0C"/>
                      <w:sz w:val="18"/>
                      <w:szCs w:val="18"/>
                      <w:highlight w:val="none"/>
                    </w:rPr>
                  </w:pPr>
                  <w:r>
                    <w:rPr>
                      <w:rFonts w:hint="eastAsia"/>
                      <w:color w:val="0C0C0C"/>
                      <w:sz w:val="18"/>
                      <w:szCs w:val="18"/>
                      <w:highlight w:val="none"/>
                    </w:rPr>
                    <w:t>是</w:t>
                  </w:r>
                </w:p>
              </w:tc>
              <w:tc>
                <w:tcPr>
                  <w:tcW w:w="377"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eastAsia="宋体"/>
                      <w:color w:val="0C0C0C"/>
                      <w:sz w:val="18"/>
                      <w:szCs w:val="18"/>
                      <w:highlight w:val="none"/>
                      <w:lang w:val="en-US" w:eastAsia="zh-CN"/>
                    </w:rPr>
                    <w:t>0.018</w:t>
                  </w:r>
                </w:p>
              </w:tc>
              <w:tc>
                <w:tcPr>
                  <w:tcW w:w="423"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eastAsia="宋体"/>
                      <w:color w:val="0C0C0C"/>
                      <w:sz w:val="18"/>
                      <w:szCs w:val="18"/>
                      <w:highlight w:val="none"/>
                      <w:lang w:val="en-US" w:eastAsia="zh-CN"/>
                    </w:rPr>
                    <w:t>0.005</w:t>
                  </w:r>
                </w:p>
              </w:tc>
              <w:tc>
                <w:tcPr>
                  <w:tcW w:w="412"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eastAsia="宋体"/>
                      <w:color w:val="0C0C0C"/>
                      <w:sz w:val="18"/>
                      <w:szCs w:val="18"/>
                      <w:highlight w:val="none"/>
                      <w:lang w:val="en-US" w:eastAsia="zh-CN"/>
                    </w:rPr>
                    <w:t>0.825</w:t>
                  </w:r>
                </w:p>
              </w:tc>
              <w:tc>
                <w:tcPr>
                  <w:tcW w:w="180" w:type="pct"/>
                  <w:noWrap w:val="0"/>
                  <w:vAlign w:val="center"/>
                </w:tcPr>
                <w:p>
                  <w:pPr>
                    <w:adjustRightInd w:val="0"/>
                    <w:snapToGrid w:val="0"/>
                    <w:jc w:val="center"/>
                    <w:rPr>
                      <w:color w:val="0C0C0C"/>
                      <w:sz w:val="18"/>
                      <w:szCs w:val="18"/>
                      <w:highlight w:val="none"/>
                    </w:rPr>
                  </w:pPr>
                  <w:r>
                    <w:rPr>
                      <w:rFonts w:hint="eastAsia"/>
                      <w:color w:val="0C0C0C"/>
                      <w:sz w:val="18"/>
                      <w:szCs w:val="18"/>
                      <w:highlight w:val="none"/>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14" w:type="pct"/>
                  <w:vMerge w:val="continue"/>
                  <w:noWrap w:val="0"/>
                  <w:vAlign w:val="center"/>
                </w:tcPr>
                <w:p>
                  <w:pPr>
                    <w:adjustRightInd w:val="0"/>
                    <w:snapToGrid w:val="0"/>
                    <w:jc w:val="center"/>
                    <w:rPr>
                      <w:rFonts w:hint="eastAsia"/>
                      <w:color w:val="0C0C0C"/>
                      <w:sz w:val="18"/>
                      <w:szCs w:val="18"/>
                      <w:highlight w:val="none"/>
                    </w:rPr>
                  </w:pPr>
                </w:p>
              </w:tc>
              <w:tc>
                <w:tcPr>
                  <w:tcW w:w="338" w:type="pct"/>
                  <w:vMerge w:val="continue"/>
                  <w:noWrap w:val="0"/>
                  <w:vAlign w:val="center"/>
                </w:tcPr>
                <w:p>
                  <w:pPr>
                    <w:adjustRightInd w:val="0"/>
                    <w:snapToGrid w:val="0"/>
                    <w:jc w:val="center"/>
                    <w:rPr>
                      <w:color w:val="0C0C0C"/>
                      <w:sz w:val="18"/>
                      <w:szCs w:val="18"/>
                      <w:highlight w:val="none"/>
                    </w:rPr>
                  </w:pPr>
                </w:p>
              </w:tc>
              <w:tc>
                <w:tcPr>
                  <w:tcW w:w="381"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eastAsia="宋体"/>
                      <w:color w:val="0C0C0C"/>
                      <w:sz w:val="18"/>
                      <w:szCs w:val="18"/>
                      <w:highlight w:val="none"/>
                      <w:lang w:val="en-US" w:eastAsia="zh-CN"/>
                    </w:rPr>
                    <w:t>0.059</w:t>
                  </w:r>
                </w:p>
              </w:tc>
              <w:tc>
                <w:tcPr>
                  <w:tcW w:w="381"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eastAsia="宋体"/>
                      <w:color w:val="0C0C0C"/>
                      <w:sz w:val="18"/>
                      <w:szCs w:val="18"/>
                      <w:highlight w:val="none"/>
                      <w:lang w:val="en-US" w:eastAsia="zh-CN"/>
                    </w:rPr>
                    <w:t>0.017</w:t>
                  </w:r>
                </w:p>
              </w:tc>
              <w:tc>
                <w:tcPr>
                  <w:tcW w:w="355" w:type="pct"/>
                  <w:noWrap w:val="0"/>
                  <w:vAlign w:val="center"/>
                </w:tcPr>
                <w:p>
                  <w:pPr>
                    <w:adjustRightInd w:val="0"/>
                    <w:snapToGrid w:val="0"/>
                    <w:jc w:val="center"/>
                    <w:rPr>
                      <w:rFonts w:hint="eastAsia" w:eastAsia="宋体"/>
                      <w:color w:val="0C0C0C"/>
                      <w:sz w:val="18"/>
                      <w:szCs w:val="18"/>
                      <w:highlight w:val="none"/>
                      <w:lang w:val="en-US" w:eastAsia="zh-CN"/>
                    </w:rPr>
                  </w:pPr>
                  <w:r>
                    <w:rPr>
                      <w:rFonts w:hint="eastAsia"/>
                      <w:color w:val="0C0C0C"/>
                      <w:sz w:val="18"/>
                      <w:szCs w:val="18"/>
                      <w:highlight w:val="none"/>
                      <w:lang w:val="en-US" w:eastAsia="zh-CN"/>
                    </w:rPr>
                    <w:t>/</w:t>
                  </w:r>
                </w:p>
              </w:tc>
              <w:tc>
                <w:tcPr>
                  <w:tcW w:w="431" w:type="pct"/>
                  <w:noWrap w:val="0"/>
                  <w:vAlign w:val="center"/>
                </w:tcPr>
                <w:p>
                  <w:pPr>
                    <w:adjustRightInd w:val="0"/>
                    <w:snapToGrid w:val="0"/>
                    <w:jc w:val="center"/>
                    <w:rPr>
                      <w:rFonts w:hint="eastAsia" w:eastAsia="宋体"/>
                      <w:color w:val="0C0C0C"/>
                      <w:sz w:val="18"/>
                      <w:szCs w:val="18"/>
                      <w:highlight w:val="none"/>
                      <w:lang w:val="en-US" w:eastAsia="zh-CN"/>
                    </w:rPr>
                  </w:pPr>
                  <w:r>
                    <w:rPr>
                      <w:rFonts w:hint="eastAsia"/>
                      <w:color w:val="0C0C0C"/>
                      <w:sz w:val="18"/>
                      <w:szCs w:val="18"/>
                      <w:highlight w:val="none"/>
                      <w:lang w:val="en-US" w:eastAsia="zh-CN"/>
                    </w:rPr>
                    <w:t>/</w:t>
                  </w:r>
                </w:p>
              </w:tc>
              <w:tc>
                <w:tcPr>
                  <w:tcW w:w="372" w:type="pct"/>
                  <w:noWrap w:val="0"/>
                  <w:vAlign w:val="center"/>
                </w:tcPr>
                <w:p>
                  <w:pPr>
                    <w:adjustRightInd w:val="0"/>
                    <w:snapToGrid w:val="0"/>
                    <w:jc w:val="center"/>
                    <w:rPr>
                      <w:rFonts w:hint="eastAsia" w:eastAsia="宋体"/>
                      <w:color w:val="0C0C0C"/>
                      <w:sz w:val="16"/>
                      <w:szCs w:val="16"/>
                      <w:highlight w:val="none"/>
                      <w:lang w:val="en-US" w:eastAsia="zh-CN"/>
                    </w:rPr>
                  </w:pPr>
                  <w:r>
                    <w:rPr>
                      <w:rFonts w:hint="eastAsia"/>
                      <w:color w:val="0C0C0C"/>
                      <w:sz w:val="16"/>
                      <w:szCs w:val="16"/>
                      <w:highlight w:val="none"/>
                      <w:lang w:val="en-US" w:eastAsia="zh-CN"/>
                    </w:rPr>
                    <w:t>/</w:t>
                  </w:r>
                </w:p>
              </w:tc>
              <w:tc>
                <w:tcPr>
                  <w:tcW w:w="359" w:type="pct"/>
                  <w:noWrap w:val="0"/>
                  <w:vAlign w:val="center"/>
                </w:tcPr>
                <w:p>
                  <w:pPr>
                    <w:adjustRightInd w:val="0"/>
                    <w:snapToGrid w:val="0"/>
                    <w:jc w:val="center"/>
                    <w:rPr>
                      <w:rFonts w:hint="eastAsia"/>
                      <w:color w:val="0C0C0C"/>
                      <w:sz w:val="18"/>
                      <w:szCs w:val="18"/>
                      <w:highlight w:val="none"/>
                    </w:rPr>
                  </w:pPr>
                  <w:r>
                    <w:rPr>
                      <w:rFonts w:hint="eastAsia"/>
                      <w:color w:val="0C0C0C"/>
                      <w:sz w:val="18"/>
                      <w:szCs w:val="18"/>
                      <w:highlight w:val="none"/>
                    </w:rPr>
                    <w:t>/</w:t>
                  </w:r>
                </w:p>
              </w:tc>
              <w:tc>
                <w:tcPr>
                  <w:tcW w:w="338" w:type="pct"/>
                  <w:noWrap w:val="0"/>
                  <w:vAlign w:val="center"/>
                </w:tcPr>
                <w:p>
                  <w:pPr>
                    <w:adjustRightInd w:val="0"/>
                    <w:snapToGrid w:val="0"/>
                    <w:jc w:val="center"/>
                    <w:rPr>
                      <w:rFonts w:hint="eastAsia"/>
                      <w:color w:val="0C0C0C"/>
                      <w:sz w:val="18"/>
                      <w:szCs w:val="18"/>
                      <w:highlight w:val="none"/>
                    </w:rPr>
                  </w:pPr>
                  <w:r>
                    <w:rPr>
                      <w:rFonts w:hint="eastAsia"/>
                      <w:color w:val="0C0C0C"/>
                      <w:sz w:val="18"/>
                      <w:szCs w:val="18"/>
                      <w:highlight w:val="none"/>
                    </w:rPr>
                    <w:t>/</w:t>
                  </w:r>
                </w:p>
              </w:tc>
              <w:tc>
                <w:tcPr>
                  <w:tcW w:w="432" w:type="pct"/>
                  <w:noWrap w:val="0"/>
                  <w:vAlign w:val="center"/>
                </w:tcPr>
                <w:p>
                  <w:pPr>
                    <w:adjustRightInd w:val="0"/>
                    <w:snapToGrid w:val="0"/>
                    <w:jc w:val="center"/>
                    <w:rPr>
                      <w:rFonts w:hint="eastAsia"/>
                      <w:color w:val="0C0C0C"/>
                      <w:sz w:val="18"/>
                      <w:szCs w:val="18"/>
                      <w:highlight w:val="none"/>
                    </w:rPr>
                  </w:pPr>
                  <w:r>
                    <w:rPr>
                      <w:rFonts w:hint="eastAsia"/>
                      <w:color w:val="0C0C0C"/>
                      <w:sz w:val="18"/>
                      <w:szCs w:val="18"/>
                      <w:highlight w:val="none"/>
                    </w:rPr>
                    <w:t>/</w:t>
                  </w:r>
                </w:p>
              </w:tc>
              <w:tc>
                <w:tcPr>
                  <w:tcW w:w="377"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color w:val="0C0C0C"/>
                      <w:sz w:val="18"/>
                      <w:szCs w:val="18"/>
                      <w:highlight w:val="none"/>
                      <w:lang w:val="en-US" w:eastAsia="zh-CN"/>
                    </w:rPr>
                    <w:t>0.059</w:t>
                  </w:r>
                </w:p>
              </w:tc>
              <w:tc>
                <w:tcPr>
                  <w:tcW w:w="423" w:type="pct"/>
                  <w:noWrap w:val="0"/>
                  <w:vAlign w:val="center"/>
                </w:tcPr>
                <w:p>
                  <w:pPr>
                    <w:adjustRightInd w:val="0"/>
                    <w:snapToGrid w:val="0"/>
                    <w:jc w:val="center"/>
                    <w:rPr>
                      <w:rFonts w:hint="default" w:eastAsia="宋体"/>
                      <w:color w:val="0C0C0C"/>
                      <w:sz w:val="18"/>
                      <w:szCs w:val="18"/>
                      <w:highlight w:val="none"/>
                      <w:lang w:val="en-US" w:eastAsia="zh-CN"/>
                    </w:rPr>
                  </w:pPr>
                  <w:r>
                    <w:rPr>
                      <w:rFonts w:hint="eastAsia"/>
                      <w:color w:val="0C0C0C"/>
                      <w:sz w:val="18"/>
                      <w:szCs w:val="18"/>
                      <w:highlight w:val="none"/>
                      <w:lang w:val="en-US" w:eastAsia="zh-CN"/>
                    </w:rPr>
                    <w:t>0.017</w:t>
                  </w:r>
                </w:p>
              </w:tc>
              <w:tc>
                <w:tcPr>
                  <w:tcW w:w="412" w:type="pct"/>
                  <w:noWrap w:val="0"/>
                  <w:vAlign w:val="center"/>
                </w:tcPr>
                <w:p>
                  <w:pPr>
                    <w:adjustRightInd w:val="0"/>
                    <w:snapToGrid w:val="0"/>
                    <w:jc w:val="center"/>
                    <w:rPr>
                      <w:rFonts w:hint="eastAsia"/>
                      <w:color w:val="0C0C0C"/>
                      <w:sz w:val="18"/>
                      <w:szCs w:val="18"/>
                      <w:highlight w:val="none"/>
                    </w:rPr>
                  </w:pPr>
                  <w:r>
                    <w:rPr>
                      <w:rFonts w:hint="eastAsia"/>
                      <w:color w:val="0C0C0C"/>
                      <w:sz w:val="18"/>
                      <w:szCs w:val="18"/>
                      <w:highlight w:val="none"/>
                      <w:lang w:val="en-US" w:eastAsia="zh-CN"/>
                    </w:rPr>
                    <w:t>/</w:t>
                  </w:r>
                </w:p>
              </w:tc>
              <w:tc>
                <w:tcPr>
                  <w:tcW w:w="180" w:type="pct"/>
                  <w:noWrap w:val="0"/>
                  <w:vAlign w:val="center"/>
                </w:tcPr>
                <w:p>
                  <w:pPr>
                    <w:adjustRightInd w:val="0"/>
                    <w:snapToGrid w:val="0"/>
                    <w:jc w:val="center"/>
                    <w:rPr>
                      <w:color w:val="0C0C0C"/>
                      <w:sz w:val="18"/>
                      <w:szCs w:val="18"/>
                      <w:highlight w:val="none"/>
                    </w:rPr>
                  </w:pPr>
                  <w:r>
                    <w:rPr>
                      <w:rFonts w:hint="eastAsia"/>
                      <w:color w:val="0C0C0C"/>
                      <w:sz w:val="18"/>
                      <w:szCs w:val="18"/>
                      <w:highlight w:val="none"/>
                    </w:rPr>
                    <w:t>无组织</w:t>
                  </w:r>
                </w:p>
              </w:tc>
            </w:tr>
          </w:tbl>
          <w:p>
            <w:pPr>
              <w:snapToGrid w:val="0"/>
              <w:spacing w:line="360" w:lineRule="auto"/>
              <w:ind w:left="420" w:leftChars="200"/>
              <w:rPr>
                <w:rFonts w:hint="eastAsia" w:ascii="宋体" w:hAnsi="宋体" w:eastAsia="宋体"/>
                <w:b/>
                <w:bCs/>
                <w:color w:val="0C0C0C"/>
                <w:sz w:val="24"/>
                <w:highlight w:val="none"/>
                <w:lang w:eastAsia="zh-CN" w:bidi="ar"/>
              </w:rPr>
            </w:pPr>
            <w:r>
              <w:rPr>
                <w:rFonts w:hint="eastAsia" w:ascii="宋体" w:hAnsi="宋体"/>
                <w:b/>
                <w:bCs/>
                <w:color w:val="0C0C0C"/>
                <w:sz w:val="24"/>
                <w:highlight w:val="none"/>
                <w:lang w:bidi="ar"/>
              </w:rPr>
              <w:t>1.1</w:t>
            </w:r>
            <w:r>
              <w:rPr>
                <w:rFonts w:hint="eastAsia" w:ascii="宋体" w:hAnsi="宋体"/>
                <w:b/>
                <w:bCs/>
                <w:color w:val="0C0C0C"/>
                <w:sz w:val="24"/>
                <w:highlight w:val="none"/>
                <w:lang w:val="en-US" w:eastAsia="zh-CN" w:bidi="ar"/>
              </w:rPr>
              <w:t>注塑</w:t>
            </w:r>
            <w:r>
              <w:rPr>
                <w:rFonts w:hint="eastAsia" w:ascii="宋体" w:hAnsi="宋体"/>
                <w:b/>
                <w:bCs/>
                <w:color w:val="0C0C0C"/>
                <w:sz w:val="24"/>
                <w:highlight w:val="none"/>
                <w:lang w:bidi="ar"/>
              </w:rPr>
              <w:t>废气</w:t>
            </w:r>
          </w:p>
          <w:p>
            <w:pPr>
              <w:pStyle w:val="38"/>
              <w:ind w:firstLine="480"/>
              <w:rPr>
                <w:rFonts w:hint="default" w:ascii="Times New Roman" w:hAnsi="Times New Roman" w:eastAsia="宋体"/>
                <w:color w:val="0C0C0C"/>
                <w:highlight w:val="none"/>
                <w:lang w:val="en-US" w:eastAsia="zh-CN" w:bidi="ar"/>
              </w:rPr>
            </w:pPr>
            <w:r>
              <w:rPr>
                <w:rFonts w:hint="eastAsia" w:ascii="Times New Roman" w:hAnsi="Times New Roman"/>
                <w:b/>
                <w:bCs/>
                <w:color w:val="0C0C0C"/>
                <w:highlight w:val="none"/>
                <w:lang w:eastAsia="zh-CN" w:bidi="ar"/>
              </w:rPr>
              <w:t>注塑废气：</w:t>
            </w:r>
            <w:r>
              <w:rPr>
                <w:rFonts w:hint="eastAsia" w:ascii="Times New Roman" w:hAnsi="Times New Roman"/>
                <w:color w:val="0C0C0C"/>
                <w:highlight w:val="none"/>
                <w:lang w:bidi="ar"/>
              </w:rPr>
              <w:t>项目注塑的过程中会产生有机废气，主要以非甲烷总烃为表征。根据《排放源统计调查产排污核算方法和系数手册》机械行业系数手册中</w:t>
            </w:r>
            <w:r>
              <w:rPr>
                <w:rFonts w:hint="eastAsia" w:ascii="Times New Roman" w:hAnsi="Times New Roman"/>
                <w:color w:val="0C0C0C"/>
                <w:highlight w:val="none"/>
                <w:lang w:val="en-US" w:eastAsia="zh-CN" w:bidi="ar"/>
              </w:rPr>
              <w:t>292塑料制品业系数手册2929塑料零件及其他 塑料制品制造行业系数手册 注塑</w:t>
            </w:r>
            <w:r>
              <w:rPr>
                <w:rFonts w:hint="eastAsia" w:ascii="Times New Roman" w:hAnsi="Times New Roman"/>
                <w:color w:val="0C0C0C"/>
                <w:highlight w:val="none"/>
                <w:lang w:bidi="ar"/>
              </w:rPr>
              <w:t>产污系数为</w:t>
            </w:r>
            <w:r>
              <w:rPr>
                <w:rFonts w:hint="eastAsia" w:ascii="Times New Roman" w:hAnsi="Times New Roman"/>
                <w:color w:val="0C0C0C"/>
                <w:highlight w:val="none"/>
                <w:lang w:val="en-US" w:eastAsia="zh-CN" w:bidi="ar"/>
              </w:rPr>
              <w:t>2.7千克</w:t>
            </w:r>
            <w:r>
              <w:rPr>
                <w:rFonts w:hint="eastAsia" w:ascii="Times New Roman" w:hAnsi="Times New Roman"/>
                <w:color w:val="0C0C0C"/>
                <w:highlight w:val="none"/>
                <w:lang w:bidi="ar"/>
              </w:rPr>
              <w:t>/</w:t>
            </w:r>
            <w:r>
              <w:rPr>
                <w:rFonts w:hint="eastAsia" w:ascii="Times New Roman" w:hAnsi="Times New Roman"/>
                <w:color w:val="0C0C0C"/>
                <w:highlight w:val="none"/>
                <w:lang w:val="en-US" w:eastAsia="zh-CN" w:bidi="ar"/>
              </w:rPr>
              <w:t>吨</w:t>
            </w:r>
            <w:r>
              <w:rPr>
                <w:rFonts w:hint="eastAsia" w:ascii="Times New Roman" w:hAnsi="Times New Roman"/>
                <w:color w:val="0C0C0C"/>
                <w:highlight w:val="none"/>
                <w:lang w:bidi="ar"/>
              </w:rPr>
              <w:t>-</w:t>
            </w:r>
            <w:r>
              <w:rPr>
                <w:rFonts w:hint="eastAsia" w:ascii="Times New Roman" w:hAnsi="Times New Roman"/>
                <w:color w:val="0C0C0C"/>
                <w:highlight w:val="none"/>
                <w:lang w:val="en-US" w:eastAsia="zh-CN" w:bidi="ar"/>
              </w:rPr>
              <w:t>产品</w:t>
            </w:r>
            <w:r>
              <w:rPr>
                <w:rFonts w:hint="eastAsia" w:ascii="Times New Roman" w:hAnsi="Times New Roman"/>
                <w:color w:val="0C0C0C"/>
                <w:highlight w:val="none"/>
                <w:lang w:bidi="ar"/>
              </w:rPr>
              <w:t>，本项目</w:t>
            </w:r>
            <w:r>
              <w:rPr>
                <w:rFonts w:hint="eastAsia" w:ascii="Times New Roman" w:hAnsi="Times New Roman"/>
                <w:color w:val="0C0C0C"/>
                <w:highlight w:val="none"/>
                <w:lang w:val="en-US" w:eastAsia="zh-CN" w:bidi="ar"/>
              </w:rPr>
              <w:t>年产塑料制品约55吨/年</w:t>
            </w:r>
            <w:r>
              <w:rPr>
                <w:rFonts w:hint="eastAsia" w:ascii="Times New Roman" w:hAnsi="Times New Roman"/>
                <w:color w:val="0C0C0C"/>
                <w:highlight w:val="none"/>
                <w:lang w:bidi="ar"/>
              </w:rPr>
              <w:t>，则注塑过程产生的非甲烷总烃为</w:t>
            </w:r>
            <w:r>
              <w:rPr>
                <w:rFonts w:hint="eastAsia" w:ascii="Times New Roman" w:hAnsi="Times New Roman"/>
                <w:color w:val="0C0C0C"/>
                <w:highlight w:val="none"/>
                <w:lang w:val="en-US" w:eastAsia="zh-CN" w:bidi="ar"/>
              </w:rPr>
              <w:t>0.1485</w:t>
            </w:r>
            <w:r>
              <w:rPr>
                <w:rFonts w:hint="eastAsia" w:ascii="Times New Roman" w:hAnsi="Times New Roman"/>
                <w:color w:val="0C0C0C"/>
                <w:highlight w:val="none"/>
                <w:lang w:bidi="ar"/>
              </w:rPr>
              <w:t>吨/年</w:t>
            </w:r>
            <w:r>
              <w:rPr>
                <w:rFonts w:hint="eastAsia" w:ascii="Times New Roman" w:hAnsi="Times New Roman"/>
                <w:color w:val="0C0C0C"/>
                <w:highlight w:val="none"/>
                <w:lang w:eastAsia="zh-CN" w:bidi="ar"/>
              </w:rPr>
              <w:t>，</w:t>
            </w:r>
            <w:r>
              <w:rPr>
                <w:rFonts w:hint="eastAsia" w:ascii="Times New Roman" w:hAnsi="Times New Roman"/>
                <w:color w:val="0C0C0C"/>
                <w:highlight w:val="none"/>
                <w:lang w:val="en-US" w:eastAsia="zh-CN" w:bidi="ar"/>
              </w:rPr>
              <w:t>经集气罩收集通过“二级活性炭吸附装置”处理达标后于15m排气筒DA001高空排放。</w:t>
            </w:r>
          </w:p>
          <w:p>
            <w:pPr>
              <w:snapToGrid w:val="0"/>
              <w:spacing w:line="360" w:lineRule="auto"/>
              <w:ind w:firstLine="482" w:firstLineChars="200"/>
              <w:rPr>
                <w:rFonts w:hint="default" w:ascii="Times New Roman" w:hAnsi="Times New Roman" w:eastAsia="宋体" w:cs="Times New Roman"/>
                <w:b/>
                <w:bCs/>
                <w:color w:val="0C0C0C"/>
                <w:sz w:val="24"/>
                <w:highlight w:val="none"/>
                <w:lang w:val="en-US" w:eastAsia="zh-CN" w:bidi="ar"/>
              </w:rPr>
            </w:pPr>
            <w:r>
              <w:rPr>
                <w:rFonts w:hint="eastAsia" w:ascii="Times New Roman" w:hAnsi="Times New Roman" w:eastAsia="宋体" w:cs="Times New Roman"/>
                <w:b/>
                <w:bCs/>
                <w:color w:val="0C0C0C"/>
                <w:sz w:val="24"/>
                <w:highlight w:val="none"/>
                <w:lang w:val="en-US" w:eastAsia="zh-CN" w:bidi="ar"/>
              </w:rPr>
              <w:t>1.2</w:t>
            </w:r>
            <w:r>
              <w:rPr>
                <w:rFonts w:hint="default" w:ascii="Times New Roman" w:hAnsi="Times New Roman" w:eastAsia="宋体" w:cs="Times New Roman"/>
                <w:b/>
                <w:bCs/>
                <w:color w:val="0C0C0C"/>
                <w:sz w:val="24"/>
                <w:highlight w:val="none"/>
                <w:lang w:val="en-US" w:eastAsia="zh-CN" w:bidi="ar"/>
              </w:rPr>
              <w:t>风量设计分析</w:t>
            </w:r>
          </w:p>
          <w:p>
            <w:pPr>
              <w:spacing w:line="360" w:lineRule="auto"/>
              <w:ind w:firstLine="480" w:firstLineChars="200"/>
              <w:rPr>
                <w:bCs/>
                <w:color w:val="auto"/>
                <w:sz w:val="24"/>
                <w:highlight w:val="none"/>
              </w:rPr>
            </w:pPr>
            <w:r>
              <w:rPr>
                <w:bCs/>
                <w:color w:val="auto"/>
                <w:sz w:val="24"/>
                <w:highlight w:val="none"/>
              </w:rPr>
              <w:t>建设单位拟在</w:t>
            </w:r>
            <w:r>
              <w:rPr>
                <w:rFonts w:hint="eastAsia"/>
                <w:bCs/>
                <w:color w:val="auto"/>
                <w:sz w:val="24"/>
                <w:highlight w:val="none"/>
              </w:rPr>
              <w:t>产污部位</w:t>
            </w:r>
            <w:r>
              <w:rPr>
                <w:bCs/>
                <w:color w:val="auto"/>
                <w:sz w:val="24"/>
                <w:highlight w:val="none"/>
              </w:rPr>
              <w:t>设置集气罩利用风机抽风收集废气，</w:t>
            </w:r>
            <w:r>
              <w:rPr>
                <w:rFonts w:hint="eastAsia"/>
                <w:bCs/>
                <w:color w:val="auto"/>
                <w:sz w:val="24"/>
                <w:highlight w:val="none"/>
                <w:lang w:eastAsia="zh-CN"/>
              </w:rPr>
              <w:t>在注塑机</w:t>
            </w:r>
            <w:r>
              <w:rPr>
                <w:rFonts w:hint="eastAsia"/>
                <w:bCs/>
                <w:color w:val="auto"/>
                <w:sz w:val="24"/>
                <w:highlight w:val="none"/>
              </w:rPr>
              <w:t>上方各设集气罩进行收集，</w:t>
            </w:r>
            <w:r>
              <w:rPr>
                <w:color w:val="auto"/>
                <w:sz w:val="24"/>
                <w:highlight w:val="none"/>
              </w:rPr>
              <w:t>收集废气的各种设备其废气收集系统的控制风速为0.6m/s，根据风量计算</w:t>
            </w:r>
            <w:r>
              <w:rPr>
                <w:rFonts w:hint="eastAsia"/>
                <w:color w:val="auto"/>
                <w:sz w:val="24"/>
                <w:highlight w:val="none"/>
                <w:lang w:val="en-US" w:eastAsia="zh-CN"/>
              </w:rPr>
              <w:t>公式</w:t>
            </w:r>
            <w:r>
              <w:rPr>
                <w:color w:val="auto"/>
                <w:sz w:val="24"/>
                <w:highlight w:val="none"/>
              </w:rPr>
              <w:t>L=3600（5x</w:t>
            </w:r>
            <w:r>
              <w:rPr>
                <w:color w:val="auto"/>
                <w:sz w:val="24"/>
                <w:highlight w:val="none"/>
                <w:vertAlign w:val="superscript"/>
              </w:rPr>
              <w:t>2</w:t>
            </w:r>
            <w:r>
              <w:rPr>
                <w:color w:val="auto"/>
                <w:sz w:val="24"/>
                <w:highlight w:val="none"/>
              </w:rPr>
              <w:t>+F）×Vx，则各设备风量设置如下表所示：</w:t>
            </w:r>
          </w:p>
          <w:p>
            <w:pPr>
              <w:pStyle w:val="39"/>
              <w:spacing w:line="240" w:lineRule="auto"/>
              <w:ind w:firstLine="422"/>
              <w:rPr>
                <w:rFonts w:ascii="Times New Roman"/>
                <w:color w:val="auto"/>
                <w:sz w:val="21"/>
                <w:szCs w:val="21"/>
                <w:highlight w:val="none"/>
              </w:rPr>
            </w:pPr>
            <w:r>
              <w:rPr>
                <w:rFonts w:ascii="Times New Roman"/>
                <w:color w:val="auto"/>
                <w:sz w:val="21"/>
                <w:szCs w:val="21"/>
                <w:highlight w:val="none"/>
              </w:rPr>
              <w:t>表</w:t>
            </w:r>
            <w:r>
              <w:rPr>
                <w:rFonts w:hint="eastAsia" w:ascii="Times New Roman"/>
                <w:color w:val="auto"/>
                <w:sz w:val="21"/>
                <w:szCs w:val="21"/>
                <w:highlight w:val="none"/>
                <w:lang w:val="en-US" w:eastAsia="zh-CN"/>
              </w:rPr>
              <w:t>4-2</w:t>
            </w:r>
            <w:r>
              <w:rPr>
                <w:rFonts w:ascii="Times New Roman"/>
                <w:color w:val="auto"/>
                <w:sz w:val="21"/>
                <w:szCs w:val="21"/>
                <w:highlight w:val="none"/>
              </w:rPr>
              <w:t xml:space="preserve"> 各设备集气罩集气风量情况一览表</w:t>
            </w:r>
          </w:p>
          <w:tbl>
            <w:tblPr>
              <w:tblStyle w:val="24"/>
              <w:tblW w:w="86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07"/>
              <w:gridCol w:w="713"/>
              <w:gridCol w:w="1407"/>
              <w:gridCol w:w="1021"/>
              <w:gridCol w:w="1024"/>
              <w:gridCol w:w="1583"/>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8" w:hRule="atLeast"/>
              </w:trPr>
              <w:tc>
                <w:tcPr>
                  <w:tcW w:w="756" w:type="pct"/>
                  <w:noWrap w:val="0"/>
                  <w:vAlign w:val="center"/>
                </w:tcPr>
                <w:p>
                  <w:pPr>
                    <w:jc w:val="center"/>
                    <w:rPr>
                      <w:b/>
                      <w:bCs w:val="0"/>
                      <w:color w:val="auto"/>
                      <w:szCs w:val="21"/>
                      <w:highlight w:val="none"/>
                    </w:rPr>
                  </w:pPr>
                  <w:r>
                    <w:rPr>
                      <w:rFonts w:hint="eastAsia"/>
                      <w:b/>
                      <w:bCs w:val="0"/>
                      <w:color w:val="auto"/>
                      <w:szCs w:val="21"/>
                      <w:highlight w:val="none"/>
                    </w:rPr>
                    <w:t>设备</w:t>
                  </w:r>
                </w:p>
              </w:tc>
              <w:tc>
                <w:tcPr>
                  <w:tcW w:w="412" w:type="pct"/>
                  <w:noWrap w:val="0"/>
                  <w:vAlign w:val="center"/>
                </w:tcPr>
                <w:p>
                  <w:pPr>
                    <w:jc w:val="center"/>
                    <w:rPr>
                      <w:b/>
                      <w:bCs w:val="0"/>
                      <w:color w:val="auto"/>
                      <w:szCs w:val="21"/>
                      <w:highlight w:val="none"/>
                    </w:rPr>
                  </w:pPr>
                  <w:r>
                    <w:rPr>
                      <w:rFonts w:hint="eastAsia"/>
                      <w:b/>
                      <w:bCs w:val="0"/>
                      <w:color w:val="auto"/>
                      <w:szCs w:val="21"/>
                      <w:highlight w:val="none"/>
                    </w:rPr>
                    <w:t>数量</w:t>
                  </w:r>
                </w:p>
              </w:tc>
              <w:tc>
                <w:tcPr>
                  <w:tcW w:w="814" w:type="pct"/>
                  <w:noWrap w:val="0"/>
                  <w:vAlign w:val="center"/>
                </w:tcPr>
                <w:p>
                  <w:pPr>
                    <w:jc w:val="center"/>
                    <w:rPr>
                      <w:b/>
                      <w:bCs w:val="0"/>
                      <w:color w:val="auto"/>
                      <w:szCs w:val="21"/>
                      <w:highlight w:val="none"/>
                    </w:rPr>
                  </w:pPr>
                  <w:r>
                    <w:rPr>
                      <w:rFonts w:hint="eastAsia"/>
                      <w:b/>
                      <w:bCs w:val="0"/>
                      <w:color w:val="auto"/>
                      <w:szCs w:val="21"/>
                      <w:highlight w:val="none"/>
                    </w:rPr>
                    <w:t>集气罩尺寸</w:t>
                  </w:r>
                </w:p>
              </w:tc>
              <w:tc>
                <w:tcPr>
                  <w:tcW w:w="591" w:type="pct"/>
                  <w:noWrap w:val="0"/>
                  <w:vAlign w:val="center"/>
                </w:tcPr>
                <w:p>
                  <w:pPr>
                    <w:jc w:val="center"/>
                    <w:rPr>
                      <w:b/>
                      <w:bCs w:val="0"/>
                      <w:color w:val="auto"/>
                      <w:szCs w:val="21"/>
                      <w:highlight w:val="none"/>
                    </w:rPr>
                  </w:pPr>
                  <w:r>
                    <w:rPr>
                      <w:b/>
                      <w:bCs w:val="0"/>
                      <w:color w:val="auto"/>
                      <w:szCs w:val="21"/>
                      <w:highlight w:val="none"/>
                    </w:rPr>
                    <w:t>Vx</w:t>
                  </w:r>
                </w:p>
              </w:tc>
              <w:tc>
                <w:tcPr>
                  <w:tcW w:w="592" w:type="pct"/>
                  <w:noWrap w:val="0"/>
                  <w:vAlign w:val="center"/>
                </w:tcPr>
                <w:p>
                  <w:pPr>
                    <w:jc w:val="center"/>
                    <w:rPr>
                      <w:b/>
                      <w:bCs w:val="0"/>
                      <w:color w:val="auto"/>
                      <w:szCs w:val="21"/>
                      <w:highlight w:val="none"/>
                    </w:rPr>
                  </w:pPr>
                  <w:r>
                    <w:rPr>
                      <w:b/>
                      <w:bCs w:val="0"/>
                      <w:color w:val="auto"/>
                      <w:szCs w:val="21"/>
                      <w:highlight w:val="none"/>
                    </w:rPr>
                    <w:t>X</w:t>
                  </w:r>
                </w:p>
              </w:tc>
              <w:tc>
                <w:tcPr>
                  <w:tcW w:w="916" w:type="pct"/>
                  <w:noWrap w:val="0"/>
                  <w:vAlign w:val="center"/>
                </w:tcPr>
                <w:p>
                  <w:pPr>
                    <w:jc w:val="center"/>
                    <w:rPr>
                      <w:b/>
                      <w:bCs w:val="0"/>
                      <w:color w:val="auto"/>
                      <w:szCs w:val="21"/>
                      <w:highlight w:val="none"/>
                    </w:rPr>
                  </w:pPr>
                  <w:r>
                    <w:rPr>
                      <w:rFonts w:hint="eastAsia"/>
                      <w:b/>
                      <w:bCs w:val="0"/>
                      <w:color w:val="auto"/>
                      <w:szCs w:val="21"/>
                      <w:highlight w:val="none"/>
                    </w:rPr>
                    <w:t>单台设计风量</w:t>
                  </w:r>
                </w:p>
              </w:tc>
              <w:tc>
                <w:tcPr>
                  <w:tcW w:w="914" w:type="pct"/>
                  <w:noWrap w:val="0"/>
                  <w:vAlign w:val="center"/>
                </w:tcPr>
                <w:p>
                  <w:pPr>
                    <w:jc w:val="center"/>
                    <w:rPr>
                      <w:b/>
                      <w:bCs w:val="0"/>
                      <w:color w:val="auto"/>
                      <w:szCs w:val="21"/>
                      <w:highlight w:val="none"/>
                    </w:rPr>
                  </w:pPr>
                  <w:r>
                    <w:rPr>
                      <w:rFonts w:hint="eastAsia"/>
                      <w:b/>
                      <w:bCs w:val="0"/>
                      <w:color w:val="auto"/>
                      <w:szCs w:val="21"/>
                      <w:highlight w:val="none"/>
                    </w:rPr>
                    <w:t>设计风量合计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756" w:type="pct"/>
                  <w:noWrap w:val="0"/>
                  <w:vAlign w:val="center"/>
                </w:tcPr>
                <w:p>
                  <w:pPr>
                    <w:adjustRightInd w:val="0"/>
                    <w:snapToGrid w:val="0"/>
                    <w:jc w:val="center"/>
                    <w:rPr>
                      <w:rFonts w:hint="eastAsia" w:eastAsia="宋体"/>
                      <w:bCs/>
                      <w:color w:val="auto"/>
                      <w:szCs w:val="21"/>
                      <w:highlight w:val="none"/>
                      <w:lang w:eastAsia="zh-CN"/>
                    </w:rPr>
                  </w:pPr>
                  <w:r>
                    <w:rPr>
                      <w:rFonts w:hint="eastAsia"/>
                      <w:color w:val="auto"/>
                      <w:szCs w:val="21"/>
                      <w:highlight w:val="none"/>
                      <w:lang w:val="en-US" w:eastAsia="zh-CN"/>
                    </w:rPr>
                    <w:t>注塑机</w:t>
                  </w:r>
                </w:p>
              </w:tc>
              <w:tc>
                <w:tcPr>
                  <w:tcW w:w="412" w:type="pct"/>
                  <w:noWrap w:val="0"/>
                  <w:vAlign w:val="center"/>
                </w:tcPr>
                <w:p>
                  <w:pPr>
                    <w:jc w:val="center"/>
                    <w:rPr>
                      <w:rFonts w:hint="default" w:eastAsia="宋体"/>
                      <w:bCs/>
                      <w:color w:val="auto"/>
                      <w:szCs w:val="21"/>
                      <w:highlight w:val="none"/>
                      <w:lang w:val="en-US" w:eastAsia="zh-CN"/>
                    </w:rPr>
                  </w:pPr>
                  <w:r>
                    <w:rPr>
                      <w:rFonts w:hint="eastAsia"/>
                      <w:bCs/>
                      <w:color w:val="auto"/>
                      <w:szCs w:val="21"/>
                      <w:highlight w:val="none"/>
                      <w:lang w:val="en-US" w:eastAsia="zh-CN"/>
                    </w:rPr>
                    <w:t>10台</w:t>
                  </w:r>
                </w:p>
              </w:tc>
              <w:tc>
                <w:tcPr>
                  <w:tcW w:w="814" w:type="pct"/>
                  <w:noWrap w:val="0"/>
                  <w:vAlign w:val="center"/>
                </w:tcPr>
                <w:p>
                  <w:pPr>
                    <w:jc w:val="center"/>
                    <w:rPr>
                      <w:bCs/>
                      <w:color w:val="auto"/>
                      <w:szCs w:val="21"/>
                      <w:highlight w:val="none"/>
                    </w:rPr>
                  </w:pPr>
                  <w:r>
                    <w:rPr>
                      <w:rFonts w:hint="eastAsia"/>
                      <w:bCs/>
                      <w:color w:val="auto"/>
                      <w:szCs w:val="21"/>
                      <w:highlight w:val="none"/>
                      <w:lang w:val="en-US" w:eastAsia="zh-CN"/>
                    </w:rPr>
                    <w:t>0.2</w:t>
                  </w:r>
                  <w:r>
                    <w:rPr>
                      <w:rFonts w:hint="eastAsia"/>
                      <w:bCs/>
                      <w:color w:val="auto"/>
                      <w:szCs w:val="21"/>
                      <w:highlight w:val="none"/>
                    </w:rPr>
                    <w:t>m*</w:t>
                  </w:r>
                  <w:r>
                    <w:rPr>
                      <w:rFonts w:hint="eastAsia"/>
                      <w:bCs/>
                      <w:color w:val="auto"/>
                      <w:szCs w:val="21"/>
                      <w:highlight w:val="none"/>
                      <w:lang w:val="en-US" w:eastAsia="zh-CN"/>
                    </w:rPr>
                    <w:t>0.3</w:t>
                  </w:r>
                  <w:r>
                    <w:rPr>
                      <w:rFonts w:hint="eastAsia"/>
                      <w:bCs/>
                      <w:color w:val="auto"/>
                      <w:szCs w:val="21"/>
                      <w:highlight w:val="none"/>
                    </w:rPr>
                    <w:t>m</w:t>
                  </w:r>
                </w:p>
              </w:tc>
              <w:tc>
                <w:tcPr>
                  <w:tcW w:w="591" w:type="pct"/>
                  <w:noWrap w:val="0"/>
                  <w:vAlign w:val="center"/>
                </w:tcPr>
                <w:p>
                  <w:pPr>
                    <w:jc w:val="center"/>
                    <w:rPr>
                      <w:rFonts w:hint="eastAsia"/>
                      <w:bCs/>
                      <w:color w:val="auto"/>
                      <w:szCs w:val="21"/>
                      <w:highlight w:val="none"/>
                    </w:rPr>
                  </w:pPr>
                  <w:r>
                    <w:rPr>
                      <w:rFonts w:hint="eastAsia"/>
                      <w:bCs/>
                      <w:color w:val="auto"/>
                      <w:szCs w:val="21"/>
                      <w:highlight w:val="none"/>
                    </w:rPr>
                    <w:t>0.6m/s</w:t>
                  </w:r>
                </w:p>
              </w:tc>
              <w:tc>
                <w:tcPr>
                  <w:tcW w:w="592" w:type="pct"/>
                  <w:noWrap w:val="0"/>
                  <w:vAlign w:val="center"/>
                </w:tcPr>
                <w:p>
                  <w:pPr>
                    <w:jc w:val="center"/>
                    <w:rPr>
                      <w:bCs/>
                      <w:color w:val="auto"/>
                      <w:szCs w:val="21"/>
                      <w:highlight w:val="none"/>
                    </w:rPr>
                  </w:pPr>
                  <w:r>
                    <w:rPr>
                      <w:rFonts w:hint="eastAsia"/>
                      <w:bCs/>
                      <w:color w:val="auto"/>
                      <w:szCs w:val="21"/>
                      <w:highlight w:val="none"/>
                    </w:rPr>
                    <w:t>0.</w:t>
                  </w:r>
                  <w:r>
                    <w:rPr>
                      <w:rFonts w:hint="eastAsia"/>
                      <w:bCs/>
                      <w:color w:val="auto"/>
                      <w:szCs w:val="21"/>
                      <w:highlight w:val="none"/>
                      <w:lang w:val="en-US" w:eastAsia="zh-CN"/>
                    </w:rPr>
                    <w:t>2</w:t>
                  </w:r>
                  <w:r>
                    <w:rPr>
                      <w:rFonts w:hint="eastAsia"/>
                      <w:bCs/>
                      <w:color w:val="auto"/>
                      <w:szCs w:val="21"/>
                      <w:highlight w:val="none"/>
                    </w:rPr>
                    <w:t>m</w:t>
                  </w:r>
                </w:p>
              </w:tc>
              <w:tc>
                <w:tcPr>
                  <w:tcW w:w="916" w:type="pct"/>
                  <w:noWrap w:val="0"/>
                  <w:vAlign w:val="center"/>
                </w:tcPr>
                <w:p>
                  <w:pPr>
                    <w:jc w:val="center"/>
                    <w:rPr>
                      <w:bCs/>
                      <w:color w:val="auto"/>
                      <w:szCs w:val="21"/>
                      <w:highlight w:val="none"/>
                    </w:rPr>
                  </w:pPr>
                  <w:r>
                    <w:rPr>
                      <w:rFonts w:hint="eastAsia"/>
                      <w:color w:val="auto"/>
                      <w:szCs w:val="21"/>
                      <w:highlight w:val="none"/>
                      <w:lang w:val="en-US" w:eastAsia="zh-CN"/>
                    </w:rPr>
                    <w:t>562</w:t>
                  </w:r>
                  <w:r>
                    <w:rPr>
                      <w:rFonts w:hint="eastAsia"/>
                      <w:bCs/>
                      <w:color w:val="auto"/>
                      <w:szCs w:val="21"/>
                      <w:highlight w:val="none"/>
                    </w:rPr>
                    <w:t>m</w:t>
                  </w:r>
                  <w:r>
                    <w:rPr>
                      <w:rFonts w:hint="eastAsia"/>
                      <w:bCs/>
                      <w:color w:val="auto"/>
                      <w:szCs w:val="21"/>
                      <w:highlight w:val="none"/>
                      <w:vertAlign w:val="superscript"/>
                    </w:rPr>
                    <w:t>3</w:t>
                  </w:r>
                  <w:r>
                    <w:rPr>
                      <w:rFonts w:hint="eastAsia"/>
                      <w:bCs/>
                      <w:color w:val="auto"/>
                      <w:szCs w:val="21"/>
                      <w:highlight w:val="none"/>
                    </w:rPr>
                    <w:t>/h</w:t>
                  </w:r>
                </w:p>
              </w:tc>
              <w:tc>
                <w:tcPr>
                  <w:tcW w:w="914" w:type="pct"/>
                  <w:noWrap w:val="0"/>
                  <w:vAlign w:val="center"/>
                </w:tcPr>
                <w:p>
                  <w:pPr>
                    <w:jc w:val="center"/>
                    <w:rPr>
                      <w:bCs/>
                      <w:color w:val="auto"/>
                      <w:szCs w:val="21"/>
                      <w:highlight w:val="none"/>
                    </w:rPr>
                  </w:pPr>
                  <w:r>
                    <w:rPr>
                      <w:rFonts w:hint="eastAsia"/>
                      <w:bCs/>
                      <w:color w:val="auto"/>
                      <w:szCs w:val="21"/>
                      <w:highlight w:val="none"/>
                      <w:lang w:val="en-US" w:eastAsia="zh-CN"/>
                    </w:rPr>
                    <w:t>5620</w:t>
                  </w:r>
                  <w:r>
                    <w:rPr>
                      <w:rFonts w:hint="eastAsia"/>
                      <w:bCs/>
                      <w:color w:val="auto"/>
                      <w:szCs w:val="21"/>
                      <w:highlight w:val="none"/>
                    </w:rPr>
                    <w:t>m</w:t>
                  </w:r>
                  <w:r>
                    <w:rPr>
                      <w:rFonts w:hint="eastAsia"/>
                      <w:bCs/>
                      <w:color w:val="auto"/>
                      <w:szCs w:val="21"/>
                      <w:highlight w:val="none"/>
                      <w:vertAlign w:val="superscript"/>
                    </w:rPr>
                    <w:t>3</w:t>
                  </w:r>
                  <w:r>
                    <w:rPr>
                      <w:rFonts w:hint="eastAsia"/>
                      <w:bCs/>
                      <w:color w:val="auto"/>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085" w:type="pct"/>
                  <w:gridSpan w:val="6"/>
                  <w:noWrap w:val="0"/>
                  <w:vAlign w:val="center"/>
                </w:tcPr>
                <w:p>
                  <w:pPr>
                    <w:jc w:val="center"/>
                    <w:rPr>
                      <w:rFonts w:hint="eastAsia"/>
                      <w:color w:val="auto"/>
                      <w:szCs w:val="21"/>
                      <w:highlight w:val="none"/>
                      <w:lang w:val="en-US" w:eastAsia="zh-CN"/>
                    </w:rPr>
                  </w:pPr>
                  <w:r>
                    <w:rPr>
                      <w:rFonts w:hint="eastAsia"/>
                      <w:color w:val="auto"/>
                      <w:szCs w:val="21"/>
                      <w:highlight w:val="none"/>
                      <w:lang w:val="en-US" w:eastAsia="zh-CN"/>
                    </w:rPr>
                    <w:t>合计</w:t>
                  </w:r>
                </w:p>
              </w:tc>
              <w:tc>
                <w:tcPr>
                  <w:tcW w:w="914" w:type="pct"/>
                  <w:noWrap w:val="0"/>
                  <w:vAlign w:val="center"/>
                </w:tcPr>
                <w:p>
                  <w:pPr>
                    <w:jc w:val="center"/>
                    <w:rPr>
                      <w:rFonts w:hint="default"/>
                      <w:bCs/>
                      <w:color w:val="auto"/>
                      <w:szCs w:val="21"/>
                      <w:highlight w:val="none"/>
                      <w:lang w:val="en-US" w:eastAsia="zh-CN"/>
                    </w:rPr>
                  </w:pPr>
                  <w:r>
                    <w:rPr>
                      <w:rFonts w:hint="eastAsia"/>
                      <w:bCs/>
                      <w:color w:val="auto"/>
                      <w:szCs w:val="21"/>
                      <w:highlight w:val="none"/>
                      <w:lang w:val="en-US" w:eastAsia="zh-CN"/>
                    </w:rPr>
                    <w:t>6000</w:t>
                  </w:r>
                  <w:r>
                    <w:rPr>
                      <w:rFonts w:hint="eastAsia"/>
                      <w:bCs/>
                      <w:color w:val="auto"/>
                      <w:szCs w:val="21"/>
                      <w:highlight w:val="none"/>
                    </w:rPr>
                    <w:t>m</w:t>
                  </w:r>
                  <w:r>
                    <w:rPr>
                      <w:rFonts w:hint="eastAsia"/>
                      <w:bCs/>
                      <w:color w:val="auto"/>
                      <w:szCs w:val="21"/>
                      <w:highlight w:val="none"/>
                      <w:vertAlign w:val="superscript"/>
                    </w:rPr>
                    <w:t>3</w:t>
                  </w:r>
                  <w:r>
                    <w:rPr>
                      <w:rFonts w:hint="eastAsia"/>
                      <w:bCs/>
                      <w:color w:val="auto"/>
                      <w:szCs w:val="21"/>
                      <w:highlight w:val="none"/>
                    </w:rPr>
                    <w:t>/h</w:t>
                  </w:r>
                </w:p>
              </w:tc>
            </w:tr>
          </w:tbl>
          <w:p>
            <w:pPr>
              <w:pStyle w:val="36"/>
              <w:numPr>
                <w:ilvl w:val="0"/>
                <w:numId w:val="0"/>
              </w:numPr>
              <w:ind w:firstLine="480" w:firstLineChars="200"/>
              <w:rPr>
                <w:rFonts w:hint="eastAsia" w:ascii="Times New Roman" w:hAnsi="Times New Roman" w:eastAsia="宋体"/>
                <w:b/>
                <w:bCs/>
                <w:color w:val="0C0C0C"/>
                <w:sz w:val="24"/>
                <w:szCs w:val="24"/>
                <w:highlight w:val="none"/>
                <w:lang w:val="en-US" w:eastAsia="zh-CN"/>
              </w:rPr>
            </w:pPr>
            <w:r>
              <w:rPr>
                <w:rFonts w:hint="default"/>
                <w:color w:val="auto"/>
                <w:highlight w:val="none"/>
                <w:lang w:bidi="ar"/>
              </w:rPr>
              <w:t>考虑到风量损失，设置</w:t>
            </w:r>
            <w:r>
              <w:rPr>
                <w:rFonts w:hint="eastAsia"/>
                <w:color w:val="auto"/>
                <w:highlight w:val="none"/>
                <w:lang w:val="en-US" w:eastAsia="zh-CN" w:bidi="ar"/>
              </w:rPr>
              <w:t>注塑总</w:t>
            </w:r>
            <w:r>
              <w:rPr>
                <w:rFonts w:hint="default"/>
                <w:color w:val="auto"/>
                <w:highlight w:val="none"/>
                <w:lang w:bidi="ar"/>
              </w:rPr>
              <w:t>风量为</w:t>
            </w:r>
            <w:r>
              <w:rPr>
                <w:rFonts w:hint="eastAsia"/>
                <w:color w:val="auto"/>
                <w:highlight w:val="none"/>
                <w:lang w:val="en-US" w:eastAsia="zh-CN" w:bidi="ar"/>
              </w:rPr>
              <w:t>6000</w:t>
            </w:r>
            <w:r>
              <w:rPr>
                <w:rFonts w:hint="default"/>
                <w:color w:val="auto"/>
                <w:highlight w:val="none"/>
                <w:lang w:bidi="ar"/>
              </w:rPr>
              <w:t>m</w:t>
            </w:r>
            <w:r>
              <w:rPr>
                <w:rFonts w:hint="default"/>
                <w:color w:val="auto"/>
                <w:highlight w:val="none"/>
                <w:vertAlign w:val="superscript"/>
                <w:lang w:bidi="ar"/>
              </w:rPr>
              <w:t>3</w:t>
            </w:r>
            <w:r>
              <w:rPr>
                <w:rFonts w:hint="default"/>
                <w:color w:val="auto"/>
                <w:highlight w:val="none"/>
                <w:lang w:bidi="ar"/>
              </w:rPr>
              <w:t>/h</w:t>
            </w:r>
            <w:r>
              <w:rPr>
                <w:rFonts w:hint="eastAsia"/>
                <w:color w:val="auto"/>
                <w:highlight w:val="none"/>
                <w:lang w:eastAsia="zh-CN" w:bidi="ar"/>
              </w:rPr>
              <w:t>。</w:t>
            </w:r>
          </w:p>
          <w:p>
            <w:pPr>
              <w:snapToGrid w:val="0"/>
              <w:spacing w:line="360" w:lineRule="auto"/>
              <w:ind w:firstLine="482" w:firstLineChars="200"/>
              <w:rPr>
                <w:rFonts w:hint="default" w:ascii="Times New Roman" w:hAnsi="Times New Roman" w:eastAsia="宋体" w:cs="Times New Roman"/>
                <w:b/>
                <w:bCs/>
                <w:color w:val="0C0C0C"/>
                <w:sz w:val="24"/>
                <w:highlight w:val="none"/>
                <w:lang w:val="en-US" w:eastAsia="zh-CN" w:bidi="ar"/>
              </w:rPr>
            </w:pPr>
            <w:r>
              <w:rPr>
                <w:rFonts w:hint="eastAsia" w:ascii="Times New Roman" w:hAnsi="Times New Roman" w:eastAsia="宋体" w:cs="Times New Roman"/>
                <w:b/>
                <w:bCs/>
                <w:color w:val="0C0C0C"/>
                <w:sz w:val="24"/>
                <w:highlight w:val="none"/>
                <w:lang w:val="en-US" w:eastAsia="zh-CN" w:bidi="ar"/>
              </w:rPr>
              <w:t>1.3收集效率</w:t>
            </w:r>
            <w:r>
              <w:rPr>
                <w:rFonts w:hint="default" w:ascii="Times New Roman" w:hAnsi="Times New Roman" w:eastAsia="宋体" w:cs="Times New Roman"/>
                <w:b/>
                <w:bCs/>
                <w:color w:val="0C0C0C"/>
                <w:sz w:val="24"/>
                <w:highlight w:val="none"/>
                <w:lang w:val="en-US" w:eastAsia="zh-CN" w:bidi="ar"/>
              </w:rPr>
              <w:t>分析</w:t>
            </w:r>
          </w:p>
          <w:p>
            <w:pPr>
              <w:pStyle w:val="36"/>
              <w:numPr>
                <w:ilvl w:val="0"/>
                <w:numId w:val="0"/>
              </w:numPr>
              <w:ind w:firstLine="480" w:firstLineChars="200"/>
              <w:rPr>
                <w:rFonts w:hint="eastAsia"/>
                <w:lang w:eastAsia="zh-CN"/>
              </w:rPr>
            </w:pPr>
            <w:r>
              <w:rPr>
                <w:rFonts w:hint="default" w:ascii="Times New Roman" w:hAnsi="Times New Roman" w:cs="Times New Roman"/>
                <w:bCs/>
                <w:color w:val="auto"/>
                <w:highlight w:val="none"/>
              </w:rPr>
              <w:t>集效率参考《深圳市典型行业工艺废气排污核算方法》（试行）</w:t>
            </w:r>
            <w:r>
              <w:rPr>
                <w:rFonts w:hint="eastAsia"/>
                <w:lang w:eastAsia="zh-CN"/>
              </w:rPr>
              <w:t>中集气设备集气效率对照表如下：</w:t>
            </w:r>
          </w:p>
          <w:p>
            <w:pPr>
              <w:pStyle w:val="39"/>
              <w:keepNext w:val="0"/>
              <w:keepLines w:val="0"/>
              <w:pageBreakBefore w:val="0"/>
              <w:widowControl w:val="0"/>
              <w:kinsoku/>
              <w:wordWrap/>
              <w:overflowPunct/>
              <w:topLinePunct w:val="0"/>
              <w:autoSpaceDE/>
              <w:autoSpaceDN/>
              <w:bidi w:val="0"/>
              <w:adjustRightInd w:val="0"/>
              <w:snapToGrid/>
              <w:spacing w:line="240" w:lineRule="auto"/>
              <w:ind w:firstLine="422"/>
              <w:textAlignment w:val="baseline"/>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表</w:t>
            </w:r>
            <w:r>
              <w:rPr>
                <w:rFonts w:hint="eastAsia" w:ascii="Times New Roman" w:hAnsi="Times New Roman" w:eastAsia="宋体" w:cs="Times New Roman"/>
                <w:color w:val="auto"/>
                <w:sz w:val="21"/>
                <w:szCs w:val="21"/>
                <w:highlight w:val="none"/>
                <w:lang w:val="en-US" w:eastAsia="zh-CN"/>
              </w:rPr>
              <w:t>4-3</w:t>
            </w:r>
            <w:r>
              <w:rPr>
                <w:rFonts w:hint="eastAsia" w:ascii="Times New Roman" w:hAnsi="Times New Roman" w:eastAsia="宋体" w:cs="Times New Roman"/>
                <w:color w:val="auto"/>
                <w:sz w:val="21"/>
                <w:szCs w:val="21"/>
                <w:highlight w:val="none"/>
                <w:lang w:eastAsia="zh-CN"/>
              </w:rPr>
              <w:t xml:space="preserve"> 集气设备集气效率基本操作条件</w:t>
            </w:r>
          </w:p>
          <w:tbl>
            <w:tblPr>
              <w:tblStyle w:val="25"/>
              <w:tblW w:w="8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5923"/>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84" w:type="pct"/>
                  <w:tcBorders>
                    <w:tl2br w:val="nil"/>
                    <w:tr2bl w:val="nil"/>
                  </w:tcBorders>
                  <w:noWrap w:val="0"/>
                  <w:vAlign w:val="center"/>
                </w:tcPr>
                <w:p>
                  <w:pPr>
                    <w:pStyle w:val="33"/>
                    <w:bidi w:val="0"/>
                    <w:rPr>
                      <w:b/>
                      <w:bCs/>
                    </w:rPr>
                  </w:pPr>
                  <w:r>
                    <w:rPr>
                      <w:rFonts w:hint="eastAsia"/>
                      <w:b/>
                      <w:bCs/>
                    </w:rPr>
                    <w:t>集气设备</w:t>
                  </w:r>
                </w:p>
              </w:tc>
              <w:tc>
                <w:tcPr>
                  <w:tcW w:w="3388" w:type="pct"/>
                  <w:tcBorders>
                    <w:tl2br w:val="nil"/>
                    <w:tr2bl w:val="nil"/>
                  </w:tcBorders>
                  <w:noWrap w:val="0"/>
                  <w:vAlign w:val="center"/>
                </w:tcPr>
                <w:p>
                  <w:pPr>
                    <w:pStyle w:val="33"/>
                    <w:bidi w:val="0"/>
                    <w:jc w:val="center"/>
                    <w:rPr>
                      <w:b/>
                      <w:bCs/>
                    </w:rPr>
                  </w:pPr>
                  <w:r>
                    <w:rPr>
                      <w:rFonts w:hint="eastAsia"/>
                      <w:b/>
                      <w:bCs/>
                    </w:rPr>
                    <w:t>基本条件</w:t>
                  </w:r>
                </w:p>
              </w:tc>
              <w:tc>
                <w:tcPr>
                  <w:tcW w:w="626" w:type="pct"/>
                  <w:tcBorders>
                    <w:tl2br w:val="nil"/>
                    <w:tr2bl w:val="nil"/>
                  </w:tcBorders>
                  <w:noWrap w:val="0"/>
                  <w:vAlign w:val="center"/>
                </w:tcPr>
                <w:p>
                  <w:pPr>
                    <w:pStyle w:val="33"/>
                    <w:bidi w:val="0"/>
                    <w:rPr>
                      <w:b/>
                      <w:bCs/>
                    </w:rPr>
                  </w:pPr>
                  <w:r>
                    <w:rPr>
                      <w:rFonts w:hint="eastAsia"/>
                      <w:b/>
                      <w:bCs/>
                    </w:rPr>
                    <w:t>集气效率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84" w:type="pct"/>
                  <w:vMerge w:val="restart"/>
                  <w:tcBorders>
                    <w:tl2br w:val="nil"/>
                    <w:tr2bl w:val="nil"/>
                  </w:tcBorders>
                  <w:noWrap w:val="0"/>
                  <w:vAlign w:val="center"/>
                </w:tcPr>
                <w:p>
                  <w:pPr>
                    <w:pStyle w:val="33"/>
                    <w:bidi w:val="0"/>
                  </w:pPr>
                  <w:r>
                    <w:rPr>
                      <w:rFonts w:hint="eastAsia"/>
                    </w:rPr>
                    <w:t>密闭负压集气设备</w:t>
                  </w:r>
                </w:p>
              </w:tc>
              <w:tc>
                <w:tcPr>
                  <w:tcW w:w="3388" w:type="pct"/>
                  <w:tcBorders>
                    <w:tl2br w:val="nil"/>
                    <w:tr2bl w:val="nil"/>
                  </w:tcBorders>
                  <w:noWrap w:val="0"/>
                  <w:vAlign w:val="top"/>
                </w:tcPr>
                <w:p>
                  <w:pPr>
                    <w:pStyle w:val="33"/>
                    <w:bidi w:val="0"/>
                    <w:jc w:val="both"/>
                  </w:pPr>
                  <w:r>
                    <w:rPr>
                      <w:rFonts w:hint="eastAsia"/>
                    </w:rPr>
                    <w:t>密闭空间内的污染物排放区域的人员或物料进出口处符合负压操作，并设有压力监测仪表。</w:t>
                  </w:r>
                </w:p>
              </w:tc>
              <w:tc>
                <w:tcPr>
                  <w:tcW w:w="626" w:type="pct"/>
                  <w:tcBorders>
                    <w:tl2br w:val="nil"/>
                    <w:tr2bl w:val="nil"/>
                  </w:tcBorders>
                  <w:noWrap w:val="0"/>
                  <w:vAlign w:val="center"/>
                </w:tcPr>
                <w:p>
                  <w:pPr>
                    <w:pStyle w:val="33"/>
                    <w:bidi w:val="0"/>
                  </w:pPr>
                  <w:r>
                    <w:rPr>
                      <w:rFonts w:hint="eastAsia"/>
                    </w:rPr>
                    <w:t>1</w:t>
                  </w:r>
                  <w: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84" w:type="pct"/>
                  <w:vMerge w:val="continue"/>
                  <w:tcBorders>
                    <w:tl2br w:val="nil"/>
                    <w:tr2bl w:val="nil"/>
                  </w:tcBorders>
                  <w:noWrap w:val="0"/>
                  <w:vAlign w:val="center"/>
                </w:tcPr>
                <w:p>
                  <w:pPr>
                    <w:pStyle w:val="33"/>
                    <w:bidi w:val="0"/>
                  </w:pPr>
                </w:p>
              </w:tc>
              <w:tc>
                <w:tcPr>
                  <w:tcW w:w="3388" w:type="pct"/>
                  <w:tcBorders>
                    <w:tl2br w:val="nil"/>
                    <w:tr2bl w:val="nil"/>
                  </w:tcBorders>
                  <w:noWrap w:val="0"/>
                  <w:vAlign w:val="top"/>
                </w:tcPr>
                <w:p>
                  <w:pPr>
                    <w:pStyle w:val="33"/>
                    <w:bidi w:val="0"/>
                    <w:jc w:val="both"/>
                  </w:pPr>
                  <w:r>
                    <w:rPr>
                      <w:rFonts w:hint="eastAsia"/>
                    </w:rPr>
                    <w:t>密闭空间内的污染物排放区域的人员或物料进出口处符合负压操作，并无压力监测仪表。</w:t>
                  </w:r>
                </w:p>
              </w:tc>
              <w:tc>
                <w:tcPr>
                  <w:tcW w:w="626" w:type="pct"/>
                  <w:tcBorders>
                    <w:tl2br w:val="nil"/>
                    <w:tr2bl w:val="nil"/>
                  </w:tcBorders>
                  <w:noWrap w:val="0"/>
                  <w:vAlign w:val="center"/>
                </w:tcPr>
                <w:p>
                  <w:pPr>
                    <w:pStyle w:val="33"/>
                    <w:bidi w:val="0"/>
                  </w:pPr>
                  <w: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984" w:type="pct"/>
                  <w:tcBorders>
                    <w:tl2br w:val="nil"/>
                    <w:tr2bl w:val="nil"/>
                  </w:tcBorders>
                  <w:noWrap w:val="0"/>
                  <w:vAlign w:val="center"/>
                </w:tcPr>
                <w:p>
                  <w:pPr>
                    <w:pStyle w:val="33"/>
                    <w:bidi w:val="0"/>
                  </w:pPr>
                  <w:r>
                    <w:rPr>
                      <w:rFonts w:hint="eastAsia"/>
                    </w:rPr>
                    <w:t>包围型集气设备</w:t>
                  </w:r>
                </w:p>
              </w:tc>
              <w:tc>
                <w:tcPr>
                  <w:tcW w:w="3388" w:type="pct"/>
                  <w:tcBorders>
                    <w:tl2br w:val="nil"/>
                    <w:tr2bl w:val="nil"/>
                  </w:tcBorders>
                  <w:noWrap w:val="0"/>
                  <w:vAlign w:val="top"/>
                </w:tcPr>
                <w:p>
                  <w:pPr>
                    <w:pStyle w:val="33"/>
                    <w:bidi w:val="0"/>
                    <w:jc w:val="both"/>
                  </w:pPr>
                  <w:r>
                    <w:rPr>
                      <w:rFonts w:hint="eastAsia"/>
                    </w:rPr>
                    <w:t>符合两个条件之一：</w:t>
                  </w:r>
                </w:p>
                <w:p>
                  <w:pPr>
                    <w:pStyle w:val="33"/>
                    <w:bidi w:val="0"/>
                    <w:jc w:val="both"/>
                    <w:rPr>
                      <w:rFonts w:hint="eastAsia"/>
                    </w:rPr>
                  </w:pPr>
                  <w:r>
                    <w:rPr>
                      <w:rFonts w:hint="eastAsia"/>
                    </w:rPr>
                    <w:t>1、设备外部型集气罩且有围挡设施；</w:t>
                  </w:r>
                </w:p>
                <w:p>
                  <w:pPr>
                    <w:pStyle w:val="33"/>
                    <w:bidi w:val="0"/>
                    <w:jc w:val="both"/>
                  </w:pPr>
                  <w:r>
                    <w:rPr>
                      <w:rFonts w:hint="eastAsia"/>
                    </w:rPr>
                    <w:t>2、设备有包围型集气设施</w:t>
                  </w:r>
                </w:p>
              </w:tc>
              <w:tc>
                <w:tcPr>
                  <w:tcW w:w="626" w:type="pct"/>
                  <w:tcBorders>
                    <w:tl2br w:val="nil"/>
                    <w:tr2bl w:val="nil"/>
                  </w:tcBorders>
                  <w:noWrap w:val="0"/>
                  <w:vAlign w:val="center"/>
                </w:tcPr>
                <w:p>
                  <w:pPr>
                    <w:pStyle w:val="33"/>
                    <w:bidi w:val="0"/>
                  </w:pPr>
                  <w:r>
                    <w:rPr>
                      <w:rFonts w:hint="eastAsia"/>
                    </w:rPr>
                    <w:t>8</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84" w:type="pct"/>
                  <w:tcBorders>
                    <w:tl2br w:val="nil"/>
                    <w:tr2bl w:val="nil"/>
                  </w:tcBorders>
                  <w:noWrap w:val="0"/>
                  <w:vAlign w:val="center"/>
                </w:tcPr>
                <w:p>
                  <w:pPr>
                    <w:pStyle w:val="33"/>
                    <w:bidi w:val="0"/>
                  </w:pPr>
                  <w:r>
                    <w:rPr>
                      <w:rFonts w:hint="eastAsia"/>
                    </w:rPr>
                    <w:t>外部型集气设备</w:t>
                  </w:r>
                </w:p>
              </w:tc>
              <w:tc>
                <w:tcPr>
                  <w:tcW w:w="3388" w:type="pct"/>
                  <w:tcBorders>
                    <w:tl2br w:val="nil"/>
                    <w:tr2bl w:val="nil"/>
                  </w:tcBorders>
                  <w:noWrap w:val="0"/>
                  <w:vAlign w:val="center"/>
                </w:tcPr>
                <w:p>
                  <w:pPr>
                    <w:pStyle w:val="33"/>
                    <w:bidi w:val="0"/>
                    <w:jc w:val="center"/>
                  </w:pPr>
                  <w:r>
                    <w:rPr>
                      <w:rFonts w:hint="eastAsia"/>
                    </w:rPr>
                    <w:t>槽边抽风、侧式集气罩或顶式集气罩等一般外部型集气设备</w:t>
                  </w:r>
                </w:p>
              </w:tc>
              <w:tc>
                <w:tcPr>
                  <w:tcW w:w="626" w:type="pct"/>
                  <w:tcBorders>
                    <w:tl2br w:val="nil"/>
                    <w:tr2bl w:val="nil"/>
                  </w:tcBorders>
                  <w:noWrap w:val="0"/>
                  <w:vAlign w:val="center"/>
                </w:tcPr>
                <w:p>
                  <w:pPr>
                    <w:pStyle w:val="33"/>
                    <w:bidi w:val="0"/>
                  </w:pPr>
                  <w:r>
                    <w:rPr>
                      <w:rFonts w:hint="eastAsia"/>
                    </w:rPr>
                    <w:t>6</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984" w:type="pct"/>
                  <w:tcBorders>
                    <w:tl2br w:val="nil"/>
                    <w:tr2bl w:val="nil"/>
                  </w:tcBorders>
                  <w:noWrap w:val="0"/>
                  <w:vAlign w:val="center"/>
                </w:tcPr>
                <w:p>
                  <w:pPr>
                    <w:pStyle w:val="33"/>
                    <w:bidi w:val="0"/>
                  </w:pPr>
                  <w:r>
                    <w:rPr>
                      <w:rFonts w:hint="eastAsia"/>
                    </w:rPr>
                    <w:t>无集气设施</w:t>
                  </w:r>
                </w:p>
              </w:tc>
              <w:tc>
                <w:tcPr>
                  <w:tcW w:w="3388" w:type="pct"/>
                  <w:tcBorders>
                    <w:tl2br w:val="nil"/>
                    <w:tr2bl w:val="nil"/>
                  </w:tcBorders>
                  <w:noWrap w:val="0"/>
                  <w:vAlign w:val="center"/>
                </w:tcPr>
                <w:p>
                  <w:pPr>
                    <w:pStyle w:val="33"/>
                    <w:bidi w:val="0"/>
                    <w:jc w:val="center"/>
                  </w:pPr>
                  <w:r>
                    <w:rPr>
                      <w:rFonts w:hint="eastAsia"/>
                    </w:rPr>
                    <w:t>包括两种情形：1、无集气设施；2、集气设施运行不正常</w:t>
                  </w:r>
                </w:p>
              </w:tc>
              <w:tc>
                <w:tcPr>
                  <w:tcW w:w="626" w:type="pct"/>
                  <w:tcBorders>
                    <w:tl2br w:val="nil"/>
                    <w:tr2bl w:val="nil"/>
                  </w:tcBorders>
                  <w:noWrap w:val="0"/>
                  <w:vAlign w:val="center"/>
                </w:tcPr>
                <w:p>
                  <w:pPr>
                    <w:pStyle w:val="33"/>
                    <w:bidi w:val="0"/>
                  </w:pPr>
                  <w:r>
                    <w:rPr>
                      <w:rFonts w:hint="eastAsia"/>
                    </w:rPr>
                    <w:t>-</w:t>
                  </w:r>
                </w:p>
              </w:tc>
            </w:tr>
          </w:tbl>
          <w:p>
            <w:pPr>
              <w:pStyle w:val="39"/>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both"/>
              <w:textAlignment w:val="baseline"/>
              <w:rPr>
                <w:rFonts w:hint="eastAsia" w:ascii="Times New Roman" w:hAnsi="Times New Roman" w:eastAsia="宋体" w:cs="Times New Roman"/>
                <w:b/>
                <w:color w:val="auto"/>
                <w:sz w:val="21"/>
                <w:szCs w:val="21"/>
                <w:highlight w:val="none"/>
                <w:lang w:eastAsia="zh-CN"/>
              </w:rPr>
            </w:pPr>
          </w:p>
          <w:p>
            <w:pPr>
              <w:pStyle w:val="39"/>
              <w:keepNext w:val="0"/>
              <w:keepLines w:val="0"/>
              <w:pageBreakBefore w:val="0"/>
              <w:widowControl w:val="0"/>
              <w:kinsoku/>
              <w:wordWrap/>
              <w:overflowPunct/>
              <w:topLinePunct w:val="0"/>
              <w:autoSpaceDE/>
              <w:autoSpaceDN/>
              <w:bidi w:val="0"/>
              <w:adjustRightInd w:val="0"/>
              <w:snapToGrid/>
              <w:spacing w:line="240" w:lineRule="auto"/>
              <w:ind w:firstLine="422"/>
              <w:textAlignment w:val="baseline"/>
              <w:rPr>
                <w:rFonts w:hint="eastAsia" w:ascii="Times New Roman" w:hAnsi="Times New Roman" w:eastAsia="宋体" w:cs="Times New Roman"/>
                <w:b/>
                <w:color w:val="auto"/>
                <w:sz w:val="21"/>
                <w:szCs w:val="21"/>
                <w:highlight w:val="none"/>
                <w:lang w:eastAsia="zh-CN"/>
              </w:rPr>
            </w:pPr>
            <w:r>
              <w:rPr>
                <w:rFonts w:hint="eastAsia" w:ascii="Times New Roman" w:hAnsi="Times New Roman" w:eastAsia="宋体" w:cs="Times New Roman"/>
                <w:b/>
                <w:color w:val="auto"/>
                <w:sz w:val="21"/>
                <w:szCs w:val="21"/>
                <w:highlight w:val="none"/>
                <w:lang w:eastAsia="zh-CN"/>
              </w:rPr>
              <w:t>表</w:t>
            </w:r>
            <w:r>
              <w:rPr>
                <w:rFonts w:hint="eastAsia" w:ascii="Times New Roman" w:hAnsi="Times New Roman" w:eastAsia="宋体" w:cs="Times New Roman"/>
                <w:b/>
                <w:color w:val="auto"/>
                <w:sz w:val="21"/>
                <w:szCs w:val="21"/>
                <w:highlight w:val="none"/>
                <w:lang w:val="en-US" w:eastAsia="zh-CN"/>
              </w:rPr>
              <w:t>4-4</w:t>
            </w:r>
            <w:r>
              <w:rPr>
                <w:rFonts w:hint="eastAsia" w:ascii="Times New Roman" w:hAnsi="Times New Roman" w:eastAsia="宋体" w:cs="Times New Roman"/>
                <w:b/>
                <w:color w:val="auto"/>
                <w:sz w:val="21"/>
                <w:szCs w:val="21"/>
                <w:highlight w:val="none"/>
                <w:lang w:eastAsia="zh-CN"/>
              </w:rPr>
              <w:t xml:space="preserve"> 本项目拟采用的废气收集方式及废气收集效率估算</w:t>
            </w:r>
          </w:p>
          <w:tbl>
            <w:tblPr>
              <w:tblStyle w:val="25"/>
              <w:tblW w:w="5093" w:type="pc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283"/>
              <w:gridCol w:w="3540"/>
              <w:gridCol w:w="2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47" w:type="pct"/>
                  <w:tcBorders>
                    <w:tl2br w:val="nil"/>
                    <w:tr2bl w:val="nil"/>
                  </w:tcBorders>
                  <w:noWrap w:val="0"/>
                  <w:vAlign w:val="center"/>
                </w:tcPr>
                <w:p>
                  <w:pPr>
                    <w:pStyle w:val="33"/>
                    <w:rPr>
                      <w:b/>
                      <w:bCs/>
                      <w:color w:val="auto"/>
                      <w:highlight w:val="none"/>
                    </w:rPr>
                  </w:pPr>
                  <w:r>
                    <w:rPr>
                      <w:rFonts w:hint="eastAsia"/>
                      <w:b/>
                      <w:bCs/>
                      <w:color w:val="auto"/>
                      <w:highlight w:val="none"/>
                    </w:rPr>
                    <w:t>工位</w:t>
                  </w:r>
                </w:p>
              </w:tc>
              <w:tc>
                <w:tcPr>
                  <w:tcW w:w="726" w:type="pct"/>
                  <w:tcBorders>
                    <w:tl2br w:val="nil"/>
                    <w:tr2bl w:val="nil"/>
                  </w:tcBorders>
                  <w:noWrap w:val="0"/>
                  <w:vAlign w:val="center"/>
                </w:tcPr>
                <w:p>
                  <w:pPr>
                    <w:pStyle w:val="33"/>
                    <w:rPr>
                      <w:b/>
                      <w:bCs/>
                      <w:color w:val="auto"/>
                      <w:highlight w:val="none"/>
                    </w:rPr>
                  </w:pPr>
                  <w:r>
                    <w:rPr>
                      <w:rFonts w:hint="eastAsia"/>
                      <w:b/>
                      <w:bCs/>
                    </w:rPr>
                    <w:t>集气设备</w:t>
                  </w:r>
                </w:p>
              </w:tc>
              <w:tc>
                <w:tcPr>
                  <w:tcW w:w="2003" w:type="pct"/>
                  <w:tcBorders>
                    <w:tl2br w:val="nil"/>
                    <w:tr2bl w:val="nil"/>
                  </w:tcBorders>
                  <w:noWrap w:val="0"/>
                  <w:vAlign w:val="center"/>
                </w:tcPr>
                <w:p>
                  <w:pPr>
                    <w:pStyle w:val="33"/>
                    <w:rPr>
                      <w:rFonts w:hint="eastAsia"/>
                      <w:b/>
                      <w:bCs/>
                      <w:color w:val="auto"/>
                      <w:highlight w:val="none"/>
                    </w:rPr>
                  </w:pPr>
                  <w:r>
                    <w:rPr>
                      <w:rFonts w:hint="eastAsia"/>
                      <w:b/>
                      <w:bCs/>
                    </w:rPr>
                    <w:t>基本条件</w:t>
                  </w:r>
                </w:p>
              </w:tc>
              <w:tc>
                <w:tcPr>
                  <w:tcW w:w="1423" w:type="pct"/>
                  <w:tcBorders>
                    <w:tl2br w:val="nil"/>
                    <w:tr2bl w:val="nil"/>
                  </w:tcBorders>
                  <w:noWrap w:val="0"/>
                  <w:vAlign w:val="center"/>
                </w:tcPr>
                <w:p>
                  <w:pPr>
                    <w:pStyle w:val="33"/>
                    <w:rPr>
                      <w:b/>
                      <w:bCs/>
                      <w:color w:val="auto"/>
                      <w:highlight w:val="none"/>
                    </w:rPr>
                  </w:pPr>
                  <w:r>
                    <w:rPr>
                      <w:rFonts w:hint="eastAsia"/>
                      <w:b/>
                      <w:bCs/>
                      <w:color w:val="auto"/>
                      <w:highlight w:val="none"/>
                    </w:rPr>
                    <w:t>估算集气效率（%）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47" w:type="pct"/>
                  <w:tcBorders>
                    <w:tl2br w:val="nil"/>
                    <w:tr2bl w:val="nil"/>
                  </w:tcBorders>
                  <w:noWrap w:val="0"/>
                  <w:vAlign w:val="center"/>
                </w:tcPr>
                <w:p>
                  <w:pPr>
                    <w:pStyle w:val="36"/>
                    <w:adjustRightInd w:val="0"/>
                    <w:snapToGrid w:val="0"/>
                    <w:spacing w:line="240" w:lineRule="auto"/>
                    <w:ind w:firstLine="0" w:firstLineChars="0"/>
                    <w:jc w:val="center"/>
                    <w:rPr>
                      <w:rFonts w:hint="eastAsia" w:eastAsia="宋体"/>
                      <w:color w:val="auto"/>
                      <w:sz w:val="21"/>
                      <w:highlight w:val="none"/>
                      <w:lang w:eastAsia="zh-CN"/>
                    </w:rPr>
                  </w:pPr>
                  <w:r>
                    <w:rPr>
                      <w:rFonts w:hint="eastAsia"/>
                      <w:color w:val="auto"/>
                      <w:sz w:val="21"/>
                      <w:highlight w:val="none"/>
                      <w:lang w:val="en-US" w:eastAsia="zh-CN"/>
                    </w:rPr>
                    <w:t>注塑</w:t>
                  </w:r>
                </w:p>
              </w:tc>
              <w:tc>
                <w:tcPr>
                  <w:tcW w:w="726" w:type="pct"/>
                  <w:tcBorders>
                    <w:tl2br w:val="nil"/>
                    <w:tr2bl w:val="nil"/>
                  </w:tcBorders>
                  <w:noWrap w:val="0"/>
                  <w:vAlign w:val="center"/>
                </w:tcPr>
                <w:p>
                  <w:pPr>
                    <w:jc w:val="center"/>
                    <w:rPr>
                      <w:color w:val="auto"/>
                      <w:highlight w:val="none"/>
                    </w:rPr>
                  </w:pPr>
                  <w:r>
                    <w:rPr>
                      <w:rFonts w:hint="eastAsia"/>
                    </w:rPr>
                    <w:t>外部型集气设备</w:t>
                  </w:r>
                </w:p>
              </w:tc>
              <w:tc>
                <w:tcPr>
                  <w:tcW w:w="2003" w:type="pct"/>
                  <w:tcBorders>
                    <w:tl2br w:val="nil"/>
                    <w:tr2bl w:val="nil"/>
                  </w:tcBorders>
                  <w:noWrap w:val="0"/>
                  <w:vAlign w:val="center"/>
                </w:tcPr>
                <w:p>
                  <w:pPr>
                    <w:pStyle w:val="33"/>
                    <w:rPr>
                      <w:rFonts w:hint="eastAsia"/>
                      <w:color w:val="auto"/>
                      <w:highlight w:val="none"/>
                      <w:lang w:val="en-US" w:eastAsia="zh-CN"/>
                    </w:rPr>
                  </w:pPr>
                  <w:r>
                    <w:rPr>
                      <w:rFonts w:hint="eastAsia"/>
                    </w:rPr>
                    <w:t>顶式集气罩等一般外部型集气设备</w:t>
                  </w:r>
                </w:p>
              </w:tc>
              <w:tc>
                <w:tcPr>
                  <w:tcW w:w="1423" w:type="pct"/>
                  <w:tcBorders>
                    <w:tl2br w:val="nil"/>
                    <w:tr2bl w:val="nil"/>
                  </w:tcBorders>
                  <w:noWrap w:val="0"/>
                  <w:vAlign w:val="center"/>
                </w:tcPr>
                <w:p>
                  <w:pPr>
                    <w:pStyle w:val="33"/>
                    <w:rPr>
                      <w:rFonts w:hint="default" w:eastAsia="宋体"/>
                      <w:color w:val="auto"/>
                      <w:highlight w:val="none"/>
                      <w:lang w:val="en-US" w:eastAsia="zh-CN"/>
                    </w:rPr>
                  </w:pPr>
                  <w:r>
                    <w:rPr>
                      <w:rFonts w:hint="eastAsia"/>
                      <w:color w:val="auto"/>
                      <w:highlight w:val="none"/>
                      <w:lang w:val="en-US" w:eastAsia="zh-CN"/>
                    </w:rPr>
                    <w:t>60</w:t>
                  </w:r>
                </w:p>
              </w:tc>
            </w:tr>
          </w:tbl>
          <w:p>
            <w:pPr>
              <w:adjustRightInd w:val="0"/>
              <w:snapToGrid w:val="0"/>
              <w:spacing w:line="360" w:lineRule="auto"/>
              <w:ind w:firstLine="482" w:firstLineChars="200"/>
              <w:rPr>
                <w:rFonts w:hint="eastAsia"/>
                <w:b/>
                <w:bCs/>
                <w:color w:val="0C0C0C"/>
                <w:sz w:val="24"/>
                <w:szCs w:val="25"/>
                <w:highlight w:val="none"/>
                <w:lang w:val="en-US" w:eastAsia="zh-CN"/>
              </w:rPr>
            </w:pPr>
            <w:r>
              <w:rPr>
                <w:rFonts w:hint="eastAsia"/>
                <w:b/>
                <w:bCs/>
                <w:color w:val="0C0C0C"/>
                <w:sz w:val="24"/>
                <w:szCs w:val="25"/>
                <w:highlight w:val="none"/>
                <w:lang w:val="en-US" w:eastAsia="zh-CN"/>
              </w:rPr>
              <w:t>1.4 处理效率分析</w:t>
            </w:r>
          </w:p>
          <w:p>
            <w:pPr>
              <w:pStyle w:val="36"/>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color w:val="auto"/>
                <w:spacing w:val="4"/>
                <w:highlight w:val="none"/>
                <w:lang w:val="en-US" w:eastAsia="zh-CN"/>
              </w:rPr>
            </w:pPr>
            <w:r>
              <w:rPr>
                <w:rFonts w:hint="eastAsia" w:ascii="Times New Roman" w:hAnsi="Times New Roman"/>
                <w:color w:val="auto"/>
                <w:spacing w:val="4"/>
                <w:highlight w:val="none"/>
                <w:lang w:val="en-US" w:eastAsia="zh-CN"/>
              </w:rPr>
              <w:t>1.4活性炭对有机废气处理效率：</w:t>
            </w:r>
          </w:p>
          <w:p>
            <w:pPr>
              <w:pStyle w:val="36"/>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val="0"/>
                <w:bCs/>
                <w:color w:val="auto"/>
                <w:kern w:val="2"/>
                <w:sz w:val="24"/>
                <w:szCs w:val="24"/>
                <w:highlight w:val="none"/>
                <w:lang w:val="en-US" w:eastAsia="zh-CN"/>
              </w:rPr>
              <w:t>参考《广东省家具制造业挥发性有机化合物废气治理技术指南》（广东省环境保护套2014年12月22日发布，2015年1月1日实施）的附件《广东省家具制造业挥发性有机化合物排放系数使用指南》中活性炭吸附治理效率50%~80%，本项目取最值</w:t>
            </w:r>
            <w:r>
              <w:rPr>
                <w:rFonts w:hint="eastAsia" w:ascii="Times New Roman" w:hAnsi="Times New Roman" w:cs="Times New Roman"/>
                <w:b w:val="0"/>
                <w:bCs/>
                <w:color w:val="auto"/>
                <w:kern w:val="2"/>
                <w:sz w:val="24"/>
                <w:szCs w:val="24"/>
                <w:highlight w:val="none"/>
                <w:lang w:val="en-US" w:eastAsia="zh-CN"/>
              </w:rPr>
              <w:t>6</w:t>
            </w:r>
            <w:r>
              <w:rPr>
                <w:rFonts w:hint="eastAsia" w:ascii="Times New Roman" w:hAnsi="Times New Roman" w:eastAsia="宋体" w:cs="Times New Roman"/>
                <w:b w:val="0"/>
                <w:bCs/>
                <w:color w:val="auto"/>
                <w:kern w:val="2"/>
                <w:sz w:val="24"/>
                <w:szCs w:val="24"/>
                <w:highlight w:val="none"/>
                <w:lang w:val="en-US" w:eastAsia="zh-CN"/>
              </w:rPr>
              <w:t>0%，则本项目</w:t>
            </w:r>
            <w:r>
              <w:rPr>
                <w:rFonts w:hint="eastAsia" w:ascii="Times New Roman" w:hAnsi="Times New Roman" w:cs="Times New Roman"/>
                <w:b w:val="0"/>
                <w:bCs/>
                <w:color w:val="auto"/>
                <w:kern w:val="2"/>
                <w:sz w:val="24"/>
                <w:szCs w:val="24"/>
                <w:highlight w:val="none"/>
                <w:lang w:val="en-US" w:eastAsia="zh-CN"/>
              </w:rPr>
              <w:t>二级活性炭吸附装置对有机废气的</w:t>
            </w:r>
            <w:r>
              <w:rPr>
                <w:rFonts w:hint="eastAsia" w:ascii="Times New Roman" w:hAnsi="Times New Roman" w:eastAsia="宋体" w:cs="Times New Roman"/>
                <w:b w:val="0"/>
                <w:bCs/>
                <w:color w:val="auto"/>
                <w:kern w:val="2"/>
                <w:sz w:val="24"/>
                <w:szCs w:val="24"/>
                <w:highlight w:val="none"/>
                <w:lang w:val="en-US" w:eastAsia="zh-CN"/>
              </w:rPr>
              <w:t>处理效率为60%</w:t>
            </w:r>
            <w:r>
              <w:rPr>
                <w:rFonts w:hint="eastAsia" w:ascii="Times New Roman" w:hAnsi="Times New Roman" w:cs="Times New Roman"/>
                <w:b w:val="0"/>
                <w:bCs/>
                <w:color w:val="auto"/>
                <w:kern w:val="2"/>
                <w:sz w:val="24"/>
                <w:szCs w:val="24"/>
                <w:highlight w:val="none"/>
                <w:lang w:val="en-US" w:eastAsia="zh-CN"/>
              </w:rPr>
              <w:t>+（1-60%）</w:t>
            </w:r>
            <w:r>
              <w:rPr>
                <w:rFonts w:hint="eastAsia"/>
                <w:lang w:eastAsia="zh-CN"/>
              </w:rPr>
              <w:t>×</w:t>
            </w:r>
            <w:r>
              <w:rPr>
                <w:rFonts w:hint="eastAsia"/>
                <w:lang w:val="en-US" w:eastAsia="zh-CN"/>
              </w:rPr>
              <w:t>60%=84%</w:t>
            </w:r>
            <w:r>
              <w:rPr>
                <w:rFonts w:hint="eastAsia" w:ascii="Times New Roman" w:hAnsi="Times New Roman" w:eastAsia="宋体" w:cs="Times New Roman"/>
                <w:b w:val="0"/>
                <w:bCs/>
                <w:color w:val="auto"/>
                <w:kern w:val="2"/>
                <w:sz w:val="24"/>
                <w:szCs w:val="24"/>
                <w:highlight w:val="none"/>
                <w:lang w:val="en-US" w:eastAsia="zh-CN"/>
              </w:rPr>
              <w:t>，</w:t>
            </w:r>
            <w:r>
              <w:rPr>
                <w:rFonts w:hint="eastAsia" w:ascii="Times New Roman" w:hAnsi="Times New Roman"/>
                <w:color w:val="auto"/>
                <w:spacing w:val="4"/>
                <w:highlight w:val="none"/>
                <w:lang w:eastAsia="zh-CN"/>
              </w:rPr>
              <w:t>则</w:t>
            </w:r>
            <w:r>
              <w:rPr>
                <w:rFonts w:hint="eastAsia"/>
                <w:lang w:eastAsia="zh-CN"/>
              </w:rPr>
              <w:t>本评价有机废气保守预算取处理效率为</w:t>
            </w:r>
            <w:r>
              <w:rPr>
                <w:rFonts w:hint="eastAsia"/>
                <w:lang w:val="en-US" w:eastAsia="zh-CN"/>
              </w:rPr>
              <w:t>8</w:t>
            </w:r>
            <w:r>
              <w:rPr>
                <w:rFonts w:hint="eastAsia"/>
                <w:lang w:eastAsia="zh-CN"/>
              </w:rPr>
              <w:t>0%。</w:t>
            </w:r>
          </w:p>
          <w:p>
            <w:pPr>
              <w:adjustRightInd w:val="0"/>
              <w:snapToGrid w:val="0"/>
              <w:spacing w:line="360" w:lineRule="auto"/>
              <w:ind w:firstLine="482" w:firstLineChars="200"/>
              <w:rPr>
                <w:rFonts w:hint="eastAsia"/>
                <w:color w:val="0C0C0C"/>
                <w:sz w:val="24"/>
                <w:szCs w:val="25"/>
                <w:highlight w:val="none"/>
              </w:rPr>
            </w:pPr>
            <w:r>
              <w:rPr>
                <w:rFonts w:hint="eastAsia"/>
                <w:b/>
                <w:bCs/>
                <w:color w:val="0C0C0C"/>
                <w:sz w:val="24"/>
                <w:szCs w:val="25"/>
                <w:highlight w:val="none"/>
              </w:rPr>
              <w:t>1.2排放口情况、监测要求、非正常工况</w:t>
            </w:r>
          </w:p>
          <w:p>
            <w:pPr>
              <w:adjustRightInd w:val="0"/>
              <w:snapToGrid w:val="0"/>
              <w:spacing w:line="360" w:lineRule="auto"/>
              <w:ind w:firstLine="480" w:firstLineChars="200"/>
              <w:rPr>
                <w:rFonts w:hint="default" w:ascii="Times New Roman" w:hAnsi="Times New Roman" w:eastAsia="宋体" w:cs="Times New Roman"/>
                <w:b/>
                <w:bCs/>
                <w:color w:val="0C0C0C"/>
                <w:szCs w:val="21"/>
                <w:highlight w:val="none"/>
              </w:rPr>
            </w:pPr>
            <w:r>
              <w:rPr>
                <w:rFonts w:hint="default" w:ascii="Times New Roman" w:hAnsi="Times New Roman" w:eastAsia="宋体" w:cs="Times New Roman"/>
                <w:color w:val="0C0C0C"/>
                <w:sz w:val="24"/>
                <w:highlight w:val="none"/>
                <w:lang w:eastAsia="zh-CN"/>
              </w:rPr>
              <w:t>本项目</w:t>
            </w:r>
            <w:r>
              <w:rPr>
                <w:rFonts w:hint="default" w:ascii="Times New Roman" w:hAnsi="Times New Roman" w:eastAsia="宋体" w:cs="Times New Roman"/>
                <w:color w:val="0C0C0C"/>
                <w:sz w:val="24"/>
                <w:highlight w:val="none"/>
              </w:rPr>
              <w:t>废气的自行监测要求参照</w:t>
            </w:r>
            <w:r>
              <w:rPr>
                <w:rFonts w:hint="default" w:ascii="Times New Roman" w:hAnsi="Times New Roman" w:eastAsia="宋体" w:cs="Times New Roman"/>
                <w:color w:val="0C0C0C"/>
                <w:sz w:val="24"/>
                <w:highlight w:val="none"/>
                <w:lang w:bidi="ar"/>
              </w:rPr>
              <w:t>根据《污染源源强核算技术指南 准则》（HJ994-2018）及参考《排污许可证申请与核发技术规范橡胶和塑料制品业》（HJ1124-2020）中表9废气污染源监测点位、监测指标及最低监测频次</w:t>
            </w:r>
            <w:r>
              <w:rPr>
                <w:rFonts w:hint="default" w:ascii="Times New Roman" w:hAnsi="Times New Roman" w:eastAsia="宋体" w:cs="Times New Roman"/>
                <w:color w:val="0C0C0C"/>
                <w:sz w:val="24"/>
                <w:szCs w:val="25"/>
                <w:highlight w:val="none"/>
              </w:rPr>
              <w:t>制定</w:t>
            </w:r>
            <w:r>
              <w:rPr>
                <w:rFonts w:hint="default" w:ascii="Times New Roman" w:hAnsi="Times New Roman" w:eastAsia="宋体" w:cs="Times New Roman"/>
                <w:color w:val="0C0C0C"/>
                <w:sz w:val="24"/>
                <w:szCs w:val="25"/>
                <w:highlight w:val="none"/>
                <w:lang w:eastAsia="zh-CN"/>
              </w:rPr>
              <w:t>本项目</w:t>
            </w:r>
            <w:r>
              <w:rPr>
                <w:rFonts w:hint="default" w:ascii="Times New Roman" w:hAnsi="Times New Roman" w:eastAsia="宋体" w:cs="Times New Roman"/>
                <w:color w:val="0C0C0C"/>
                <w:sz w:val="24"/>
                <w:szCs w:val="25"/>
                <w:highlight w:val="none"/>
              </w:rPr>
              <w:t>大气监测计划如下：</w:t>
            </w:r>
          </w:p>
          <w:p>
            <w:pPr>
              <w:adjustRightInd w:val="0"/>
              <w:snapToGrid w:val="0"/>
              <w:ind w:firstLine="422" w:firstLineChars="200"/>
              <w:jc w:val="center"/>
              <w:rPr>
                <w:b/>
                <w:bCs/>
                <w:color w:val="0C0C0C"/>
                <w:szCs w:val="21"/>
                <w:highlight w:val="none"/>
              </w:rPr>
            </w:pPr>
            <w:r>
              <w:rPr>
                <w:rFonts w:hint="eastAsia"/>
                <w:b/>
                <w:bCs/>
                <w:color w:val="0C0C0C"/>
                <w:szCs w:val="21"/>
                <w:highlight w:val="none"/>
              </w:rPr>
              <w:t>表</w:t>
            </w:r>
            <w:r>
              <w:rPr>
                <w:rFonts w:hint="eastAsia"/>
                <w:b/>
                <w:bCs/>
                <w:color w:val="0C0C0C"/>
                <w:szCs w:val="21"/>
                <w:highlight w:val="none"/>
                <w:lang w:val="en-US" w:eastAsia="zh-CN"/>
              </w:rPr>
              <w:t xml:space="preserve">4-5 </w:t>
            </w:r>
            <w:r>
              <w:rPr>
                <w:rFonts w:hint="eastAsia"/>
                <w:b/>
                <w:bCs/>
                <w:color w:val="0C0C0C"/>
                <w:szCs w:val="21"/>
                <w:highlight w:val="none"/>
              </w:rPr>
              <w:t>废气排放口基本情况</w:t>
            </w:r>
          </w:p>
          <w:tbl>
            <w:tblPr>
              <w:tblStyle w:val="24"/>
              <w:tblW w:w="8837" w:type="dxa"/>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110"/>
              <w:gridCol w:w="1155"/>
              <w:gridCol w:w="1215"/>
              <w:gridCol w:w="1125"/>
              <w:gridCol w:w="667"/>
              <w:gridCol w:w="833"/>
              <w:gridCol w:w="1035"/>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37" w:type="dxa"/>
                  <w:vMerge w:val="restart"/>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编号</w:t>
                  </w:r>
                </w:p>
              </w:tc>
              <w:tc>
                <w:tcPr>
                  <w:tcW w:w="1110" w:type="dxa"/>
                  <w:vMerge w:val="restart"/>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排气口</w:t>
                  </w:r>
                </w:p>
                <w:p>
                  <w:pPr>
                    <w:adjustRightInd w:val="0"/>
                    <w:snapToGrid w:val="0"/>
                    <w:jc w:val="center"/>
                    <w:rPr>
                      <w:rFonts w:hint="eastAsia"/>
                      <w:b/>
                      <w:bCs/>
                      <w:color w:val="0C0C0C"/>
                      <w:szCs w:val="21"/>
                      <w:highlight w:val="none"/>
                    </w:rPr>
                  </w:pPr>
                  <w:r>
                    <w:rPr>
                      <w:rFonts w:hint="eastAsia"/>
                      <w:b/>
                      <w:bCs/>
                      <w:color w:val="0C0C0C"/>
                      <w:szCs w:val="21"/>
                      <w:highlight w:val="none"/>
                    </w:rPr>
                    <w:t>名称</w:t>
                  </w:r>
                </w:p>
              </w:tc>
              <w:tc>
                <w:tcPr>
                  <w:tcW w:w="1155" w:type="dxa"/>
                  <w:vMerge w:val="restart"/>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污染物</w:t>
                  </w:r>
                </w:p>
                <w:p>
                  <w:pPr>
                    <w:adjustRightInd w:val="0"/>
                    <w:snapToGrid w:val="0"/>
                    <w:jc w:val="center"/>
                    <w:rPr>
                      <w:rFonts w:hint="eastAsia"/>
                      <w:b/>
                      <w:bCs/>
                      <w:color w:val="0C0C0C"/>
                      <w:szCs w:val="21"/>
                      <w:highlight w:val="none"/>
                    </w:rPr>
                  </w:pPr>
                  <w:r>
                    <w:rPr>
                      <w:rFonts w:hint="eastAsia"/>
                      <w:b/>
                      <w:bCs/>
                      <w:color w:val="0C0C0C"/>
                      <w:szCs w:val="21"/>
                      <w:highlight w:val="none"/>
                    </w:rPr>
                    <w:t>种类</w:t>
                  </w:r>
                </w:p>
              </w:tc>
              <w:tc>
                <w:tcPr>
                  <w:tcW w:w="2340" w:type="dxa"/>
                  <w:gridSpan w:val="2"/>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排放口地理坐标</w:t>
                  </w:r>
                </w:p>
              </w:tc>
              <w:tc>
                <w:tcPr>
                  <w:tcW w:w="667" w:type="dxa"/>
                  <w:vMerge w:val="restart"/>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排气温度</w:t>
                  </w:r>
                  <w:r>
                    <w:rPr>
                      <w:rFonts w:hint="eastAsia" w:ascii="宋体" w:hAnsi="宋体" w:cs="宋体"/>
                      <w:b/>
                      <w:bCs/>
                      <w:color w:val="0C0C0C"/>
                      <w:szCs w:val="21"/>
                      <w:highlight w:val="none"/>
                    </w:rPr>
                    <w:t>℃</w:t>
                  </w:r>
                </w:p>
              </w:tc>
              <w:tc>
                <w:tcPr>
                  <w:tcW w:w="1868" w:type="dxa"/>
                  <w:gridSpan w:val="2"/>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排气筒</w:t>
                  </w:r>
                </w:p>
              </w:tc>
              <w:tc>
                <w:tcPr>
                  <w:tcW w:w="860" w:type="dxa"/>
                  <w:vMerge w:val="restart"/>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37" w:type="dxa"/>
                  <w:vMerge w:val="continue"/>
                  <w:noWrap w:val="0"/>
                  <w:vAlign w:val="center"/>
                </w:tcPr>
                <w:p>
                  <w:pPr>
                    <w:adjustRightInd w:val="0"/>
                    <w:snapToGrid w:val="0"/>
                    <w:jc w:val="center"/>
                    <w:rPr>
                      <w:rFonts w:hint="eastAsia"/>
                      <w:b/>
                      <w:bCs/>
                      <w:color w:val="0C0C0C"/>
                      <w:szCs w:val="21"/>
                      <w:highlight w:val="none"/>
                    </w:rPr>
                  </w:pPr>
                </w:p>
              </w:tc>
              <w:tc>
                <w:tcPr>
                  <w:tcW w:w="1110" w:type="dxa"/>
                  <w:vMerge w:val="continue"/>
                  <w:noWrap w:val="0"/>
                  <w:vAlign w:val="center"/>
                </w:tcPr>
                <w:p>
                  <w:pPr>
                    <w:adjustRightInd w:val="0"/>
                    <w:snapToGrid w:val="0"/>
                    <w:jc w:val="center"/>
                    <w:rPr>
                      <w:rFonts w:hint="eastAsia"/>
                      <w:b/>
                      <w:bCs/>
                      <w:color w:val="0C0C0C"/>
                      <w:szCs w:val="21"/>
                      <w:highlight w:val="none"/>
                    </w:rPr>
                  </w:pPr>
                </w:p>
              </w:tc>
              <w:tc>
                <w:tcPr>
                  <w:tcW w:w="1155" w:type="dxa"/>
                  <w:vMerge w:val="continue"/>
                  <w:noWrap w:val="0"/>
                  <w:vAlign w:val="center"/>
                </w:tcPr>
                <w:p>
                  <w:pPr>
                    <w:adjustRightInd w:val="0"/>
                    <w:snapToGrid w:val="0"/>
                    <w:jc w:val="center"/>
                    <w:rPr>
                      <w:rFonts w:hint="eastAsia"/>
                      <w:b/>
                      <w:bCs/>
                      <w:color w:val="0C0C0C"/>
                      <w:szCs w:val="21"/>
                      <w:highlight w:val="none"/>
                    </w:rPr>
                  </w:pPr>
                </w:p>
              </w:tc>
              <w:tc>
                <w:tcPr>
                  <w:tcW w:w="1215"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经度</w:t>
                  </w:r>
                </w:p>
              </w:tc>
              <w:tc>
                <w:tcPr>
                  <w:tcW w:w="1125"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纬度</w:t>
                  </w:r>
                </w:p>
              </w:tc>
              <w:tc>
                <w:tcPr>
                  <w:tcW w:w="667" w:type="dxa"/>
                  <w:vMerge w:val="continue"/>
                  <w:noWrap w:val="0"/>
                  <w:vAlign w:val="center"/>
                </w:tcPr>
                <w:p>
                  <w:pPr>
                    <w:adjustRightInd w:val="0"/>
                    <w:snapToGrid w:val="0"/>
                    <w:jc w:val="center"/>
                    <w:rPr>
                      <w:rFonts w:hint="eastAsia"/>
                      <w:b/>
                      <w:bCs/>
                      <w:color w:val="0C0C0C"/>
                      <w:szCs w:val="21"/>
                      <w:highlight w:val="none"/>
                    </w:rPr>
                  </w:pPr>
                </w:p>
              </w:tc>
              <w:tc>
                <w:tcPr>
                  <w:tcW w:w="833"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高度m</w:t>
                  </w:r>
                </w:p>
              </w:tc>
              <w:tc>
                <w:tcPr>
                  <w:tcW w:w="1035"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出口内径m</w:t>
                  </w:r>
                </w:p>
              </w:tc>
              <w:tc>
                <w:tcPr>
                  <w:tcW w:w="860" w:type="dxa"/>
                  <w:vMerge w:val="continue"/>
                  <w:noWrap w:val="0"/>
                  <w:vAlign w:val="center"/>
                </w:tcPr>
                <w:p>
                  <w:pPr>
                    <w:adjustRightInd w:val="0"/>
                    <w:snapToGrid w:val="0"/>
                    <w:jc w:val="center"/>
                    <w:rPr>
                      <w:rFonts w:hint="eastAsia"/>
                      <w:b/>
                      <w:bCs/>
                      <w:color w:val="0C0C0C"/>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37" w:type="dxa"/>
                  <w:noWrap w:val="0"/>
                  <w:vAlign w:val="center"/>
                </w:tcPr>
                <w:p>
                  <w:pPr>
                    <w:adjustRightInd w:val="0"/>
                    <w:snapToGrid w:val="0"/>
                    <w:jc w:val="center"/>
                    <w:rPr>
                      <w:rFonts w:hint="default" w:eastAsia="宋体"/>
                      <w:color w:val="0C0C0C"/>
                      <w:szCs w:val="21"/>
                      <w:highlight w:val="none"/>
                      <w:lang w:val="en-US" w:eastAsia="zh-CN"/>
                    </w:rPr>
                  </w:pPr>
                  <w:r>
                    <w:rPr>
                      <w:rFonts w:hint="eastAsia"/>
                      <w:color w:val="0C0C0C"/>
                      <w:szCs w:val="21"/>
                      <w:highlight w:val="none"/>
                      <w:lang w:val="en-US" w:eastAsia="zh-CN"/>
                    </w:rPr>
                    <w:t>DA001</w:t>
                  </w:r>
                </w:p>
              </w:tc>
              <w:tc>
                <w:tcPr>
                  <w:tcW w:w="1110" w:type="dxa"/>
                  <w:noWrap w:val="0"/>
                  <w:vAlign w:val="center"/>
                </w:tcPr>
                <w:p>
                  <w:pPr>
                    <w:adjustRightInd w:val="0"/>
                    <w:snapToGrid w:val="0"/>
                    <w:jc w:val="center"/>
                    <w:rPr>
                      <w:rFonts w:hint="eastAsia" w:eastAsia="宋体"/>
                      <w:color w:val="0C0C0C"/>
                      <w:szCs w:val="21"/>
                      <w:highlight w:val="none"/>
                      <w:lang w:eastAsia="zh-CN"/>
                    </w:rPr>
                  </w:pPr>
                  <w:r>
                    <w:rPr>
                      <w:rFonts w:hint="eastAsia"/>
                      <w:color w:val="0C0C0C"/>
                      <w:szCs w:val="21"/>
                      <w:highlight w:val="none"/>
                      <w:lang w:eastAsia="zh-CN"/>
                    </w:rPr>
                    <w:t>注塑废气排气筒</w:t>
                  </w:r>
                </w:p>
              </w:tc>
              <w:tc>
                <w:tcPr>
                  <w:tcW w:w="1155" w:type="dxa"/>
                  <w:noWrap w:val="0"/>
                  <w:vAlign w:val="center"/>
                </w:tcPr>
                <w:p>
                  <w:pPr>
                    <w:adjustRightInd w:val="0"/>
                    <w:snapToGrid w:val="0"/>
                    <w:jc w:val="center"/>
                    <w:rPr>
                      <w:rFonts w:hint="eastAsia" w:eastAsia="宋体"/>
                      <w:color w:val="0C0C0C"/>
                      <w:szCs w:val="21"/>
                      <w:highlight w:val="none"/>
                      <w:lang w:eastAsia="zh-CN"/>
                    </w:rPr>
                  </w:pPr>
                  <w:r>
                    <w:rPr>
                      <w:rFonts w:hint="eastAsia"/>
                      <w:color w:val="0C0C0C"/>
                      <w:szCs w:val="21"/>
                      <w:highlight w:val="none"/>
                    </w:rPr>
                    <w:t>非甲烷总烃</w:t>
                  </w:r>
                </w:p>
              </w:tc>
              <w:tc>
                <w:tcPr>
                  <w:tcW w:w="1215" w:type="dxa"/>
                  <w:noWrap w:val="0"/>
                  <w:vAlign w:val="center"/>
                </w:tcPr>
                <w:p>
                  <w:pPr>
                    <w:adjustRightInd w:val="0"/>
                    <w:snapToGrid w:val="0"/>
                    <w:jc w:val="center"/>
                    <w:rPr>
                      <w:rFonts w:hint="default" w:eastAsia="宋体"/>
                      <w:color w:val="0C0C0C"/>
                      <w:szCs w:val="21"/>
                      <w:highlight w:val="none"/>
                      <w:lang w:val="en-US" w:eastAsia="zh-CN"/>
                    </w:rPr>
                  </w:pPr>
                  <w:r>
                    <w:rPr>
                      <w:rFonts w:hint="eastAsia" w:eastAsia="宋体"/>
                      <w:color w:val="0C0C0C"/>
                      <w:szCs w:val="21"/>
                      <w:highlight w:val="none"/>
                      <w:lang w:val="en-US" w:eastAsia="zh-CN"/>
                    </w:rPr>
                    <w:t>113.902997</w:t>
                  </w:r>
                </w:p>
              </w:tc>
              <w:tc>
                <w:tcPr>
                  <w:tcW w:w="1125" w:type="dxa"/>
                  <w:noWrap w:val="0"/>
                  <w:vAlign w:val="center"/>
                </w:tcPr>
                <w:p>
                  <w:pPr>
                    <w:adjustRightInd w:val="0"/>
                    <w:snapToGrid w:val="0"/>
                    <w:jc w:val="center"/>
                    <w:rPr>
                      <w:rFonts w:hint="default" w:eastAsia="宋体"/>
                      <w:color w:val="0C0C0C"/>
                      <w:szCs w:val="21"/>
                      <w:highlight w:val="none"/>
                      <w:lang w:val="en-US" w:eastAsia="zh-CN"/>
                    </w:rPr>
                  </w:pPr>
                  <w:r>
                    <w:rPr>
                      <w:rFonts w:hint="eastAsia" w:eastAsia="宋体"/>
                      <w:color w:val="0C0C0C"/>
                      <w:szCs w:val="21"/>
                      <w:highlight w:val="none"/>
                      <w:lang w:val="en-US" w:eastAsia="zh-CN"/>
                    </w:rPr>
                    <w:t>23.155330</w:t>
                  </w:r>
                </w:p>
              </w:tc>
              <w:tc>
                <w:tcPr>
                  <w:tcW w:w="667" w:type="dxa"/>
                  <w:noWrap w:val="0"/>
                  <w:vAlign w:val="center"/>
                </w:tcPr>
                <w:p>
                  <w:pPr>
                    <w:adjustRightInd w:val="0"/>
                    <w:snapToGrid w:val="0"/>
                    <w:jc w:val="center"/>
                    <w:rPr>
                      <w:color w:val="0C0C0C"/>
                      <w:szCs w:val="21"/>
                      <w:highlight w:val="none"/>
                    </w:rPr>
                  </w:pPr>
                  <w:r>
                    <w:rPr>
                      <w:rFonts w:hint="eastAsia"/>
                      <w:color w:val="0C0C0C"/>
                      <w:szCs w:val="21"/>
                      <w:highlight w:val="none"/>
                    </w:rPr>
                    <w:t>25</w:t>
                  </w:r>
                </w:p>
              </w:tc>
              <w:tc>
                <w:tcPr>
                  <w:tcW w:w="833" w:type="dxa"/>
                  <w:noWrap w:val="0"/>
                  <w:vAlign w:val="center"/>
                </w:tcPr>
                <w:p>
                  <w:pPr>
                    <w:adjustRightInd w:val="0"/>
                    <w:snapToGrid w:val="0"/>
                    <w:jc w:val="center"/>
                    <w:rPr>
                      <w:color w:val="0C0C0C"/>
                      <w:szCs w:val="21"/>
                      <w:highlight w:val="none"/>
                    </w:rPr>
                  </w:pPr>
                  <w:r>
                    <w:rPr>
                      <w:rFonts w:hint="eastAsia"/>
                      <w:color w:val="0C0C0C"/>
                      <w:szCs w:val="21"/>
                      <w:highlight w:val="none"/>
                    </w:rPr>
                    <w:t>15</w:t>
                  </w:r>
                </w:p>
              </w:tc>
              <w:tc>
                <w:tcPr>
                  <w:tcW w:w="1035" w:type="dxa"/>
                  <w:noWrap w:val="0"/>
                  <w:vAlign w:val="center"/>
                </w:tcPr>
                <w:p>
                  <w:pPr>
                    <w:adjustRightInd w:val="0"/>
                    <w:snapToGrid w:val="0"/>
                    <w:jc w:val="center"/>
                    <w:rPr>
                      <w:color w:val="0C0C0C"/>
                      <w:szCs w:val="21"/>
                      <w:highlight w:val="none"/>
                    </w:rPr>
                  </w:pPr>
                  <w:r>
                    <w:rPr>
                      <w:rFonts w:hint="eastAsia"/>
                      <w:color w:val="0C0C0C"/>
                      <w:szCs w:val="21"/>
                      <w:highlight w:val="none"/>
                    </w:rPr>
                    <w:t>0.5</w:t>
                  </w:r>
                </w:p>
              </w:tc>
              <w:tc>
                <w:tcPr>
                  <w:tcW w:w="860"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一般</w:t>
                  </w:r>
                </w:p>
                <w:p>
                  <w:pPr>
                    <w:adjustRightInd w:val="0"/>
                    <w:snapToGrid w:val="0"/>
                    <w:jc w:val="center"/>
                    <w:rPr>
                      <w:rFonts w:hint="eastAsia"/>
                      <w:color w:val="0C0C0C"/>
                      <w:szCs w:val="21"/>
                      <w:highlight w:val="none"/>
                    </w:rPr>
                  </w:pPr>
                  <w:r>
                    <w:rPr>
                      <w:rFonts w:hint="eastAsia"/>
                      <w:color w:val="0C0C0C"/>
                      <w:szCs w:val="21"/>
                      <w:highlight w:val="none"/>
                    </w:rPr>
                    <w:t>排放口</w:t>
                  </w:r>
                </w:p>
              </w:tc>
            </w:tr>
          </w:tbl>
          <w:p>
            <w:pPr>
              <w:adjustRightInd w:val="0"/>
              <w:snapToGrid w:val="0"/>
              <w:jc w:val="both"/>
              <w:rPr>
                <w:rFonts w:hint="eastAsia"/>
                <w:b/>
                <w:bCs/>
                <w:color w:val="0C0C0C"/>
                <w:szCs w:val="21"/>
                <w:highlight w:val="none"/>
              </w:rPr>
            </w:pPr>
          </w:p>
          <w:p>
            <w:pPr>
              <w:adjustRightInd w:val="0"/>
              <w:snapToGrid w:val="0"/>
              <w:jc w:val="center"/>
              <w:rPr>
                <w:b/>
                <w:bCs/>
                <w:color w:val="0C0C0C"/>
                <w:szCs w:val="21"/>
                <w:highlight w:val="none"/>
              </w:rPr>
            </w:pPr>
            <w:r>
              <w:rPr>
                <w:rFonts w:hint="eastAsia"/>
                <w:b/>
                <w:bCs/>
                <w:color w:val="0C0C0C"/>
                <w:szCs w:val="21"/>
                <w:highlight w:val="none"/>
              </w:rPr>
              <w:t>表</w:t>
            </w:r>
            <w:r>
              <w:rPr>
                <w:rFonts w:hint="eastAsia"/>
                <w:b/>
                <w:bCs/>
                <w:color w:val="0C0C0C"/>
                <w:szCs w:val="21"/>
                <w:highlight w:val="none"/>
                <w:lang w:val="en-US" w:eastAsia="zh-CN"/>
              </w:rPr>
              <w:t xml:space="preserve">4-6 </w:t>
            </w:r>
            <w:r>
              <w:rPr>
                <w:rFonts w:hint="eastAsia"/>
                <w:b/>
                <w:bCs/>
                <w:color w:val="0C0C0C"/>
                <w:szCs w:val="21"/>
                <w:highlight w:val="none"/>
              </w:rPr>
              <w:t>项目大气污染物监测计划</w:t>
            </w:r>
          </w:p>
          <w:tbl>
            <w:tblPr>
              <w:tblStyle w:val="24"/>
              <w:tblW w:w="8838"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4"/>
              <w:gridCol w:w="1024"/>
              <w:gridCol w:w="862"/>
              <w:gridCol w:w="1712"/>
              <w:gridCol w:w="1065"/>
              <w:gridCol w:w="2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254" w:type="dxa"/>
                  <w:vMerge w:val="restart"/>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lang w:eastAsia="zh-CN"/>
                    </w:rPr>
                    <w:t>监测</w:t>
                  </w:r>
                  <w:r>
                    <w:rPr>
                      <w:rFonts w:hint="eastAsia"/>
                      <w:b/>
                      <w:bCs/>
                      <w:color w:val="0C0C0C"/>
                      <w:szCs w:val="21"/>
                      <w:highlight w:val="none"/>
                    </w:rPr>
                    <w:t>口名称</w:t>
                  </w:r>
                </w:p>
              </w:tc>
              <w:tc>
                <w:tcPr>
                  <w:tcW w:w="1886" w:type="dxa"/>
                  <w:gridSpan w:val="2"/>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监测要求</w:t>
                  </w:r>
                </w:p>
              </w:tc>
              <w:tc>
                <w:tcPr>
                  <w:tcW w:w="5698" w:type="dxa"/>
                  <w:gridSpan w:val="3"/>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54" w:type="dxa"/>
                  <w:vMerge w:val="continue"/>
                  <w:noWrap w:val="0"/>
                  <w:vAlign w:val="center"/>
                </w:tcPr>
                <w:p>
                  <w:pPr>
                    <w:adjustRightInd w:val="0"/>
                    <w:snapToGrid w:val="0"/>
                    <w:jc w:val="center"/>
                    <w:rPr>
                      <w:rFonts w:hint="eastAsia"/>
                      <w:b/>
                      <w:bCs/>
                      <w:color w:val="0C0C0C"/>
                      <w:szCs w:val="21"/>
                      <w:highlight w:val="none"/>
                    </w:rPr>
                  </w:pPr>
                </w:p>
              </w:tc>
              <w:tc>
                <w:tcPr>
                  <w:tcW w:w="1024"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监测</w:t>
                  </w:r>
                </w:p>
                <w:p>
                  <w:pPr>
                    <w:adjustRightInd w:val="0"/>
                    <w:snapToGrid w:val="0"/>
                    <w:jc w:val="center"/>
                    <w:rPr>
                      <w:rFonts w:hint="eastAsia"/>
                      <w:b/>
                      <w:bCs/>
                      <w:color w:val="0C0C0C"/>
                      <w:szCs w:val="21"/>
                      <w:highlight w:val="none"/>
                    </w:rPr>
                  </w:pPr>
                  <w:r>
                    <w:rPr>
                      <w:rFonts w:hint="eastAsia"/>
                      <w:b/>
                      <w:bCs/>
                      <w:color w:val="0C0C0C"/>
                      <w:szCs w:val="21"/>
                      <w:highlight w:val="none"/>
                    </w:rPr>
                    <w:t>因子</w:t>
                  </w:r>
                </w:p>
              </w:tc>
              <w:tc>
                <w:tcPr>
                  <w:tcW w:w="862"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监测</w:t>
                  </w:r>
                </w:p>
                <w:p>
                  <w:pPr>
                    <w:adjustRightInd w:val="0"/>
                    <w:snapToGrid w:val="0"/>
                    <w:jc w:val="center"/>
                    <w:rPr>
                      <w:rFonts w:hint="eastAsia"/>
                      <w:b/>
                      <w:bCs/>
                      <w:color w:val="0C0C0C"/>
                      <w:szCs w:val="21"/>
                      <w:highlight w:val="none"/>
                    </w:rPr>
                  </w:pPr>
                  <w:r>
                    <w:rPr>
                      <w:rFonts w:hint="eastAsia"/>
                      <w:b/>
                      <w:bCs/>
                      <w:color w:val="0C0C0C"/>
                      <w:szCs w:val="21"/>
                      <w:highlight w:val="none"/>
                    </w:rPr>
                    <w:t>频次</w:t>
                  </w:r>
                </w:p>
              </w:tc>
              <w:tc>
                <w:tcPr>
                  <w:tcW w:w="1712"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浓度限值mg/m</w:t>
                  </w:r>
                  <w:r>
                    <w:rPr>
                      <w:rFonts w:hint="eastAsia"/>
                      <w:b/>
                      <w:bCs/>
                      <w:color w:val="0C0C0C"/>
                      <w:szCs w:val="21"/>
                      <w:highlight w:val="none"/>
                      <w:vertAlign w:val="superscript"/>
                    </w:rPr>
                    <w:t>3</w:t>
                  </w:r>
                </w:p>
              </w:tc>
              <w:tc>
                <w:tcPr>
                  <w:tcW w:w="1065"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速率限值kg/h</w:t>
                  </w:r>
                </w:p>
              </w:tc>
              <w:tc>
                <w:tcPr>
                  <w:tcW w:w="2921"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标准名称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254" w:type="dxa"/>
                  <w:noWrap w:val="0"/>
                  <w:vAlign w:val="center"/>
                </w:tcPr>
                <w:p>
                  <w:pPr>
                    <w:adjustRightInd w:val="0"/>
                    <w:snapToGrid w:val="0"/>
                    <w:jc w:val="center"/>
                    <w:rPr>
                      <w:rFonts w:hint="eastAsia" w:eastAsia="宋体"/>
                      <w:color w:val="0C0C0C"/>
                      <w:szCs w:val="21"/>
                      <w:highlight w:val="none"/>
                      <w:lang w:eastAsia="zh-CN"/>
                    </w:rPr>
                  </w:pPr>
                  <w:r>
                    <w:rPr>
                      <w:rFonts w:hint="eastAsia"/>
                      <w:color w:val="0C0C0C"/>
                      <w:szCs w:val="21"/>
                      <w:highlight w:val="none"/>
                      <w:lang w:eastAsia="zh-CN"/>
                    </w:rPr>
                    <w:t>注塑废气监测口</w:t>
                  </w:r>
                </w:p>
              </w:tc>
              <w:tc>
                <w:tcPr>
                  <w:tcW w:w="1024"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非甲烷总烃</w:t>
                  </w:r>
                </w:p>
              </w:tc>
              <w:tc>
                <w:tcPr>
                  <w:tcW w:w="862"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1次/年</w:t>
                  </w:r>
                </w:p>
              </w:tc>
              <w:tc>
                <w:tcPr>
                  <w:tcW w:w="1712" w:type="dxa"/>
                  <w:noWrap w:val="0"/>
                  <w:vAlign w:val="center"/>
                </w:tcPr>
                <w:p>
                  <w:pPr>
                    <w:adjustRightInd w:val="0"/>
                    <w:snapToGrid w:val="0"/>
                    <w:jc w:val="center"/>
                    <w:rPr>
                      <w:rFonts w:hint="default" w:eastAsia="宋体"/>
                      <w:color w:val="0C0C0C"/>
                      <w:szCs w:val="21"/>
                      <w:highlight w:val="none"/>
                      <w:lang w:val="en-US" w:eastAsia="zh-CN"/>
                    </w:rPr>
                  </w:pPr>
                  <w:r>
                    <w:rPr>
                      <w:rFonts w:hint="eastAsia"/>
                      <w:color w:val="0C0C0C"/>
                      <w:szCs w:val="21"/>
                      <w:highlight w:val="none"/>
                      <w:lang w:val="en-US" w:eastAsia="zh-CN"/>
                    </w:rPr>
                    <w:t>60</w:t>
                  </w:r>
                </w:p>
              </w:tc>
              <w:tc>
                <w:tcPr>
                  <w:tcW w:w="1065" w:type="dxa"/>
                  <w:noWrap w:val="0"/>
                  <w:vAlign w:val="center"/>
                </w:tcPr>
                <w:p>
                  <w:pPr>
                    <w:adjustRightInd w:val="0"/>
                    <w:snapToGrid w:val="0"/>
                    <w:spacing w:line="240" w:lineRule="auto"/>
                    <w:jc w:val="center"/>
                    <w:rPr>
                      <w:rFonts w:hint="eastAsia"/>
                      <w:b w:val="0"/>
                      <w:bCs w:val="0"/>
                      <w:color w:val="0C0C0C"/>
                      <w:sz w:val="21"/>
                      <w:szCs w:val="21"/>
                      <w:highlight w:val="none"/>
                      <w:vertAlign w:val="baseline"/>
                      <w:lang w:val="en-US" w:eastAsia="zh-CN"/>
                    </w:rPr>
                  </w:pPr>
                  <w:r>
                    <w:rPr>
                      <w:rFonts w:hint="eastAsia"/>
                      <w:b w:val="0"/>
                      <w:bCs w:val="0"/>
                      <w:color w:val="0C0C0C"/>
                      <w:sz w:val="21"/>
                      <w:szCs w:val="21"/>
                      <w:highlight w:val="none"/>
                      <w:vertAlign w:val="baseline"/>
                      <w:lang w:val="en-US" w:eastAsia="zh-CN"/>
                    </w:rPr>
                    <w:t>14*</w:t>
                  </w:r>
                </w:p>
                <w:p>
                  <w:pPr>
                    <w:adjustRightInd w:val="0"/>
                    <w:snapToGrid w:val="0"/>
                    <w:jc w:val="center"/>
                    <w:rPr>
                      <w:color w:val="0C0C0C"/>
                      <w:szCs w:val="21"/>
                      <w:highlight w:val="none"/>
                    </w:rPr>
                  </w:pPr>
                  <w:r>
                    <w:rPr>
                      <w:rFonts w:hint="eastAsia"/>
                      <w:b w:val="0"/>
                      <w:bCs w:val="0"/>
                      <w:color w:val="0C0C0C"/>
                      <w:sz w:val="21"/>
                      <w:szCs w:val="21"/>
                      <w:highlight w:val="none"/>
                      <w:vertAlign w:val="baseline"/>
                      <w:lang w:val="en-US" w:eastAsia="zh-CN"/>
                    </w:rPr>
                    <w:t>（7）</w:t>
                  </w:r>
                </w:p>
              </w:tc>
              <w:tc>
                <w:tcPr>
                  <w:tcW w:w="2921" w:type="dxa"/>
                  <w:noWrap w:val="0"/>
                  <w:vAlign w:val="center"/>
                </w:tcPr>
                <w:p>
                  <w:pPr>
                    <w:adjustRightInd w:val="0"/>
                    <w:snapToGrid w:val="0"/>
                    <w:jc w:val="center"/>
                    <w:rPr>
                      <w:rFonts w:hint="eastAsia"/>
                      <w:color w:val="0C0C0C"/>
                      <w:szCs w:val="21"/>
                      <w:highlight w:val="none"/>
                    </w:rPr>
                  </w:pPr>
                  <w:r>
                    <w:rPr>
                      <w:color w:val="0C0C0C"/>
                      <w:szCs w:val="21"/>
                      <w:highlight w:val="none"/>
                    </w:rPr>
                    <w:t>《合成树脂工业污染物排放标准》（GB31572-2015）</w:t>
                  </w:r>
                  <w:r>
                    <w:rPr>
                      <w:rFonts w:hint="eastAsia"/>
                      <w:color w:val="0C0C0C"/>
                      <w:szCs w:val="21"/>
                      <w:highlight w:val="none"/>
                      <w:lang w:eastAsia="zh-CN"/>
                    </w:rPr>
                    <w:t>及</w:t>
                  </w:r>
                  <w:r>
                    <w:rPr>
                      <w:rFonts w:hint="default" w:ascii="Times New Roman" w:hAnsi="Times New Roman" w:eastAsia="宋体" w:cs="Times New Roman"/>
                      <w:b w:val="0"/>
                      <w:bCs/>
                      <w:color w:val="auto"/>
                      <w:sz w:val="21"/>
                      <w:szCs w:val="21"/>
                      <w:highlight w:val="none"/>
                      <w:lang w:val="en-US" w:eastAsia="zh-CN"/>
                    </w:rPr>
                    <w:t>《大气污染物排放限值》</w:t>
                  </w:r>
                  <w:r>
                    <w:rPr>
                      <w:rFonts w:hint="default" w:ascii="Times New Roman" w:hAnsi="Times New Roman" w:eastAsia="宋体" w:cs="Times New Roman"/>
                      <w:b w:val="0"/>
                      <w:bCs w:val="0"/>
                      <w:color w:val="0C0C0C"/>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DB44/27-2001</w:t>
                  </w:r>
                  <w:r>
                    <w:rPr>
                      <w:rFonts w:hint="default" w:ascii="Times New Roman" w:hAnsi="Times New Roman" w:eastAsia="宋体" w:cs="Times New Roman"/>
                      <w:b w:val="0"/>
                      <w:bCs w:val="0"/>
                      <w:color w:val="0C0C0C"/>
                      <w:sz w:val="21"/>
                      <w:szCs w:val="21"/>
                      <w:highlight w:val="none"/>
                      <w:lang w:val="en-US" w:eastAsia="zh-CN"/>
                    </w:rPr>
                    <w:t>）</w:t>
                  </w:r>
                  <w:r>
                    <w:rPr>
                      <w:rFonts w:hint="eastAsia" w:ascii="Times New Roman" w:hAnsi="Times New Roman" w:eastAsia="宋体" w:cs="Times New Roman"/>
                      <w:b w:val="0"/>
                      <w:bCs w:val="0"/>
                      <w:color w:val="0C0C0C"/>
                      <w:sz w:val="21"/>
                      <w:szCs w:val="21"/>
                      <w:highlight w:val="none"/>
                      <w:lang w:val="en-US" w:eastAsia="zh-CN"/>
                    </w:rPr>
                    <w:t>两者较严值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254"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厂界</w:t>
                  </w:r>
                </w:p>
              </w:tc>
              <w:tc>
                <w:tcPr>
                  <w:tcW w:w="1024" w:type="dxa"/>
                  <w:noWrap w:val="0"/>
                  <w:vAlign w:val="center"/>
                </w:tcPr>
                <w:p>
                  <w:pPr>
                    <w:adjustRightInd w:val="0"/>
                    <w:snapToGrid w:val="0"/>
                    <w:jc w:val="center"/>
                    <w:rPr>
                      <w:rFonts w:hint="eastAsia"/>
                      <w:color w:val="0C0C0C"/>
                      <w:szCs w:val="21"/>
                      <w:highlight w:val="none"/>
                    </w:rPr>
                  </w:pPr>
                  <w:r>
                    <w:rPr>
                      <w:rFonts w:hint="eastAsia"/>
                      <w:bCs/>
                      <w:color w:val="0C0C0C"/>
                      <w:sz w:val="21"/>
                      <w:szCs w:val="21"/>
                      <w:highlight w:val="none"/>
                      <w:lang w:eastAsia="zh-CN"/>
                    </w:rPr>
                    <w:t>非甲烷总烃</w:t>
                  </w:r>
                </w:p>
              </w:tc>
              <w:tc>
                <w:tcPr>
                  <w:tcW w:w="862"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1次/年</w:t>
                  </w:r>
                </w:p>
              </w:tc>
              <w:tc>
                <w:tcPr>
                  <w:tcW w:w="1712" w:type="dxa"/>
                  <w:noWrap w:val="0"/>
                  <w:vAlign w:val="center"/>
                </w:tcPr>
                <w:p>
                  <w:pPr>
                    <w:adjustRightInd w:val="0"/>
                    <w:snapToGrid w:val="0"/>
                    <w:jc w:val="center"/>
                    <w:rPr>
                      <w:rFonts w:hint="default" w:eastAsia="宋体"/>
                      <w:color w:val="0C0C0C"/>
                      <w:szCs w:val="21"/>
                      <w:highlight w:val="none"/>
                      <w:lang w:val="en-US" w:eastAsia="zh-CN"/>
                    </w:rPr>
                  </w:pPr>
                  <w:r>
                    <w:rPr>
                      <w:rFonts w:hint="eastAsia"/>
                      <w:color w:val="0C0C0C"/>
                      <w:szCs w:val="21"/>
                      <w:highlight w:val="none"/>
                      <w:lang w:val="en-US" w:eastAsia="zh-CN"/>
                    </w:rPr>
                    <w:t>4.0</w:t>
                  </w:r>
                </w:p>
              </w:tc>
              <w:tc>
                <w:tcPr>
                  <w:tcW w:w="1065" w:type="dxa"/>
                  <w:noWrap w:val="0"/>
                  <w:vAlign w:val="center"/>
                </w:tcPr>
                <w:p>
                  <w:pPr>
                    <w:adjustRightInd w:val="0"/>
                    <w:snapToGrid w:val="0"/>
                    <w:jc w:val="center"/>
                    <w:rPr>
                      <w:color w:val="0C0C0C"/>
                      <w:szCs w:val="21"/>
                      <w:highlight w:val="none"/>
                    </w:rPr>
                  </w:pPr>
                  <w:r>
                    <w:rPr>
                      <w:rFonts w:hint="eastAsia"/>
                      <w:color w:val="0C0C0C"/>
                      <w:szCs w:val="21"/>
                      <w:highlight w:val="none"/>
                    </w:rPr>
                    <w:t>/</w:t>
                  </w:r>
                </w:p>
              </w:tc>
              <w:tc>
                <w:tcPr>
                  <w:tcW w:w="2921" w:type="dxa"/>
                  <w:noWrap w:val="0"/>
                  <w:vAlign w:val="center"/>
                </w:tcPr>
                <w:p>
                  <w:pPr>
                    <w:adjustRightInd w:val="0"/>
                    <w:snapToGrid w:val="0"/>
                    <w:jc w:val="center"/>
                    <w:rPr>
                      <w:rFonts w:hint="eastAsia"/>
                      <w:color w:val="0C0C0C"/>
                      <w:szCs w:val="21"/>
                      <w:highlight w:val="none"/>
                    </w:rPr>
                  </w:pPr>
                  <w:r>
                    <w:rPr>
                      <w:color w:val="0C0C0C"/>
                      <w:szCs w:val="21"/>
                      <w:highlight w:val="none"/>
                    </w:rPr>
                    <w:t>《合成树脂工业污染物排放标准》（GB31572-2015）</w:t>
                  </w:r>
                  <w:r>
                    <w:rPr>
                      <w:rFonts w:hint="eastAsia"/>
                      <w:color w:val="0C0C0C"/>
                      <w:szCs w:val="21"/>
                      <w:highlight w:val="none"/>
                      <w:lang w:eastAsia="zh-CN"/>
                    </w:rPr>
                    <w:t>及</w:t>
                  </w:r>
                  <w:r>
                    <w:rPr>
                      <w:rFonts w:hint="default" w:ascii="Times New Roman" w:hAnsi="Times New Roman" w:eastAsia="宋体" w:cs="Times New Roman"/>
                      <w:b w:val="0"/>
                      <w:bCs/>
                      <w:color w:val="auto"/>
                      <w:sz w:val="21"/>
                      <w:szCs w:val="21"/>
                      <w:highlight w:val="none"/>
                      <w:lang w:val="en-US" w:eastAsia="zh-CN"/>
                    </w:rPr>
                    <w:t>《大气污染物排放限值》</w:t>
                  </w:r>
                  <w:r>
                    <w:rPr>
                      <w:rFonts w:hint="default" w:ascii="Times New Roman" w:hAnsi="Times New Roman" w:eastAsia="宋体" w:cs="Times New Roman"/>
                      <w:b w:val="0"/>
                      <w:bCs w:val="0"/>
                      <w:color w:val="0C0C0C"/>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DB44/27-2001</w:t>
                  </w:r>
                  <w:r>
                    <w:rPr>
                      <w:rFonts w:hint="default" w:ascii="Times New Roman" w:hAnsi="Times New Roman" w:eastAsia="宋体" w:cs="Times New Roman"/>
                      <w:b w:val="0"/>
                      <w:bCs w:val="0"/>
                      <w:color w:val="0C0C0C"/>
                      <w:sz w:val="21"/>
                      <w:szCs w:val="21"/>
                      <w:highlight w:val="none"/>
                      <w:lang w:val="en-US" w:eastAsia="zh-CN"/>
                    </w:rPr>
                    <w:t>）</w:t>
                  </w:r>
                  <w:r>
                    <w:rPr>
                      <w:rFonts w:hint="eastAsia" w:ascii="Times New Roman" w:hAnsi="Times New Roman" w:eastAsia="宋体" w:cs="Times New Roman"/>
                      <w:b w:val="0"/>
                      <w:bCs w:val="0"/>
                      <w:color w:val="0C0C0C"/>
                      <w:sz w:val="21"/>
                      <w:szCs w:val="21"/>
                      <w:highlight w:val="none"/>
                      <w:lang w:val="en-US" w:eastAsia="zh-CN"/>
                    </w:rPr>
                    <w:t>两者较严值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1254" w:type="dxa"/>
                  <w:vMerge w:val="restart"/>
                  <w:noWrap w:val="0"/>
                  <w:vAlign w:val="center"/>
                </w:tcPr>
                <w:p>
                  <w:pPr>
                    <w:adjustRightInd w:val="0"/>
                    <w:snapToGrid w:val="0"/>
                    <w:jc w:val="center"/>
                    <w:rPr>
                      <w:rFonts w:hint="eastAsia"/>
                      <w:color w:val="0C0C0C"/>
                      <w:szCs w:val="21"/>
                      <w:highlight w:val="none"/>
                    </w:rPr>
                  </w:pPr>
                  <w:r>
                    <w:rPr>
                      <w:rFonts w:hint="eastAsia"/>
                      <w:color w:val="0C0C0C"/>
                      <w:szCs w:val="21"/>
                      <w:highlight w:val="none"/>
                    </w:rPr>
                    <w:t>厂区内</w:t>
                  </w:r>
                </w:p>
              </w:tc>
              <w:tc>
                <w:tcPr>
                  <w:tcW w:w="1024" w:type="dxa"/>
                  <w:vMerge w:val="restart"/>
                  <w:noWrap w:val="0"/>
                  <w:vAlign w:val="center"/>
                </w:tcPr>
                <w:p>
                  <w:pPr>
                    <w:adjustRightInd w:val="0"/>
                    <w:snapToGrid w:val="0"/>
                    <w:jc w:val="center"/>
                    <w:rPr>
                      <w:rFonts w:hint="eastAsia"/>
                      <w:color w:val="0C0C0C"/>
                      <w:szCs w:val="21"/>
                      <w:highlight w:val="none"/>
                    </w:rPr>
                  </w:pPr>
                  <w:r>
                    <w:rPr>
                      <w:rFonts w:hint="eastAsia"/>
                      <w:color w:val="0C0C0C"/>
                      <w:szCs w:val="21"/>
                      <w:highlight w:val="none"/>
                    </w:rPr>
                    <w:t>非甲烷总烃</w:t>
                  </w:r>
                </w:p>
              </w:tc>
              <w:tc>
                <w:tcPr>
                  <w:tcW w:w="862"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1次/年</w:t>
                  </w:r>
                </w:p>
              </w:tc>
              <w:tc>
                <w:tcPr>
                  <w:tcW w:w="1712" w:type="dxa"/>
                  <w:noWrap w:val="0"/>
                  <w:vAlign w:val="center"/>
                </w:tcPr>
                <w:p>
                  <w:pPr>
                    <w:adjustRightInd w:val="0"/>
                    <w:snapToGrid w:val="0"/>
                    <w:jc w:val="center"/>
                    <w:rPr>
                      <w:rFonts w:hint="default" w:ascii="Times New Roman" w:hAnsi="Times New Roman" w:cs="Times New Roman"/>
                      <w:color w:val="0C0C0C"/>
                      <w:sz w:val="21"/>
                      <w:szCs w:val="21"/>
                      <w:highlight w:val="none"/>
                    </w:rPr>
                  </w:pPr>
                  <w:r>
                    <w:rPr>
                      <w:rFonts w:hint="default" w:ascii="Times New Roman" w:hAnsi="Times New Roman" w:cs="Times New Roman"/>
                      <w:color w:val="0C0C0C"/>
                      <w:sz w:val="21"/>
                      <w:szCs w:val="21"/>
                      <w:highlight w:val="none"/>
                    </w:rPr>
                    <w:t>6.0（监控点处 1h 平均浓度值）</w:t>
                  </w:r>
                </w:p>
              </w:tc>
              <w:tc>
                <w:tcPr>
                  <w:tcW w:w="1065"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w:t>
                  </w:r>
                </w:p>
              </w:tc>
              <w:tc>
                <w:tcPr>
                  <w:tcW w:w="2921" w:type="dxa"/>
                  <w:vMerge w:val="restart"/>
                  <w:noWrap w:val="0"/>
                  <w:vAlign w:val="center"/>
                </w:tcPr>
                <w:p>
                  <w:pPr>
                    <w:adjustRightInd w:val="0"/>
                    <w:snapToGrid w:val="0"/>
                    <w:jc w:val="center"/>
                    <w:rPr>
                      <w:rFonts w:hint="eastAsia"/>
                      <w:color w:val="0C0C0C"/>
                      <w:szCs w:val="21"/>
                      <w:highlight w:val="none"/>
                    </w:rPr>
                  </w:pPr>
                  <w:r>
                    <w:rPr>
                      <w:rFonts w:hint="eastAsia"/>
                      <w:color w:val="0C0C0C"/>
                      <w:szCs w:val="21"/>
                      <w:highlight w:val="none"/>
                    </w:rPr>
                    <w:t>《挥发性有机物无组织排放控制标准》（</w:t>
                  </w:r>
                  <w:r>
                    <w:rPr>
                      <w:color w:val="0C0C0C"/>
                      <w:szCs w:val="21"/>
                      <w:highlight w:val="none"/>
                    </w:rPr>
                    <w:t>GB37822-2019</w:t>
                  </w:r>
                  <w:r>
                    <w:rPr>
                      <w:rFonts w:hint="eastAsia"/>
                      <w:color w:val="0C0C0C"/>
                      <w:szCs w:val="21"/>
                      <w:highlight w:val="none"/>
                    </w:rPr>
                    <w:t>）附录</w:t>
                  </w:r>
                  <w:r>
                    <w:rPr>
                      <w:color w:val="0C0C0C"/>
                      <w:szCs w:val="21"/>
                      <w:highlight w:val="none"/>
                    </w:rPr>
                    <w:t>A</w:t>
                  </w:r>
                  <w:r>
                    <w:rPr>
                      <w:rFonts w:hint="eastAsia"/>
                      <w:color w:val="0C0C0C"/>
                      <w:szCs w:val="21"/>
                      <w:highlight w:val="none"/>
                    </w:rPr>
                    <w:t>中表</w:t>
                  </w:r>
                  <w:r>
                    <w:rPr>
                      <w:color w:val="0C0C0C"/>
                      <w:szCs w:val="21"/>
                      <w:highlight w:val="none"/>
                    </w:rPr>
                    <w:t>A.1</w:t>
                  </w:r>
                  <w:r>
                    <w:rPr>
                      <w:rFonts w:hint="eastAsia"/>
                      <w:color w:val="0C0C0C"/>
                      <w:szCs w:val="21"/>
                      <w:highlight w:val="none"/>
                    </w:rPr>
                    <w:t>厂区内</w:t>
                  </w:r>
                  <w:r>
                    <w:rPr>
                      <w:color w:val="0C0C0C"/>
                      <w:szCs w:val="21"/>
                      <w:highlight w:val="none"/>
                    </w:rPr>
                    <w:t>VOCs</w:t>
                  </w:r>
                  <w:r>
                    <w:rPr>
                      <w:rFonts w:hint="eastAsia"/>
                      <w:color w:val="0C0C0C"/>
                      <w:szCs w:val="21"/>
                      <w:highlight w:val="none"/>
                    </w:rPr>
                    <w:t>别排放限值要求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254" w:type="dxa"/>
                  <w:vMerge w:val="continue"/>
                  <w:noWrap w:val="0"/>
                  <w:vAlign w:val="center"/>
                </w:tcPr>
                <w:p>
                  <w:pPr>
                    <w:adjustRightInd w:val="0"/>
                    <w:snapToGrid w:val="0"/>
                    <w:jc w:val="center"/>
                    <w:rPr>
                      <w:rFonts w:hint="eastAsia"/>
                      <w:color w:val="0C0C0C"/>
                      <w:szCs w:val="21"/>
                      <w:highlight w:val="none"/>
                    </w:rPr>
                  </w:pPr>
                </w:p>
              </w:tc>
              <w:tc>
                <w:tcPr>
                  <w:tcW w:w="1024" w:type="dxa"/>
                  <w:vMerge w:val="continue"/>
                  <w:noWrap w:val="0"/>
                  <w:vAlign w:val="center"/>
                </w:tcPr>
                <w:p>
                  <w:pPr>
                    <w:adjustRightInd w:val="0"/>
                    <w:snapToGrid w:val="0"/>
                    <w:jc w:val="center"/>
                    <w:rPr>
                      <w:rFonts w:hint="eastAsia"/>
                      <w:color w:val="0C0C0C"/>
                      <w:szCs w:val="21"/>
                      <w:highlight w:val="none"/>
                    </w:rPr>
                  </w:pPr>
                </w:p>
              </w:tc>
              <w:tc>
                <w:tcPr>
                  <w:tcW w:w="862" w:type="dxa"/>
                  <w:noWrap w:val="0"/>
                  <w:vAlign w:val="center"/>
                </w:tcPr>
                <w:p>
                  <w:pPr>
                    <w:adjustRightInd w:val="0"/>
                    <w:snapToGrid w:val="0"/>
                    <w:jc w:val="center"/>
                    <w:rPr>
                      <w:rFonts w:hint="eastAsia" w:ascii="Times New Roman" w:hAnsi="Times New Roman" w:eastAsia="宋体" w:cs="Times New Roman"/>
                      <w:color w:val="0C0C0C"/>
                      <w:sz w:val="18"/>
                      <w:szCs w:val="18"/>
                      <w:highlight w:val="none"/>
                    </w:rPr>
                  </w:pPr>
                  <w:r>
                    <w:rPr>
                      <w:rFonts w:hint="eastAsia"/>
                      <w:color w:val="0C0C0C"/>
                      <w:szCs w:val="21"/>
                      <w:highlight w:val="none"/>
                    </w:rPr>
                    <w:t>1次/年</w:t>
                  </w:r>
                </w:p>
              </w:tc>
              <w:tc>
                <w:tcPr>
                  <w:tcW w:w="1712" w:type="dxa"/>
                  <w:noWrap w:val="0"/>
                  <w:vAlign w:val="center"/>
                </w:tcPr>
                <w:p>
                  <w:pPr>
                    <w:adjustRightInd w:val="0"/>
                    <w:snapToGrid w:val="0"/>
                    <w:jc w:val="center"/>
                    <w:rPr>
                      <w:rFonts w:hint="default" w:ascii="Times New Roman" w:hAnsi="Times New Roman" w:eastAsia="宋体" w:cs="Times New Roman"/>
                      <w:color w:val="0C0C0C"/>
                      <w:sz w:val="21"/>
                      <w:szCs w:val="21"/>
                      <w:highlight w:val="none"/>
                    </w:rPr>
                  </w:pPr>
                  <w:r>
                    <w:rPr>
                      <w:rFonts w:hint="default" w:ascii="Times New Roman" w:hAnsi="Times New Roman" w:eastAsia="宋体" w:cs="Times New Roman"/>
                      <w:color w:val="0C0C0C"/>
                      <w:sz w:val="21"/>
                      <w:szCs w:val="21"/>
                      <w:highlight w:val="none"/>
                    </w:rPr>
                    <w:t>20（监控点处任意一次浓度值）</w:t>
                  </w:r>
                </w:p>
              </w:tc>
              <w:tc>
                <w:tcPr>
                  <w:tcW w:w="1065"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w:t>
                  </w:r>
                </w:p>
              </w:tc>
              <w:tc>
                <w:tcPr>
                  <w:tcW w:w="2921" w:type="dxa"/>
                  <w:vMerge w:val="continue"/>
                  <w:noWrap w:val="0"/>
                  <w:vAlign w:val="center"/>
                </w:tcPr>
                <w:p>
                  <w:pPr>
                    <w:adjustRightInd w:val="0"/>
                    <w:snapToGrid w:val="0"/>
                    <w:jc w:val="center"/>
                    <w:rPr>
                      <w:color w:val="0C0C0C"/>
                      <w:szCs w:val="21"/>
                      <w:highlight w:val="none"/>
                    </w:rPr>
                  </w:pPr>
                </w:p>
              </w:tc>
            </w:tr>
          </w:tbl>
          <w:p>
            <w:pPr>
              <w:adjustRightInd w:val="0"/>
              <w:snapToGrid w:val="0"/>
              <w:jc w:val="center"/>
              <w:rPr>
                <w:rFonts w:hint="eastAsia"/>
                <w:b/>
                <w:bCs/>
                <w:color w:val="0C0C0C"/>
                <w:szCs w:val="21"/>
                <w:highlight w:val="none"/>
              </w:rPr>
            </w:pPr>
          </w:p>
          <w:p>
            <w:pPr>
              <w:adjustRightInd w:val="0"/>
              <w:snapToGrid w:val="0"/>
              <w:jc w:val="center"/>
              <w:rPr>
                <w:b/>
                <w:bCs/>
                <w:color w:val="0C0C0C"/>
                <w:szCs w:val="21"/>
                <w:highlight w:val="none"/>
              </w:rPr>
            </w:pPr>
            <w:r>
              <w:rPr>
                <w:rFonts w:hint="eastAsia"/>
                <w:b/>
                <w:bCs/>
                <w:color w:val="0C0C0C"/>
                <w:szCs w:val="21"/>
                <w:highlight w:val="none"/>
              </w:rPr>
              <w:t>表</w:t>
            </w:r>
            <w:r>
              <w:rPr>
                <w:rFonts w:hint="eastAsia"/>
                <w:b/>
                <w:bCs/>
                <w:color w:val="0C0C0C"/>
                <w:szCs w:val="21"/>
                <w:highlight w:val="none"/>
                <w:lang w:val="en-US" w:eastAsia="zh-CN"/>
              </w:rPr>
              <w:t xml:space="preserve">4-7 </w:t>
            </w:r>
            <w:r>
              <w:rPr>
                <w:rFonts w:hint="eastAsia"/>
                <w:b/>
                <w:bCs/>
                <w:color w:val="0C0C0C"/>
                <w:szCs w:val="21"/>
                <w:highlight w:val="none"/>
              </w:rPr>
              <w:t>废气非正常工况排放量核算表</w:t>
            </w:r>
          </w:p>
          <w:tbl>
            <w:tblPr>
              <w:tblStyle w:val="24"/>
              <w:tblW w:w="8802" w:type="dxa"/>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542"/>
              <w:gridCol w:w="975"/>
              <w:gridCol w:w="877"/>
              <w:gridCol w:w="1065"/>
              <w:gridCol w:w="870"/>
              <w:gridCol w:w="840"/>
              <w:gridCol w:w="675"/>
              <w:gridCol w:w="1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453"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序号</w:t>
                  </w:r>
                </w:p>
              </w:tc>
              <w:tc>
                <w:tcPr>
                  <w:tcW w:w="1542"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排气口名称</w:t>
                  </w:r>
                </w:p>
              </w:tc>
              <w:tc>
                <w:tcPr>
                  <w:tcW w:w="975"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非正常工况</w:t>
                  </w:r>
                </w:p>
              </w:tc>
              <w:tc>
                <w:tcPr>
                  <w:tcW w:w="877"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污染物</w:t>
                  </w:r>
                </w:p>
              </w:tc>
              <w:tc>
                <w:tcPr>
                  <w:tcW w:w="1065"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非正常排放浓度mg/m</w:t>
                  </w:r>
                  <w:r>
                    <w:rPr>
                      <w:rFonts w:hint="eastAsia"/>
                      <w:b/>
                      <w:bCs/>
                      <w:color w:val="0C0C0C"/>
                      <w:szCs w:val="21"/>
                      <w:highlight w:val="none"/>
                      <w:vertAlign w:val="superscript"/>
                    </w:rPr>
                    <w:t>3</w:t>
                  </w:r>
                </w:p>
              </w:tc>
              <w:tc>
                <w:tcPr>
                  <w:tcW w:w="870"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非正常排放速率kg/h</w:t>
                  </w:r>
                </w:p>
              </w:tc>
              <w:tc>
                <w:tcPr>
                  <w:tcW w:w="840"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排放持续时间h</w:t>
                  </w:r>
                </w:p>
              </w:tc>
              <w:tc>
                <w:tcPr>
                  <w:tcW w:w="675"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年发生频次</w:t>
                  </w:r>
                </w:p>
              </w:tc>
              <w:tc>
                <w:tcPr>
                  <w:tcW w:w="1505"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53"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1</w:t>
                  </w:r>
                </w:p>
              </w:tc>
              <w:tc>
                <w:tcPr>
                  <w:tcW w:w="1542" w:type="dxa"/>
                  <w:noWrap w:val="0"/>
                  <w:vAlign w:val="center"/>
                </w:tcPr>
                <w:p>
                  <w:pPr>
                    <w:adjustRightInd w:val="0"/>
                    <w:snapToGrid w:val="0"/>
                    <w:jc w:val="center"/>
                    <w:rPr>
                      <w:rFonts w:hint="default"/>
                      <w:color w:val="0C0C0C"/>
                      <w:szCs w:val="21"/>
                      <w:highlight w:val="none"/>
                      <w:lang w:val="en-US"/>
                    </w:rPr>
                  </w:pPr>
                  <w:r>
                    <w:rPr>
                      <w:rFonts w:hint="eastAsia"/>
                      <w:color w:val="0C0C0C"/>
                      <w:szCs w:val="21"/>
                      <w:highlight w:val="none"/>
                      <w:lang w:eastAsia="zh-CN"/>
                    </w:rPr>
                    <w:t>注塑废气排气筒</w:t>
                  </w:r>
                  <w:r>
                    <w:rPr>
                      <w:rFonts w:hint="eastAsia"/>
                      <w:color w:val="0C0C0C"/>
                      <w:szCs w:val="21"/>
                      <w:highlight w:val="none"/>
                      <w:lang w:val="en-US" w:eastAsia="zh-CN"/>
                    </w:rPr>
                    <w:t>DA001</w:t>
                  </w:r>
                </w:p>
              </w:tc>
              <w:tc>
                <w:tcPr>
                  <w:tcW w:w="975" w:type="dxa"/>
                  <w:noWrap w:val="0"/>
                  <w:vAlign w:val="center"/>
                </w:tcPr>
                <w:p>
                  <w:pPr>
                    <w:adjustRightInd w:val="0"/>
                    <w:snapToGrid w:val="0"/>
                    <w:jc w:val="center"/>
                    <w:rPr>
                      <w:color w:val="0C0C0C"/>
                      <w:szCs w:val="21"/>
                      <w:highlight w:val="none"/>
                    </w:rPr>
                  </w:pPr>
                  <w:r>
                    <w:rPr>
                      <w:rFonts w:hint="eastAsia"/>
                      <w:color w:val="0C0C0C"/>
                      <w:szCs w:val="21"/>
                      <w:highlight w:val="none"/>
                    </w:rPr>
                    <w:t>废气处理设施故障，处理效率为</w:t>
                  </w:r>
                  <w:r>
                    <w:rPr>
                      <w:rFonts w:hint="eastAsia"/>
                      <w:color w:val="0C0C0C"/>
                      <w:szCs w:val="21"/>
                      <w:highlight w:val="none"/>
                      <w:lang w:val="en-US" w:eastAsia="zh-CN"/>
                    </w:rPr>
                    <w:t>20</w:t>
                  </w:r>
                  <w:r>
                    <w:rPr>
                      <w:rFonts w:hint="eastAsia"/>
                      <w:color w:val="0C0C0C"/>
                      <w:szCs w:val="21"/>
                      <w:highlight w:val="none"/>
                    </w:rPr>
                    <w:t>%</w:t>
                  </w:r>
                </w:p>
              </w:tc>
              <w:tc>
                <w:tcPr>
                  <w:tcW w:w="877" w:type="dxa"/>
                  <w:noWrap w:val="0"/>
                  <w:vAlign w:val="center"/>
                </w:tcPr>
                <w:p>
                  <w:pPr>
                    <w:adjustRightInd w:val="0"/>
                    <w:snapToGrid w:val="0"/>
                    <w:jc w:val="center"/>
                    <w:rPr>
                      <w:color w:val="0C0C0C"/>
                      <w:szCs w:val="21"/>
                      <w:highlight w:val="none"/>
                    </w:rPr>
                  </w:pPr>
                  <w:r>
                    <w:rPr>
                      <w:rFonts w:hint="eastAsia"/>
                      <w:color w:val="0C0C0C"/>
                      <w:szCs w:val="21"/>
                      <w:highlight w:val="none"/>
                    </w:rPr>
                    <w:t>非甲烷总烃</w:t>
                  </w:r>
                </w:p>
              </w:tc>
              <w:tc>
                <w:tcPr>
                  <w:tcW w:w="1065" w:type="dxa"/>
                  <w:noWrap w:val="0"/>
                  <w:vAlign w:val="center"/>
                </w:tcPr>
                <w:p>
                  <w:pPr>
                    <w:adjustRightInd w:val="0"/>
                    <w:snapToGrid w:val="0"/>
                    <w:jc w:val="center"/>
                    <w:rPr>
                      <w:rFonts w:hint="default" w:eastAsia="宋体"/>
                      <w:color w:val="0C0C0C"/>
                      <w:szCs w:val="21"/>
                      <w:highlight w:val="none"/>
                      <w:lang w:val="en-US" w:eastAsia="zh-CN"/>
                    </w:rPr>
                  </w:pPr>
                  <w:r>
                    <w:rPr>
                      <w:rFonts w:hint="eastAsia" w:eastAsia="宋体"/>
                      <w:color w:val="0C0C0C"/>
                      <w:szCs w:val="21"/>
                      <w:highlight w:val="none"/>
                      <w:lang w:val="en-US" w:eastAsia="zh-CN"/>
                    </w:rPr>
                    <w:t>3.30</w:t>
                  </w:r>
                </w:p>
              </w:tc>
              <w:tc>
                <w:tcPr>
                  <w:tcW w:w="870" w:type="dxa"/>
                  <w:noWrap w:val="0"/>
                  <w:vAlign w:val="center"/>
                </w:tcPr>
                <w:p>
                  <w:pPr>
                    <w:adjustRightInd w:val="0"/>
                    <w:snapToGrid w:val="0"/>
                    <w:jc w:val="center"/>
                    <w:rPr>
                      <w:rFonts w:hint="default" w:eastAsia="宋体"/>
                      <w:color w:val="0C0C0C"/>
                      <w:szCs w:val="21"/>
                      <w:highlight w:val="none"/>
                      <w:lang w:val="en-US" w:eastAsia="zh-CN"/>
                    </w:rPr>
                  </w:pPr>
                  <w:r>
                    <w:rPr>
                      <w:rFonts w:hint="eastAsia" w:eastAsia="宋体"/>
                      <w:color w:val="0C0C0C"/>
                      <w:szCs w:val="21"/>
                      <w:highlight w:val="none"/>
                      <w:lang w:val="en-US" w:eastAsia="zh-CN"/>
                    </w:rPr>
                    <w:t>0.020</w:t>
                  </w:r>
                </w:p>
              </w:tc>
              <w:tc>
                <w:tcPr>
                  <w:tcW w:w="840" w:type="dxa"/>
                  <w:noWrap w:val="0"/>
                  <w:vAlign w:val="center"/>
                </w:tcPr>
                <w:p>
                  <w:pPr>
                    <w:adjustRightInd w:val="0"/>
                    <w:snapToGrid w:val="0"/>
                    <w:jc w:val="center"/>
                    <w:rPr>
                      <w:color w:val="0C0C0C"/>
                      <w:szCs w:val="21"/>
                      <w:highlight w:val="none"/>
                    </w:rPr>
                  </w:pPr>
                  <w:r>
                    <w:rPr>
                      <w:rFonts w:hint="eastAsia"/>
                      <w:color w:val="0C0C0C"/>
                      <w:szCs w:val="21"/>
                      <w:highlight w:val="none"/>
                    </w:rPr>
                    <w:t>1</w:t>
                  </w:r>
                </w:p>
              </w:tc>
              <w:tc>
                <w:tcPr>
                  <w:tcW w:w="675" w:type="dxa"/>
                  <w:noWrap w:val="0"/>
                  <w:vAlign w:val="center"/>
                </w:tcPr>
                <w:p>
                  <w:pPr>
                    <w:adjustRightInd w:val="0"/>
                    <w:snapToGrid w:val="0"/>
                    <w:jc w:val="center"/>
                    <w:rPr>
                      <w:color w:val="0C0C0C"/>
                      <w:szCs w:val="21"/>
                      <w:highlight w:val="none"/>
                    </w:rPr>
                  </w:pPr>
                  <w:r>
                    <w:rPr>
                      <w:rFonts w:hint="eastAsia"/>
                      <w:color w:val="0C0C0C"/>
                      <w:szCs w:val="21"/>
                      <w:highlight w:val="none"/>
                    </w:rPr>
                    <w:t>1</w:t>
                  </w:r>
                </w:p>
              </w:tc>
              <w:tc>
                <w:tcPr>
                  <w:tcW w:w="1505" w:type="dxa"/>
                  <w:noWrap w:val="0"/>
                  <w:vAlign w:val="center"/>
                </w:tcPr>
                <w:p>
                  <w:pPr>
                    <w:adjustRightInd w:val="0"/>
                    <w:snapToGrid w:val="0"/>
                    <w:rPr>
                      <w:color w:val="0C0C0C"/>
                      <w:szCs w:val="21"/>
                      <w:highlight w:val="none"/>
                    </w:rPr>
                  </w:pPr>
                  <w:r>
                    <w:rPr>
                      <w:rFonts w:hint="eastAsia"/>
                      <w:color w:val="0C0C0C"/>
                      <w:szCs w:val="21"/>
                      <w:highlight w:val="none"/>
                    </w:rPr>
                    <w:t>立即停止生产，及时维修。</w:t>
                  </w:r>
                </w:p>
              </w:tc>
            </w:tr>
          </w:tbl>
          <w:p>
            <w:pPr>
              <w:adjustRightInd w:val="0"/>
              <w:snapToGrid w:val="0"/>
              <w:spacing w:line="360" w:lineRule="auto"/>
              <w:ind w:firstLine="482" w:firstLineChars="200"/>
              <w:rPr>
                <w:b/>
                <w:bCs/>
                <w:color w:val="0C0C0C"/>
                <w:sz w:val="24"/>
                <w:szCs w:val="25"/>
                <w:highlight w:val="none"/>
              </w:rPr>
            </w:pPr>
            <w:r>
              <w:rPr>
                <w:rFonts w:hint="eastAsia"/>
                <w:b/>
                <w:bCs/>
                <w:color w:val="0C0C0C"/>
                <w:sz w:val="24"/>
                <w:szCs w:val="25"/>
                <w:highlight w:val="none"/>
              </w:rPr>
              <w:t>1.3</w:t>
            </w:r>
            <w:r>
              <w:rPr>
                <w:rFonts w:hint="eastAsia"/>
                <w:b/>
                <w:bCs/>
                <w:color w:val="0C0C0C"/>
                <w:sz w:val="24"/>
                <w:highlight w:val="none"/>
              </w:rPr>
              <w:t>废气污染防治技术可行性分析</w:t>
            </w:r>
          </w:p>
          <w:p>
            <w:pPr>
              <w:adjustRightInd w:val="0"/>
              <w:snapToGrid w:val="0"/>
              <w:spacing w:line="360" w:lineRule="auto"/>
              <w:ind w:firstLine="480" w:firstLineChars="200"/>
              <w:rPr>
                <w:rFonts w:hint="eastAsia" w:ascii="宋体" w:hAnsi="宋体" w:cs="宋体"/>
                <w:color w:val="0C0C0C"/>
                <w:kern w:val="0"/>
                <w:sz w:val="24"/>
                <w:highlight w:val="none"/>
                <w:lang w:bidi="ar"/>
              </w:rPr>
            </w:pPr>
            <w:r>
              <w:rPr>
                <w:rFonts w:hint="eastAsia" w:ascii="宋体" w:hAnsi="宋体" w:cs="宋体"/>
                <w:color w:val="0C0C0C"/>
                <w:kern w:val="0"/>
                <w:sz w:val="24"/>
                <w:highlight w:val="none"/>
                <w:lang w:eastAsia="zh-CN" w:bidi="ar"/>
              </w:rPr>
              <w:t>本项目</w:t>
            </w:r>
            <w:r>
              <w:rPr>
                <w:rFonts w:hint="eastAsia" w:ascii="宋体" w:hAnsi="宋体" w:cs="宋体"/>
                <w:color w:val="0C0C0C"/>
                <w:kern w:val="0"/>
                <w:sz w:val="24"/>
                <w:highlight w:val="none"/>
                <w:lang w:bidi="ar"/>
              </w:rPr>
              <w:t>使用</w:t>
            </w:r>
            <w:r>
              <w:rPr>
                <w:rFonts w:hint="eastAsia" w:ascii="宋体" w:hAnsi="宋体" w:cs="宋体"/>
                <w:color w:val="0C0C0C"/>
                <w:kern w:val="0"/>
                <w:sz w:val="24"/>
                <w:highlight w:val="none"/>
                <w:lang w:val="en-US" w:eastAsia="zh-CN" w:bidi="ar"/>
              </w:rPr>
              <w:t>二级</w:t>
            </w:r>
            <w:r>
              <w:rPr>
                <w:rFonts w:hint="eastAsia" w:ascii="宋体" w:hAnsi="宋体" w:cs="宋体"/>
                <w:color w:val="0C0C0C"/>
                <w:kern w:val="0"/>
                <w:sz w:val="24"/>
                <w:highlight w:val="none"/>
                <w:lang w:bidi="ar"/>
              </w:rPr>
              <w:t>活性炭吸附方法处理</w:t>
            </w:r>
            <w:r>
              <w:rPr>
                <w:rFonts w:hint="eastAsia" w:ascii="宋体" w:hAnsi="宋体" w:cs="宋体"/>
                <w:color w:val="0C0C0C"/>
                <w:kern w:val="0"/>
                <w:sz w:val="24"/>
                <w:highlight w:val="none"/>
                <w:lang w:eastAsia="zh-CN" w:bidi="ar"/>
              </w:rPr>
              <w:t>注塑</w:t>
            </w:r>
            <w:r>
              <w:rPr>
                <w:rFonts w:hint="eastAsia" w:ascii="宋体" w:hAnsi="宋体" w:cs="宋体"/>
                <w:color w:val="0C0C0C"/>
                <w:kern w:val="0"/>
                <w:sz w:val="24"/>
                <w:highlight w:val="none"/>
                <w:lang w:bidi="ar"/>
              </w:rPr>
              <w:t>工序</w:t>
            </w:r>
            <w:r>
              <w:rPr>
                <w:rFonts w:hint="eastAsia" w:ascii="宋体" w:hAnsi="宋体" w:cs="宋体"/>
                <w:color w:val="0C0C0C"/>
                <w:kern w:val="0"/>
                <w:sz w:val="24"/>
                <w:highlight w:val="none"/>
                <w:lang w:val="en-US" w:eastAsia="zh-CN" w:bidi="ar"/>
              </w:rPr>
              <w:t>及焊接工序</w:t>
            </w:r>
            <w:r>
              <w:rPr>
                <w:rFonts w:hint="eastAsia" w:ascii="宋体" w:hAnsi="宋体" w:cs="宋体"/>
                <w:color w:val="0C0C0C"/>
                <w:kern w:val="0"/>
                <w:sz w:val="24"/>
                <w:highlight w:val="none"/>
                <w:lang w:bidi="ar"/>
              </w:rPr>
              <w:t>中产生的非甲烷总烃</w:t>
            </w:r>
            <w:r>
              <w:rPr>
                <w:rFonts w:hint="eastAsia" w:ascii="宋体" w:hAnsi="宋体" w:cs="宋体"/>
                <w:color w:val="0C0C0C"/>
                <w:kern w:val="0"/>
                <w:sz w:val="24"/>
                <w:highlight w:val="none"/>
                <w:lang w:eastAsia="zh-CN" w:bidi="ar"/>
              </w:rPr>
              <w:t>，</w:t>
            </w:r>
            <w:r>
              <w:rPr>
                <w:rFonts w:hint="eastAsia" w:ascii="宋体" w:hAnsi="宋体" w:cs="宋体"/>
                <w:color w:val="0C0C0C"/>
                <w:kern w:val="0"/>
                <w:sz w:val="24"/>
                <w:highlight w:val="none"/>
                <w:lang w:bidi="ar"/>
              </w:rPr>
              <w:t>根据《排污许可证申请与核发技术规范 橡胶和塑料制品业》塑料制品业中表</w:t>
            </w:r>
            <w:r>
              <w:rPr>
                <w:rFonts w:hint="default" w:ascii="Times New Roman" w:hAnsi="Times New Roman" w:cs="Times New Roman"/>
                <w:color w:val="0C0C0C"/>
                <w:kern w:val="0"/>
                <w:sz w:val="24"/>
                <w:highlight w:val="none"/>
                <w:lang w:bidi="ar"/>
              </w:rPr>
              <w:t>6</w:t>
            </w:r>
            <w:r>
              <w:rPr>
                <w:rFonts w:hint="eastAsia" w:ascii="宋体" w:hAnsi="宋体" w:cs="宋体"/>
                <w:color w:val="0C0C0C"/>
                <w:kern w:val="0"/>
                <w:sz w:val="24"/>
                <w:highlight w:val="none"/>
                <w:lang w:bidi="ar"/>
              </w:rPr>
              <w:t>相关情况，</w:t>
            </w:r>
            <w:r>
              <w:rPr>
                <w:rFonts w:hint="eastAsia" w:ascii="宋体" w:hAnsi="宋体" w:cs="宋体"/>
                <w:color w:val="0C0C0C"/>
                <w:kern w:val="0"/>
                <w:sz w:val="24"/>
                <w:highlight w:val="none"/>
                <w:lang w:eastAsia="zh-CN" w:bidi="ar"/>
              </w:rPr>
              <w:t>本项目</w:t>
            </w:r>
            <w:r>
              <w:rPr>
                <w:rFonts w:hint="eastAsia" w:ascii="宋体" w:hAnsi="宋体" w:cs="宋体"/>
                <w:color w:val="0C0C0C"/>
                <w:kern w:val="0"/>
                <w:sz w:val="24"/>
                <w:highlight w:val="none"/>
                <w:lang w:bidi="ar"/>
              </w:rPr>
              <w:t>废气处理工艺为该规范中污染防治可行技术要求的技术。</w:t>
            </w:r>
          </w:p>
          <w:p>
            <w:pPr>
              <w:adjustRightInd w:val="0"/>
              <w:snapToGrid w:val="0"/>
              <w:spacing w:line="360" w:lineRule="auto"/>
              <w:ind w:firstLine="482" w:firstLineChars="200"/>
              <w:rPr>
                <w:b/>
                <w:bCs/>
                <w:color w:val="0C0C0C"/>
                <w:sz w:val="24"/>
                <w:szCs w:val="25"/>
                <w:highlight w:val="none"/>
              </w:rPr>
            </w:pPr>
            <w:r>
              <w:rPr>
                <w:rFonts w:hint="eastAsia"/>
                <w:b/>
                <w:bCs/>
                <w:color w:val="0C0C0C"/>
                <w:sz w:val="24"/>
                <w:szCs w:val="25"/>
                <w:highlight w:val="none"/>
              </w:rPr>
              <w:t>1.4卫生防护距离</w:t>
            </w:r>
          </w:p>
          <w:p>
            <w:pPr>
              <w:adjustRightInd w:val="0"/>
              <w:snapToGrid w:val="0"/>
              <w:spacing w:line="348" w:lineRule="auto"/>
              <w:ind w:firstLine="424" w:firstLineChars="177"/>
              <w:rPr>
                <w:color w:val="0C0C0C"/>
                <w:sz w:val="24"/>
                <w:highlight w:val="none"/>
              </w:rPr>
            </w:pPr>
            <w:r>
              <w:rPr>
                <w:color w:val="0C0C0C"/>
                <w:sz w:val="24"/>
                <w:highlight w:val="none"/>
              </w:rPr>
              <w:t>根据《</w:t>
            </w:r>
            <w:r>
              <w:rPr>
                <w:rFonts w:hint="eastAsia"/>
                <w:color w:val="0C0C0C"/>
                <w:sz w:val="24"/>
                <w:highlight w:val="none"/>
              </w:rPr>
              <w:t>大气有害物质无组织排放卫生防护距离推导技术导则</w:t>
            </w:r>
            <w:r>
              <w:rPr>
                <w:color w:val="0C0C0C"/>
                <w:sz w:val="24"/>
                <w:highlight w:val="none"/>
              </w:rPr>
              <w:t>》（GB/T</w:t>
            </w:r>
            <w:r>
              <w:rPr>
                <w:rFonts w:hint="eastAsia"/>
                <w:color w:val="0C0C0C"/>
                <w:sz w:val="24"/>
                <w:highlight w:val="none"/>
              </w:rPr>
              <w:t>39499-2020</w:t>
            </w:r>
            <w:r>
              <w:rPr>
                <w:color w:val="0C0C0C"/>
                <w:sz w:val="24"/>
                <w:highlight w:val="none"/>
              </w:rPr>
              <w:t>），</w:t>
            </w:r>
            <w:r>
              <w:rPr>
                <w:rFonts w:hint="eastAsia"/>
                <w:color w:val="0C0C0C"/>
                <w:sz w:val="24"/>
                <w:highlight w:val="none"/>
              </w:rPr>
              <w:t>为了防控通过无组织排放的大气污染物的健康危害，产生大气有害物质的生产单元（生产车间或作业场所）的边界至敏感区边界的最小距离</w:t>
            </w:r>
            <w:r>
              <w:rPr>
                <w:color w:val="0C0C0C"/>
                <w:sz w:val="24"/>
                <w:highlight w:val="none"/>
              </w:rPr>
              <w:t>。</w:t>
            </w:r>
          </w:p>
          <w:p>
            <w:pPr>
              <w:adjustRightInd w:val="0"/>
              <w:snapToGrid w:val="0"/>
              <w:spacing w:line="360" w:lineRule="auto"/>
              <w:ind w:firstLine="480" w:firstLineChars="200"/>
              <w:rPr>
                <w:rFonts w:hint="eastAsia"/>
                <w:b/>
                <w:bCs/>
                <w:color w:val="0C0C0C"/>
                <w:sz w:val="24"/>
                <w:szCs w:val="25"/>
                <w:highlight w:val="none"/>
              </w:rPr>
            </w:pPr>
            <w:r>
              <w:rPr>
                <w:rFonts w:hint="eastAsia"/>
                <w:color w:val="0C0C0C"/>
                <w:sz w:val="24"/>
                <w:highlight w:val="none"/>
                <w:lang w:eastAsia="zh-CN"/>
              </w:rPr>
              <w:t>本项目</w:t>
            </w:r>
            <w:r>
              <w:rPr>
                <w:rFonts w:hint="eastAsia"/>
                <w:color w:val="0C0C0C"/>
                <w:sz w:val="24"/>
                <w:highlight w:val="none"/>
              </w:rPr>
              <w:t>的废气为</w:t>
            </w:r>
            <w:r>
              <w:rPr>
                <w:rFonts w:hint="eastAsia"/>
                <w:color w:val="0C0C0C"/>
                <w:sz w:val="24"/>
                <w:highlight w:val="none"/>
                <w:lang w:eastAsia="zh-CN"/>
              </w:rPr>
              <w:t>注塑</w:t>
            </w:r>
            <w:r>
              <w:rPr>
                <w:rFonts w:hint="eastAsia"/>
                <w:i w:val="0"/>
                <w:iCs w:val="0"/>
                <w:color w:val="0C0C0C"/>
                <w:sz w:val="24"/>
                <w:highlight w:val="none"/>
              </w:rPr>
              <w:t>有机废气，主要污染因</w:t>
            </w:r>
            <w:r>
              <w:rPr>
                <w:rFonts w:hint="eastAsia"/>
                <w:color w:val="0C0C0C"/>
                <w:sz w:val="24"/>
                <w:highlight w:val="none"/>
              </w:rPr>
              <w:t>子为非甲烷总烃</w:t>
            </w:r>
            <w:r>
              <w:rPr>
                <w:rFonts w:hint="eastAsia"/>
                <w:color w:val="0C0C0C"/>
                <w:sz w:val="24"/>
                <w:szCs w:val="25"/>
                <w:highlight w:val="none"/>
              </w:rPr>
              <w:t>。</w:t>
            </w:r>
            <w:r>
              <w:rPr>
                <w:rFonts w:hint="eastAsia"/>
                <w:color w:val="0C0C0C"/>
                <w:sz w:val="24"/>
                <w:szCs w:val="25"/>
                <w:highlight w:val="none"/>
                <w:lang w:val="en-US" w:eastAsia="zh-CN"/>
              </w:rPr>
              <w:t>本项目</w:t>
            </w:r>
            <w:r>
              <w:rPr>
                <w:rFonts w:hint="eastAsia"/>
                <w:color w:val="0C0C0C"/>
                <w:sz w:val="24"/>
                <w:szCs w:val="25"/>
                <w:highlight w:val="none"/>
              </w:rPr>
              <w:t>非甲烷总烃无组织排放速率为</w:t>
            </w:r>
            <w:r>
              <w:rPr>
                <w:rFonts w:hint="eastAsia"/>
                <w:color w:val="0C0C0C"/>
                <w:spacing w:val="4"/>
                <w:sz w:val="24"/>
                <w:highlight w:val="none"/>
                <w:lang w:val="en-US" w:eastAsia="zh-CN"/>
              </w:rPr>
              <w:t>0.0165</w:t>
            </w:r>
            <w:r>
              <w:rPr>
                <w:rFonts w:hint="eastAsia"/>
                <w:color w:val="0C0C0C"/>
                <w:sz w:val="24"/>
                <w:szCs w:val="25"/>
                <w:highlight w:val="none"/>
              </w:rPr>
              <w:t>kg/h，空气质量标准限值为1.2mg/m</w:t>
            </w:r>
            <w:r>
              <w:rPr>
                <w:rFonts w:hint="eastAsia"/>
                <w:color w:val="0C0C0C"/>
                <w:sz w:val="24"/>
                <w:szCs w:val="25"/>
                <w:highlight w:val="none"/>
                <w:vertAlign w:val="superscript"/>
              </w:rPr>
              <w:t>3</w:t>
            </w:r>
            <w:r>
              <w:rPr>
                <w:rFonts w:hint="eastAsia"/>
                <w:color w:val="0C0C0C"/>
                <w:sz w:val="24"/>
                <w:szCs w:val="25"/>
                <w:highlight w:val="none"/>
              </w:rPr>
              <w:t>（1h平均），计算等标排放量为</w:t>
            </w:r>
            <w:r>
              <w:rPr>
                <w:rFonts w:hint="eastAsia"/>
                <w:color w:val="0C0C0C"/>
                <w:sz w:val="24"/>
                <w:szCs w:val="25"/>
                <w:highlight w:val="none"/>
                <w:lang w:val="en-US" w:eastAsia="zh-CN"/>
              </w:rPr>
              <w:t>13750</w:t>
            </w:r>
            <w:r>
              <w:rPr>
                <w:rFonts w:hint="eastAsia"/>
                <w:color w:val="0C0C0C"/>
                <w:sz w:val="24"/>
                <w:szCs w:val="25"/>
                <w:highlight w:val="none"/>
              </w:rPr>
              <w:t>m</w:t>
            </w:r>
            <w:r>
              <w:rPr>
                <w:rFonts w:hint="eastAsia"/>
                <w:color w:val="0C0C0C"/>
                <w:sz w:val="24"/>
                <w:szCs w:val="25"/>
                <w:highlight w:val="none"/>
                <w:vertAlign w:val="superscript"/>
              </w:rPr>
              <w:t>3</w:t>
            </w:r>
            <w:r>
              <w:rPr>
                <w:rFonts w:hint="eastAsia"/>
                <w:color w:val="0C0C0C"/>
                <w:sz w:val="24"/>
                <w:szCs w:val="25"/>
                <w:highlight w:val="none"/>
              </w:rPr>
              <w:t>/h。</w:t>
            </w:r>
            <w:r>
              <w:rPr>
                <w:rFonts w:hint="eastAsia"/>
                <w:color w:val="0C0C0C"/>
                <w:sz w:val="24"/>
                <w:highlight w:val="none"/>
              </w:rPr>
              <w:t>选取</w:t>
            </w:r>
            <w:r>
              <w:rPr>
                <w:rFonts w:hint="eastAsia"/>
                <w:color w:val="0C0C0C"/>
                <w:sz w:val="24"/>
                <w:highlight w:val="none"/>
                <w:lang w:eastAsia="zh-CN"/>
              </w:rPr>
              <w:t>非甲烷总烃</w:t>
            </w:r>
            <w:r>
              <w:rPr>
                <w:rFonts w:hint="eastAsia"/>
                <w:color w:val="0C0C0C"/>
                <w:sz w:val="24"/>
                <w:szCs w:val="25"/>
                <w:highlight w:val="none"/>
              </w:rPr>
              <w:t>（</w:t>
            </w:r>
            <w:r>
              <w:rPr>
                <w:rFonts w:hint="eastAsia"/>
                <w:color w:val="0C0C0C"/>
                <w:sz w:val="24"/>
                <w:szCs w:val="25"/>
                <w:highlight w:val="none"/>
                <w:lang w:val="en-US" w:eastAsia="zh-CN"/>
              </w:rPr>
              <w:t>TVOC</w:t>
            </w:r>
            <w:r>
              <w:rPr>
                <w:rFonts w:hint="eastAsia"/>
                <w:color w:val="0C0C0C"/>
                <w:sz w:val="24"/>
                <w:szCs w:val="25"/>
                <w:highlight w:val="none"/>
              </w:rPr>
              <w:t>）作为</w:t>
            </w:r>
            <w:r>
              <w:rPr>
                <w:rFonts w:hint="eastAsia"/>
                <w:color w:val="0C0C0C"/>
                <w:sz w:val="24"/>
                <w:highlight w:val="none"/>
              </w:rPr>
              <w:t>特征大气有害物质计算卫生防护距离初值。</w:t>
            </w:r>
          </w:p>
          <w:p>
            <w:pPr>
              <w:pStyle w:val="5"/>
              <w:spacing w:before="0" w:after="0" w:line="360" w:lineRule="auto"/>
              <w:ind w:left="0" w:firstLine="480" w:firstLineChars="200"/>
              <w:outlineLvl w:val="0"/>
              <w:rPr>
                <w:rFonts w:eastAsia="宋体"/>
                <w:color w:val="0C0C0C"/>
                <w:kern w:val="2"/>
                <w:sz w:val="24"/>
                <w:szCs w:val="24"/>
                <w:highlight w:val="none"/>
              </w:rPr>
            </w:pPr>
            <w:r>
              <w:rPr>
                <w:rFonts w:hint="eastAsia" w:eastAsia="宋体"/>
                <w:b w:val="0"/>
                <w:bCs w:val="0"/>
                <w:color w:val="0C0C0C"/>
                <w:kern w:val="2"/>
                <w:sz w:val="24"/>
                <w:szCs w:val="24"/>
                <w:highlight w:val="none"/>
              </w:rPr>
              <w:t>卫生防护距离初值计算：</w:t>
            </w:r>
          </w:p>
          <w:p>
            <w:pPr>
              <w:adjustRightInd w:val="0"/>
              <w:snapToGrid w:val="0"/>
              <w:ind w:firstLine="420" w:firstLineChars="200"/>
              <w:jc w:val="center"/>
              <w:rPr>
                <w:rFonts w:hint="eastAsia"/>
                <w:b/>
                <w:bCs/>
                <w:color w:val="0C0C0C"/>
                <w:sz w:val="24"/>
                <w:szCs w:val="25"/>
                <w:highlight w:val="none"/>
              </w:rPr>
            </w:pPr>
            <w:r>
              <w:rPr>
                <w:rFonts w:ascii="Calibri" w:hAnsi="Calibri"/>
                <w:color w:val="0C0C0C"/>
                <w:szCs w:val="21"/>
                <w:highlight w:val="none"/>
              </w:rPr>
              <w:drawing>
                <wp:inline distT="0" distB="0" distL="114300" distR="114300">
                  <wp:extent cx="1866900" cy="466725"/>
                  <wp:effectExtent l="0" t="0" r="0" b="889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2"/>
                          <a:stretch>
                            <a:fillRect/>
                          </a:stretch>
                        </pic:blipFill>
                        <pic:spPr>
                          <a:xfrm>
                            <a:off x="0" y="0"/>
                            <a:ext cx="1866900" cy="466725"/>
                          </a:xfrm>
                          <a:prstGeom prst="rect">
                            <a:avLst/>
                          </a:prstGeom>
                          <a:noFill/>
                          <a:ln>
                            <a:noFill/>
                          </a:ln>
                        </pic:spPr>
                      </pic:pic>
                    </a:graphicData>
                  </a:graphic>
                </wp:inline>
              </w:drawing>
            </w:r>
          </w:p>
          <w:p>
            <w:pPr>
              <w:adjustRightInd w:val="0"/>
              <w:snapToGrid w:val="0"/>
              <w:spacing w:line="348" w:lineRule="auto"/>
              <w:ind w:firstLine="424" w:firstLineChars="177"/>
              <w:rPr>
                <w:color w:val="0C0C0C"/>
                <w:sz w:val="24"/>
                <w:highlight w:val="none"/>
              </w:rPr>
            </w:pPr>
            <w:r>
              <w:rPr>
                <w:color w:val="0C0C0C"/>
                <w:sz w:val="24"/>
                <w:highlight w:val="none"/>
              </w:rPr>
              <w:t>式中：</w:t>
            </w:r>
          </w:p>
          <w:p>
            <w:pPr>
              <w:adjustRightInd w:val="0"/>
              <w:snapToGrid w:val="0"/>
              <w:spacing w:line="348" w:lineRule="auto"/>
              <w:ind w:firstLine="424" w:firstLineChars="177"/>
              <w:rPr>
                <w:color w:val="0C0C0C"/>
                <w:sz w:val="24"/>
                <w:highlight w:val="none"/>
              </w:rPr>
            </w:pPr>
            <w:r>
              <w:rPr>
                <w:color w:val="0C0C0C"/>
                <w:sz w:val="24"/>
                <w:highlight w:val="none"/>
              </w:rPr>
              <w:t>Cm</w:t>
            </w:r>
            <w:r>
              <w:rPr>
                <w:color w:val="0C0C0C"/>
                <w:sz w:val="24"/>
                <w:highlight w:val="none"/>
              </w:rPr>
              <w:sym w:font="Symbol" w:char="F0BE"/>
            </w:r>
            <w:r>
              <w:rPr>
                <w:color w:val="0C0C0C"/>
                <w:sz w:val="24"/>
                <w:highlight w:val="none"/>
              </w:rPr>
              <w:sym w:font="Symbol" w:char="F0BE"/>
            </w:r>
            <w:r>
              <w:rPr>
                <w:rFonts w:hint="eastAsia"/>
                <w:color w:val="0C0C0C"/>
                <w:sz w:val="24"/>
                <w:highlight w:val="none"/>
              </w:rPr>
              <w:t>大气有害物质环境空气质量的标准限值，单位为毫克每立方米</w:t>
            </w:r>
            <w:r>
              <w:rPr>
                <w:color w:val="0C0C0C"/>
                <w:sz w:val="24"/>
                <w:highlight w:val="none"/>
              </w:rPr>
              <w:t>(mg/m</w:t>
            </w:r>
            <w:r>
              <w:rPr>
                <w:color w:val="0C0C0C"/>
                <w:sz w:val="24"/>
                <w:highlight w:val="none"/>
                <w:vertAlign w:val="superscript"/>
              </w:rPr>
              <w:t>3</w:t>
            </w:r>
            <w:r>
              <w:rPr>
                <w:color w:val="0C0C0C"/>
                <w:sz w:val="24"/>
                <w:highlight w:val="none"/>
              </w:rPr>
              <w:t>)；</w:t>
            </w:r>
          </w:p>
          <w:p>
            <w:pPr>
              <w:adjustRightInd w:val="0"/>
              <w:snapToGrid w:val="0"/>
              <w:spacing w:line="348" w:lineRule="auto"/>
              <w:ind w:firstLine="424" w:firstLineChars="177"/>
              <w:rPr>
                <w:rFonts w:hint="eastAsia"/>
                <w:color w:val="0C0C0C"/>
                <w:sz w:val="24"/>
                <w:highlight w:val="none"/>
              </w:rPr>
            </w:pPr>
            <w:r>
              <w:rPr>
                <w:color w:val="0C0C0C"/>
                <w:sz w:val="24"/>
                <w:highlight w:val="none"/>
              </w:rPr>
              <w:t>Qc</w:t>
            </w:r>
            <w:r>
              <w:rPr>
                <w:color w:val="0C0C0C"/>
                <w:sz w:val="24"/>
                <w:highlight w:val="none"/>
              </w:rPr>
              <w:sym w:font="Symbol" w:char="F0BE"/>
            </w:r>
            <w:r>
              <w:rPr>
                <w:color w:val="0C0C0C"/>
                <w:sz w:val="24"/>
                <w:highlight w:val="none"/>
              </w:rPr>
              <w:sym w:font="Symbol" w:char="F0BE"/>
            </w:r>
            <w:r>
              <w:rPr>
                <w:rFonts w:hint="eastAsia"/>
                <w:color w:val="0C0C0C"/>
                <w:sz w:val="24"/>
                <w:highlight w:val="none"/>
              </w:rPr>
              <w:t>大气有害物质的无组织排放量，单位为千克每小时（kg/h）；</w:t>
            </w:r>
          </w:p>
          <w:p>
            <w:pPr>
              <w:adjustRightInd w:val="0"/>
              <w:snapToGrid w:val="0"/>
              <w:spacing w:line="348" w:lineRule="auto"/>
              <w:ind w:firstLine="424" w:firstLineChars="177"/>
              <w:rPr>
                <w:rFonts w:hint="eastAsia"/>
                <w:color w:val="0C0C0C"/>
                <w:sz w:val="24"/>
                <w:highlight w:val="none"/>
              </w:rPr>
            </w:pPr>
            <w:r>
              <w:rPr>
                <w:color w:val="0C0C0C"/>
                <w:sz w:val="24"/>
                <w:highlight w:val="none"/>
              </w:rPr>
              <w:t>L</w:t>
            </w:r>
            <w:r>
              <w:rPr>
                <w:color w:val="0C0C0C"/>
                <w:sz w:val="24"/>
                <w:highlight w:val="none"/>
              </w:rPr>
              <w:sym w:font="Symbol" w:char="F0BE"/>
            </w:r>
            <w:r>
              <w:rPr>
                <w:color w:val="0C0C0C"/>
                <w:sz w:val="24"/>
                <w:highlight w:val="none"/>
              </w:rPr>
              <w:sym w:font="Symbol" w:char="F0BE"/>
            </w:r>
            <w:r>
              <w:rPr>
                <w:rFonts w:hint="eastAsia"/>
                <w:color w:val="0C0C0C"/>
                <w:sz w:val="24"/>
                <w:highlight w:val="none"/>
              </w:rPr>
              <w:t>大气有害物质卫生防护距离初值，单位为米（m）；</w:t>
            </w:r>
          </w:p>
          <w:p>
            <w:pPr>
              <w:adjustRightInd w:val="0"/>
              <w:snapToGrid w:val="0"/>
              <w:spacing w:line="348" w:lineRule="auto"/>
              <w:ind w:firstLine="480"/>
              <w:rPr>
                <w:color w:val="0C0C0C"/>
                <w:sz w:val="24"/>
                <w:highlight w:val="none"/>
              </w:rPr>
            </w:pPr>
            <w:r>
              <w:rPr>
                <w:color w:val="0C0C0C"/>
                <w:sz w:val="24"/>
                <w:highlight w:val="none"/>
              </w:rPr>
              <w:t>r</w:t>
            </w:r>
            <w:r>
              <w:rPr>
                <w:color w:val="0C0C0C"/>
                <w:sz w:val="24"/>
                <w:highlight w:val="none"/>
              </w:rPr>
              <w:sym w:font="Symbol" w:char="F0BE"/>
            </w:r>
            <w:r>
              <w:rPr>
                <w:color w:val="0C0C0C"/>
                <w:sz w:val="24"/>
                <w:highlight w:val="none"/>
              </w:rPr>
              <w:sym w:font="Symbol" w:char="F0BE"/>
            </w:r>
            <w:r>
              <w:rPr>
                <w:rFonts w:hint="eastAsia"/>
                <w:color w:val="0C0C0C"/>
                <w:sz w:val="24"/>
                <w:highlight w:val="none"/>
              </w:rPr>
              <w:t>大气有害物质无组织排放源所在</w:t>
            </w:r>
            <w:r>
              <w:rPr>
                <w:color w:val="0C0C0C"/>
                <w:sz w:val="24"/>
                <w:highlight w:val="none"/>
              </w:rPr>
              <w:t>生产单元的等效半径</w:t>
            </w:r>
            <w:r>
              <w:rPr>
                <w:rFonts w:hint="eastAsia"/>
                <w:color w:val="0C0C0C"/>
                <w:sz w:val="24"/>
                <w:highlight w:val="none"/>
              </w:rPr>
              <w:t>，单位为米（m）；</w:t>
            </w:r>
          </w:p>
          <w:p>
            <w:pPr>
              <w:adjustRightInd w:val="0"/>
              <w:snapToGrid w:val="0"/>
              <w:spacing w:line="360" w:lineRule="auto"/>
              <w:ind w:firstLine="480" w:firstLineChars="200"/>
              <w:rPr>
                <w:rFonts w:hint="eastAsia"/>
                <w:b/>
                <w:bCs/>
                <w:color w:val="0C0C0C"/>
                <w:szCs w:val="21"/>
                <w:highlight w:val="none"/>
              </w:rPr>
            </w:pPr>
            <w:r>
              <w:rPr>
                <w:color w:val="0C0C0C"/>
                <w:sz w:val="24"/>
                <w:highlight w:val="none"/>
              </w:rPr>
              <w:t>A、B、C、D</w:t>
            </w:r>
            <w:r>
              <w:rPr>
                <w:color w:val="0C0C0C"/>
                <w:sz w:val="24"/>
                <w:highlight w:val="none"/>
              </w:rPr>
              <w:sym w:font="Symbol" w:char="F0BE"/>
            </w:r>
            <w:r>
              <w:rPr>
                <w:color w:val="0C0C0C"/>
                <w:sz w:val="24"/>
                <w:highlight w:val="none"/>
              </w:rPr>
              <w:sym w:font="Symbol" w:char="F0BE"/>
            </w:r>
            <w:r>
              <w:rPr>
                <w:rFonts w:hint="eastAsia"/>
                <w:color w:val="0C0C0C"/>
                <w:sz w:val="24"/>
                <w:highlight w:val="none"/>
              </w:rPr>
              <w:t>卫生防护距离初值计算系数，无因次，根据工业企业所在地区近5年平均风速及大气污染源构成类别从下表查取</w:t>
            </w:r>
            <w:r>
              <w:rPr>
                <w:color w:val="0C0C0C"/>
                <w:sz w:val="24"/>
                <w:highlight w:val="none"/>
              </w:rPr>
              <w:t>。</w:t>
            </w:r>
          </w:p>
          <w:p>
            <w:pPr>
              <w:adjustRightInd w:val="0"/>
              <w:snapToGrid w:val="0"/>
              <w:ind w:firstLine="422" w:firstLineChars="200"/>
              <w:jc w:val="center"/>
              <w:rPr>
                <w:b/>
                <w:bCs/>
                <w:color w:val="0C0C0C"/>
                <w:szCs w:val="21"/>
                <w:highlight w:val="none"/>
              </w:rPr>
            </w:pPr>
            <w:r>
              <w:rPr>
                <w:rFonts w:hint="eastAsia"/>
                <w:b/>
                <w:bCs/>
                <w:color w:val="0C0C0C"/>
                <w:szCs w:val="21"/>
                <w:highlight w:val="none"/>
              </w:rPr>
              <w:t>表</w:t>
            </w:r>
            <w:r>
              <w:rPr>
                <w:rFonts w:hint="eastAsia"/>
                <w:b/>
                <w:bCs/>
                <w:color w:val="0C0C0C"/>
                <w:szCs w:val="21"/>
                <w:highlight w:val="none"/>
                <w:lang w:val="en-US" w:eastAsia="zh-CN"/>
              </w:rPr>
              <w:t xml:space="preserve">4-8 </w:t>
            </w:r>
            <w:r>
              <w:rPr>
                <w:rFonts w:hint="eastAsia"/>
                <w:b/>
                <w:bCs/>
                <w:color w:val="0C0C0C"/>
                <w:szCs w:val="21"/>
                <w:highlight w:val="none"/>
              </w:rPr>
              <w:t>卫生防护距离初值计算系数</w:t>
            </w:r>
          </w:p>
          <w:tbl>
            <w:tblPr>
              <w:tblStyle w:val="24"/>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436"/>
              <w:gridCol w:w="879"/>
              <w:gridCol w:w="738"/>
              <w:gridCol w:w="795"/>
              <w:gridCol w:w="670"/>
              <w:gridCol w:w="601"/>
              <w:gridCol w:w="683"/>
              <w:gridCol w:w="645"/>
              <w:gridCol w:w="554"/>
              <w:gridCol w:w="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restart"/>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卫生防护距离初值计算系数</w:t>
                  </w:r>
                </w:p>
              </w:tc>
              <w:tc>
                <w:tcPr>
                  <w:tcW w:w="1436" w:type="dxa"/>
                  <w:vMerge w:val="restart"/>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工业企业所在地区近5年平均</w:t>
                  </w:r>
                </w:p>
                <w:p>
                  <w:pPr>
                    <w:adjustRightInd w:val="0"/>
                    <w:snapToGrid w:val="0"/>
                    <w:jc w:val="center"/>
                    <w:rPr>
                      <w:b/>
                      <w:bCs/>
                      <w:color w:val="0C0C0C"/>
                      <w:szCs w:val="21"/>
                      <w:highlight w:val="none"/>
                    </w:rPr>
                  </w:pPr>
                  <w:r>
                    <w:rPr>
                      <w:rFonts w:hint="eastAsia"/>
                      <w:b/>
                      <w:bCs/>
                      <w:color w:val="0C0C0C"/>
                      <w:szCs w:val="21"/>
                      <w:highlight w:val="none"/>
                    </w:rPr>
                    <w:t>风速/（m/s）</w:t>
                  </w:r>
                </w:p>
              </w:tc>
              <w:tc>
                <w:tcPr>
                  <w:tcW w:w="6140" w:type="dxa"/>
                  <w:gridSpan w:val="9"/>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卫生防护距离L/m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continue"/>
                  <w:noWrap w:val="0"/>
                  <w:vAlign w:val="center"/>
                </w:tcPr>
                <w:p>
                  <w:pPr>
                    <w:adjustRightInd w:val="0"/>
                    <w:snapToGrid w:val="0"/>
                    <w:jc w:val="center"/>
                    <w:rPr>
                      <w:rFonts w:hint="eastAsia"/>
                      <w:b/>
                      <w:bCs/>
                      <w:color w:val="0C0C0C"/>
                      <w:szCs w:val="21"/>
                      <w:highlight w:val="none"/>
                    </w:rPr>
                  </w:pPr>
                </w:p>
              </w:tc>
              <w:tc>
                <w:tcPr>
                  <w:tcW w:w="1436" w:type="dxa"/>
                  <w:vMerge w:val="continue"/>
                  <w:noWrap w:val="0"/>
                  <w:vAlign w:val="center"/>
                </w:tcPr>
                <w:p>
                  <w:pPr>
                    <w:adjustRightInd w:val="0"/>
                    <w:snapToGrid w:val="0"/>
                    <w:jc w:val="center"/>
                    <w:rPr>
                      <w:rFonts w:hint="eastAsia"/>
                      <w:b/>
                      <w:bCs/>
                      <w:color w:val="0C0C0C"/>
                      <w:szCs w:val="21"/>
                      <w:highlight w:val="none"/>
                    </w:rPr>
                  </w:pPr>
                </w:p>
              </w:tc>
              <w:tc>
                <w:tcPr>
                  <w:tcW w:w="2412"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L≤1000</w:t>
                  </w:r>
                </w:p>
              </w:tc>
              <w:tc>
                <w:tcPr>
                  <w:tcW w:w="195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1000＜L≤2000</w:t>
                  </w:r>
                </w:p>
              </w:tc>
              <w:tc>
                <w:tcPr>
                  <w:tcW w:w="177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L＞2000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continue"/>
                  <w:noWrap w:val="0"/>
                  <w:vAlign w:val="center"/>
                </w:tcPr>
                <w:p>
                  <w:pPr>
                    <w:adjustRightInd w:val="0"/>
                    <w:snapToGrid w:val="0"/>
                    <w:jc w:val="center"/>
                    <w:rPr>
                      <w:rFonts w:hint="eastAsia"/>
                      <w:b/>
                      <w:bCs/>
                      <w:color w:val="0C0C0C"/>
                      <w:szCs w:val="21"/>
                      <w:highlight w:val="none"/>
                    </w:rPr>
                  </w:pPr>
                </w:p>
              </w:tc>
              <w:tc>
                <w:tcPr>
                  <w:tcW w:w="1436" w:type="dxa"/>
                  <w:vMerge w:val="continue"/>
                  <w:noWrap w:val="0"/>
                  <w:vAlign w:val="center"/>
                </w:tcPr>
                <w:p>
                  <w:pPr>
                    <w:adjustRightInd w:val="0"/>
                    <w:snapToGrid w:val="0"/>
                    <w:jc w:val="center"/>
                    <w:rPr>
                      <w:rFonts w:hint="eastAsia"/>
                      <w:b/>
                      <w:bCs/>
                      <w:color w:val="0C0C0C"/>
                      <w:szCs w:val="21"/>
                      <w:highlight w:val="none"/>
                    </w:rPr>
                  </w:pPr>
                </w:p>
              </w:tc>
              <w:tc>
                <w:tcPr>
                  <w:tcW w:w="6140" w:type="dxa"/>
                  <w:gridSpan w:val="9"/>
                  <w:noWrap w:val="0"/>
                  <w:vAlign w:val="center"/>
                </w:tcPr>
                <w:p>
                  <w:pPr>
                    <w:adjustRightInd w:val="0"/>
                    <w:snapToGrid w:val="0"/>
                    <w:jc w:val="center"/>
                    <w:rPr>
                      <w:rFonts w:hint="eastAsia"/>
                      <w:b/>
                      <w:bCs/>
                      <w:color w:val="0C0C0C"/>
                      <w:szCs w:val="21"/>
                      <w:highlight w:val="none"/>
                    </w:rPr>
                  </w:pPr>
                  <w:r>
                    <w:rPr>
                      <w:color w:val="0C0C0C"/>
                      <w:szCs w:val="21"/>
                      <w:highlight w:val="none"/>
                    </w:rPr>
                    <w:t>工业企业大气污染源构成</w:t>
                  </w:r>
                  <w:r>
                    <w:rPr>
                      <w:rFonts w:hint="eastAsia"/>
                      <w:color w:val="0C0C0C"/>
                      <w:szCs w:val="21"/>
                      <w:highlight w:val="none"/>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continue"/>
                  <w:noWrap w:val="0"/>
                  <w:vAlign w:val="center"/>
                </w:tcPr>
                <w:p>
                  <w:pPr>
                    <w:adjustRightInd w:val="0"/>
                    <w:snapToGrid w:val="0"/>
                    <w:jc w:val="center"/>
                    <w:rPr>
                      <w:rFonts w:hint="eastAsia"/>
                      <w:b/>
                      <w:bCs/>
                      <w:color w:val="0C0C0C"/>
                      <w:szCs w:val="21"/>
                      <w:highlight w:val="none"/>
                    </w:rPr>
                  </w:pPr>
                </w:p>
              </w:tc>
              <w:tc>
                <w:tcPr>
                  <w:tcW w:w="1436" w:type="dxa"/>
                  <w:vMerge w:val="continue"/>
                  <w:noWrap w:val="0"/>
                  <w:vAlign w:val="center"/>
                </w:tcPr>
                <w:p>
                  <w:pPr>
                    <w:adjustRightInd w:val="0"/>
                    <w:snapToGrid w:val="0"/>
                    <w:jc w:val="center"/>
                    <w:rPr>
                      <w:rFonts w:hint="eastAsia"/>
                      <w:b/>
                      <w:bCs/>
                      <w:color w:val="0C0C0C"/>
                      <w:szCs w:val="21"/>
                      <w:highlight w:val="none"/>
                    </w:rPr>
                  </w:pPr>
                </w:p>
              </w:tc>
              <w:tc>
                <w:tcPr>
                  <w:tcW w:w="879" w:type="dxa"/>
                  <w:noWrap w:val="0"/>
                  <w:vAlign w:val="center"/>
                </w:tcPr>
                <w:p>
                  <w:pPr>
                    <w:adjustRightInd w:val="0"/>
                    <w:snapToGrid w:val="0"/>
                    <w:jc w:val="center"/>
                    <w:rPr>
                      <w:rFonts w:hint="eastAsia"/>
                      <w:b/>
                      <w:bCs/>
                      <w:color w:val="0C0C0C"/>
                      <w:szCs w:val="21"/>
                      <w:highlight w:val="none"/>
                    </w:rPr>
                  </w:pPr>
                  <w:r>
                    <w:rPr>
                      <w:color w:val="0C0C0C"/>
                      <w:szCs w:val="21"/>
                      <w:highlight w:val="none"/>
                    </w:rPr>
                    <w:t>Ⅰ</w:t>
                  </w:r>
                </w:p>
              </w:tc>
              <w:tc>
                <w:tcPr>
                  <w:tcW w:w="738" w:type="dxa"/>
                  <w:noWrap w:val="0"/>
                  <w:vAlign w:val="center"/>
                </w:tcPr>
                <w:p>
                  <w:pPr>
                    <w:adjustRightInd w:val="0"/>
                    <w:snapToGrid w:val="0"/>
                    <w:jc w:val="center"/>
                    <w:rPr>
                      <w:rFonts w:hint="eastAsia"/>
                      <w:b/>
                      <w:bCs/>
                      <w:color w:val="0C0C0C"/>
                      <w:szCs w:val="21"/>
                      <w:highlight w:val="none"/>
                    </w:rPr>
                  </w:pPr>
                  <w:r>
                    <w:rPr>
                      <w:color w:val="0C0C0C"/>
                      <w:szCs w:val="21"/>
                      <w:highlight w:val="none"/>
                    </w:rPr>
                    <w:t>Ⅱ</w:t>
                  </w:r>
                </w:p>
              </w:tc>
              <w:tc>
                <w:tcPr>
                  <w:tcW w:w="795" w:type="dxa"/>
                  <w:noWrap w:val="0"/>
                  <w:vAlign w:val="center"/>
                </w:tcPr>
                <w:p>
                  <w:pPr>
                    <w:adjustRightInd w:val="0"/>
                    <w:snapToGrid w:val="0"/>
                    <w:jc w:val="center"/>
                    <w:rPr>
                      <w:rFonts w:hint="eastAsia"/>
                      <w:b/>
                      <w:bCs/>
                      <w:color w:val="0C0C0C"/>
                      <w:szCs w:val="21"/>
                      <w:highlight w:val="none"/>
                    </w:rPr>
                  </w:pPr>
                  <w:r>
                    <w:rPr>
                      <w:color w:val="0C0C0C"/>
                      <w:szCs w:val="21"/>
                      <w:highlight w:val="none"/>
                    </w:rPr>
                    <w:t>Ⅲ</w:t>
                  </w:r>
                </w:p>
              </w:tc>
              <w:tc>
                <w:tcPr>
                  <w:tcW w:w="670" w:type="dxa"/>
                  <w:noWrap w:val="0"/>
                  <w:vAlign w:val="center"/>
                </w:tcPr>
                <w:p>
                  <w:pPr>
                    <w:adjustRightInd w:val="0"/>
                    <w:snapToGrid w:val="0"/>
                    <w:jc w:val="center"/>
                    <w:rPr>
                      <w:rFonts w:hint="eastAsia"/>
                      <w:b/>
                      <w:bCs/>
                      <w:color w:val="0C0C0C"/>
                      <w:szCs w:val="21"/>
                      <w:highlight w:val="none"/>
                    </w:rPr>
                  </w:pPr>
                  <w:r>
                    <w:rPr>
                      <w:color w:val="0C0C0C"/>
                      <w:szCs w:val="21"/>
                      <w:highlight w:val="none"/>
                    </w:rPr>
                    <w:t>Ⅰ</w:t>
                  </w:r>
                </w:p>
              </w:tc>
              <w:tc>
                <w:tcPr>
                  <w:tcW w:w="601" w:type="dxa"/>
                  <w:noWrap w:val="0"/>
                  <w:vAlign w:val="center"/>
                </w:tcPr>
                <w:p>
                  <w:pPr>
                    <w:adjustRightInd w:val="0"/>
                    <w:snapToGrid w:val="0"/>
                    <w:jc w:val="center"/>
                    <w:rPr>
                      <w:rFonts w:hint="eastAsia"/>
                      <w:b/>
                      <w:bCs/>
                      <w:color w:val="0C0C0C"/>
                      <w:szCs w:val="21"/>
                      <w:highlight w:val="none"/>
                    </w:rPr>
                  </w:pPr>
                  <w:r>
                    <w:rPr>
                      <w:color w:val="0C0C0C"/>
                      <w:szCs w:val="21"/>
                      <w:highlight w:val="none"/>
                    </w:rPr>
                    <w:t>Ⅱ</w:t>
                  </w:r>
                </w:p>
              </w:tc>
              <w:tc>
                <w:tcPr>
                  <w:tcW w:w="683" w:type="dxa"/>
                  <w:noWrap w:val="0"/>
                  <w:vAlign w:val="center"/>
                </w:tcPr>
                <w:p>
                  <w:pPr>
                    <w:adjustRightInd w:val="0"/>
                    <w:snapToGrid w:val="0"/>
                    <w:jc w:val="center"/>
                    <w:rPr>
                      <w:rFonts w:hint="eastAsia"/>
                      <w:b/>
                      <w:bCs/>
                      <w:color w:val="0C0C0C"/>
                      <w:szCs w:val="21"/>
                      <w:highlight w:val="none"/>
                    </w:rPr>
                  </w:pPr>
                  <w:r>
                    <w:rPr>
                      <w:color w:val="0C0C0C"/>
                      <w:szCs w:val="21"/>
                      <w:highlight w:val="none"/>
                    </w:rPr>
                    <w:t>Ⅲ</w:t>
                  </w:r>
                </w:p>
              </w:tc>
              <w:tc>
                <w:tcPr>
                  <w:tcW w:w="645" w:type="dxa"/>
                  <w:noWrap w:val="0"/>
                  <w:vAlign w:val="center"/>
                </w:tcPr>
                <w:p>
                  <w:pPr>
                    <w:adjustRightInd w:val="0"/>
                    <w:snapToGrid w:val="0"/>
                    <w:jc w:val="center"/>
                    <w:rPr>
                      <w:rFonts w:hint="eastAsia"/>
                      <w:b/>
                      <w:bCs/>
                      <w:color w:val="0C0C0C"/>
                      <w:szCs w:val="21"/>
                      <w:highlight w:val="none"/>
                    </w:rPr>
                  </w:pPr>
                  <w:r>
                    <w:rPr>
                      <w:color w:val="0C0C0C"/>
                      <w:szCs w:val="21"/>
                      <w:highlight w:val="none"/>
                    </w:rPr>
                    <w:t>Ⅰ</w:t>
                  </w:r>
                </w:p>
              </w:tc>
              <w:tc>
                <w:tcPr>
                  <w:tcW w:w="554" w:type="dxa"/>
                  <w:noWrap w:val="0"/>
                  <w:vAlign w:val="center"/>
                </w:tcPr>
                <w:p>
                  <w:pPr>
                    <w:adjustRightInd w:val="0"/>
                    <w:snapToGrid w:val="0"/>
                    <w:jc w:val="center"/>
                    <w:rPr>
                      <w:rFonts w:hint="eastAsia"/>
                      <w:b/>
                      <w:bCs/>
                      <w:color w:val="0C0C0C"/>
                      <w:szCs w:val="21"/>
                      <w:highlight w:val="none"/>
                    </w:rPr>
                  </w:pPr>
                  <w:r>
                    <w:rPr>
                      <w:color w:val="0C0C0C"/>
                      <w:szCs w:val="21"/>
                      <w:highlight w:val="none"/>
                    </w:rPr>
                    <w:t>Ⅱ</w:t>
                  </w:r>
                </w:p>
              </w:tc>
              <w:tc>
                <w:tcPr>
                  <w:tcW w:w="575" w:type="dxa"/>
                  <w:noWrap w:val="0"/>
                  <w:vAlign w:val="center"/>
                </w:tcPr>
                <w:p>
                  <w:pPr>
                    <w:adjustRightInd w:val="0"/>
                    <w:snapToGrid w:val="0"/>
                    <w:jc w:val="center"/>
                    <w:rPr>
                      <w:rFonts w:hint="eastAsia"/>
                      <w:b/>
                      <w:bCs/>
                      <w:color w:val="0C0C0C"/>
                      <w:szCs w:val="21"/>
                      <w:highlight w:val="none"/>
                    </w:rPr>
                  </w:pPr>
                  <w:r>
                    <w:rPr>
                      <w:color w:val="0C0C0C"/>
                      <w:szCs w:val="21"/>
                      <w:highlight w:val="none"/>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2" w:type="dxa"/>
                  <w:vMerge w:val="restart"/>
                  <w:noWrap w:val="0"/>
                  <w:vAlign w:val="center"/>
                </w:tcPr>
                <w:p>
                  <w:pPr>
                    <w:adjustRightInd w:val="0"/>
                    <w:snapToGrid w:val="0"/>
                    <w:jc w:val="center"/>
                    <w:rPr>
                      <w:rFonts w:hint="eastAsia"/>
                      <w:b/>
                      <w:bCs/>
                      <w:color w:val="0C0C0C"/>
                      <w:szCs w:val="21"/>
                      <w:highlight w:val="none"/>
                    </w:rPr>
                  </w:pPr>
                  <w:r>
                    <w:rPr>
                      <w:color w:val="0C0C0C"/>
                      <w:szCs w:val="21"/>
                      <w:highlight w:val="none"/>
                    </w:rPr>
                    <w:t>A</w:t>
                  </w:r>
                </w:p>
              </w:tc>
              <w:tc>
                <w:tcPr>
                  <w:tcW w:w="1436" w:type="dxa"/>
                  <w:noWrap w:val="0"/>
                  <w:vAlign w:val="center"/>
                </w:tcPr>
                <w:p>
                  <w:pPr>
                    <w:adjustRightInd w:val="0"/>
                    <w:snapToGrid w:val="0"/>
                    <w:jc w:val="center"/>
                    <w:rPr>
                      <w:rFonts w:hint="eastAsia"/>
                      <w:b/>
                      <w:bCs/>
                      <w:color w:val="0C0C0C"/>
                      <w:szCs w:val="21"/>
                      <w:highlight w:val="none"/>
                    </w:rPr>
                  </w:pPr>
                  <w:r>
                    <w:rPr>
                      <w:color w:val="0C0C0C"/>
                      <w:szCs w:val="21"/>
                      <w:highlight w:val="none"/>
                    </w:rPr>
                    <w:t>&lt;2</w:t>
                  </w:r>
                </w:p>
              </w:tc>
              <w:tc>
                <w:tcPr>
                  <w:tcW w:w="879" w:type="dxa"/>
                  <w:noWrap w:val="0"/>
                  <w:vAlign w:val="center"/>
                </w:tcPr>
                <w:p>
                  <w:pPr>
                    <w:adjustRightInd w:val="0"/>
                    <w:snapToGrid w:val="0"/>
                    <w:jc w:val="center"/>
                    <w:rPr>
                      <w:rFonts w:hint="eastAsia"/>
                      <w:color w:val="0C0C0C"/>
                      <w:szCs w:val="21"/>
                      <w:highlight w:val="none"/>
                    </w:rPr>
                  </w:pPr>
                  <w:r>
                    <w:rPr>
                      <w:color w:val="0C0C0C"/>
                      <w:szCs w:val="21"/>
                      <w:highlight w:val="none"/>
                    </w:rPr>
                    <w:t>400</w:t>
                  </w:r>
                </w:p>
              </w:tc>
              <w:tc>
                <w:tcPr>
                  <w:tcW w:w="738" w:type="dxa"/>
                  <w:noWrap w:val="0"/>
                  <w:vAlign w:val="center"/>
                </w:tcPr>
                <w:p>
                  <w:pPr>
                    <w:adjustRightInd w:val="0"/>
                    <w:snapToGrid w:val="0"/>
                    <w:jc w:val="center"/>
                    <w:rPr>
                      <w:rFonts w:hint="eastAsia"/>
                      <w:color w:val="0C0C0C"/>
                      <w:szCs w:val="21"/>
                      <w:highlight w:val="none"/>
                    </w:rPr>
                  </w:pPr>
                  <w:r>
                    <w:rPr>
                      <w:color w:val="0C0C0C"/>
                      <w:szCs w:val="21"/>
                      <w:highlight w:val="none"/>
                    </w:rPr>
                    <w:t>400</w:t>
                  </w:r>
                </w:p>
              </w:tc>
              <w:tc>
                <w:tcPr>
                  <w:tcW w:w="795" w:type="dxa"/>
                  <w:noWrap w:val="0"/>
                  <w:vAlign w:val="center"/>
                </w:tcPr>
                <w:p>
                  <w:pPr>
                    <w:adjustRightInd w:val="0"/>
                    <w:snapToGrid w:val="0"/>
                    <w:jc w:val="center"/>
                    <w:rPr>
                      <w:rFonts w:hint="eastAsia"/>
                      <w:color w:val="0C0C0C"/>
                      <w:szCs w:val="21"/>
                      <w:highlight w:val="none"/>
                    </w:rPr>
                  </w:pPr>
                  <w:r>
                    <w:rPr>
                      <w:color w:val="0C0C0C"/>
                      <w:szCs w:val="21"/>
                      <w:highlight w:val="none"/>
                    </w:rPr>
                    <w:t>400</w:t>
                  </w:r>
                </w:p>
              </w:tc>
              <w:tc>
                <w:tcPr>
                  <w:tcW w:w="670" w:type="dxa"/>
                  <w:noWrap w:val="0"/>
                  <w:vAlign w:val="center"/>
                </w:tcPr>
                <w:p>
                  <w:pPr>
                    <w:adjustRightInd w:val="0"/>
                    <w:snapToGrid w:val="0"/>
                    <w:jc w:val="center"/>
                    <w:rPr>
                      <w:rFonts w:hint="eastAsia"/>
                      <w:color w:val="0C0C0C"/>
                      <w:szCs w:val="21"/>
                      <w:highlight w:val="none"/>
                    </w:rPr>
                  </w:pPr>
                  <w:r>
                    <w:rPr>
                      <w:color w:val="0C0C0C"/>
                      <w:szCs w:val="21"/>
                      <w:highlight w:val="none"/>
                    </w:rPr>
                    <w:t>400</w:t>
                  </w:r>
                </w:p>
              </w:tc>
              <w:tc>
                <w:tcPr>
                  <w:tcW w:w="601" w:type="dxa"/>
                  <w:noWrap w:val="0"/>
                  <w:vAlign w:val="center"/>
                </w:tcPr>
                <w:p>
                  <w:pPr>
                    <w:adjustRightInd w:val="0"/>
                    <w:snapToGrid w:val="0"/>
                    <w:jc w:val="center"/>
                    <w:rPr>
                      <w:rFonts w:hint="eastAsia"/>
                      <w:color w:val="0C0C0C"/>
                      <w:szCs w:val="21"/>
                      <w:highlight w:val="none"/>
                    </w:rPr>
                  </w:pPr>
                  <w:r>
                    <w:rPr>
                      <w:color w:val="0C0C0C"/>
                      <w:szCs w:val="21"/>
                      <w:highlight w:val="none"/>
                    </w:rPr>
                    <w:t>400</w:t>
                  </w:r>
                </w:p>
              </w:tc>
              <w:tc>
                <w:tcPr>
                  <w:tcW w:w="683" w:type="dxa"/>
                  <w:noWrap w:val="0"/>
                  <w:vAlign w:val="center"/>
                </w:tcPr>
                <w:p>
                  <w:pPr>
                    <w:adjustRightInd w:val="0"/>
                    <w:snapToGrid w:val="0"/>
                    <w:jc w:val="center"/>
                    <w:rPr>
                      <w:rFonts w:hint="eastAsia"/>
                      <w:color w:val="0C0C0C"/>
                      <w:szCs w:val="21"/>
                      <w:highlight w:val="none"/>
                    </w:rPr>
                  </w:pPr>
                  <w:r>
                    <w:rPr>
                      <w:color w:val="0C0C0C"/>
                      <w:szCs w:val="21"/>
                      <w:highlight w:val="none"/>
                    </w:rPr>
                    <w:t>400</w:t>
                  </w:r>
                </w:p>
              </w:tc>
              <w:tc>
                <w:tcPr>
                  <w:tcW w:w="645" w:type="dxa"/>
                  <w:noWrap w:val="0"/>
                  <w:vAlign w:val="center"/>
                </w:tcPr>
                <w:p>
                  <w:pPr>
                    <w:adjustRightInd w:val="0"/>
                    <w:snapToGrid w:val="0"/>
                    <w:jc w:val="center"/>
                    <w:rPr>
                      <w:rFonts w:hint="eastAsia"/>
                      <w:color w:val="0C0C0C"/>
                      <w:szCs w:val="21"/>
                      <w:highlight w:val="none"/>
                    </w:rPr>
                  </w:pPr>
                  <w:r>
                    <w:rPr>
                      <w:color w:val="0C0C0C"/>
                      <w:szCs w:val="21"/>
                      <w:highlight w:val="none"/>
                    </w:rPr>
                    <w:t>80</w:t>
                  </w:r>
                </w:p>
              </w:tc>
              <w:tc>
                <w:tcPr>
                  <w:tcW w:w="554" w:type="dxa"/>
                  <w:noWrap w:val="0"/>
                  <w:vAlign w:val="center"/>
                </w:tcPr>
                <w:p>
                  <w:pPr>
                    <w:adjustRightInd w:val="0"/>
                    <w:snapToGrid w:val="0"/>
                    <w:jc w:val="center"/>
                    <w:rPr>
                      <w:rFonts w:hint="eastAsia"/>
                      <w:color w:val="0C0C0C"/>
                      <w:szCs w:val="21"/>
                      <w:highlight w:val="none"/>
                    </w:rPr>
                  </w:pPr>
                  <w:r>
                    <w:rPr>
                      <w:color w:val="0C0C0C"/>
                      <w:szCs w:val="21"/>
                      <w:highlight w:val="none"/>
                    </w:rPr>
                    <w:t>80</w:t>
                  </w:r>
                </w:p>
              </w:tc>
              <w:tc>
                <w:tcPr>
                  <w:tcW w:w="575" w:type="dxa"/>
                  <w:noWrap w:val="0"/>
                  <w:vAlign w:val="center"/>
                </w:tcPr>
                <w:p>
                  <w:pPr>
                    <w:adjustRightInd w:val="0"/>
                    <w:snapToGrid w:val="0"/>
                    <w:jc w:val="center"/>
                    <w:rPr>
                      <w:rFonts w:hint="eastAsia"/>
                      <w:color w:val="0C0C0C"/>
                      <w:szCs w:val="21"/>
                      <w:highlight w:val="none"/>
                    </w:rPr>
                  </w:pPr>
                  <w:r>
                    <w:rPr>
                      <w:color w:val="0C0C0C"/>
                      <w:szCs w:val="21"/>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1162" w:type="dxa"/>
                  <w:vMerge w:val="continue"/>
                  <w:noWrap w:val="0"/>
                  <w:vAlign w:val="center"/>
                </w:tcPr>
                <w:p>
                  <w:pPr>
                    <w:adjustRightInd w:val="0"/>
                    <w:snapToGrid w:val="0"/>
                    <w:jc w:val="center"/>
                    <w:rPr>
                      <w:rFonts w:hint="eastAsia"/>
                      <w:b/>
                      <w:bCs/>
                      <w:color w:val="0C0C0C"/>
                      <w:szCs w:val="21"/>
                      <w:highlight w:val="none"/>
                    </w:rPr>
                  </w:pPr>
                </w:p>
              </w:tc>
              <w:tc>
                <w:tcPr>
                  <w:tcW w:w="1436" w:type="dxa"/>
                  <w:noWrap w:val="0"/>
                  <w:vAlign w:val="center"/>
                </w:tcPr>
                <w:p>
                  <w:pPr>
                    <w:adjustRightInd w:val="0"/>
                    <w:snapToGrid w:val="0"/>
                    <w:jc w:val="center"/>
                    <w:rPr>
                      <w:rFonts w:hint="eastAsia"/>
                      <w:b/>
                      <w:bCs/>
                      <w:color w:val="0C0C0C"/>
                      <w:szCs w:val="21"/>
                      <w:highlight w:val="none"/>
                    </w:rPr>
                  </w:pPr>
                  <w:r>
                    <w:rPr>
                      <w:color w:val="0C0C0C"/>
                      <w:szCs w:val="21"/>
                      <w:highlight w:val="none"/>
                    </w:rPr>
                    <w:t>2～4</w:t>
                  </w:r>
                </w:p>
              </w:tc>
              <w:tc>
                <w:tcPr>
                  <w:tcW w:w="879" w:type="dxa"/>
                  <w:noWrap w:val="0"/>
                  <w:vAlign w:val="center"/>
                </w:tcPr>
                <w:p>
                  <w:pPr>
                    <w:adjustRightInd w:val="0"/>
                    <w:snapToGrid w:val="0"/>
                    <w:jc w:val="center"/>
                    <w:rPr>
                      <w:rFonts w:hint="eastAsia"/>
                      <w:color w:val="0C0C0C"/>
                      <w:szCs w:val="21"/>
                      <w:highlight w:val="none"/>
                    </w:rPr>
                  </w:pPr>
                  <w:r>
                    <w:rPr>
                      <w:color w:val="0C0C0C"/>
                      <w:szCs w:val="21"/>
                      <w:highlight w:val="none"/>
                    </w:rPr>
                    <w:t>700</w:t>
                  </w:r>
                </w:p>
              </w:tc>
              <w:tc>
                <w:tcPr>
                  <w:tcW w:w="738" w:type="dxa"/>
                  <w:noWrap w:val="0"/>
                  <w:vAlign w:val="center"/>
                </w:tcPr>
                <w:p>
                  <w:pPr>
                    <w:adjustRightInd w:val="0"/>
                    <w:snapToGrid w:val="0"/>
                    <w:jc w:val="center"/>
                    <w:rPr>
                      <w:rFonts w:hint="eastAsia"/>
                      <w:color w:val="0C0C0C"/>
                      <w:szCs w:val="21"/>
                      <w:highlight w:val="none"/>
                    </w:rPr>
                  </w:pPr>
                  <w:r>
                    <w:rPr>
                      <w:color w:val="0C0C0C"/>
                      <w:szCs w:val="21"/>
                      <w:highlight w:val="none"/>
                    </w:rPr>
                    <w:t>470</w:t>
                  </w:r>
                </w:p>
              </w:tc>
              <w:tc>
                <w:tcPr>
                  <w:tcW w:w="795" w:type="dxa"/>
                  <w:noWrap w:val="0"/>
                  <w:vAlign w:val="center"/>
                </w:tcPr>
                <w:p>
                  <w:pPr>
                    <w:adjustRightInd w:val="0"/>
                    <w:snapToGrid w:val="0"/>
                    <w:jc w:val="center"/>
                    <w:rPr>
                      <w:rFonts w:hint="eastAsia"/>
                      <w:color w:val="0C0C0C"/>
                      <w:szCs w:val="21"/>
                      <w:highlight w:val="none"/>
                    </w:rPr>
                  </w:pPr>
                  <w:r>
                    <w:rPr>
                      <w:color w:val="0C0C0C"/>
                      <w:szCs w:val="21"/>
                      <w:highlight w:val="none"/>
                    </w:rPr>
                    <w:t>350</w:t>
                  </w:r>
                </w:p>
              </w:tc>
              <w:tc>
                <w:tcPr>
                  <w:tcW w:w="670" w:type="dxa"/>
                  <w:noWrap w:val="0"/>
                  <w:vAlign w:val="center"/>
                </w:tcPr>
                <w:p>
                  <w:pPr>
                    <w:adjustRightInd w:val="0"/>
                    <w:snapToGrid w:val="0"/>
                    <w:jc w:val="center"/>
                    <w:rPr>
                      <w:rFonts w:hint="eastAsia"/>
                      <w:color w:val="0C0C0C"/>
                      <w:szCs w:val="21"/>
                      <w:highlight w:val="none"/>
                    </w:rPr>
                  </w:pPr>
                  <w:r>
                    <w:rPr>
                      <w:color w:val="0C0C0C"/>
                      <w:szCs w:val="21"/>
                      <w:highlight w:val="none"/>
                    </w:rPr>
                    <w:t>700</w:t>
                  </w:r>
                </w:p>
              </w:tc>
              <w:tc>
                <w:tcPr>
                  <w:tcW w:w="601" w:type="dxa"/>
                  <w:noWrap w:val="0"/>
                  <w:vAlign w:val="center"/>
                </w:tcPr>
                <w:p>
                  <w:pPr>
                    <w:adjustRightInd w:val="0"/>
                    <w:snapToGrid w:val="0"/>
                    <w:jc w:val="center"/>
                    <w:rPr>
                      <w:rFonts w:hint="eastAsia"/>
                      <w:color w:val="0C0C0C"/>
                      <w:szCs w:val="21"/>
                      <w:highlight w:val="none"/>
                    </w:rPr>
                  </w:pPr>
                  <w:r>
                    <w:rPr>
                      <w:color w:val="0C0C0C"/>
                      <w:szCs w:val="21"/>
                      <w:highlight w:val="none"/>
                    </w:rPr>
                    <w:t>470</w:t>
                  </w:r>
                </w:p>
              </w:tc>
              <w:tc>
                <w:tcPr>
                  <w:tcW w:w="683" w:type="dxa"/>
                  <w:noWrap w:val="0"/>
                  <w:vAlign w:val="center"/>
                </w:tcPr>
                <w:p>
                  <w:pPr>
                    <w:adjustRightInd w:val="0"/>
                    <w:snapToGrid w:val="0"/>
                    <w:jc w:val="center"/>
                    <w:rPr>
                      <w:rFonts w:hint="eastAsia"/>
                      <w:color w:val="0C0C0C"/>
                      <w:szCs w:val="21"/>
                      <w:highlight w:val="none"/>
                    </w:rPr>
                  </w:pPr>
                  <w:r>
                    <w:rPr>
                      <w:color w:val="0C0C0C"/>
                      <w:szCs w:val="21"/>
                      <w:highlight w:val="none"/>
                    </w:rPr>
                    <w:t>350</w:t>
                  </w:r>
                </w:p>
              </w:tc>
              <w:tc>
                <w:tcPr>
                  <w:tcW w:w="645" w:type="dxa"/>
                  <w:noWrap w:val="0"/>
                  <w:vAlign w:val="center"/>
                </w:tcPr>
                <w:p>
                  <w:pPr>
                    <w:adjustRightInd w:val="0"/>
                    <w:snapToGrid w:val="0"/>
                    <w:jc w:val="center"/>
                    <w:rPr>
                      <w:rFonts w:hint="eastAsia"/>
                      <w:color w:val="0C0C0C"/>
                      <w:szCs w:val="21"/>
                      <w:highlight w:val="none"/>
                    </w:rPr>
                  </w:pPr>
                  <w:r>
                    <w:rPr>
                      <w:color w:val="0C0C0C"/>
                      <w:szCs w:val="21"/>
                      <w:highlight w:val="none"/>
                    </w:rPr>
                    <w:t>380</w:t>
                  </w:r>
                </w:p>
              </w:tc>
              <w:tc>
                <w:tcPr>
                  <w:tcW w:w="554" w:type="dxa"/>
                  <w:noWrap w:val="0"/>
                  <w:vAlign w:val="center"/>
                </w:tcPr>
                <w:p>
                  <w:pPr>
                    <w:adjustRightInd w:val="0"/>
                    <w:snapToGrid w:val="0"/>
                    <w:jc w:val="center"/>
                    <w:rPr>
                      <w:rFonts w:hint="eastAsia"/>
                      <w:color w:val="0C0C0C"/>
                      <w:szCs w:val="21"/>
                      <w:highlight w:val="none"/>
                    </w:rPr>
                  </w:pPr>
                  <w:r>
                    <w:rPr>
                      <w:color w:val="0C0C0C"/>
                      <w:szCs w:val="21"/>
                      <w:highlight w:val="none"/>
                    </w:rPr>
                    <w:t>250</w:t>
                  </w:r>
                </w:p>
              </w:tc>
              <w:tc>
                <w:tcPr>
                  <w:tcW w:w="575" w:type="dxa"/>
                  <w:noWrap w:val="0"/>
                  <w:vAlign w:val="center"/>
                </w:tcPr>
                <w:p>
                  <w:pPr>
                    <w:adjustRightInd w:val="0"/>
                    <w:snapToGrid w:val="0"/>
                    <w:jc w:val="center"/>
                    <w:rPr>
                      <w:rFonts w:hint="eastAsia"/>
                      <w:color w:val="0C0C0C"/>
                      <w:szCs w:val="21"/>
                      <w:highlight w:val="none"/>
                    </w:rPr>
                  </w:pPr>
                  <w:r>
                    <w:rPr>
                      <w:color w:val="0C0C0C"/>
                      <w:szCs w:val="21"/>
                      <w:highlight w:val="none"/>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2" w:type="dxa"/>
                  <w:vMerge w:val="continue"/>
                  <w:noWrap w:val="0"/>
                  <w:vAlign w:val="center"/>
                </w:tcPr>
                <w:p>
                  <w:pPr>
                    <w:adjustRightInd w:val="0"/>
                    <w:snapToGrid w:val="0"/>
                    <w:jc w:val="center"/>
                    <w:rPr>
                      <w:rFonts w:hint="eastAsia"/>
                      <w:b/>
                      <w:bCs/>
                      <w:color w:val="0C0C0C"/>
                      <w:szCs w:val="21"/>
                      <w:highlight w:val="none"/>
                    </w:rPr>
                  </w:pPr>
                </w:p>
              </w:tc>
              <w:tc>
                <w:tcPr>
                  <w:tcW w:w="1436" w:type="dxa"/>
                  <w:noWrap w:val="0"/>
                  <w:vAlign w:val="center"/>
                </w:tcPr>
                <w:p>
                  <w:pPr>
                    <w:adjustRightInd w:val="0"/>
                    <w:snapToGrid w:val="0"/>
                    <w:jc w:val="center"/>
                    <w:rPr>
                      <w:rFonts w:hint="eastAsia"/>
                      <w:b/>
                      <w:bCs/>
                      <w:color w:val="0C0C0C"/>
                      <w:szCs w:val="21"/>
                      <w:highlight w:val="none"/>
                    </w:rPr>
                  </w:pPr>
                  <w:r>
                    <w:rPr>
                      <w:color w:val="0C0C0C"/>
                      <w:szCs w:val="21"/>
                      <w:highlight w:val="none"/>
                    </w:rPr>
                    <w:t>&gt;4</w:t>
                  </w:r>
                </w:p>
              </w:tc>
              <w:tc>
                <w:tcPr>
                  <w:tcW w:w="879" w:type="dxa"/>
                  <w:noWrap w:val="0"/>
                  <w:vAlign w:val="center"/>
                </w:tcPr>
                <w:p>
                  <w:pPr>
                    <w:adjustRightInd w:val="0"/>
                    <w:snapToGrid w:val="0"/>
                    <w:jc w:val="center"/>
                    <w:rPr>
                      <w:rFonts w:hint="eastAsia"/>
                      <w:color w:val="0C0C0C"/>
                      <w:szCs w:val="21"/>
                      <w:highlight w:val="none"/>
                    </w:rPr>
                  </w:pPr>
                  <w:r>
                    <w:rPr>
                      <w:color w:val="0C0C0C"/>
                      <w:szCs w:val="21"/>
                      <w:highlight w:val="none"/>
                    </w:rPr>
                    <w:t>530</w:t>
                  </w:r>
                </w:p>
              </w:tc>
              <w:tc>
                <w:tcPr>
                  <w:tcW w:w="738" w:type="dxa"/>
                  <w:noWrap w:val="0"/>
                  <w:vAlign w:val="center"/>
                </w:tcPr>
                <w:p>
                  <w:pPr>
                    <w:adjustRightInd w:val="0"/>
                    <w:snapToGrid w:val="0"/>
                    <w:jc w:val="center"/>
                    <w:rPr>
                      <w:rFonts w:hint="eastAsia"/>
                      <w:color w:val="0C0C0C"/>
                      <w:szCs w:val="21"/>
                      <w:highlight w:val="none"/>
                    </w:rPr>
                  </w:pPr>
                  <w:r>
                    <w:rPr>
                      <w:color w:val="0C0C0C"/>
                      <w:szCs w:val="21"/>
                      <w:highlight w:val="none"/>
                    </w:rPr>
                    <w:t>350</w:t>
                  </w:r>
                </w:p>
              </w:tc>
              <w:tc>
                <w:tcPr>
                  <w:tcW w:w="795" w:type="dxa"/>
                  <w:noWrap w:val="0"/>
                  <w:vAlign w:val="center"/>
                </w:tcPr>
                <w:p>
                  <w:pPr>
                    <w:adjustRightInd w:val="0"/>
                    <w:snapToGrid w:val="0"/>
                    <w:jc w:val="center"/>
                    <w:rPr>
                      <w:rFonts w:hint="eastAsia"/>
                      <w:color w:val="0C0C0C"/>
                      <w:szCs w:val="21"/>
                      <w:highlight w:val="none"/>
                    </w:rPr>
                  </w:pPr>
                  <w:r>
                    <w:rPr>
                      <w:color w:val="0C0C0C"/>
                      <w:szCs w:val="21"/>
                      <w:highlight w:val="none"/>
                    </w:rPr>
                    <w:t>260</w:t>
                  </w:r>
                </w:p>
              </w:tc>
              <w:tc>
                <w:tcPr>
                  <w:tcW w:w="670" w:type="dxa"/>
                  <w:noWrap w:val="0"/>
                  <w:vAlign w:val="center"/>
                </w:tcPr>
                <w:p>
                  <w:pPr>
                    <w:adjustRightInd w:val="0"/>
                    <w:snapToGrid w:val="0"/>
                    <w:jc w:val="center"/>
                    <w:rPr>
                      <w:rFonts w:hint="eastAsia"/>
                      <w:color w:val="0C0C0C"/>
                      <w:szCs w:val="21"/>
                      <w:highlight w:val="none"/>
                    </w:rPr>
                  </w:pPr>
                  <w:r>
                    <w:rPr>
                      <w:color w:val="0C0C0C"/>
                      <w:szCs w:val="21"/>
                      <w:highlight w:val="none"/>
                    </w:rPr>
                    <w:t>530</w:t>
                  </w:r>
                </w:p>
              </w:tc>
              <w:tc>
                <w:tcPr>
                  <w:tcW w:w="601" w:type="dxa"/>
                  <w:noWrap w:val="0"/>
                  <w:vAlign w:val="center"/>
                </w:tcPr>
                <w:p>
                  <w:pPr>
                    <w:adjustRightInd w:val="0"/>
                    <w:snapToGrid w:val="0"/>
                    <w:jc w:val="center"/>
                    <w:rPr>
                      <w:rFonts w:hint="eastAsia"/>
                      <w:color w:val="0C0C0C"/>
                      <w:szCs w:val="21"/>
                      <w:highlight w:val="none"/>
                    </w:rPr>
                  </w:pPr>
                  <w:r>
                    <w:rPr>
                      <w:color w:val="0C0C0C"/>
                      <w:szCs w:val="21"/>
                      <w:highlight w:val="none"/>
                    </w:rPr>
                    <w:t>350</w:t>
                  </w:r>
                </w:p>
              </w:tc>
              <w:tc>
                <w:tcPr>
                  <w:tcW w:w="683" w:type="dxa"/>
                  <w:noWrap w:val="0"/>
                  <w:vAlign w:val="center"/>
                </w:tcPr>
                <w:p>
                  <w:pPr>
                    <w:adjustRightInd w:val="0"/>
                    <w:snapToGrid w:val="0"/>
                    <w:jc w:val="center"/>
                    <w:rPr>
                      <w:rFonts w:hint="eastAsia"/>
                      <w:color w:val="0C0C0C"/>
                      <w:szCs w:val="21"/>
                      <w:highlight w:val="none"/>
                    </w:rPr>
                  </w:pPr>
                  <w:r>
                    <w:rPr>
                      <w:color w:val="0C0C0C"/>
                      <w:szCs w:val="21"/>
                      <w:highlight w:val="none"/>
                    </w:rPr>
                    <w:t>260</w:t>
                  </w:r>
                </w:p>
              </w:tc>
              <w:tc>
                <w:tcPr>
                  <w:tcW w:w="645" w:type="dxa"/>
                  <w:noWrap w:val="0"/>
                  <w:vAlign w:val="center"/>
                </w:tcPr>
                <w:p>
                  <w:pPr>
                    <w:adjustRightInd w:val="0"/>
                    <w:snapToGrid w:val="0"/>
                    <w:jc w:val="center"/>
                    <w:rPr>
                      <w:rFonts w:hint="eastAsia"/>
                      <w:color w:val="0C0C0C"/>
                      <w:szCs w:val="21"/>
                      <w:highlight w:val="none"/>
                    </w:rPr>
                  </w:pPr>
                  <w:r>
                    <w:rPr>
                      <w:color w:val="0C0C0C"/>
                      <w:szCs w:val="21"/>
                      <w:highlight w:val="none"/>
                    </w:rPr>
                    <w:t>290</w:t>
                  </w:r>
                </w:p>
              </w:tc>
              <w:tc>
                <w:tcPr>
                  <w:tcW w:w="554" w:type="dxa"/>
                  <w:noWrap w:val="0"/>
                  <w:vAlign w:val="center"/>
                </w:tcPr>
                <w:p>
                  <w:pPr>
                    <w:adjustRightInd w:val="0"/>
                    <w:snapToGrid w:val="0"/>
                    <w:jc w:val="center"/>
                    <w:rPr>
                      <w:rFonts w:hint="eastAsia"/>
                      <w:color w:val="0C0C0C"/>
                      <w:szCs w:val="21"/>
                      <w:highlight w:val="none"/>
                    </w:rPr>
                  </w:pPr>
                  <w:r>
                    <w:rPr>
                      <w:color w:val="0C0C0C"/>
                      <w:szCs w:val="21"/>
                      <w:highlight w:val="none"/>
                    </w:rPr>
                    <w:t>190</w:t>
                  </w:r>
                </w:p>
              </w:tc>
              <w:tc>
                <w:tcPr>
                  <w:tcW w:w="575" w:type="dxa"/>
                  <w:noWrap w:val="0"/>
                  <w:vAlign w:val="center"/>
                </w:tcPr>
                <w:p>
                  <w:pPr>
                    <w:adjustRightInd w:val="0"/>
                    <w:snapToGrid w:val="0"/>
                    <w:jc w:val="center"/>
                    <w:rPr>
                      <w:rFonts w:hint="eastAsia"/>
                      <w:color w:val="0C0C0C"/>
                      <w:szCs w:val="21"/>
                      <w:highlight w:val="none"/>
                    </w:rPr>
                  </w:pPr>
                  <w:r>
                    <w:rPr>
                      <w:color w:val="0C0C0C"/>
                      <w:szCs w:val="21"/>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2" w:type="dxa"/>
                  <w:vMerge w:val="restart"/>
                  <w:noWrap w:val="0"/>
                  <w:vAlign w:val="center"/>
                </w:tcPr>
                <w:p>
                  <w:pPr>
                    <w:adjustRightInd w:val="0"/>
                    <w:snapToGrid w:val="0"/>
                    <w:jc w:val="center"/>
                    <w:rPr>
                      <w:rFonts w:hint="eastAsia"/>
                      <w:b/>
                      <w:bCs/>
                      <w:color w:val="0C0C0C"/>
                      <w:szCs w:val="21"/>
                      <w:highlight w:val="none"/>
                    </w:rPr>
                  </w:pPr>
                  <w:r>
                    <w:rPr>
                      <w:color w:val="0C0C0C"/>
                      <w:szCs w:val="21"/>
                      <w:highlight w:val="none"/>
                    </w:rPr>
                    <w:t>B</w:t>
                  </w:r>
                </w:p>
              </w:tc>
              <w:tc>
                <w:tcPr>
                  <w:tcW w:w="1436" w:type="dxa"/>
                  <w:noWrap w:val="0"/>
                  <w:vAlign w:val="center"/>
                </w:tcPr>
                <w:p>
                  <w:pPr>
                    <w:adjustRightInd w:val="0"/>
                    <w:snapToGrid w:val="0"/>
                    <w:jc w:val="center"/>
                    <w:rPr>
                      <w:rFonts w:hint="eastAsia"/>
                      <w:b/>
                      <w:bCs/>
                      <w:color w:val="0C0C0C"/>
                      <w:szCs w:val="21"/>
                      <w:highlight w:val="none"/>
                    </w:rPr>
                  </w:pPr>
                  <w:r>
                    <w:rPr>
                      <w:color w:val="0C0C0C"/>
                      <w:szCs w:val="21"/>
                      <w:highlight w:val="none"/>
                    </w:rPr>
                    <w:t>&lt;2</w:t>
                  </w:r>
                </w:p>
              </w:tc>
              <w:tc>
                <w:tcPr>
                  <w:tcW w:w="2412"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0.01</w:t>
                  </w:r>
                </w:p>
              </w:tc>
              <w:tc>
                <w:tcPr>
                  <w:tcW w:w="195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0.015</w:t>
                  </w:r>
                </w:p>
              </w:tc>
              <w:tc>
                <w:tcPr>
                  <w:tcW w:w="177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2" w:type="dxa"/>
                  <w:vMerge w:val="continue"/>
                  <w:noWrap w:val="0"/>
                  <w:vAlign w:val="center"/>
                </w:tcPr>
                <w:p>
                  <w:pPr>
                    <w:adjustRightInd w:val="0"/>
                    <w:snapToGrid w:val="0"/>
                    <w:jc w:val="center"/>
                    <w:rPr>
                      <w:rFonts w:hint="eastAsia"/>
                      <w:b/>
                      <w:bCs/>
                      <w:color w:val="0C0C0C"/>
                      <w:szCs w:val="21"/>
                      <w:highlight w:val="none"/>
                    </w:rPr>
                  </w:pPr>
                </w:p>
              </w:tc>
              <w:tc>
                <w:tcPr>
                  <w:tcW w:w="1436" w:type="dxa"/>
                  <w:noWrap w:val="0"/>
                  <w:vAlign w:val="center"/>
                </w:tcPr>
                <w:p>
                  <w:pPr>
                    <w:adjustRightInd w:val="0"/>
                    <w:snapToGrid w:val="0"/>
                    <w:jc w:val="center"/>
                    <w:rPr>
                      <w:rFonts w:hint="eastAsia"/>
                      <w:b/>
                      <w:bCs/>
                      <w:color w:val="0C0C0C"/>
                      <w:szCs w:val="21"/>
                      <w:highlight w:val="none"/>
                    </w:rPr>
                  </w:pPr>
                  <w:r>
                    <w:rPr>
                      <w:color w:val="0C0C0C"/>
                      <w:szCs w:val="21"/>
                      <w:highlight w:val="none"/>
                    </w:rPr>
                    <w:t>&gt;2</w:t>
                  </w:r>
                </w:p>
              </w:tc>
              <w:tc>
                <w:tcPr>
                  <w:tcW w:w="2412"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0.021</w:t>
                  </w:r>
                </w:p>
              </w:tc>
              <w:tc>
                <w:tcPr>
                  <w:tcW w:w="195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0.036</w:t>
                  </w:r>
                </w:p>
              </w:tc>
              <w:tc>
                <w:tcPr>
                  <w:tcW w:w="177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2" w:type="dxa"/>
                  <w:vMerge w:val="restart"/>
                  <w:noWrap w:val="0"/>
                  <w:vAlign w:val="center"/>
                </w:tcPr>
                <w:p>
                  <w:pPr>
                    <w:adjustRightInd w:val="0"/>
                    <w:snapToGrid w:val="0"/>
                    <w:jc w:val="center"/>
                    <w:rPr>
                      <w:rFonts w:hint="eastAsia"/>
                      <w:b/>
                      <w:bCs/>
                      <w:color w:val="0C0C0C"/>
                      <w:szCs w:val="21"/>
                      <w:highlight w:val="none"/>
                    </w:rPr>
                  </w:pPr>
                  <w:r>
                    <w:rPr>
                      <w:color w:val="0C0C0C"/>
                      <w:szCs w:val="21"/>
                      <w:highlight w:val="none"/>
                    </w:rPr>
                    <w:t>C</w:t>
                  </w:r>
                </w:p>
              </w:tc>
              <w:tc>
                <w:tcPr>
                  <w:tcW w:w="1436" w:type="dxa"/>
                  <w:noWrap w:val="0"/>
                  <w:vAlign w:val="center"/>
                </w:tcPr>
                <w:p>
                  <w:pPr>
                    <w:adjustRightInd w:val="0"/>
                    <w:snapToGrid w:val="0"/>
                    <w:jc w:val="center"/>
                    <w:rPr>
                      <w:rFonts w:hint="eastAsia"/>
                      <w:b/>
                      <w:bCs/>
                      <w:color w:val="0C0C0C"/>
                      <w:szCs w:val="21"/>
                      <w:highlight w:val="none"/>
                    </w:rPr>
                  </w:pPr>
                  <w:r>
                    <w:rPr>
                      <w:color w:val="0C0C0C"/>
                      <w:szCs w:val="21"/>
                      <w:highlight w:val="none"/>
                    </w:rPr>
                    <w:t>&gt;2</w:t>
                  </w:r>
                </w:p>
              </w:tc>
              <w:tc>
                <w:tcPr>
                  <w:tcW w:w="2412"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1.85</w:t>
                  </w:r>
                </w:p>
              </w:tc>
              <w:tc>
                <w:tcPr>
                  <w:tcW w:w="195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1.79</w:t>
                  </w:r>
                </w:p>
              </w:tc>
              <w:tc>
                <w:tcPr>
                  <w:tcW w:w="177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2" w:type="dxa"/>
                  <w:vMerge w:val="continue"/>
                  <w:noWrap w:val="0"/>
                  <w:vAlign w:val="center"/>
                </w:tcPr>
                <w:p>
                  <w:pPr>
                    <w:adjustRightInd w:val="0"/>
                    <w:snapToGrid w:val="0"/>
                    <w:jc w:val="center"/>
                    <w:rPr>
                      <w:rFonts w:hint="eastAsia"/>
                      <w:b/>
                      <w:bCs/>
                      <w:color w:val="0C0C0C"/>
                      <w:szCs w:val="21"/>
                      <w:highlight w:val="none"/>
                    </w:rPr>
                  </w:pPr>
                </w:p>
              </w:tc>
              <w:tc>
                <w:tcPr>
                  <w:tcW w:w="1436" w:type="dxa"/>
                  <w:noWrap w:val="0"/>
                  <w:vAlign w:val="center"/>
                </w:tcPr>
                <w:p>
                  <w:pPr>
                    <w:adjustRightInd w:val="0"/>
                    <w:snapToGrid w:val="0"/>
                    <w:jc w:val="center"/>
                    <w:rPr>
                      <w:rFonts w:hint="eastAsia"/>
                      <w:b/>
                      <w:bCs/>
                      <w:color w:val="0C0C0C"/>
                      <w:szCs w:val="21"/>
                      <w:highlight w:val="none"/>
                    </w:rPr>
                  </w:pPr>
                  <w:r>
                    <w:rPr>
                      <w:color w:val="0C0C0C"/>
                      <w:szCs w:val="21"/>
                      <w:highlight w:val="none"/>
                    </w:rPr>
                    <w:t>&lt;2</w:t>
                  </w:r>
                </w:p>
              </w:tc>
              <w:tc>
                <w:tcPr>
                  <w:tcW w:w="2412"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1.85</w:t>
                  </w:r>
                </w:p>
              </w:tc>
              <w:tc>
                <w:tcPr>
                  <w:tcW w:w="195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1.77</w:t>
                  </w:r>
                </w:p>
              </w:tc>
              <w:tc>
                <w:tcPr>
                  <w:tcW w:w="177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162" w:type="dxa"/>
                  <w:vMerge w:val="restart"/>
                  <w:noWrap w:val="0"/>
                  <w:vAlign w:val="center"/>
                </w:tcPr>
                <w:p>
                  <w:pPr>
                    <w:adjustRightInd w:val="0"/>
                    <w:snapToGrid w:val="0"/>
                    <w:jc w:val="center"/>
                    <w:rPr>
                      <w:rFonts w:hint="eastAsia"/>
                      <w:b/>
                      <w:bCs/>
                      <w:color w:val="0C0C0C"/>
                      <w:szCs w:val="21"/>
                      <w:highlight w:val="none"/>
                    </w:rPr>
                  </w:pPr>
                  <w:r>
                    <w:rPr>
                      <w:color w:val="0C0C0C"/>
                      <w:szCs w:val="21"/>
                      <w:highlight w:val="none"/>
                    </w:rPr>
                    <w:t>D</w:t>
                  </w:r>
                </w:p>
              </w:tc>
              <w:tc>
                <w:tcPr>
                  <w:tcW w:w="1436" w:type="dxa"/>
                  <w:noWrap w:val="0"/>
                  <w:vAlign w:val="center"/>
                </w:tcPr>
                <w:p>
                  <w:pPr>
                    <w:adjustRightInd w:val="0"/>
                    <w:snapToGrid w:val="0"/>
                    <w:jc w:val="center"/>
                    <w:rPr>
                      <w:rFonts w:hint="eastAsia"/>
                      <w:b/>
                      <w:bCs/>
                      <w:color w:val="0C0C0C"/>
                      <w:szCs w:val="21"/>
                      <w:highlight w:val="none"/>
                    </w:rPr>
                  </w:pPr>
                  <w:r>
                    <w:rPr>
                      <w:color w:val="0C0C0C"/>
                      <w:szCs w:val="21"/>
                      <w:highlight w:val="none"/>
                    </w:rPr>
                    <w:t>&lt;2</w:t>
                  </w:r>
                </w:p>
              </w:tc>
              <w:tc>
                <w:tcPr>
                  <w:tcW w:w="2412"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0.78</w:t>
                  </w:r>
                </w:p>
              </w:tc>
              <w:tc>
                <w:tcPr>
                  <w:tcW w:w="195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0.78</w:t>
                  </w:r>
                </w:p>
              </w:tc>
              <w:tc>
                <w:tcPr>
                  <w:tcW w:w="177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62" w:type="dxa"/>
                  <w:vMerge w:val="continue"/>
                  <w:noWrap w:val="0"/>
                  <w:vAlign w:val="top"/>
                </w:tcPr>
                <w:p>
                  <w:pPr>
                    <w:adjustRightInd w:val="0"/>
                    <w:snapToGrid w:val="0"/>
                    <w:rPr>
                      <w:rFonts w:hint="eastAsia"/>
                      <w:b/>
                      <w:bCs/>
                      <w:color w:val="0C0C0C"/>
                      <w:szCs w:val="21"/>
                      <w:highlight w:val="none"/>
                    </w:rPr>
                  </w:pPr>
                </w:p>
              </w:tc>
              <w:tc>
                <w:tcPr>
                  <w:tcW w:w="1436" w:type="dxa"/>
                  <w:noWrap w:val="0"/>
                  <w:vAlign w:val="center"/>
                </w:tcPr>
                <w:p>
                  <w:pPr>
                    <w:adjustRightInd w:val="0"/>
                    <w:snapToGrid w:val="0"/>
                    <w:jc w:val="center"/>
                    <w:rPr>
                      <w:rFonts w:hint="eastAsia"/>
                      <w:b/>
                      <w:bCs/>
                      <w:color w:val="0C0C0C"/>
                      <w:szCs w:val="21"/>
                      <w:highlight w:val="none"/>
                    </w:rPr>
                  </w:pPr>
                  <w:r>
                    <w:rPr>
                      <w:color w:val="0C0C0C"/>
                      <w:szCs w:val="21"/>
                      <w:highlight w:val="none"/>
                    </w:rPr>
                    <w:t>&gt;2</w:t>
                  </w:r>
                </w:p>
              </w:tc>
              <w:tc>
                <w:tcPr>
                  <w:tcW w:w="2412"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0.84</w:t>
                  </w:r>
                </w:p>
              </w:tc>
              <w:tc>
                <w:tcPr>
                  <w:tcW w:w="195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0.84</w:t>
                  </w:r>
                </w:p>
              </w:tc>
              <w:tc>
                <w:tcPr>
                  <w:tcW w:w="1774" w:type="dxa"/>
                  <w:gridSpan w:val="3"/>
                  <w:noWrap w:val="0"/>
                  <w:vAlign w:val="center"/>
                </w:tcPr>
                <w:p>
                  <w:pPr>
                    <w:adjustRightInd w:val="0"/>
                    <w:snapToGrid w:val="0"/>
                    <w:jc w:val="center"/>
                    <w:rPr>
                      <w:rFonts w:hint="eastAsia"/>
                      <w:b/>
                      <w:bCs/>
                      <w:color w:val="0C0C0C"/>
                      <w:szCs w:val="21"/>
                      <w:highlight w:val="none"/>
                    </w:rPr>
                  </w:pPr>
                  <w:r>
                    <w:rPr>
                      <w:color w:val="0C0C0C"/>
                      <w:szCs w:val="21"/>
                      <w:highlight w:val="none"/>
                    </w:rPr>
                    <w:t>0.76</w:t>
                  </w:r>
                </w:p>
              </w:tc>
            </w:tr>
          </w:tbl>
          <w:p>
            <w:pPr>
              <w:adjustRightInd w:val="0"/>
              <w:snapToGrid w:val="0"/>
              <w:spacing w:line="348" w:lineRule="auto"/>
              <w:ind w:firstLine="480" w:firstLineChars="200"/>
              <w:rPr>
                <w:color w:val="0C0C0C"/>
                <w:sz w:val="24"/>
                <w:highlight w:val="none"/>
              </w:rPr>
            </w:pPr>
            <w:r>
              <w:rPr>
                <w:color w:val="0C0C0C"/>
                <w:sz w:val="24"/>
                <w:highlight w:val="none"/>
              </w:rPr>
              <w:t>注：</w:t>
            </w:r>
          </w:p>
          <w:p>
            <w:pPr>
              <w:adjustRightInd w:val="0"/>
              <w:snapToGrid w:val="0"/>
              <w:spacing w:line="348" w:lineRule="auto"/>
              <w:ind w:firstLine="424" w:firstLineChars="177"/>
              <w:rPr>
                <w:color w:val="0C0C0C"/>
                <w:sz w:val="24"/>
                <w:highlight w:val="none"/>
              </w:rPr>
            </w:pPr>
            <w:r>
              <w:rPr>
                <w:color w:val="0C0C0C"/>
                <w:sz w:val="24"/>
                <w:highlight w:val="none"/>
              </w:rPr>
              <w:t>Ⅰ类：</w:t>
            </w:r>
            <w:r>
              <w:rPr>
                <w:rFonts w:hint="eastAsia"/>
                <w:color w:val="0C0C0C"/>
                <w:sz w:val="24"/>
                <w:highlight w:val="none"/>
              </w:rPr>
              <w:t>与无组织排放源共存的排放同种有害气体的排气筒的排放量，大于或等于标准规定的允许排放量的1/3者。</w:t>
            </w:r>
          </w:p>
          <w:p>
            <w:pPr>
              <w:adjustRightInd w:val="0"/>
              <w:snapToGrid w:val="0"/>
              <w:spacing w:line="348" w:lineRule="auto"/>
              <w:ind w:firstLine="424" w:firstLineChars="177"/>
              <w:rPr>
                <w:color w:val="0C0C0C"/>
                <w:sz w:val="24"/>
                <w:highlight w:val="none"/>
              </w:rPr>
            </w:pPr>
            <w:r>
              <w:rPr>
                <w:color w:val="0C0C0C"/>
                <w:sz w:val="24"/>
                <w:highlight w:val="none"/>
              </w:rPr>
              <w:t>Ⅱ类：</w:t>
            </w:r>
            <w:r>
              <w:rPr>
                <w:rFonts w:hint="eastAsia"/>
                <w:color w:val="0C0C0C"/>
                <w:sz w:val="24"/>
                <w:highlight w:val="none"/>
              </w:rPr>
              <w:t>与无组织排放源共存的排放同种有害气体的排气筒的排放量，小于标准规定的允许排放量的1/3，或虽无排放同种大气污染物之排气筒共存，但无组织排放的有害物质的容许浓度指标是按急性反应指标确定者</w:t>
            </w:r>
            <w:r>
              <w:rPr>
                <w:color w:val="0C0C0C"/>
                <w:sz w:val="24"/>
                <w:highlight w:val="none"/>
              </w:rPr>
              <w:t>。</w:t>
            </w:r>
          </w:p>
          <w:p>
            <w:pPr>
              <w:adjustRightInd w:val="0"/>
              <w:snapToGrid w:val="0"/>
              <w:spacing w:line="348" w:lineRule="auto"/>
              <w:ind w:firstLine="424" w:firstLineChars="177"/>
              <w:rPr>
                <w:color w:val="0C0C0C"/>
                <w:sz w:val="24"/>
                <w:highlight w:val="none"/>
              </w:rPr>
            </w:pPr>
            <w:r>
              <w:rPr>
                <w:color w:val="0C0C0C"/>
                <w:sz w:val="24"/>
                <w:highlight w:val="none"/>
              </w:rPr>
              <w:t>Ⅲ类：</w:t>
            </w:r>
            <w:r>
              <w:rPr>
                <w:rFonts w:hint="eastAsia"/>
                <w:color w:val="0C0C0C"/>
                <w:sz w:val="24"/>
                <w:highlight w:val="none"/>
              </w:rPr>
              <w:t>无排放同种有害物质的排气筒与无组织排放源共存，但无组织排放的有害物质的容许浓度是按慢性反应指标确定者</w:t>
            </w:r>
            <w:r>
              <w:rPr>
                <w:color w:val="0C0C0C"/>
                <w:sz w:val="24"/>
                <w:highlight w:val="none"/>
              </w:rPr>
              <w:t>。</w:t>
            </w:r>
          </w:p>
          <w:p>
            <w:pPr>
              <w:adjustRightInd w:val="0"/>
              <w:snapToGrid w:val="0"/>
              <w:spacing w:line="348" w:lineRule="auto"/>
              <w:ind w:firstLine="424" w:firstLineChars="177"/>
              <w:rPr>
                <w:rFonts w:hint="eastAsia"/>
                <w:color w:val="0C0C0C"/>
                <w:sz w:val="24"/>
                <w:highlight w:val="none"/>
              </w:rPr>
            </w:pPr>
            <w:r>
              <w:rPr>
                <w:rFonts w:hint="eastAsia"/>
                <w:color w:val="0C0C0C"/>
                <w:sz w:val="24"/>
                <w:highlight w:val="none"/>
              </w:rPr>
              <w:t>等效半径根据下式计算。</w:t>
            </w:r>
          </w:p>
          <w:p>
            <w:pPr>
              <w:adjustRightInd w:val="0"/>
              <w:snapToGrid w:val="0"/>
              <w:spacing w:line="348" w:lineRule="auto"/>
              <w:ind w:firstLine="424" w:firstLineChars="177"/>
              <w:jc w:val="center"/>
              <w:rPr>
                <w:color w:val="0C0C0C"/>
                <w:sz w:val="24"/>
                <w:highlight w:val="none"/>
              </w:rPr>
            </w:pPr>
            <w:r>
              <w:rPr>
                <w:rFonts w:hint="eastAsia"/>
                <w:color w:val="0C0C0C"/>
                <w:sz w:val="24"/>
                <w:highlight w:val="none"/>
              </w:rPr>
              <w:drawing>
                <wp:inline distT="0" distB="0" distL="114300" distR="114300">
                  <wp:extent cx="1447800" cy="400050"/>
                  <wp:effectExtent l="0" t="0" r="0" b="0"/>
                  <wp:docPr id="15" name="图片 12" descr="1620443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1620443620(1)"/>
                          <pic:cNvPicPr>
                            <a:picLocks noChangeAspect="1"/>
                          </pic:cNvPicPr>
                        </pic:nvPicPr>
                        <pic:blipFill>
                          <a:blip r:embed="rId13"/>
                          <a:stretch>
                            <a:fillRect/>
                          </a:stretch>
                        </pic:blipFill>
                        <pic:spPr>
                          <a:xfrm>
                            <a:off x="0" y="0"/>
                            <a:ext cx="1447800" cy="400050"/>
                          </a:xfrm>
                          <a:prstGeom prst="rect">
                            <a:avLst/>
                          </a:prstGeom>
                          <a:noFill/>
                          <a:ln>
                            <a:noFill/>
                          </a:ln>
                        </pic:spPr>
                      </pic:pic>
                    </a:graphicData>
                  </a:graphic>
                </wp:inline>
              </w:drawing>
            </w:r>
          </w:p>
          <w:p>
            <w:pPr>
              <w:adjustRightInd w:val="0"/>
              <w:snapToGrid w:val="0"/>
              <w:spacing w:line="348" w:lineRule="auto"/>
              <w:ind w:firstLine="424" w:firstLineChars="177"/>
              <w:rPr>
                <w:rFonts w:hint="eastAsia"/>
                <w:color w:val="0C0C0C"/>
                <w:sz w:val="24"/>
                <w:highlight w:val="none"/>
              </w:rPr>
            </w:pPr>
            <w:r>
              <w:rPr>
                <w:rFonts w:hint="eastAsia"/>
                <w:color w:val="0C0C0C"/>
                <w:sz w:val="24"/>
                <w:highlight w:val="none"/>
                <w:lang w:eastAsia="zh-CN"/>
              </w:rPr>
              <w:t>本项目非甲烷总烃</w:t>
            </w:r>
            <w:r>
              <w:rPr>
                <w:rFonts w:hint="eastAsia"/>
                <w:color w:val="0C0C0C"/>
                <w:sz w:val="24"/>
                <w:highlight w:val="none"/>
              </w:rPr>
              <w:t>产生源为</w:t>
            </w:r>
            <w:r>
              <w:rPr>
                <w:rFonts w:hint="eastAsia"/>
                <w:color w:val="0C0C0C"/>
                <w:sz w:val="24"/>
                <w:highlight w:val="none"/>
                <w:lang w:eastAsia="zh-CN"/>
              </w:rPr>
              <w:t>注塑废气</w:t>
            </w:r>
            <w:r>
              <w:rPr>
                <w:rFonts w:hint="eastAsia"/>
                <w:color w:val="0C0C0C"/>
                <w:sz w:val="24"/>
                <w:highlight w:val="none"/>
              </w:rPr>
              <w:t>，无组织排放速率为</w:t>
            </w:r>
            <w:r>
              <w:rPr>
                <w:rFonts w:hint="eastAsia"/>
                <w:color w:val="0C0C0C"/>
                <w:spacing w:val="4"/>
                <w:sz w:val="24"/>
                <w:highlight w:val="none"/>
                <w:lang w:val="en-US" w:eastAsia="zh-CN"/>
              </w:rPr>
              <w:t>0.014</w:t>
            </w:r>
            <w:r>
              <w:rPr>
                <w:rFonts w:hint="eastAsia"/>
                <w:color w:val="0C0C0C"/>
                <w:sz w:val="24"/>
                <w:szCs w:val="25"/>
                <w:highlight w:val="none"/>
              </w:rPr>
              <w:t>kg/h，</w:t>
            </w:r>
            <w:r>
              <w:rPr>
                <w:rFonts w:hint="eastAsia"/>
                <w:color w:val="0C0C0C"/>
                <w:sz w:val="24"/>
                <w:highlight w:val="none"/>
              </w:rPr>
              <w:t>生产单元占地面积</w:t>
            </w:r>
            <w:r>
              <w:rPr>
                <w:rFonts w:hint="eastAsia"/>
                <w:color w:val="0C0C0C"/>
                <w:sz w:val="24"/>
                <w:highlight w:val="none"/>
                <w:lang w:val="en-US" w:eastAsia="zh-CN"/>
              </w:rPr>
              <w:t>约300</w:t>
            </w:r>
            <w:r>
              <w:rPr>
                <w:rFonts w:hint="eastAsia"/>
                <w:color w:val="0C0C0C"/>
                <w:sz w:val="24"/>
                <w:highlight w:val="none"/>
              </w:rPr>
              <w:t>m</w:t>
            </w:r>
            <w:r>
              <w:rPr>
                <w:rFonts w:hint="eastAsia"/>
                <w:color w:val="0C0C0C"/>
                <w:sz w:val="24"/>
                <w:highlight w:val="none"/>
                <w:vertAlign w:val="superscript"/>
              </w:rPr>
              <w:t>2</w:t>
            </w:r>
            <w:r>
              <w:rPr>
                <w:rFonts w:hint="eastAsia"/>
                <w:color w:val="0C0C0C"/>
                <w:sz w:val="24"/>
                <w:highlight w:val="none"/>
              </w:rPr>
              <w:t>，计算得出等效半径</w:t>
            </w:r>
            <w:r>
              <w:rPr>
                <w:rFonts w:hint="eastAsia"/>
                <w:color w:val="0C0C0C"/>
                <w:sz w:val="24"/>
                <w:highlight w:val="none"/>
                <w:lang w:val="en-US" w:eastAsia="zh-CN"/>
              </w:rPr>
              <w:t>9.77</w:t>
            </w:r>
            <w:r>
              <w:rPr>
                <w:rFonts w:hint="eastAsia"/>
                <w:color w:val="0C0C0C"/>
                <w:sz w:val="24"/>
                <w:highlight w:val="none"/>
              </w:rPr>
              <w:t>m。</w:t>
            </w:r>
          </w:p>
          <w:p>
            <w:pPr>
              <w:adjustRightInd w:val="0"/>
              <w:snapToGrid w:val="0"/>
              <w:spacing w:line="348" w:lineRule="auto"/>
              <w:ind w:firstLine="424" w:firstLineChars="177"/>
              <w:rPr>
                <w:color w:val="0C0C0C"/>
                <w:sz w:val="24"/>
                <w:highlight w:val="none"/>
              </w:rPr>
            </w:pPr>
            <w:r>
              <w:rPr>
                <w:rFonts w:hint="eastAsia"/>
                <w:color w:val="0C0C0C"/>
                <w:sz w:val="24"/>
                <w:highlight w:val="none"/>
                <w:lang w:eastAsia="zh-CN"/>
              </w:rPr>
              <w:t>本项目</w:t>
            </w:r>
            <w:r>
              <w:rPr>
                <w:color w:val="0C0C0C"/>
                <w:sz w:val="24"/>
                <w:highlight w:val="none"/>
              </w:rPr>
              <w:t>所在地区近</w:t>
            </w:r>
            <w:r>
              <w:rPr>
                <w:rFonts w:hint="eastAsia"/>
                <w:color w:val="0C0C0C"/>
                <w:sz w:val="24"/>
                <w:highlight w:val="none"/>
              </w:rPr>
              <w:t>5</w:t>
            </w:r>
            <w:r>
              <w:rPr>
                <w:color w:val="0C0C0C"/>
                <w:sz w:val="24"/>
                <w:highlight w:val="none"/>
              </w:rPr>
              <w:t>年平均风速为2.2m/s，且大气污染源属于Ⅱ类，项目卫生防护距离</w:t>
            </w:r>
            <w:r>
              <w:rPr>
                <w:rFonts w:hint="eastAsia"/>
                <w:color w:val="0C0C0C"/>
                <w:sz w:val="24"/>
                <w:highlight w:val="none"/>
              </w:rPr>
              <w:t>初值</w:t>
            </w:r>
            <w:r>
              <w:rPr>
                <w:color w:val="0C0C0C"/>
                <w:sz w:val="24"/>
                <w:highlight w:val="none"/>
              </w:rPr>
              <w:t>计算详见下表：</w:t>
            </w:r>
          </w:p>
          <w:tbl>
            <w:tblPr>
              <w:tblStyle w:val="24"/>
              <w:tblpPr w:leftFromText="180" w:rightFromText="180" w:vertAnchor="text" w:horzAnchor="page" w:tblpXSpec="center" w:tblpY="273"/>
              <w:tblOverlap w:val="never"/>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522"/>
              <w:gridCol w:w="775"/>
              <w:gridCol w:w="893"/>
              <w:gridCol w:w="893"/>
              <w:gridCol w:w="878"/>
              <w:gridCol w:w="2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78" w:type="dxa"/>
                  <w:noWrap w:val="0"/>
                  <w:vAlign w:val="center"/>
                </w:tcPr>
                <w:p>
                  <w:pPr>
                    <w:adjustRightInd w:val="0"/>
                    <w:snapToGrid w:val="0"/>
                    <w:jc w:val="center"/>
                    <w:rPr>
                      <w:rFonts w:hint="eastAsia"/>
                      <w:b/>
                      <w:bCs/>
                      <w:color w:val="0C0C0C"/>
                      <w:szCs w:val="21"/>
                      <w:highlight w:val="none"/>
                    </w:rPr>
                  </w:pPr>
                  <w:r>
                    <w:rPr>
                      <w:b/>
                      <w:bCs/>
                      <w:color w:val="0C0C0C"/>
                      <w:szCs w:val="21"/>
                      <w:highlight w:val="none"/>
                    </w:rPr>
                    <w:t>污染物</w:t>
                  </w:r>
                </w:p>
              </w:tc>
              <w:tc>
                <w:tcPr>
                  <w:tcW w:w="1522"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等效半径r</w:t>
                  </w:r>
                </w:p>
              </w:tc>
              <w:tc>
                <w:tcPr>
                  <w:tcW w:w="775" w:type="dxa"/>
                  <w:noWrap w:val="0"/>
                  <w:vAlign w:val="center"/>
                </w:tcPr>
                <w:p>
                  <w:pPr>
                    <w:adjustRightInd w:val="0"/>
                    <w:snapToGrid w:val="0"/>
                    <w:jc w:val="center"/>
                    <w:rPr>
                      <w:rFonts w:hint="eastAsia"/>
                      <w:b/>
                      <w:bCs/>
                      <w:color w:val="0C0C0C"/>
                      <w:szCs w:val="21"/>
                      <w:highlight w:val="none"/>
                    </w:rPr>
                  </w:pPr>
                  <w:r>
                    <w:rPr>
                      <w:b/>
                      <w:bCs/>
                      <w:color w:val="0C0C0C"/>
                      <w:szCs w:val="21"/>
                      <w:highlight w:val="none"/>
                    </w:rPr>
                    <w:t>A</w:t>
                  </w:r>
                </w:p>
              </w:tc>
              <w:tc>
                <w:tcPr>
                  <w:tcW w:w="893" w:type="dxa"/>
                  <w:noWrap w:val="0"/>
                  <w:vAlign w:val="center"/>
                </w:tcPr>
                <w:p>
                  <w:pPr>
                    <w:adjustRightInd w:val="0"/>
                    <w:snapToGrid w:val="0"/>
                    <w:jc w:val="center"/>
                    <w:rPr>
                      <w:rFonts w:hint="eastAsia"/>
                      <w:b/>
                      <w:bCs/>
                      <w:color w:val="0C0C0C"/>
                      <w:szCs w:val="21"/>
                      <w:highlight w:val="none"/>
                    </w:rPr>
                  </w:pPr>
                  <w:r>
                    <w:rPr>
                      <w:b/>
                      <w:bCs/>
                      <w:color w:val="0C0C0C"/>
                      <w:szCs w:val="21"/>
                      <w:highlight w:val="none"/>
                    </w:rPr>
                    <w:t>B</w:t>
                  </w:r>
                </w:p>
              </w:tc>
              <w:tc>
                <w:tcPr>
                  <w:tcW w:w="893" w:type="dxa"/>
                  <w:noWrap w:val="0"/>
                  <w:vAlign w:val="center"/>
                </w:tcPr>
                <w:p>
                  <w:pPr>
                    <w:adjustRightInd w:val="0"/>
                    <w:snapToGrid w:val="0"/>
                    <w:jc w:val="center"/>
                    <w:rPr>
                      <w:rFonts w:hint="eastAsia"/>
                      <w:b/>
                      <w:bCs/>
                      <w:color w:val="0C0C0C"/>
                      <w:szCs w:val="21"/>
                      <w:highlight w:val="none"/>
                    </w:rPr>
                  </w:pPr>
                  <w:r>
                    <w:rPr>
                      <w:b/>
                      <w:bCs/>
                      <w:color w:val="0C0C0C"/>
                      <w:szCs w:val="21"/>
                      <w:highlight w:val="none"/>
                    </w:rPr>
                    <w:t>C</w:t>
                  </w:r>
                </w:p>
              </w:tc>
              <w:tc>
                <w:tcPr>
                  <w:tcW w:w="878" w:type="dxa"/>
                  <w:noWrap w:val="0"/>
                  <w:vAlign w:val="center"/>
                </w:tcPr>
                <w:p>
                  <w:pPr>
                    <w:adjustRightInd w:val="0"/>
                    <w:snapToGrid w:val="0"/>
                    <w:jc w:val="center"/>
                    <w:rPr>
                      <w:rFonts w:hint="eastAsia"/>
                      <w:b/>
                      <w:bCs/>
                      <w:color w:val="0C0C0C"/>
                      <w:szCs w:val="21"/>
                      <w:highlight w:val="none"/>
                    </w:rPr>
                  </w:pPr>
                  <w:r>
                    <w:rPr>
                      <w:b/>
                      <w:bCs/>
                      <w:color w:val="0C0C0C"/>
                      <w:szCs w:val="21"/>
                      <w:highlight w:val="none"/>
                    </w:rPr>
                    <w:t>D</w:t>
                  </w:r>
                </w:p>
              </w:tc>
              <w:tc>
                <w:tcPr>
                  <w:tcW w:w="2617" w:type="dxa"/>
                  <w:noWrap w:val="0"/>
                  <w:vAlign w:val="center"/>
                </w:tcPr>
                <w:p>
                  <w:pPr>
                    <w:adjustRightInd w:val="0"/>
                    <w:snapToGrid w:val="0"/>
                    <w:jc w:val="center"/>
                    <w:rPr>
                      <w:b/>
                      <w:bCs/>
                      <w:color w:val="0C0C0C"/>
                      <w:szCs w:val="21"/>
                      <w:highlight w:val="none"/>
                    </w:rPr>
                  </w:pPr>
                  <w:r>
                    <w:rPr>
                      <w:rFonts w:hint="eastAsia"/>
                      <w:b/>
                      <w:bCs/>
                      <w:color w:val="0C0C0C"/>
                      <w:szCs w:val="21"/>
                      <w:highlight w:val="none"/>
                    </w:rPr>
                    <w:t>卫生防护距离初值计算值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278" w:type="dxa"/>
                  <w:noWrap w:val="0"/>
                  <w:vAlign w:val="center"/>
                </w:tcPr>
                <w:p>
                  <w:pPr>
                    <w:adjustRightInd w:val="0"/>
                    <w:snapToGrid w:val="0"/>
                    <w:jc w:val="center"/>
                    <w:rPr>
                      <w:rFonts w:hint="eastAsia" w:eastAsia="宋体"/>
                      <w:b/>
                      <w:bCs/>
                      <w:color w:val="0C0C0C"/>
                      <w:szCs w:val="21"/>
                      <w:highlight w:val="none"/>
                      <w:lang w:eastAsia="zh-CN"/>
                    </w:rPr>
                  </w:pPr>
                  <w:r>
                    <w:rPr>
                      <w:rFonts w:hint="eastAsia"/>
                      <w:b/>
                      <w:bCs/>
                      <w:color w:val="0C0C0C"/>
                      <w:szCs w:val="21"/>
                      <w:highlight w:val="none"/>
                      <w:lang w:eastAsia="zh-CN"/>
                    </w:rPr>
                    <w:t>非甲烷总烃</w:t>
                  </w:r>
                </w:p>
              </w:tc>
              <w:tc>
                <w:tcPr>
                  <w:tcW w:w="1522" w:type="dxa"/>
                  <w:noWrap w:val="0"/>
                  <w:vAlign w:val="center"/>
                </w:tcPr>
                <w:p>
                  <w:pPr>
                    <w:adjustRightInd w:val="0"/>
                    <w:snapToGrid w:val="0"/>
                    <w:jc w:val="center"/>
                    <w:rPr>
                      <w:rFonts w:hint="default" w:eastAsia="宋体"/>
                      <w:color w:val="0C0C0C"/>
                      <w:szCs w:val="21"/>
                      <w:highlight w:val="none"/>
                      <w:lang w:val="en-US" w:eastAsia="zh-CN"/>
                    </w:rPr>
                  </w:pPr>
                  <w:r>
                    <w:rPr>
                      <w:rFonts w:hint="eastAsia"/>
                      <w:color w:val="0C0C0C"/>
                      <w:szCs w:val="21"/>
                      <w:highlight w:val="none"/>
                      <w:lang w:val="en-US" w:eastAsia="zh-CN"/>
                    </w:rPr>
                    <w:t>9.77</w:t>
                  </w:r>
                </w:p>
              </w:tc>
              <w:tc>
                <w:tcPr>
                  <w:tcW w:w="775" w:type="dxa"/>
                  <w:noWrap w:val="0"/>
                  <w:vAlign w:val="center"/>
                </w:tcPr>
                <w:p>
                  <w:pPr>
                    <w:adjustRightInd w:val="0"/>
                    <w:snapToGrid w:val="0"/>
                    <w:jc w:val="center"/>
                    <w:rPr>
                      <w:rFonts w:hint="eastAsia"/>
                      <w:b/>
                      <w:bCs/>
                      <w:color w:val="0C0C0C"/>
                      <w:szCs w:val="21"/>
                      <w:highlight w:val="none"/>
                    </w:rPr>
                  </w:pPr>
                  <w:r>
                    <w:rPr>
                      <w:color w:val="0C0C0C"/>
                      <w:szCs w:val="21"/>
                      <w:highlight w:val="none"/>
                    </w:rPr>
                    <w:t>4</w:t>
                  </w:r>
                  <w:r>
                    <w:rPr>
                      <w:rFonts w:hint="eastAsia"/>
                      <w:color w:val="0C0C0C"/>
                      <w:szCs w:val="21"/>
                      <w:highlight w:val="none"/>
                    </w:rPr>
                    <w:t>7</w:t>
                  </w:r>
                  <w:r>
                    <w:rPr>
                      <w:color w:val="0C0C0C"/>
                      <w:szCs w:val="21"/>
                      <w:highlight w:val="none"/>
                    </w:rPr>
                    <w:t>0</w:t>
                  </w:r>
                </w:p>
              </w:tc>
              <w:tc>
                <w:tcPr>
                  <w:tcW w:w="893" w:type="dxa"/>
                  <w:noWrap w:val="0"/>
                  <w:vAlign w:val="center"/>
                </w:tcPr>
                <w:p>
                  <w:pPr>
                    <w:adjustRightInd w:val="0"/>
                    <w:snapToGrid w:val="0"/>
                    <w:jc w:val="center"/>
                    <w:rPr>
                      <w:rFonts w:hint="eastAsia"/>
                      <w:b/>
                      <w:bCs/>
                      <w:color w:val="0C0C0C"/>
                      <w:szCs w:val="21"/>
                      <w:highlight w:val="none"/>
                    </w:rPr>
                  </w:pPr>
                  <w:r>
                    <w:rPr>
                      <w:color w:val="0C0C0C"/>
                      <w:szCs w:val="21"/>
                      <w:highlight w:val="none"/>
                    </w:rPr>
                    <w:t>0.0</w:t>
                  </w:r>
                  <w:r>
                    <w:rPr>
                      <w:rFonts w:hint="eastAsia"/>
                      <w:color w:val="0C0C0C"/>
                      <w:szCs w:val="21"/>
                      <w:highlight w:val="none"/>
                    </w:rPr>
                    <w:t>2</w:t>
                  </w:r>
                  <w:r>
                    <w:rPr>
                      <w:color w:val="0C0C0C"/>
                      <w:szCs w:val="21"/>
                      <w:highlight w:val="none"/>
                    </w:rPr>
                    <w:t>1</w:t>
                  </w:r>
                </w:p>
              </w:tc>
              <w:tc>
                <w:tcPr>
                  <w:tcW w:w="893" w:type="dxa"/>
                  <w:noWrap w:val="0"/>
                  <w:vAlign w:val="center"/>
                </w:tcPr>
                <w:p>
                  <w:pPr>
                    <w:adjustRightInd w:val="0"/>
                    <w:snapToGrid w:val="0"/>
                    <w:jc w:val="center"/>
                    <w:rPr>
                      <w:rFonts w:hint="eastAsia"/>
                      <w:b/>
                      <w:bCs/>
                      <w:color w:val="0C0C0C"/>
                      <w:szCs w:val="21"/>
                      <w:highlight w:val="none"/>
                    </w:rPr>
                  </w:pPr>
                  <w:r>
                    <w:rPr>
                      <w:color w:val="0C0C0C"/>
                      <w:szCs w:val="21"/>
                      <w:highlight w:val="none"/>
                    </w:rPr>
                    <w:t>1.85</w:t>
                  </w:r>
                </w:p>
              </w:tc>
              <w:tc>
                <w:tcPr>
                  <w:tcW w:w="878" w:type="dxa"/>
                  <w:noWrap w:val="0"/>
                  <w:vAlign w:val="center"/>
                </w:tcPr>
                <w:p>
                  <w:pPr>
                    <w:adjustRightInd w:val="0"/>
                    <w:snapToGrid w:val="0"/>
                    <w:jc w:val="center"/>
                    <w:rPr>
                      <w:rFonts w:hint="eastAsia"/>
                      <w:b/>
                      <w:bCs/>
                      <w:color w:val="0C0C0C"/>
                      <w:szCs w:val="21"/>
                      <w:highlight w:val="none"/>
                    </w:rPr>
                  </w:pPr>
                  <w:r>
                    <w:rPr>
                      <w:rFonts w:hint="eastAsia"/>
                      <w:color w:val="0C0C0C"/>
                      <w:szCs w:val="21"/>
                      <w:highlight w:val="none"/>
                    </w:rPr>
                    <w:t>0.84</w:t>
                  </w:r>
                </w:p>
              </w:tc>
              <w:tc>
                <w:tcPr>
                  <w:tcW w:w="2617" w:type="dxa"/>
                  <w:noWrap w:val="0"/>
                  <w:vAlign w:val="center"/>
                </w:tcPr>
                <w:p>
                  <w:pPr>
                    <w:adjustRightInd w:val="0"/>
                    <w:snapToGrid w:val="0"/>
                    <w:jc w:val="center"/>
                    <w:rPr>
                      <w:rFonts w:hint="default" w:eastAsia="宋体"/>
                      <w:color w:val="0C0C0C"/>
                      <w:szCs w:val="21"/>
                      <w:highlight w:val="none"/>
                      <w:lang w:val="en-US" w:eastAsia="zh-CN"/>
                    </w:rPr>
                  </w:pPr>
                  <w:r>
                    <w:rPr>
                      <w:rFonts w:hint="eastAsia"/>
                      <w:color w:val="0C0C0C"/>
                      <w:szCs w:val="21"/>
                      <w:highlight w:val="none"/>
                      <w:lang w:val="en-US" w:eastAsia="zh-CN"/>
                    </w:rPr>
                    <w:t>1.394m</w:t>
                  </w:r>
                </w:p>
              </w:tc>
            </w:tr>
          </w:tbl>
          <w:p>
            <w:pPr>
              <w:adjustRightInd w:val="0"/>
              <w:snapToGrid w:val="0"/>
              <w:jc w:val="center"/>
              <w:rPr>
                <w:rFonts w:hint="eastAsia"/>
                <w:b/>
                <w:bCs/>
                <w:color w:val="0C0C0C"/>
                <w:szCs w:val="21"/>
                <w:highlight w:val="none"/>
              </w:rPr>
            </w:pPr>
            <w:r>
              <w:rPr>
                <w:rFonts w:hint="eastAsia"/>
                <w:b/>
                <w:bCs/>
                <w:i w:val="0"/>
                <w:iCs w:val="0"/>
                <w:color w:val="0C0C0C"/>
                <w:szCs w:val="21"/>
                <w:highlight w:val="none"/>
              </w:rPr>
              <w:t>表</w:t>
            </w:r>
            <w:r>
              <w:rPr>
                <w:rFonts w:hint="eastAsia"/>
                <w:b/>
                <w:bCs/>
                <w:i w:val="0"/>
                <w:iCs w:val="0"/>
                <w:color w:val="0C0C0C"/>
                <w:szCs w:val="21"/>
                <w:highlight w:val="none"/>
                <w:lang w:val="en-US" w:eastAsia="zh-CN"/>
              </w:rPr>
              <w:t xml:space="preserve">4-9 </w:t>
            </w:r>
            <w:r>
              <w:rPr>
                <w:rFonts w:hint="eastAsia"/>
                <w:b/>
                <w:bCs/>
                <w:i w:val="0"/>
                <w:iCs w:val="0"/>
                <w:color w:val="0C0C0C"/>
                <w:szCs w:val="21"/>
                <w:highlight w:val="none"/>
              </w:rPr>
              <w:t>卫</w:t>
            </w:r>
            <w:r>
              <w:rPr>
                <w:rFonts w:hint="eastAsia"/>
                <w:b/>
                <w:bCs/>
                <w:color w:val="0C0C0C"/>
                <w:szCs w:val="21"/>
                <w:highlight w:val="none"/>
              </w:rPr>
              <w:t>生防护距离初值计算</w:t>
            </w:r>
          </w:p>
          <w:p>
            <w:pPr>
              <w:adjustRightInd w:val="0"/>
              <w:snapToGrid w:val="0"/>
              <w:spacing w:line="360" w:lineRule="auto"/>
              <w:ind w:firstLine="480" w:firstLineChars="200"/>
              <w:rPr>
                <w:rFonts w:hint="eastAsia"/>
                <w:color w:val="0C0C0C"/>
                <w:sz w:val="24"/>
                <w:highlight w:val="none"/>
              </w:rPr>
            </w:pPr>
            <w:r>
              <w:rPr>
                <w:rFonts w:hint="eastAsia"/>
                <w:color w:val="0C0C0C"/>
                <w:sz w:val="24"/>
                <w:highlight w:val="none"/>
              </w:rPr>
              <w:t>卫生防护距离终值的确定：</w:t>
            </w:r>
          </w:p>
          <w:p>
            <w:pPr>
              <w:adjustRightInd w:val="0"/>
              <w:snapToGrid w:val="0"/>
              <w:ind w:firstLine="422" w:firstLineChars="200"/>
              <w:jc w:val="center"/>
              <w:rPr>
                <w:b/>
                <w:bCs/>
                <w:color w:val="0C0C0C"/>
                <w:szCs w:val="21"/>
                <w:highlight w:val="none"/>
              </w:rPr>
            </w:pPr>
            <w:r>
              <w:rPr>
                <w:rFonts w:hint="eastAsia"/>
                <w:b/>
                <w:bCs/>
                <w:color w:val="0C0C0C"/>
                <w:szCs w:val="21"/>
                <w:highlight w:val="none"/>
              </w:rPr>
              <w:t>表</w:t>
            </w:r>
            <w:r>
              <w:rPr>
                <w:rFonts w:hint="eastAsia"/>
                <w:b/>
                <w:bCs/>
                <w:color w:val="0C0C0C"/>
                <w:szCs w:val="21"/>
                <w:highlight w:val="none"/>
                <w:lang w:val="en-US" w:eastAsia="zh-CN"/>
              </w:rPr>
              <w:t xml:space="preserve">4-10 </w:t>
            </w:r>
            <w:r>
              <w:rPr>
                <w:rFonts w:hint="eastAsia"/>
                <w:b/>
                <w:bCs/>
                <w:color w:val="0C0C0C"/>
                <w:szCs w:val="21"/>
                <w:highlight w:val="none"/>
              </w:rPr>
              <w:t>卫生防护距离终值级差范围表</w:t>
            </w:r>
          </w:p>
          <w:tbl>
            <w:tblPr>
              <w:tblStyle w:val="24"/>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2"/>
              <w:gridCol w:w="4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532" w:type="dxa"/>
                  <w:noWrap w:val="0"/>
                  <w:vAlign w:val="top"/>
                </w:tcPr>
                <w:p>
                  <w:pPr>
                    <w:adjustRightInd w:val="0"/>
                    <w:snapToGrid w:val="0"/>
                    <w:jc w:val="center"/>
                    <w:rPr>
                      <w:b/>
                      <w:bCs/>
                      <w:color w:val="0C0C0C"/>
                      <w:szCs w:val="21"/>
                      <w:highlight w:val="none"/>
                    </w:rPr>
                  </w:pPr>
                  <w:r>
                    <w:rPr>
                      <w:rFonts w:hint="eastAsia"/>
                      <w:b/>
                      <w:bCs/>
                      <w:color w:val="0C0C0C"/>
                      <w:szCs w:val="21"/>
                      <w:highlight w:val="none"/>
                    </w:rPr>
                    <w:t>卫生防护距离计算初值L/m</w:t>
                  </w:r>
                </w:p>
              </w:tc>
              <w:tc>
                <w:tcPr>
                  <w:tcW w:w="4187" w:type="dxa"/>
                  <w:noWrap w:val="0"/>
                  <w:vAlign w:val="top"/>
                </w:tcPr>
                <w:p>
                  <w:pPr>
                    <w:adjustRightInd w:val="0"/>
                    <w:snapToGrid w:val="0"/>
                    <w:jc w:val="center"/>
                    <w:rPr>
                      <w:b/>
                      <w:bCs/>
                      <w:color w:val="0C0C0C"/>
                      <w:szCs w:val="21"/>
                      <w:highlight w:val="none"/>
                    </w:rPr>
                  </w:pPr>
                  <w:r>
                    <w:rPr>
                      <w:rFonts w:hint="eastAsia"/>
                      <w:b/>
                      <w:bCs/>
                      <w:color w:val="0C0C0C"/>
                      <w:szCs w:val="21"/>
                      <w:highlight w:val="none"/>
                    </w:rPr>
                    <w:t>级差/m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532" w:type="dxa"/>
                  <w:noWrap w:val="0"/>
                  <w:vAlign w:val="top"/>
                </w:tcPr>
                <w:p>
                  <w:pPr>
                    <w:adjustRightInd w:val="0"/>
                    <w:snapToGrid w:val="0"/>
                    <w:jc w:val="center"/>
                    <w:rPr>
                      <w:color w:val="0C0C0C"/>
                      <w:szCs w:val="21"/>
                      <w:highlight w:val="none"/>
                    </w:rPr>
                  </w:pPr>
                  <w:r>
                    <w:rPr>
                      <w:rFonts w:hint="eastAsia"/>
                      <w:color w:val="0C0C0C"/>
                      <w:szCs w:val="21"/>
                      <w:highlight w:val="none"/>
                    </w:rPr>
                    <w:t>0</w:t>
                  </w:r>
                  <w:r>
                    <w:rPr>
                      <w:rFonts w:ascii="Arial" w:hAnsi="Arial" w:cs="Arial"/>
                      <w:color w:val="0C0C0C"/>
                      <w:szCs w:val="21"/>
                      <w:highlight w:val="none"/>
                    </w:rPr>
                    <w:t>≤</w:t>
                  </w:r>
                  <w:r>
                    <w:rPr>
                      <w:rFonts w:hint="eastAsia"/>
                      <w:color w:val="0C0C0C"/>
                      <w:szCs w:val="21"/>
                      <w:highlight w:val="none"/>
                    </w:rPr>
                    <w:t>L</w:t>
                  </w:r>
                  <w:r>
                    <w:rPr>
                      <w:color w:val="0C0C0C"/>
                      <w:szCs w:val="21"/>
                      <w:highlight w:val="none"/>
                    </w:rPr>
                    <w:t>&lt;</w:t>
                  </w:r>
                  <w:r>
                    <w:rPr>
                      <w:rFonts w:hint="eastAsia"/>
                      <w:color w:val="0C0C0C"/>
                      <w:szCs w:val="21"/>
                      <w:highlight w:val="none"/>
                    </w:rPr>
                    <w:t>50</w:t>
                  </w:r>
                </w:p>
              </w:tc>
              <w:tc>
                <w:tcPr>
                  <w:tcW w:w="4187" w:type="dxa"/>
                  <w:noWrap w:val="0"/>
                  <w:vAlign w:val="top"/>
                </w:tcPr>
                <w:p>
                  <w:pPr>
                    <w:adjustRightInd w:val="0"/>
                    <w:snapToGrid w:val="0"/>
                    <w:jc w:val="center"/>
                    <w:rPr>
                      <w:color w:val="0C0C0C"/>
                      <w:szCs w:val="21"/>
                      <w:highlight w:val="none"/>
                    </w:rPr>
                  </w:pPr>
                  <w:r>
                    <w:rPr>
                      <w:rFonts w:hint="eastAsia"/>
                      <w:color w:val="0C0C0C"/>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532" w:type="dxa"/>
                  <w:noWrap w:val="0"/>
                  <w:vAlign w:val="top"/>
                </w:tcPr>
                <w:p>
                  <w:pPr>
                    <w:adjustRightInd w:val="0"/>
                    <w:snapToGrid w:val="0"/>
                    <w:jc w:val="center"/>
                    <w:rPr>
                      <w:color w:val="0C0C0C"/>
                      <w:szCs w:val="21"/>
                      <w:highlight w:val="none"/>
                    </w:rPr>
                  </w:pPr>
                  <w:r>
                    <w:rPr>
                      <w:rFonts w:hint="eastAsia"/>
                      <w:color w:val="0C0C0C"/>
                      <w:szCs w:val="21"/>
                      <w:highlight w:val="none"/>
                    </w:rPr>
                    <w:t>50</w:t>
                  </w:r>
                  <w:r>
                    <w:rPr>
                      <w:rFonts w:ascii="Arial" w:hAnsi="Arial" w:cs="Arial"/>
                      <w:color w:val="0C0C0C"/>
                      <w:szCs w:val="21"/>
                      <w:highlight w:val="none"/>
                    </w:rPr>
                    <w:t>≤</w:t>
                  </w:r>
                  <w:r>
                    <w:rPr>
                      <w:rFonts w:hint="eastAsia"/>
                      <w:color w:val="0C0C0C"/>
                      <w:szCs w:val="21"/>
                      <w:highlight w:val="none"/>
                    </w:rPr>
                    <w:t>L</w:t>
                  </w:r>
                  <w:r>
                    <w:rPr>
                      <w:color w:val="0C0C0C"/>
                      <w:szCs w:val="21"/>
                      <w:highlight w:val="none"/>
                    </w:rPr>
                    <w:t>&lt;</w:t>
                  </w:r>
                  <w:r>
                    <w:rPr>
                      <w:rFonts w:hint="eastAsia"/>
                      <w:color w:val="0C0C0C"/>
                      <w:szCs w:val="21"/>
                      <w:highlight w:val="none"/>
                    </w:rPr>
                    <w:t>100</w:t>
                  </w:r>
                </w:p>
              </w:tc>
              <w:tc>
                <w:tcPr>
                  <w:tcW w:w="4187" w:type="dxa"/>
                  <w:noWrap w:val="0"/>
                  <w:vAlign w:val="top"/>
                </w:tcPr>
                <w:p>
                  <w:pPr>
                    <w:adjustRightInd w:val="0"/>
                    <w:snapToGrid w:val="0"/>
                    <w:jc w:val="center"/>
                    <w:rPr>
                      <w:color w:val="0C0C0C"/>
                      <w:szCs w:val="21"/>
                      <w:highlight w:val="none"/>
                    </w:rPr>
                  </w:pPr>
                  <w:r>
                    <w:rPr>
                      <w:rFonts w:hint="eastAsia"/>
                      <w:color w:val="0C0C0C"/>
                      <w:szCs w:val="21"/>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532" w:type="dxa"/>
                  <w:noWrap w:val="0"/>
                  <w:vAlign w:val="top"/>
                </w:tcPr>
                <w:p>
                  <w:pPr>
                    <w:adjustRightInd w:val="0"/>
                    <w:snapToGrid w:val="0"/>
                    <w:jc w:val="center"/>
                    <w:rPr>
                      <w:color w:val="0C0C0C"/>
                      <w:szCs w:val="21"/>
                      <w:highlight w:val="none"/>
                    </w:rPr>
                  </w:pPr>
                  <w:r>
                    <w:rPr>
                      <w:rFonts w:hint="eastAsia"/>
                      <w:color w:val="0C0C0C"/>
                      <w:szCs w:val="21"/>
                      <w:highlight w:val="none"/>
                    </w:rPr>
                    <w:t>100</w:t>
                  </w:r>
                  <w:r>
                    <w:rPr>
                      <w:rFonts w:ascii="Arial" w:hAnsi="Arial" w:cs="Arial"/>
                      <w:color w:val="0C0C0C"/>
                      <w:szCs w:val="21"/>
                      <w:highlight w:val="none"/>
                    </w:rPr>
                    <w:t>≤</w:t>
                  </w:r>
                  <w:r>
                    <w:rPr>
                      <w:rFonts w:hint="eastAsia"/>
                      <w:color w:val="0C0C0C"/>
                      <w:szCs w:val="21"/>
                      <w:highlight w:val="none"/>
                    </w:rPr>
                    <w:t>L</w:t>
                  </w:r>
                  <w:r>
                    <w:rPr>
                      <w:color w:val="0C0C0C"/>
                      <w:szCs w:val="21"/>
                      <w:highlight w:val="none"/>
                    </w:rPr>
                    <w:t>&lt;</w:t>
                  </w:r>
                  <w:r>
                    <w:rPr>
                      <w:rFonts w:hint="eastAsia"/>
                      <w:color w:val="0C0C0C"/>
                      <w:szCs w:val="21"/>
                      <w:highlight w:val="none"/>
                    </w:rPr>
                    <w:t>1000</w:t>
                  </w:r>
                </w:p>
              </w:tc>
              <w:tc>
                <w:tcPr>
                  <w:tcW w:w="4187" w:type="dxa"/>
                  <w:noWrap w:val="0"/>
                  <w:vAlign w:val="top"/>
                </w:tcPr>
                <w:p>
                  <w:pPr>
                    <w:adjustRightInd w:val="0"/>
                    <w:snapToGrid w:val="0"/>
                    <w:jc w:val="center"/>
                    <w:rPr>
                      <w:color w:val="0C0C0C"/>
                      <w:szCs w:val="21"/>
                      <w:highlight w:val="none"/>
                    </w:rPr>
                  </w:pPr>
                  <w:r>
                    <w:rPr>
                      <w:rFonts w:hint="eastAsia"/>
                      <w:color w:val="0C0C0C"/>
                      <w:szCs w:val="21"/>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4532" w:type="dxa"/>
                  <w:noWrap w:val="0"/>
                  <w:vAlign w:val="top"/>
                </w:tcPr>
                <w:p>
                  <w:pPr>
                    <w:adjustRightInd w:val="0"/>
                    <w:snapToGrid w:val="0"/>
                    <w:jc w:val="center"/>
                    <w:rPr>
                      <w:color w:val="0C0C0C"/>
                      <w:sz w:val="24"/>
                      <w:highlight w:val="none"/>
                    </w:rPr>
                  </w:pPr>
                  <w:r>
                    <w:rPr>
                      <w:rFonts w:hint="eastAsia"/>
                      <w:color w:val="0C0C0C"/>
                      <w:szCs w:val="21"/>
                      <w:highlight w:val="none"/>
                    </w:rPr>
                    <w:t>L</w:t>
                  </w:r>
                  <w:r>
                    <w:rPr>
                      <w:color w:val="0C0C0C"/>
                      <w:szCs w:val="21"/>
                      <w:highlight w:val="none"/>
                    </w:rPr>
                    <w:t>&gt;</w:t>
                  </w:r>
                  <w:r>
                    <w:rPr>
                      <w:rFonts w:hint="eastAsia"/>
                      <w:color w:val="0C0C0C"/>
                      <w:szCs w:val="21"/>
                      <w:highlight w:val="none"/>
                    </w:rPr>
                    <w:t>1000</w:t>
                  </w:r>
                </w:p>
              </w:tc>
              <w:tc>
                <w:tcPr>
                  <w:tcW w:w="4187" w:type="dxa"/>
                  <w:noWrap w:val="0"/>
                  <w:vAlign w:val="top"/>
                </w:tcPr>
                <w:p>
                  <w:pPr>
                    <w:adjustRightInd w:val="0"/>
                    <w:snapToGrid w:val="0"/>
                    <w:jc w:val="center"/>
                    <w:rPr>
                      <w:color w:val="0C0C0C"/>
                      <w:sz w:val="24"/>
                      <w:highlight w:val="none"/>
                    </w:rPr>
                  </w:pPr>
                  <w:r>
                    <w:rPr>
                      <w:rFonts w:hint="eastAsia"/>
                      <w:color w:val="0C0C0C"/>
                      <w:sz w:val="24"/>
                      <w:highlight w:val="none"/>
                    </w:rPr>
                    <w:t>200</w:t>
                  </w:r>
                </w:p>
              </w:tc>
            </w:tr>
          </w:tbl>
          <w:p>
            <w:pPr>
              <w:adjustRightInd w:val="0"/>
              <w:snapToGrid w:val="0"/>
              <w:spacing w:line="360" w:lineRule="auto"/>
              <w:ind w:firstLine="480" w:firstLineChars="200"/>
              <w:rPr>
                <w:bCs/>
                <w:color w:val="0C0C0C"/>
                <w:sz w:val="24"/>
                <w:highlight w:val="none"/>
              </w:rPr>
            </w:pPr>
            <w:r>
              <w:rPr>
                <w:rFonts w:hint="eastAsia"/>
                <w:color w:val="0C0C0C"/>
                <w:sz w:val="24"/>
                <w:highlight w:val="none"/>
              </w:rPr>
              <w:t>因此，确定卫生防护距离终值为50米，</w:t>
            </w:r>
            <w:r>
              <w:rPr>
                <w:color w:val="0C0C0C"/>
                <w:sz w:val="24"/>
                <w:highlight w:val="none"/>
              </w:rPr>
              <w:t>则</w:t>
            </w:r>
            <w:r>
              <w:rPr>
                <w:rFonts w:hint="eastAsia"/>
                <w:bCs/>
                <w:color w:val="0C0C0C"/>
                <w:sz w:val="24"/>
                <w:highlight w:val="none"/>
                <w:lang w:eastAsia="zh-CN"/>
              </w:rPr>
              <w:t>本项目</w:t>
            </w:r>
            <w:r>
              <w:rPr>
                <w:rFonts w:hint="eastAsia"/>
                <w:bCs/>
                <w:color w:val="0C0C0C"/>
                <w:sz w:val="24"/>
                <w:highlight w:val="none"/>
              </w:rPr>
              <w:t>以生产车间为源点，设置50米</w:t>
            </w:r>
            <w:r>
              <w:rPr>
                <w:bCs/>
                <w:color w:val="0C0C0C"/>
                <w:sz w:val="24"/>
                <w:highlight w:val="none"/>
              </w:rPr>
              <w:t>卫生防护距离。</w:t>
            </w:r>
            <w:r>
              <w:rPr>
                <w:color w:val="0C0C0C"/>
                <w:sz w:val="24"/>
                <w:highlight w:val="none"/>
              </w:rPr>
              <w:t>根据现场踏勘，</w:t>
            </w:r>
            <w:r>
              <w:rPr>
                <w:rFonts w:hint="eastAsia"/>
                <w:color w:val="0C0C0C"/>
                <w:sz w:val="24"/>
                <w:highlight w:val="none"/>
                <w:lang w:eastAsia="zh-CN"/>
              </w:rPr>
              <w:t>本项目</w:t>
            </w:r>
            <w:r>
              <w:rPr>
                <w:rFonts w:hint="eastAsia"/>
                <w:color w:val="0C0C0C"/>
                <w:sz w:val="24"/>
                <w:highlight w:val="none"/>
              </w:rPr>
              <w:t>50米卫生防护距离</w:t>
            </w:r>
            <w:r>
              <w:rPr>
                <w:color w:val="0C0C0C"/>
                <w:sz w:val="24"/>
                <w:highlight w:val="none"/>
              </w:rPr>
              <w:t>内没有敏感点，符合卫生防护距离要求</w:t>
            </w:r>
            <w:r>
              <w:rPr>
                <w:bCs/>
                <w:color w:val="0C0C0C"/>
                <w:sz w:val="24"/>
                <w:highlight w:val="none"/>
              </w:rPr>
              <w:t>。</w:t>
            </w:r>
          </w:p>
          <w:p>
            <w:pPr>
              <w:numPr>
                <w:ilvl w:val="0"/>
                <w:numId w:val="4"/>
              </w:numPr>
              <w:adjustRightInd w:val="0"/>
              <w:snapToGrid w:val="0"/>
              <w:spacing w:line="360" w:lineRule="auto"/>
              <w:ind w:left="0" w:leftChars="0" w:firstLine="482" w:firstLineChars="200"/>
              <w:rPr>
                <w:rFonts w:hint="eastAsia"/>
                <w:b/>
                <w:bCs/>
                <w:color w:val="0C0C0C"/>
                <w:sz w:val="24"/>
                <w:szCs w:val="25"/>
                <w:highlight w:val="none"/>
              </w:rPr>
            </w:pPr>
            <w:r>
              <w:rPr>
                <w:rFonts w:hint="eastAsia"/>
                <w:b/>
                <w:bCs/>
                <w:color w:val="0C0C0C"/>
                <w:sz w:val="24"/>
                <w:szCs w:val="25"/>
                <w:highlight w:val="none"/>
              </w:rPr>
              <w:t>废水</w:t>
            </w:r>
          </w:p>
          <w:p>
            <w:pPr>
              <w:pStyle w:val="2"/>
              <w:numPr>
                <w:ilvl w:val="0"/>
                <w:numId w:val="0"/>
              </w:numPr>
              <w:ind w:leftChars="200" w:right="0" w:rightChars="0"/>
              <w:rPr>
                <w:rFonts w:hint="default" w:ascii="Times New Roman" w:hAnsi="Times New Roman" w:cs="Times New Roman"/>
                <w:b/>
                <w:bCs/>
                <w:lang w:val="en-US" w:eastAsia="zh-CN"/>
              </w:rPr>
            </w:pPr>
            <w:r>
              <w:rPr>
                <w:rFonts w:hint="default" w:ascii="Times New Roman" w:hAnsi="Times New Roman" w:cs="Times New Roman"/>
                <w:b/>
                <w:bCs/>
                <w:lang w:val="en-US" w:eastAsia="zh-CN"/>
              </w:rPr>
              <w:t>2.1废水源强</w:t>
            </w:r>
          </w:p>
          <w:p>
            <w:pPr>
              <w:adjustRightInd w:val="0"/>
              <w:snapToGrid w:val="0"/>
              <w:ind w:firstLine="422" w:firstLineChars="200"/>
              <w:jc w:val="center"/>
              <w:rPr>
                <w:rFonts w:hint="default" w:ascii="Times New Roman" w:hAnsi="Times New Roman" w:cs="Times New Roman"/>
                <w:b/>
                <w:bCs/>
                <w:color w:val="auto"/>
                <w:szCs w:val="21"/>
                <w:highlight w:val="none"/>
              </w:rPr>
            </w:pPr>
          </w:p>
          <w:p>
            <w:pPr>
              <w:adjustRightInd w:val="0"/>
              <w:snapToGrid w:val="0"/>
              <w:ind w:firstLine="422" w:firstLineChars="20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default" w:ascii="Times New Roman" w:hAnsi="Times New Roman" w:cs="Times New Roman"/>
                <w:b/>
                <w:bCs/>
                <w:color w:val="auto"/>
                <w:szCs w:val="21"/>
                <w:highlight w:val="none"/>
                <w:lang w:val="en-US" w:eastAsia="zh-CN"/>
              </w:rPr>
              <w:t>4-</w:t>
            </w:r>
            <w:r>
              <w:rPr>
                <w:rFonts w:hint="eastAsia" w:ascii="Times New Roman" w:hAnsi="Times New Roman" w:cs="Times New Roman"/>
                <w:b/>
                <w:bCs/>
                <w:color w:val="auto"/>
                <w:szCs w:val="21"/>
                <w:highlight w:val="none"/>
                <w:lang w:val="en-US" w:eastAsia="zh-CN"/>
              </w:rPr>
              <w:t xml:space="preserve">11 </w:t>
            </w:r>
            <w:r>
              <w:rPr>
                <w:rFonts w:hint="default" w:ascii="Times New Roman" w:hAnsi="Times New Roman" w:cs="Times New Roman"/>
                <w:b/>
                <w:bCs/>
                <w:color w:val="auto"/>
                <w:szCs w:val="21"/>
                <w:highlight w:val="none"/>
              </w:rPr>
              <w:t>废水污染物源强核算结果一览表</w:t>
            </w:r>
          </w:p>
          <w:tbl>
            <w:tblPr>
              <w:tblStyle w:val="24"/>
              <w:tblW w:w="8807" w:type="dxa"/>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855"/>
              <w:gridCol w:w="795"/>
              <w:gridCol w:w="750"/>
              <w:gridCol w:w="795"/>
              <w:gridCol w:w="690"/>
              <w:gridCol w:w="900"/>
              <w:gridCol w:w="690"/>
              <w:gridCol w:w="900"/>
              <w:gridCol w:w="765"/>
              <w:gridCol w:w="345"/>
              <w:gridCol w:w="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74" w:type="pct"/>
                  <w:vMerge w:val="restar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产排污环节</w:t>
                  </w:r>
                </w:p>
              </w:tc>
              <w:tc>
                <w:tcPr>
                  <w:tcW w:w="485" w:type="pct"/>
                  <w:vMerge w:val="restar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污染物种类</w:t>
                  </w:r>
                </w:p>
              </w:tc>
              <w:tc>
                <w:tcPr>
                  <w:tcW w:w="877" w:type="pct"/>
                  <w:gridSpan w:val="2"/>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污染物产生</w:t>
                  </w:r>
                </w:p>
              </w:tc>
              <w:tc>
                <w:tcPr>
                  <w:tcW w:w="1354" w:type="pct"/>
                  <w:gridSpan w:val="3"/>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治理措施</w:t>
                  </w:r>
                </w:p>
              </w:tc>
              <w:tc>
                <w:tcPr>
                  <w:tcW w:w="391" w:type="pct"/>
                  <w:vMerge w:val="restar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废水排放量t/a</w:t>
                  </w:r>
                </w:p>
              </w:tc>
              <w:tc>
                <w:tcPr>
                  <w:tcW w:w="945" w:type="pct"/>
                  <w:gridSpan w:val="2"/>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污染物排放</w:t>
                  </w:r>
                </w:p>
              </w:tc>
              <w:tc>
                <w:tcPr>
                  <w:tcW w:w="195" w:type="pct"/>
                  <w:vMerge w:val="restar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排放方式</w:t>
                  </w:r>
                </w:p>
              </w:tc>
              <w:tc>
                <w:tcPr>
                  <w:tcW w:w="375" w:type="pct"/>
                  <w:vMerge w:val="restar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374"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48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451" w:type="pc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产生量t/a</w:t>
                  </w:r>
                </w:p>
              </w:tc>
              <w:tc>
                <w:tcPr>
                  <w:tcW w:w="425" w:type="pc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产生浓度mg/L</w:t>
                  </w:r>
                </w:p>
              </w:tc>
              <w:tc>
                <w:tcPr>
                  <w:tcW w:w="451" w:type="pc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工艺</w:t>
                  </w:r>
                </w:p>
              </w:tc>
              <w:tc>
                <w:tcPr>
                  <w:tcW w:w="391" w:type="pc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治理效率%</w:t>
                  </w:r>
                </w:p>
              </w:tc>
              <w:tc>
                <w:tcPr>
                  <w:tcW w:w="510" w:type="pc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是否为可行技术</w:t>
                  </w:r>
                </w:p>
              </w:tc>
              <w:tc>
                <w:tcPr>
                  <w:tcW w:w="391"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510" w:type="pc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排放量t/a</w:t>
                  </w:r>
                </w:p>
              </w:tc>
              <w:tc>
                <w:tcPr>
                  <w:tcW w:w="434" w:type="pct"/>
                  <w:noWrap w:val="0"/>
                  <w:vAlign w:val="center"/>
                </w:tcPr>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w:t>
                  </w:r>
                </w:p>
                <w:p>
                  <w:pPr>
                    <w:adjustRightInd w:val="0"/>
                    <w:snapToGrid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浓度mg/L</w:t>
                  </w:r>
                </w:p>
              </w:tc>
              <w:tc>
                <w:tcPr>
                  <w:tcW w:w="19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7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74"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生活污水</w:t>
                  </w:r>
                </w:p>
              </w:tc>
              <w:tc>
                <w:tcPr>
                  <w:tcW w:w="48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CODcr</w:t>
                  </w:r>
                </w:p>
              </w:tc>
              <w:tc>
                <w:tcPr>
                  <w:tcW w:w="4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0.1008</w:t>
                  </w:r>
                </w:p>
              </w:tc>
              <w:tc>
                <w:tcPr>
                  <w:tcW w:w="4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280</w:t>
                  </w:r>
                </w:p>
              </w:tc>
              <w:tc>
                <w:tcPr>
                  <w:tcW w:w="451" w:type="pct"/>
                  <w:vMerge w:val="restart"/>
                  <w:noWrap w:val="0"/>
                  <w:vAlign w:val="center"/>
                </w:tcPr>
                <w:p>
                  <w:pPr>
                    <w:adjustRightInd w:val="0"/>
                    <w:snapToGrid w:val="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三级化粪池+污水处理厂</w:t>
                  </w:r>
                </w:p>
              </w:tc>
              <w:tc>
                <w:tcPr>
                  <w:tcW w:w="39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85.71</w:t>
                  </w:r>
                </w:p>
              </w:tc>
              <w:tc>
                <w:tcPr>
                  <w:tcW w:w="510"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是</w:t>
                  </w:r>
                </w:p>
              </w:tc>
              <w:tc>
                <w:tcPr>
                  <w:tcW w:w="391"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360</w:t>
                  </w:r>
                </w:p>
              </w:tc>
              <w:tc>
                <w:tcPr>
                  <w:tcW w:w="5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0.0144</w:t>
                  </w:r>
                </w:p>
              </w:tc>
              <w:tc>
                <w:tcPr>
                  <w:tcW w:w="434"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40</w:t>
                  </w:r>
                </w:p>
              </w:tc>
              <w:tc>
                <w:tcPr>
                  <w:tcW w:w="195" w:type="pct"/>
                  <w:vMerge w:val="restar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间接排放</w:t>
                  </w:r>
                </w:p>
              </w:tc>
              <w:tc>
                <w:tcPr>
                  <w:tcW w:w="375" w:type="pct"/>
                  <w:vMerge w:val="restar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博罗县龙溪镇污水处理厂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74"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48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BOD</w:t>
                  </w:r>
                  <w:r>
                    <w:rPr>
                      <w:rFonts w:hint="default" w:ascii="Times New Roman" w:hAnsi="Times New Roman" w:cs="Times New Roman"/>
                      <w:color w:val="auto"/>
                      <w:sz w:val="21"/>
                      <w:szCs w:val="21"/>
                      <w:highlight w:val="none"/>
                      <w:vertAlign w:val="subscript"/>
                    </w:rPr>
                    <w:t>5</w:t>
                  </w:r>
                </w:p>
              </w:tc>
              <w:tc>
                <w:tcPr>
                  <w:tcW w:w="4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0.0576</w:t>
                  </w:r>
                </w:p>
              </w:tc>
              <w:tc>
                <w:tcPr>
                  <w:tcW w:w="4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160</w:t>
                  </w:r>
                </w:p>
              </w:tc>
              <w:tc>
                <w:tcPr>
                  <w:tcW w:w="451"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9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93.75</w:t>
                  </w:r>
                </w:p>
              </w:tc>
              <w:tc>
                <w:tcPr>
                  <w:tcW w:w="510"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91"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5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0.0036</w:t>
                  </w:r>
                </w:p>
              </w:tc>
              <w:tc>
                <w:tcPr>
                  <w:tcW w:w="434"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9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7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74"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48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4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0.0720</w:t>
                  </w:r>
                </w:p>
              </w:tc>
              <w:tc>
                <w:tcPr>
                  <w:tcW w:w="4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150</w:t>
                  </w:r>
                </w:p>
              </w:tc>
              <w:tc>
                <w:tcPr>
                  <w:tcW w:w="451"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9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93.33</w:t>
                  </w:r>
                </w:p>
              </w:tc>
              <w:tc>
                <w:tcPr>
                  <w:tcW w:w="510"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91"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5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0.0036</w:t>
                  </w:r>
                </w:p>
              </w:tc>
              <w:tc>
                <w:tcPr>
                  <w:tcW w:w="434"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10</w:t>
                  </w:r>
                </w:p>
              </w:tc>
              <w:tc>
                <w:tcPr>
                  <w:tcW w:w="19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7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74"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48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NH</w:t>
                  </w:r>
                  <w:r>
                    <w:rPr>
                      <w:rFonts w:hint="default" w:ascii="Times New Roman" w:hAnsi="Times New Roman" w:cs="Times New Roman"/>
                      <w:color w:val="auto"/>
                      <w:sz w:val="21"/>
                      <w:szCs w:val="21"/>
                      <w:highlight w:val="none"/>
                      <w:vertAlign w:val="subscript"/>
                    </w:rPr>
                    <w:t>3</w:t>
                  </w:r>
                  <w:r>
                    <w:rPr>
                      <w:rFonts w:hint="default" w:ascii="Times New Roman" w:hAnsi="Times New Roman" w:cs="Times New Roman"/>
                      <w:color w:val="auto"/>
                      <w:sz w:val="21"/>
                      <w:szCs w:val="21"/>
                      <w:highlight w:val="none"/>
                    </w:rPr>
                    <w:t>-N</w:t>
                  </w:r>
                </w:p>
              </w:tc>
              <w:tc>
                <w:tcPr>
                  <w:tcW w:w="4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0.0090</w:t>
                  </w:r>
                </w:p>
              </w:tc>
              <w:tc>
                <w:tcPr>
                  <w:tcW w:w="4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c>
                <w:tcPr>
                  <w:tcW w:w="451"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9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92</w:t>
                  </w:r>
                </w:p>
              </w:tc>
              <w:tc>
                <w:tcPr>
                  <w:tcW w:w="510"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91"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5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0.0007</w:t>
                  </w:r>
                </w:p>
              </w:tc>
              <w:tc>
                <w:tcPr>
                  <w:tcW w:w="434"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w:t>
                  </w:r>
                </w:p>
              </w:tc>
              <w:tc>
                <w:tcPr>
                  <w:tcW w:w="19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7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374" w:type="pct"/>
                  <w:vMerge w:val="continue"/>
                  <w:noWrap w:val="0"/>
                  <w:vAlign w:val="center"/>
                </w:tcPr>
                <w:p>
                  <w:pPr>
                    <w:adjustRightInd w:val="0"/>
                    <w:snapToGrid w:val="0"/>
                    <w:jc w:val="center"/>
                    <w:rPr>
                      <w:rFonts w:hint="default" w:ascii="Times New Roman" w:hAnsi="Times New Roman" w:cs="Times New Roman"/>
                      <w:color w:val="auto"/>
                      <w:sz w:val="21"/>
                      <w:szCs w:val="21"/>
                      <w:highlight w:val="none"/>
                    </w:rPr>
                  </w:pPr>
                </w:p>
              </w:tc>
              <w:tc>
                <w:tcPr>
                  <w:tcW w:w="48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总磷</w:t>
                  </w:r>
                </w:p>
              </w:tc>
              <w:tc>
                <w:tcPr>
                  <w:tcW w:w="451"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0.0018</w:t>
                  </w:r>
                </w:p>
              </w:tc>
              <w:tc>
                <w:tcPr>
                  <w:tcW w:w="425" w:type="pct"/>
                  <w:noWrap w:val="0"/>
                  <w:vAlign w:val="center"/>
                </w:tcPr>
                <w:p>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451"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91"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w:t>
                  </w:r>
                </w:p>
              </w:tc>
              <w:tc>
                <w:tcPr>
                  <w:tcW w:w="510"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91"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51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0.0002</w:t>
                  </w:r>
                </w:p>
              </w:tc>
              <w:tc>
                <w:tcPr>
                  <w:tcW w:w="434" w:type="pct"/>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9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c>
                <w:tcPr>
                  <w:tcW w:w="375" w:type="pct"/>
                  <w:vMerge w:val="continue"/>
                  <w:noWrap w:val="0"/>
                  <w:vAlign w:val="center"/>
                </w:tcPr>
                <w:p>
                  <w:pPr>
                    <w:adjustRightInd w:val="0"/>
                    <w:snapToGrid w:val="0"/>
                    <w:jc w:val="center"/>
                    <w:rPr>
                      <w:rFonts w:hint="default" w:ascii="Times New Roman" w:hAnsi="Times New Roman" w:cs="Times New Roman"/>
                      <w:b/>
                      <w:bCs/>
                      <w:color w:val="auto"/>
                      <w:sz w:val="21"/>
                      <w:szCs w:val="21"/>
                      <w:highlight w:val="none"/>
                    </w:rPr>
                  </w:pPr>
                </w:p>
              </w:tc>
            </w:tr>
          </w:tbl>
          <w:p>
            <w:pPr>
              <w:adjustRightInd w:val="0"/>
              <w:snapToGrid w:val="0"/>
              <w:spacing w:line="360" w:lineRule="auto"/>
              <w:ind w:firstLine="480" w:firstLineChars="200"/>
              <w:rPr>
                <w:rFonts w:hint="eastAsia" w:ascii="Times New Roman" w:hAnsi="Times New Roman" w:cs="Times New Roman"/>
                <w:b w:val="0"/>
                <w:bCs w:val="0"/>
                <w:color w:val="auto"/>
                <w:sz w:val="24"/>
                <w:highlight w:val="none"/>
                <w:lang w:val="en-US" w:eastAsia="zh-CN"/>
              </w:rPr>
            </w:pPr>
            <w:r>
              <w:rPr>
                <w:rFonts w:hint="eastAsia" w:ascii="Times New Roman" w:hAnsi="Times New Roman" w:cs="Times New Roman"/>
                <w:b w:val="0"/>
                <w:bCs w:val="0"/>
                <w:color w:val="auto"/>
                <w:sz w:val="24"/>
                <w:highlight w:val="none"/>
                <w:lang w:val="en-US" w:eastAsia="zh-CN"/>
              </w:rPr>
              <w:t>2.1.1生活污水</w:t>
            </w:r>
          </w:p>
          <w:p>
            <w:pPr>
              <w:adjustRightInd w:val="0"/>
              <w:snapToGrid w:val="0"/>
              <w:spacing w:line="360" w:lineRule="auto"/>
              <w:ind w:firstLine="480" w:firstLineChars="200"/>
              <w:rPr>
                <w:rFonts w:hint="default" w:ascii="Times New Roman" w:hAnsi="Times New Roman" w:cs="Times New Roman"/>
                <w:b w:val="0"/>
                <w:bCs w:val="0"/>
                <w:color w:val="auto"/>
                <w:sz w:val="24"/>
                <w:highlight w:val="none"/>
              </w:rPr>
            </w:pPr>
            <w:r>
              <w:rPr>
                <w:rFonts w:hint="default" w:ascii="Times New Roman" w:hAnsi="Times New Roman" w:cs="Times New Roman"/>
                <w:b w:val="0"/>
                <w:bCs w:val="0"/>
                <w:color w:val="auto"/>
                <w:sz w:val="24"/>
                <w:highlight w:val="none"/>
              </w:rPr>
              <w:t>项目废水主要为员工生活污水，根据业主提供的资料，项目员工</w:t>
            </w:r>
            <w:r>
              <w:rPr>
                <w:rFonts w:hint="eastAsia" w:ascii="Times New Roman" w:hAnsi="Times New Roman" w:cs="Times New Roman"/>
                <w:b w:val="0"/>
                <w:bCs w:val="0"/>
                <w:color w:val="auto"/>
                <w:sz w:val="24"/>
                <w:highlight w:val="none"/>
                <w:lang w:val="en-US" w:eastAsia="zh-CN"/>
              </w:rPr>
              <w:t>40</w:t>
            </w:r>
            <w:r>
              <w:rPr>
                <w:rFonts w:hint="default" w:ascii="Times New Roman" w:hAnsi="Times New Roman" w:cs="Times New Roman"/>
                <w:b w:val="0"/>
                <w:bCs w:val="0"/>
                <w:color w:val="auto"/>
                <w:sz w:val="24"/>
                <w:highlight w:val="none"/>
              </w:rPr>
              <w:t>人，年工作天数3</w:t>
            </w:r>
            <w:r>
              <w:rPr>
                <w:rFonts w:hint="default" w:ascii="Times New Roman" w:hAnsi="Times New Roman" w:cs="Times New Roman"/>
                <w:b w:val="0"/>
                <w:bCs w:val="0"/>
                <w:color w:val="auto"/>
                <w:sz w:val="24"/>
                <w:highlight w:val="none"/>
                <w:lang w:val="en-US" w:eastAsia="zh-CN"/>
              </w:rPr>
              <w:t>00</w:t>
            </w:r>
            <w:r>
              <w:rPr>
                <w:rFonts w:hint="default" w:ascii="Times New Roman" w:hAnsi="Times New Roman" w:cs="Times New Roman"/>
                <w:b w:val="0"/>
                <w:bCs w:val="0"/>
                <w:color w:val="auto"/>
                <w:sz w:val="24"/>
                <w:highlight w:val="none"/>
              </w:rPr>
              <w:t>天，员工均不在项目内食宿</w:t>
            </w:r>
          </w:p>
          <w:p>
            <w:pPr>
              <w:adjustRightInd w:val="0"/>
              <w:snapToGrid w:val="0"/>
              <w:spacing w:line="360" w:lineRule="auto"/>
              <w:ind w:firstLine="480" w:firstLineChars="200"/>
              <w:rPr>
                <w:rFonts w:hint="eastAsia"/>
                <w:color w:val="auto"/>
                <w:sz w:val="24"/>
                <w:highlight w:val="none"/>
                <w:lang w:eastAsia="zh-CN"/>
              </w:rPr>
            </w:pPr>
            <w:r>
              <w:rPr>
                <w:rFonts w:hint="default" w:ascii="Times New Roman" w:hAnsi="Times New Roman" w:cs="Times New Roman"/>
                <w:b w:val="0"/>
                <w:bCs w:val="0"/>
                <w:color w:val="auto"/>
                <w:sz w:val="24"/>
                <w:highlight w:val="none"/>
              </w:rPr>
              <w:t>根据《广东省用水定额 第3部分：生活》（DB44/T1461.3-2021），员工办公生活用水量按10m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/（人·a）计算（国家行政机构—办公楼—无食堂和浴室先进值计算），则生活用水量为</w:t>
            </w:r>
            <w:r>
              <w:rPr>
                <w:rFonts w:hint="eastAsia" w:ascii="Times New Roman" w:hAnsi="Times New Roman" w:cs="Times New Roman"/>
                <w:b w:val="0"/>
                <w:bCs w:val="0"/>
                <w:color w:val="auto"/>
                <w:sz w:val="24"/>
                <w:highlight w:val="none"/>
                <w:lang w:val="en-US" w:eastAsia="zh-CN"/>
              </w:rPr>
              <w:t>400</w:t>
            </w:r>
            <w:r>
              <w:rPr>
                <w:rFonts w:hint="default" w:ascii="Times New Roman" w:hAnsi="Times New Roman" w:cs="Times New Roman"/>
                <w:b w:val="0"/>
                <w:bCs w:val="0"/>
                <w:color w:val="auto"/>
                <w:sz w:val="24"/>
                <w:highlight w:val="none"/>
              </w:rPr>
              <w:t>m</w:t>
            </w:r>
            <w:r>
              <w:rPr>
                <w:rFonts w:hint="default" w:ascii="Times New Roman" w:hAnsi="Times New Roman" w:cs="Times New Roman"/>
                <w:b w:val="0"/>
                <w:bCs w:val="0"/>
                <w:color w:val="auto"/>
                <w:sz w:val="24"/>
                <w:highlight w:val="none"/>
                <w:vertAlign w:val="superscript"/>
              </w:rPr>
              <w:t>3</w:t>
            </w:r>
            <w:r>
              <w:rPr>
                <w:rFonts w:hint="default" w:ascii="Times New Roman" w:hAnsi="Times New Roman" w:cs="Times New Roman"/>
                <w:b w:val="0"/>
                <w:bCs w:val="0"/>
                <w:color w:val="auto"/>
                <w:sz w:val="24"/>
                <w:highlight w:val="none"/>
              </w:rPr>
              <w:t>/a，员工生活污水排污系数按</w:t>
            </w:r>
            <w:r>
              <w:rPr>
                <w:rFonts w:hint="default" w:ascii="Times New Roman" w:hAnsi="Times New Roman" w:cs="Times New Roman"/>
                <w:b w:val="0"/>
                <w:bCs w:val="0"/>
                <w:color w:val="auto"/>
                <w:sz w:val="24"/>
                <w:highlight w:val="none"/>
                <w:lang w:val="en-US" w:eastAsia="zh-CN"/>
              </w:rPr>
              <w:t>9</w:t>
            </w:r>
            <w:r>
              <w:rPr>
                <w:rFonts w:hint="default" w:ascii="Times New Roman" w:hAnsi="Times New Roman" w:cs="Times New Roman"/>
                <w:b w:val="0"/>
                <w:bCs w:val="0"/>
                <w:color w:val="auto"/>
                <w:sz w:val="24"/>
                <w:highlight w:val="none"/>
              </w:rPr>
              <w:t>0%计算，排放量为</w:t>
            </w:r>
            <w:r>
              <w:rPr>
                <w:rFonts w:hint="eastAsia" w:ascii="Times New Roman" w:hAnsi="Times New Roman" w:cs="Times New Roman"/>
                <w:b w:val="0"/>
                <w:bCs w:val="0"/>
                <w:color w:val="auto"/>
                <w:sz w:val="24"/>
                <w:highlight w:val="none"/>
                <w:lang w:val="en-US" w:eastAsia="zh-CN"/>
              </w:rPr>
              <w:t>360</w:t>
            </w:r>
            <w:r>
              <w:rPr>
                <w:rFonts w:hint="default" w:ascii="Times New Roman" w:hAnsi="Times New Roman" w:cs="Times New Roman"/>
                <w:b w:val="0"/>
                <w:bCs w:val="0"/>
                <w:color w:val="auto"/>
                <w:sz w:val="24"/>
                <w:highlight w:val="none"/>
              </w:rPr>
              <w:t>t/a。主要污染物为CODcr、BOD</w:t>
            </w:r>
            <w:r>
              <w:rPr>
                <w:rFonts w:hint="default" w:ascii="Times New Roman" w:hAnsi="Times New Roman" w:cs="Times New Roman"/>
                <w:b w:val="0"/>
                <w:bCs w:val="0"/>
                <w:color w:val="auto"/>
                <w:sz w:val="24"/>
                <w:highlight w:val="none"/>
                <w:vertAlign w:val="subscript"/>
              </w:rPr>
              <w:t>5</w:t>
            </w:r>
            <w:r>
              <w:rPr>
                <w:rFonts w:hint="default" w:ascii="Times New Roman" w:hAnsi="Times New Roman" w:cs="Times New Roman"/>
                <w:b w:val="0"/>
                <w:bCs w:val="0"/>
                <w:color w:val="auto"/>
                <w:sz w:val="24"/>
                <w:highlight w:val="none"/>
              </w:rPr>
              <w:t>、SS、NH</w:t>
            </w:r>
            <w:r>
              <w:rPr>
                <w:rFonts w:hint="default" w:ascii="Times New Roman" w:hAnsi="Times New Roman" w:cs="Times New Roman"/>
                <w:b w:val="0"/>
                <w:bCs w:val="0"/>
                <w:color w:val="auto"/>
                <w:sz w:val="24"/>
                <w:highlight w:val="none"/>
                <w:vertAlign w:val="subscript"/>
              </w:rPr>
              <w:t>3</w:t>
            </w:r>
            <w:r>
              <w:rPr>
                <w:rFonts w:hint="default" w:ascii="Times New Roman" w:hAnsi="Times New Roman" w:cs="Times New Roman"/>
                <w:b w:val="0"/>
                <w:bCs w:val="0"/>
                <w:color w:val="auto"/>
                <w:sz w:val="24"/>
                <w:highlight w:val="none"/>
              </w:rPr>
              <w:t>-N</w:t>
            </w:r>
            <w:r>
              <w:rPr>
                <w:rFonts w:hint="default" w:ascii="Times New Roman" w:hAnsi="Times New Roman" w:cs="Times New Roman"/>
                <w:b w:val="0"/>
                <w:bCs w:val="0"/>
                <w:color w:val="auto"/>
                <w:sz w:val="24"/>
                <w:highlight w:val="none"/>
                <w:lang w:eastAsia="zh-CN"/>
              </w:rPr>
              <w:t>、</w:t>
            </w:r>
            <w:r>
              <w:rPr>
                <w:rFonts w:hint="default" w:ascii="Times New Roman" w:hAnsi="Times New Roman" w:cs="Times New Roman"/>
                <w:b w:val="0"/>
                <w:bCs w:val="0"/>
                <w:color w:val="auto"/>
                <w:sz w:val="24"/>
                <w:highlight w:val="none"/>
                <w:lang w:val="en-US" w:eastAsia="zh-CN"/>
              </w:rPr>
              <w:t>总磷</w:t>
            </w:r>
            <w:r>
              <w:rPr>
                <w:rFonts w:hint="default" w:ascii="Times New Roman" w:hAnsi="Times New Roman" w:cs="Times New Roman"/>
                <w:b w:val="0"/>
                <w:bCs w:val="0"/>
                <w:color w:val="auto"/>
                <w:sz w:val="24"/>
                <w:highlight w:val="none"/>
              </w:rPr>
              <w:t>等。生活污水经三级化粪池预处理汇入</w:t>
            </w:r>
            <w:r>
              <w:rPr>
                <w:rFonts w:hint="eastAsia" w:ascii="Times New Roman" w:hAnsi="Times New Roman" w:cs="Times New Roman"/>
                <w:b w:val="0"/>
                <w:bCs w:val="0"/>
                <w:color w:val="auto"/>
                <w:sz w:val="24"/>
                <w:highlight w:val="none"/>
                <w:lang w:eastAsia="zh-CN"/>
              </w:rPr>
              <w:t>博罗县龙溪镇污水处理厂</w:t>
            </w:r>
            <w:r>
              <w:rPr>
                <w:rFonts w:hint="default" w:ascii="Times New Roman" w:hAnsi="Times New Roman" w:cs="Times New Roman"/>
                <w:b w:val="0"/>
                <w:bCs w:val="0"/>
                <w:color w:val="auto"/>
                <w:sz w:val="24"/>
                <w:highlight w:val="none"/>
              </w:rPr>
              <w:t>。</w:t>
            </w:r>
          </w:p>
          <w:p>
            <w:pPr>
              <w:adjustRightInd w:val="0"/>
              <w:snapToGrid w:val="0"/>
              <w:spacing w:line="360" w:lineRule="auto"/>
              <w:ind w:firstLine="482" w:firstLineChars="200"/>
              <w:rPr>
                <w:rFonts w:hint="default" w:ascii="Times New Roman" w:hAnsi="Times New Roman" w:eastAsia="宋体" w:cs="Times New Roman"/>
                <w:b/>
                <w:bCs/>
                <w:color w:val="auto"/>
                <w:kern w:val="2"/>
                <w:sz w:val="24"/>
                <w:szCs w:val="25"/>
                <w:highlight w:val="none"/>
                <w:lang w:val="en-US" w:eastAsia="zh-CN"/>
              </w:rPr>
            </w:pPr>
            <w:r>
              <w:rPr>
                <w:rFonts w:hint="eastAsia" w:ascii="Times New Roman" w:hAnsi="Times New Roman" w:eastAsia="宋体" w:cs="Times New Roman"/>
                <w:b/>
                <w:bCs/>
                <w:color w:val="auto"/>
                <w:kern w:val="2"/>
                <w:sz w:val="24"/>
                <w:szCs w:val="25"/>
                <w:highlight w:val="none"/>
                <w:lang w:val="en-US" w:eastAsia="zh-CN"/>
              </w:rPr>
              <w:t>2.2</w:t>
            </w:r>
            <w:r>
              <w:rPr>
                <w:rFonts w:hint="eastAsia"/>
                <w:b/>
                <w:bCs/>
                <w:color w:val="auto"/>
                <w:sz w:val="24"/>
                <w:highlight w:val="none"/>
              </w:rPr>
              <w:t>排污口设置及监测计划</w:t>
            </w:r>
          </w:p>
          <w:p>
            <w:pPr>
              <w:keepLines w:val="0"/>
              <w:pageBreakBefore w:val="0"/>
              <w:kinsoku/>
              <w:wordWrap/>
              <w:autoSpaceDE/>
              <w:autoSpaceDN/>
              <w:bidi w:val="0"/>
              <w:adjustRightInd w:val="0"/>
              <w:snapToGrid w:val="0"/>
              <w:spacing w:line="360" w:lineRule="auto"/>
              <w:ind w:leftChars="0" w:right="0" w:rightChars="0" w:firstLine="480" w:firstLineChars="200"/>
              <w:rPr>
                <w:rFonts w:hint="default" w:ascii="Times New Roman" w:hAnsi="Times New Roman" w:eastAsia="宋体" w:cs="Times New Roman"/>
                <w:color w:val="auto"/>
                <w:kern w:val="2"/>
                <w:sz w:val="24"/>
                <w:szCs w:val="25"/>
                <w:highlight w:val="none"/>
                <w:lang w:val="en-US" w:eastAsia="zh-CN"/>
              </w:rPr>
            </w:pPr>
            <w:r>
              <w:rPr>
                <w:rFonts w:hint="eastAsia"/>
                <w:color w:val="auto"/>
                <w:sz w:val="24"/>
                <w:szCs w:val="24"/>
                <w:highlight w:val="none"/>
                <w:lang w:val="en-US" w:eastAsia="zh-CN"/>
              </w:rPr>
              <w:t>根据</w:t>
            </w:r>
            <w:r>
              <w:rPr>
                <w:rFonts w:hint="eastAsia" w:ascii="宋体" w:hAnsi="宋体" w:cs="宋体"/>
                <w:color w:val="000000"/>
                <w:sz w:val="24"/>
                <w:highlight w:val="none"/>
                <w:lang w:bidi="ar"/>
              </w:rPr>
              <w:t>《排污许可证申请与核发技术规范 橡胶和塑料制品工业》（</w:t>
            </w:r>
            <w:r>
              <w:rPr>
                <w:color w:val="000000"/>
                <w:sz w:val="24"/>
                <w:highlight w:val="none"/>
                <w:lang w:bidi="ar"/>
              </w:rPr>
              <w:t>HJ11</w:t>
            </w:r>
            <w:r>
              <w:rPr>
                <w:rFonts w:hint="eastAsia"/>
                <w:color w:val="000000"/>
                <w:sz w:val="24"/>
                <w:highlight w:val="none"/>
                <w:lang w:bidi="ar"/>
              </w:rPr>
              <w:t>22</w:t>
            </w:r>
            <w:r>
              <w:rPr>
                <w:color w:val="000000"/>
                <w:sz w:val="24"/>
                <w:highlight w:val="none"/>
                <w:lang w:bidi="ar"/>
              </w:rPr>
              <w:t>-2020</w:t>
            </w:r>
            <w:r>
              <w:rPr>
                <w:rFonts w:hint="eastAsia" w:ascii="宋体" w:hAnsi="宋体" w:cs="宋体"/>
                <w:color w:val="000000"/>
                <w:sz w:val="24"/>
                <w:highlight w:val="none"/>
                <w:lang w:bidi="ar"/>
              </w:rPr>
              <w:t>）</w:t>
            </w:r>
            <w:r>
              <w:rPr>
                <w:rFonts w:hint="eastAsia"/>
                <w:color w:val="auto"/>
                <w:sz w:val="24"/>
                <w:szCs w:val="24"/>
                <w:highlight w:val="none"/>
                <w:lang w:val="en-US" w:eastAsia="zh-CN"/>
              </w:rPr>
              <w:t>自行监测管理要求，单独排入公共污水处理系统的生活污水无需开展自行监测。</w:t>
            </w:r>
          </w:p>
          <w:p>
            <w:pPr>
              <w:keepLines w:val="0"/>
              <w:pageBreakBefore w:val="0"/>
              <w:kinsoku/>
              <w:wordWrap/>
              <w:autoSpaceDE/>
              <w:autoSpaceDN/>
              <w:bidi w:val="0"/>
              <w:adjustRightInd w:val="0"/>
              <w:snapToGrid w:val="0"/>
              <w:spacing w:line="360" w:lineRule="auto"/>
              <w:ind w:leftChars="0" w:right="0" w:rightChars="0" w:firstLine="482" w:firstLineChars="200"/>
              <w:rPr>
                <w:rFonts w:hint="eastAsia" w:ascii="Times New Roman" w:hAnsi="Times New Roman" w:eastAsia="宋体" w:cs="Times New Roman"/>
                <w:b/>
                <w:bCs/>
                <w:color w:val="auto"/>
                <w:kern w:val="2"/>
                <w:sz w:val="24"/>
                <w:szCs w:val="25"/>
                <w:highlight w:val="none"/>
                <w:lang w:eastAsia="zh-CN"/>
              </w:rPr>
            </w:pPr>
            <w:r>
              <w:rPr>
                <w:rFonts w:hint="eastAsia" w:ascii="Times New Roman" w:hAnsi="Times New Roman" w:eastAsia="宋体" w:cs="Times New Roman"/>
                <w:b/>
                <w:bCs/>
                <w:color w:val="auto"/>
                <w:kern w:val="2"/>
                <w:sz w:val="24"/>
                <w:szCs w:val="25"/>
                <w:highlight w:val="none"/>
                <w:lang w:val="en-US" w:eastAsia="zh-CN"/>
              </w:rPr>
              <w:t>2.3生活污水</w:t>
            </w:r>
            <w:r>
              <w:rPr>
                <w:rFonts w:hint="eastAsia" w:ascii="Times New Roman" w:hAnsi="Times New Roman" w:eastAsia="宋体" w:cs="Times New Roman"/>
                <w:b/>
                <w:bCs/>
                <w:color w:val="auto"/>
                <w:kern w:val="2"/>
                <w:sz w:val="24"/>
                <w:szCs w:val="25"/>
                <w:highlight w:val="none"/>
                <w:lang w:eastAsia="zh-CN"/>
              </w:rPr>
              <w:t>依托博罗县龙溪镇污水处理厂</w:t>
            </w:r>
            <w:r>
              <w:rPr>
                <w:rFonts w:hint="eastAsia" w:ascii="Times New Roman" w:hAnsi="Times New Roman" w:eastAsia="宋体" w:cs="Times New Roman"/>
                <w:b/>
                <w:bCs/>
                <w:color w:val="auto"/>
                <w:kern w:val="2"/>
                <w:sz w:val="24"/>
                <w:szCs w:val="24"/>
                <w:highlight w:val="none"/>
              </w:rPr>
              <w:t>可行性分析</w:t>
            </w:r>
          </w:p>
          <w:p>
            <w:pPr>
              <w:spacing w:line="360" w:lineRule="auto"/>
              <w:ind w:firstLine="480" w:firstLineChars="200"/>
              <w:rPr>
                <w:rFonts w:hint="eastAsia" w:ascii="Times New Roman" w:hAnsi="Times New Roman" w:eastAsia="宋体" w:cs="Times New Roman"/>
                <w:b/>
                <w:bCs/>
                <w:color w:val="auto"/>
                <w:kern w:val="2"/>
                <w:sz w:val="24"/>
                <w:szCs w:val="25"/>
                <w:highlight w:val="none"/>
                <w:lang w:eastAsia="zh-CN"/>
              </w:rPr>
            </w:pPr>
            <w:r>
              <w:rPr>
                <w:rFonts w:hint="default" w:ascii="Times New Roman" w:hAnsi="Times New Roman" w:eastAsia="宋体" w:cs="Times New Roman"/>
                <w:color w:val="000000"/>
                <w:kern w:val="2"/>
                <w:sz w:val="24"/>
                <w:szCs w:val="25"/>
                <w:highlight w:val="none"/>
                <w:lang w:val="en-US" w:eastAsia="zh-CN"/>
              </w:rPr>
              <w:t>博罗县龙溪镇污水处理厂位于博罗县龙溪镇下寮村下埔，总占地面积约14850平方米，污水处理能力达到2万吨/日，根据调查，本项目位于博罗县龙溪镇污水处理厂服务范围，目前博罗县龙溪镇污水处理厂的实际处理规模为1.7万吨/日，剩余处理余量为0.3万吨/日，本项目生活污水产生量为</w:t>
            </w:r>
            <w:r>
              <w:rPr>
                <w:rFonts w:hint="eastAsia" w:ascii="Times New Roman" w:hAnsi="Times New Roman" w:eastAsia="宋体" w:cs="Times New Roman"/>
                <w:color w:val="000000"/>
                <w:kern w:val="2"/>
                <w:sz w:val="24"/>
                <w:szCs w:val="25"/>
                <w:highlight w:val="none"/>
                <w:lang w:val="en-US" w:eastAsia="zh-CN"/>
              </w:rPr>
              <w:t>0.1</w:t>
            </w:r>
            <w:r>
              <w:rPr>
                <w:rFonts w:hint="default" w:ascii="Times New Roman" w:hAnsi="Times New Roman" w:eastAsia="宋体" w:cs="Times New Roman"/>
                <w:color w:val="000000"/>
                <w:kern w:val="2"/>
                <w:sz w:val="24"/>
                <w:szCs w:val="25"/>
                <w:highlight w:val="none"/>
                <w:lang w:val="en-US" w:eastAsia="zh-CN"/>
              </w:rPr>
              <w:t>t/d，占剩余处理余量比例仅为</w:t>
            </w:r>
            <w:r>
              <w:rPr>
                <w:rFonts w:hint="eastAsia" w:ascii="Times New Roman" w:hAnsi="Times New Roman" w:eastAsia="宋体" w:cs="Times New Roman"/>
                <w:color w:val="000000"/>
                <w:kern w:val="2"/>
                <w:sz w:val="24"/>
                <w:szCs w:val="25"/>
                <w:highlight w:val="none"/>
                <w:lang w:val="en-US" w:eastAsia="zh-CN"/>
              </w:rPr>
              <w:t>0.00003</w:t>
            </w:r>
            <w:r>
              <w:rPr>
                <w:rFonts w:hint="default" w:ascii="Times New Roman" w:hAnsi="Times New Roman" w:eastAsia="宋体" w:cs="Times New Roman"/>
                <w:color w:val="000000"/>
                <w:kern w:val="2"/>
                <w:sz w:val="24"/>
                <w:szCs w:val="25"/>
                <w:highlight w:val="none"/>
                <w:lang w:val="en-US" w:eastAsia="zh-CN"/>
              </w:rPr>
              <w:t>%，因此该污水厂是有容量接收处理本项目生活污水的。本项目建成后产生的生活污水可通过市政污水管网进入博罗县龙溪镇污水处理厂处理。博罗县龙溪镇污水处理厂采用A/A/O、接触氧化法及D型滤池深度处理工艺，尾水排放氨氮和总磷执行《地表水环境质量标准》（GB3838－2002）V类标准，其他指标执行《城镇污水处理厂污染物排放标准》(GB18918-2002)一级标准的A类和广东省《水污染物排放限值》(DB44/26-2001)第二时段一级标准两者较严者要求，其中BOD5≤10mg/L、COD≤40mg/L、SS≤10mg/L、NH</w:t>
            </w:r>
            <w:r>
              <w:rPr>
                <w:rFonts w:hint="default" w:ascii="Times New Roman" w:hAnsi="Times New Roman" w:eastAsia="宋体" w:cs="Times New Roman"/>
                <w:color w:val="000000"/>
                <w:kern w:val="2"/>
                <w:sz w:val="24"/>
                <w:szCs w:val="25"/>
                <w:highlight w:val="none"/>
                <w:vertAlign w:val="subscript"/>
                <w:lang w:val="en-US" w:eastAsia="zh-CN"/>
              </w:rPr>
              <w:t>3</w:t>
            </w:r>
            <w:r>
              <w:rPr>
                <w:rFonts w:hint="default" w:ascii="Times New Roman" w:hAnsi="Times New Roman" w:eastAsia="宋体" w:cs="Times New Roman"/>
                <w:color w:val="000000"/>
                <w:kern w:val="2"/>
                <w:sz w:val="24"/>
                <w:szCs w:val="25"/>
                <w:highlight w:val="none"/>
                <w:lang w:val="en-US" w:eastAsia="zh-CN"/>
              </w:rPr>
              <w:t>-N≤2mg/L。项目建成后拟将生活污水预处理达到博罗县龙溪镇污水处理厂的接管标准，通过市政污水管网排入博罗县龙溪镇污水处理厂进行深度处理，其尾水排到排入中心排渠。综上所述，项目生活污水纳入博罗县龙溪镇污水处理厂处理达标后集中排放，对周围地表水环境影响不大</w:t>
            </w:r>
            <w:r>
              <w:rPr>
                <w:rFonts w:hint="default" w:ascii="Times New Roman" w:hAnsi="Times New Roman" w:eastAsia="宋体" w:cs="Times New Roman"/>
                <w:color w:val="auto"/>
                <w:kern w:val="0"/>
                <w:sz w:val="24"/>
                <w:szCs w:val="24"/>
                <w:highlight w:val="none"/>
                <w:lang w:val="en-US" w:eastAsia="zh-CN" w:bidi="ar-SA"/>
              </w:rPr>
              <w:t>。</w:t>
            </w:r>
          </w:p>
          <w:p>
            <w:pPr>
              <w:adjustRightInd w:val="0"/>
              <w:snapToGrid w:val="0"/>
              <w:spacing w:line="360" w:lineRule="auto"/>
              <w:ind w:firstLine="482" w:firstLineChars="200"/>
              <w:rPr>
                <w:rFonts w:hint="eastAsia"/>
                <w:b/>
                <w:bCs/>
                <w:color w:val="0C0C0C"/>
                <w:sz w:val="24"/>
                <w:szCs w:val="25"/>
                <w:highlight w:val="none"/>
              </w:rPr>
            </w:pPr>
            <w:r>
              <w:rPr>
                <w:rFonts w:hint="eastAsia"/>
                <w:b/>
                <w:bCs/>
                <w:color w:val="0C0C0C"/>
                <w:sz w:val="24"/>
                <w:szCs w:val="25"/>
                <w:highlight w:val="none"/>
              </w:rPr>
              <w:t>3.噪声</w:t>
            </w:r>
          </w:p>
          <w:p>
            <w:pPr>
              <w:adjustRightInd w:val="0"/>
              <w:snapToGrid w:val="0"/>
              <w:spacing w:line="360" w:lineRule="auto"/>
              <w:ind w:firstLine="482" w:firstLineChars="200"/>
              <w:rPr>
                <w:rFonts w:hint="eastAsia"/>
                <w:b/>
                <w:bCs/>
                <w:color w:val="0C0C0C"/>
                <w:sz w:val="24"/>
                <w:highlight w:val="none"/>
              </w:rPr>
            </w:pPr>
            <w:r>
              <w:rPr>
                <w:rFonts w:hint="eastAsia"/>
                <w:b/>
                <w:bCs/>
                <w:color w:val="0C0C0C"/>
                <w:sz w:val="24"/>
                <w:highlight w:val="none"/>
              </w:rPr>
              <w:t>3.1噪声源强</w:t>
            </w:r>
          </w:p>
          <w:p>
            <w:pPr>
              <w:widowControl/>
              <w:adjustRightInd w:val="0"/>
              <w:snapToGrid w:val="0"/>
              <w:spacing w:line="360" w:lineRule="auto"/>
              <w:ind w:firstLine="480" w:firstLineChars="200"/>
              <w:jc w:val="left"/>
              <w:rPr>
                <w:rFonts w:hint="eastAsia"/>
                <w:b/>
                <w:color w:val="0C0C0C"/>
                <w:kern w:val="0"/>
                <w:szCs w:val="21"/>
                <w:highlight w:val="none"/>
              </w:rPr>
            </w:pPr>
            <w:r>
              <w:rPr>
                <w:color w:val="0C0C0C"/>
                <w:sz w:val="24"/>
                <w:highlight w:val="none"/>
                <w:lang w:bidi="ar"/>
              </w:rPr>
              <w:t>项目的主要噪声为：</w:t>
            </w:r>
            <w:r>
              <w:rPr>
                <w:rFonts w:hint="eastAsia"/>
                <w:color w:val="0C0C0C"/>
                <w:sz w:val="24"/>
                <w:highlight w:val="none"/>
                <w:lang w:bidi="ar"/>
              </w:rPr>
              <w:t>破碎</w:t>
            </w:r>
            <w:r>
              <w:rPr>
                <w:rFonts w:hint="eastAsia" w:cs="宋体"/>
                <w:color w:val="0C0C0C"/>
                <w:sz w:val="24"/>
                <w:highlight w:val="none"/>
                <w:lang w:bidi="ar"/>
              </w:rPr>
              <w:t>、</w:t>
            </w:r>
            <w:r>
              <w:rPr>
                <w:rFonts w:hint="eastAsia" w:cs="宋体"/>
                <w:color w:val="0C0C0C"/>
                <w:sz w:val="24"/>
                <w:highlight w:val="none"/>
                <w:lang w:eastAsia="zh-CN" w:bidi="ar"/>
              </w:rPr>
              <w:t>注塑</w:t>
            </w:r>
            <w:r>
              <w:rPr>
                <w:rFonts w:hint="eastAsia" w:cs="宋体"/>
                <w:color w:val="0C0C0C"/>
                <w:sz w:val="24"/>
                <w:highlight w:val="none"/>
                <w:lang w:bidi="ar"/>
              </w:rPr>
              <w:t>工序的</w:t>
            </w:r>
            <w:r>
              <w:rPr>
                <w:color w:val="0C0C0C"/>
                <w:sz w:val="24"/>
                <w:highlight w:val="none"/>
                <w:lang w:bidi="ar"/>
              </w:rPr>
              <w:t>生产设备的运行噪声，</w:t>
            </w:r>
            <w:r>
              <w:rPr>
                <w:rFonts w:hint="eastAsia" w:cs="宋体"/>
                <w:color w:val="0C0C0C"/>
                <w:sz w:val="24"/>
                <w:highlight w:val="none"/>
                <w:lang w:bidi="ar"/>
              </w:rPr>
              <w:t>单台设备</w:t>
            </w:r>
            <w:r>
              <w:rPr>
                <w:color w:val="0C0C0C"/>
                <w:sz w:val="24"/>
                <w:highlight w:val="none"/>
                <w:lang w:bidi="ar"/>
              </w:rPr>
              <w:t>噪声值约为</w:t>
            </w:r>
            <w:r>
              <w:rPr>
                <w:rFonts w:hint="eastAsia"/>
                <w:color w:val="0C0C0C"/>
                <w:sz w:val="24"/>
                <w:highlight w:val="none"/>
                <w:lang w:val="en-US" w:eastAsia="zh-CN" w:bidi="ar"/>
              </w:rPr>
              <w:t>70</w:t>
            </w:r>
            <w:r>
              <w:rPr>
                <w:color w:val="0C0C0C"/>
                <w:sz w:val="24"/>
                <w:highlight w:val="none"/>
                <w:lang w:bidi="ar"/>
              </w:rPr>
              <w:t>～80dB</w:t>
            </w:r>
            <w:r>
              <w:rPr>
                <w:rFonts w:hint="eastAsia" w:ascii="宋体" w:hAnsi="宋体" w:cs="宋体"/>
                <w:color w:val="0C0C0C"/>
                <w:sz w:val="24"/>
                <w:highlight w:val="none"/>
                <w:lang w:bidi="ar"/>
              </w:rPr>
              <w:t>（</w:t>
            </w:r>
            <w:r>
              <w:rPr>
                <w:color w:val="0C0C0C"/>
                <w:sz w:val="24"/>
                <w:highlight w:val="none"/>
                <w:lang w:bidi="ar"/>
              </w:rPr>
              <w:t>A</w:t>
            </w:r>
            <w:r>
              <w:rPr>
                <w:rFonts w:hint="eastAsia" w:ascii="宋体" w:hAnsi="宋体" w:cs="宋体"/>
                <w:color w:val="0C0C0C"/>
                <w:sz w:val="24"/>
                <w:highlight w:val="none"/>
                <w:lang w:bidi="ar"/>
              </w:rPr>
              <w:t>）</w:t>
            </w:r>
            <w:r>
              <w:rPr>
                <w:rFonts w:hint="eastAsia" w:cs="宋体"/>
                <w:color w:val="0C0C0C"/>
                <w:sz w:val="24"/>
                <w:highlight w:val="none"/>
                <w:lang w:bidi="ar"/>
              </w:rPr>
              <w:t>，</w:t>
            </w:r>
            <w:r>
              <w:rPr>
                <w:rFonts w:hint="eastAsia" w:ascii="宋体" w:hAnsi="宋体" w:cs="宋体"/>
                <w:color w:val="0C0C0C"/>
                <w:sz w:val="24"/>
                <w:highlight w:val="none"/>
                <w:lang w:bidi="ar"/>
              </w:rPr>
              <w:t>其声源强详见下表。</w:t>
            </w:r>
          </w:p>
          <w:p>
            <w:pPr>
              <w:adjustRightInd w:val="0"/>
              <w:snapToGrid w:val="0"/>
              <w:ind w:firstLine="422" w:firstLineChars="200"/>
              <w:jc w:val="center"/>
              <w:rPr>
                <w:b/>
                <w:color w:val="0C0C0C"/>
                <w:kern w:val="0"/>
                <w:szCs w:val="21"/>
                <w:highlight w:val="none"/>
              </w:rPr>
            </w:pPr>
            <w:r>
              <w:rPr>
                <w:rFonts w:hint="eastAsia"/>
                <w:b/>
                <w:color w:val="0C0C0C"/>
                <w:kern w:val="0"/>
                <w:szCs w:val="21"/>
                <w:highlight w:val="none"/>
              </w:rPr>
              <w:t>表</w:t>
            </w:r>
            <w:r>
              <w:rPr>
                <w:rFonts w:hint="eastAsia"/>
                <w:b/>
                <w:color w:val="0C0C0C"/>
                <w:kern w:val="0"/>
                <w:szCs w:val="21"/>
                <w:highlight w:val="none"/>
                <w:lang w:val="en-US" w:eastAsia="zh-CN"/>
              </w:rPr>
              <w:t>4-12</w:t>
            </w:r>
            <w:r>
              <w:rPr>
                <w:rFonts w:hint="eastAsia"/>
                <w:b/>
                <w:color w:val="0C0C0C"/>
                <w:kern w:val="0"/>
                <w:szCs w:val="21"/>
                <w:highlight w:val="none"/>
              </w:rPr>
              <w:t>项目噪声排放情况一览表</w:t>
            </w:r>
          </w:p>
          <w:tbl>
            <w:tblPr>
              <w:tblStyle w:val="24"/>
              <w:tblW w:w="8835" w:type="dxa"/>
              <w:tblInd w:w="-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671"/>
              <w:gridCol w:w="761"/>
              <w:gridCol w:w="1015"/>
              <w:gridCol w:w="1263"/>
              <w:gridCol w:w="1125"/>
              <w:gridCol w:w="1095"/>
              <w:gridCol w:w="915"/>
              <w:gridCol w:w="1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85" w:type="dxa"/>
                  <w:tcBorders>
                    <w:top w:val="single" w:color="auto" w:sz="4" w:space="0"/>
                    <w:left w:val="single" w:color="auto" w:sz="4" w:space="0"/>
                    <w:bottom w:val="single" w:color="auto" w:sz="4" w:space="0"/>
                    <w:right w:val="single" w:color="auto" w:sz="4" w:space="0"/>
                  </w:tcBorders>
                  <w:noWrap w:val="0"/>
                  <w:vAlign w:val="center"/>
                </w:tcPr>
                <w:p>
                  <w:pPr>
                    <w:autoSpaceDE w:val="0"/>
                    <w:jc w:val="center"/>
                    <w:rPr>
                      <w:rFonts w:hint="eastAsia" w:ascii="宋体" w:hAnsi="宋体" w:cs="宋体"/>
                      <w:b/>
                      <w:bCs/>
                      <w:color w:val="0C0C0C"/>
                      <w:szCs w:val="21"/>
                      <w:highlight w:val="none"/>
                    </w:rPr>
                  </w:pPr>
                  <w:r>
                    <w:rPr>
                      <w:rFonts w:hint="eastAsia" w:ascii="宋体" w:hAnsi="宋体" w:cs="宋体"/>
                      <w:b/>
                      <w:bCs/>
                      <w:color w:val="0C0C0C"/>
                      <w:szCs w:val="21"/>
                      <w:highlight w:val="none"/>
                      <w:lang w:bidi="ar"/>
                    </w:rPr>
                    <w:t>噪声源强</w:t>
                  </w:r>
                </w:p>
              </w:tc>
              <w:tc>
                <w:tcPr>
                  <w:tcW w:w="671" w:type="dxa"/>
                  <w:tcBorders>
                    <w:top w:val="single" w:color="auto" w:sz="4" w:space="0"/>
                    <w:left w:val="nil"/>
                    <w:bottom w:val="single" w:color="auto" w:sz="4" w:space="0"/>
                    <w:right w:val="single" w:color="auto" w:sz="4" w:space="0"/>
                  </w:tcBorders>
                  <w:noWrap w:val="0"/>
                  <w:vAlign w:val="center"/>
                </w:tcPr>
                <w:p>
                  <w:pPr>
                    <w:autoSpaceDE w:val="0"/>
                    <w:jc w:val="center"/>
                    <w:rPr>
                      <w:rFonts w:hint="eastAsia" w:ascii="宋体" w:hAnsi="宋体" w:cs="宋体"/>
                      <w:b/>
                      <w:bCs/>
                      <w:color w:val="0C0C0C"/>
                      <w:szCs w:val="21"/>
                      <w:highlight w:val="none"/>
                    </w:rPr>
                  </w:pPr>
                  <w:r>
                    <w:rPr>
                      <w:rFonts w:hint="eastAsia" w:ascii="宋体" w:hAnsi="宋体" w:cs="宋体"/>
                      <w:b/>
                      <w:bCs/>
                      <w:color w:val="0C0C0C"/>
                      <w:szCs w:val="21"/>
                      <w:highlight w:val="none"/>
                      <w:lang w:bidi="ar"/>
                    </w:rPr>
                    <w:t>数量</w:t>
                  </w:r>
                </w:p>
              </w:tc>
              <w:tc>
                <w:tcPr>
                  <w:tcW w:w="761" w:type="dxa"/>
                  <w:tcBorders>
                    <w:top w:val="single" w:color="auto" w:sz="4" w:space="0"/>
                    <w:left w:val="nil"/>
                    <w:bottom w:val="single" w:color="auto" w:sz="4" w:space="0"/>
                    <w:right w:val="single" w:color="auto" w:sz="4" w:space="0"/>
                  </w:tcBorders>
                  <w:noWrap w:val="0"/>
                  <w:vAlign w:val="center"/>
                </w:tcPr>
                <w:p>
                  <w:pPr>
                    <w:autoSpaceDE w:val="0"/>
                    <w:jc w:val="center"/>
                    <w:rPr>
                      <w:rFonts w:hint="eastAsia" w:ascii="宋体" w:hAnsi="宋体" w:cs="宋体"/>
                      <w:b/>
                      <w:bCs/>
                      <w:color w:val="0C0C0C"/>
                      <w:szCs w:val="21"/>
                      <w:highlight w:val="none"/>
                    </w:rPr>
                  </w:pPr>
                  <w:r>
                    <w:rPr>
                      <w:rFonts w:hint="eastAsia" w:ascii="宋体" w:hAnsi="宋体" w:cs="宋体"/>
                      <w:b/>
                      <w:bCs/>
                      <w:color w:val="0C0C0C"/>
                      <w:szCs w:val="21"/>
                      <w:highlight w:val="none"/>
                      <w:lang w:bidi="ar"/>
                    </w:rPr>
                    <w:t>位置</w:t>
                  </w:r>
                </w:p>
              </w:tc>
              <w:tc>
                <w:tcPr>
                  <w:tcW w:w="1015" w:type="dxa"/>
                  <w:tcBorders>
                    <w:top w:val="single" w:color="auto" w:sz="4" w:space="0"/>
                    <w:left w:val="nil"/>
                    <w:bottom w:val="single" w:color="auto" w:sz="4" w:space="0"/>
                    <w:right w:val="single" w:color="auto" w:sz="4" w:space="0"/>
                  </w:tcBorders>
                  <w:noWrap w:val="0"/>
                  <w:vAlign w:val="center"/>
                </w:tcPr>
                <w:p>
                  <w:pPr>
                    <w:autoSpaceDE w:val="0"/>
                    <w:jc w:val="center"/>
                    <w:rPr>
                      <w:rFonts w:hint="eastAsia" w:ascii="宋体" w:hAnsi="宋体" w:cs="宋体"/>
                      <w:b/>
                      <w:bCs/>
                      <w:color w:val="0C0C0C"/>
                      <w:szCs w:val="21"/>
                      <w:highlight w:val="none"/>
                      <w:lang w:bidi="ar"/>
                    </w:rPr>
                  </w:pPr>
                  <w:r>
                    <w:rPr>
                      <w:rFonts w:hint="eastAsia" w:ascii="宋体" w:hAnsi="宋体" w:cs="宋体"/>
                      <w:b/>
                      <w:bCs/>
                      <w:color w:val="0C0C0C"/>
                      <w:szCs w:val="21"/>
                      <w:highlight w:val="none"/>
                      <w:lang w:bidi="ar"/>
                    </w:rPr>
                    <w:t>产生源强dB(A)</w:t>
                  </w:r>
                </w:p>
              </w:tc>
              <w:tc>
                <w:tcPr>
                  <w:tcW w:w="1263" w:type="dxa"/>
                  <w:tcBorders>
                    <w:top w:val="single" w:color="auto" w:sz="4" w:space="0"/>
                    <w:left w:val="nil"/>
                    <w:bottom w:val="single" w:color="auto" w:sz="4" w:space="0"/>
                    <w:right w:val="single" w:color="auto" w:sz="4" w:space="0"/>
                  </w:tcBorders>
                  <w:noWrap w:val="0"/>
                  <w:vAlign w:val="center"/>
                </w:tcPr>
                <w:p>
                  <w:pPr>
                    <w:autoSpaceDE w:val="0"/>
                    <w:jc w:val="center"/>
                    <w:rPr>
                      <w:rFonts w:hint="eastAsia" w:ascii="宋体" w:hAnsi="宋体" w:cs="宋体"/>
                      <w:b/>
                      <w:bCs/>
                      <w:color w:val="0C0C0C"/>
                      <w:szCs w:val="21"/>
                      <w:highlight w:val="none"/>
                      <w:lang w:bidi="ar"/>
                    </w:rPr>
                  </w:pPr>
                  <w:r>
                    <w:rPr>
                      <w:rFonts w:hint="eastAsia" w:ascii="宋体" w:hAnsi="宋体" w:cs="宋体"/>
                      <w:b/>
                      <w:bCs/>
                      <w:color w:val="0C0C0C"/>
                      <w:szCs w:val="21"/>
                      <w:highlight w:val="none"/>
                      <w:lang w:bidi="ar"/>
                    </w:rPr>
                    <w:t>降噪措施</w:t>
                  </w:r>
                </w:p>
              </w:tc>
              <w:tc>
                <w:tcPr>
                  <w:tcW w:w="1125" w:type="dxa"/>
                  <w:tcBorders>
                    <w:top w:val="single" w:color="auto" w:sz="4" w:space="0"/>
                    <w:left w:val="nil"/>
                    <w:bottom w:val="single" w:color="auto" w:sz="4" w:space="0"/>
                    <w:right w:val="single" w:color="auto" w:sz="4" w:space="0"/>
                  </w:tcBorders>
                  <w:noWrap w:val="0"/>
                  <w:vAlign w:val="center"/>
                </w:tcPr>
                <w:p>
                  <w:pPr>
                    <w:autoSpaceDE w:val="0"/>
                    <w:jc w:val="center"/>
                    <w:rPr>
                      <w:rFonts w:hint="eastAsia" w:ascii="宋体" w:hAnsi="宋体" w:cs="宋体"/>
                      <w:b/>
                      <w:bCs/>
                      <w:color w:val="0C0C0C"/>
                      <w:szCs w:val="21"/>
                      <w:highlight w:val="none"/>
                      <w:lang w:bidi="ar"/>
                    </w:rPr>
                  </w:pPr>
                  <w:r>
                    <w:rPr>
                      <w:rFonts w:hint="eastAsia" w:ascii="宋体" w:hAnsi="宋体" w:cs="宋体"/>
                      <w:b/>
                      <w:bCs/>
                      <w:color w:val="0C0C0C"/>
                      <w:szCs w:val="21"/>
                      <w:highlight w:val="none"/>
                      <w:lang w:bidi="ar"/>
                    </w:rPr>
                    <w:t>降噪效果</w:t>
                  </w:r>
                  <w:r>
                    <w:rPr>
                      <w:b/>
                      <w:bCs/>
                      <w:color w:val="0C0C0C"/>
                      <w:szCs w:val="21"/>
                      <w:highlight w:val="none"/>
                    </w:rPr>
                    <w:t>dB(A</w:t>
                  </w:r>
                  <w:r>
                    <w:rPr>
                      <w:color w:val="0C0C0C"/>
                      <w:szCs w:val="21"/>
                      <w:highlight w:val="none"/>
                    </w:rPr>
                    <w:t>)</w:t>
                  </w:r>
                </w:p>
              </w:tc>
              <w:tc>
                <w:tcPr>
                  <w:tcW w:w="1095" w:type="dxa"/>
                  <w:tcBorders>
                    <w:top w:val="single" w:color="auto" w:sz="4" w:space="0"/>
                    <w:left w:val="nil"/>
                    <w:bottom w:val="single" w:color="auto" w:sz="4" w:space="0"/>
                    <w:right w:val="single" w:color="auto" w:sz="4" w:space="0"/>
                  </w:tcBorders>
                  <w:noWrap w:val="0"/>
                  <w:vAlign w:val="center"/>
                </w:tcPr>
                <w:p>
                  <w:pPr>
                    <w:autoSpaceDE w:val="0"/>
                    <w:jc w:val="center"/>
                    <w:rPr>
                      <w:rFonts w:hint="eastAsia" w:ascii="宋体" w:hAnsi="宋体" w:cs="宋体"/>
                      <w:b/>
                      <w:bCs/>
                      <w:color w:val="0C0C0C"/>
                      <w:szCs w:val="21"/>
                      <w:highlight w:val="none"/>
                      <w:lang w:bidi="ar"/>
                    </w:rPr>
                  </w:pPr>
                  <w:r>
                    <w:rPr>
                      <w:rFonts w:hint="eastAsia" w:ascii="宋体" w:hAnsi="宋体" w:cs="宋体"/>
                      <w:b/>
                      <w:bCs/>
                      <w:color w:val="0C0C0C"/>
                      <w:szCs w:val="21"/>
                      <w:highlight w:val="none"/>
                      <w:lang w:bidi="ar"/>
                    </w:rPr>
                    <w:t>排放强度</w:t>
                  </w:r>
                </w:p>
                <w:p>
                  <w:pPr>
                    <w:autoSpaceDE w:val="0"/>
                    <w:jc w:val="center"/>
                    <w:rPr>
                      <w:rFonts w:hint="eastAsia" w:ascii="宋体" w:hAnsi="宋体" w:cs="宋体"/>
                      <w:b/>
                      <w:bCs/>
                      <w:color w:val="0C0C0C"/>
                      <w:szCs w:val="21"/>
                      <w:highlight w:val="none"/>
                    </w:rPr>
                  </w:pPr>
                  <w:r>
                    <w:rPr>
                      <w:b/>
                      <w:bCs/>
                      <w:color w:val="0C0C0C"/>
                      <w:szCs w:val="21"/>
                      <w:highlight w:val="none"/>
                    </w:rPr>
                    <w:t>dB(A</w:t>
                  </w:r>
                  <w:r>
                    <w:rPr>
                      <w:color w:val="0C0C0C"/>
                      <w:szCs w:val="21"/>
                      <w:highlight w:val="none"/>
                    </w:rPr>
                    <w:t>)</w:t>
                  </w:r>
                </w:p>
              </w:tc>
              <w:tc>
                <w:tcPr>
                  <w:tcW w:w="915" w:type="dxa"/>
                  <w:tcBorders>
                    <w:top w:val="single" w:color="auto" w:sz="4" w:space="0"/>
                    <w:left w:val="nil"/>
                    <w:bottom w:val="single" w:color="auto" w:sz="4" w:space="0"/>
                    <w:right w:val="single" w:color="auto" w:sz="4" w:space="0"/>
                  </w:tcBorders>
                  <w:noWrap w:val="0"/>
                  <w:vAlign w:val="center"/>
                </w:tcPr>
                <w:p>
                  <w:pPr>
                    <w:autoSpaceDE w:val="0"/>
                    <w:jc w:val="center"/>
                    <w:rPr>
                      <w:rFonts w:hint="eastAsia" w:ascii="宋体" w:hAnsi="宋体" w:cs="宋体"/>
                      <w:b/>
                      <w:bCs/>
                      <w:color w:val="0C0C0C"/>
                      <w:szCs w:val="21"/>
                      <w:highlight w:val="none"/>
                      <w:lang w:bidi="ar"/>
                    </w:rPr>
                  </w:pPr>
                  <w:r>
                    <w:rPr>
                      <w:rFonts w:hint="eastAsia" w:ascii="宋体" w:hAnsi="宋体" w:cs="宋体"/>
                      <w:b/>
                      <w:bCs/>
                      <w:color w:val="0C0C0C"/>
                      <w:szCs w:val="21"/>
                      <w:highlight w:val="none"/>
                      <w:lang w:bidi="ar"/>
                    </w:rPr>
                    <w:t>叠加值</w:t>
                  </w:r>
                  <w:r>
                    <w:rPr>
                      <w:b/>
                      <w:bCs/>
                      <w:color w:val="0C0C0C"/>
                      <w:szCs w:val="21"/>
                      <w:highlight w:val="none"/>
                    </w:rPr>
                    <w:t>dB(A</w:t>
                  </w:r>
                  <w:r>
                    <w:rPr>
                      <w:color w:val="0C0C0C"/>
                      <w:szCs w:val="21"/>
                      <w:highlight w:val="none"/>
                    </w:rPr>
                    <w:t>)</w:t>
                  </w:r>
                </w:p>
              </w:tc>
              <w:tc>
                <w:tcPr>
                  <w:tcW w:w="1005" w:type="dxa"/>
                  <w:tcBorders>
                    <w:top w:val="single" w:color="auto" w:sz="4" w:space="0"/>
                    <w:left w:val="nil"/>
                    <w:bottom w:val="single" w:color="auto" w:sz="4" w:space="0"/>
                    <w:right w:val="single" w:color="auto" w:sz="4" w:space="0"/>
                  </w:tcBorders>
                  <w:noWrap w:val="0"/>
                  <w:vAlign w:val="center"/>
                </w:tcPr>
                <w:p>
                  <w:pPr>
                    <w:autoSpaceDE w:val="0"/>
                    <w:jc w:val="center"/>
                    <w:rPr>
                      <w:rFonts w:hint="eastAsia" w:ascii="宋体" w:hAnsi="宋体" w:cs="宋体"/>
                      <w:b/>
                      <w:bCs/>
                      <w:color w:val="0C0C0C"/>
                      <w:szCs w:val="21"/>
                      <w:highlight w:val="none"/>
                      <w:lang w:bidi="ar"/>
                    </w:rPr>
                  </w:pPr>
                  <w:r>
                    <w:rPr>
                      <w:rFonts w:hint="eastAsia" w:ascii="宋体" w:hAnsi="宋体" w:cs="宋体"/>
                      <w:b/>
                      <w:bCs/>
                      <w:color w:val="0C0C0C"/>
                      <w:szCs w:val="21"/>
                      <w:highlight w:val="none"/>
                      <w:lang w:bidi="ar"/>
                    </w:rPr>
                    <w:t>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s="宋体"/>
                      <w:bCs/>
                      <w:color w:val="0C0C0C"/>
                      <w:kern w:val="2"/>
                      <w:sz w:val="21"/>
                      <w:szCs w:val="21"/>
                      <w:highlight w:val="none"/>
                      <w:lang w:val="en-US" w:eastAsia="zh-CN" w:bidi="ar-SA"/>
                    </w:rPr>
                  </w:pPr>
                  <w:r>
                    <w:rPr>
                      <w:rFonts w:hint="eastAsia" w:cs="宋体"/>
                      <w:bCs/>
                      <w:color w:val="0C0C0C"/>
                      <w:szCs w:val="21"/>
                      <w:highlight w:val="none"/>
                      <w:lang w:eastAsia="zh-CN"/>
                    </w:rPr>
                    <w:t>注塑机</w:t>
                  </w:r>
                </w:p>
              </w:tc>
              <w:tc>
                <w:tcPr>
                  <w:tcW w:w="671"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color w:val="0C0C0C"/>
                      <w:szCs w:val="21"/>
                      <w:highlight w:val="none"/>
                      <w:lang w:bidi="ar"/>
                    </w:rPr>
                  </w:pPr>
                  <w:r>
                    <w:rPr>
                      <w:rFonts w:hint="eastAsia" w:cs="宋体"/>
                      <w:bCs/>
                      <w:color w:val="0C0C0C"/>
                      <w:szCs w:val="21"/>
                      <w:highlight w:val="none"/>
                      <w:lang w:val="en-US" w:eastAsia="zh-CN"/>
                    </w:rPr>
                    <w:t>20台</w:t>
                  </w:r>
                </w:p>
              </w:tc>
              <w:tc>
                <w:tcPr>
                  <w:tcW w:w="761"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生产车间</w:t>
                  </w:r>
                </w:p>
              </w:tc>
              <w:tc>
                <w:tcPr>
                  <w:tcW w:w="101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70</w:t>
                  </w:r>
                </w:p>
              </w:tc>
              <w:tc>
                <w:tcPr>
                  <w:tcW w:w="1263"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隔声、减震</w:t>
                  </w:r>
                </w:p>
              </w:tc>
              <w:tc>
                <w:tcPr>
                  <w:tcW w:w="112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25</w:t>
                  </w:r>
                </w:p>
              </w:tc>
              <w:tc>
                <w:tcPr>
                  <w:tcW w:w="109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45</w:t>
                  </w:r>
                </w:p>
              </w:tc>
              <w:tc>
                <w:tcPr>
                  <w:tcW w:w="915" w:type="dxa"/>
                  <w:vMerge w:val="restart"/>
                  <w:tcBorders>
                    <w:top w:val="single" w:color="auto" w:sz="4" w:space="0"/>
                    <w:left w:val="nil"/>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64.62</w:t>
                  </w:r>
                </w:p>
              </w:tc>
              <w:tc>
                <w:tcPr>
                  <w:tcW w:w="100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eastAsia="宋体" w:cs="宋体"/>
                      <w:bCs/>
                      <w:color w:val="0C0C0C"/>
                      <w:kern w:val="2"/>
                      <w:sz w:val="21"/>
                      <w:szCs w:val="21"/>
                      <w:highlight w:val="none"/>
                      <w:lang w:val="en-US" w:eastAsia="zh-CN" w:bidi="ar-SA"/>
                    </w:rPr>
                  </w:pPr>
                  <w:r>
                    <w:rPr>
                      <w:rFonts w:hint="eastAsia" w:cs="宋体"/>
                      <w:bCs/>
                      <w:color w:val="0C0C0C"/>
                      <w:szCs w:val="21"/>
                      <w:highlight w:val="none"/>
                      <w:lang w:eastAsia="zh-CN"/>
                    </w:rPr>
                    <w:t>破碎机</w:t>
                  </w:r>
                </w:p>
              </w:tc>
              <w:tc>
                <w:tcPr>
                  <w:tcW w:w="671"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宋体" w:hAnsi="宋体" w:cs="宋体"/>
                      <w:color w:val="0C0C0C"/>
                      <w:szCs w:val="21"/>
                      <w:highlight w:val="none"/>
                      <w:lang w:bidi="ar"/>
                    </w:rPr>
                  </w:pPr>
                  <w:r>
                    <w:rPr>
                      <w:rFonts w:hint="eastAsia" w:cs="宋体"/>
                      <w:bCs/>
                      <w:color w:val="0C0C0C"/>
                      <w:szCs w:val="21"/>
                      <w:highlight w:val="none"/>
                      <w:lang w:val="en-US" w:eastAsia="zh-CN"/>
                    </w:rPr>
                    <w:t>4台</w:t>
                  </w:r>
                </w:p>
              </w:tc>
              <w:tc>
                <w:tcPr>
                  <w:tcW w:w="761"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生产车间</w:t>
                  </w:r>
                </w:p>
              </w:tc>
              <w:tc>
                <w:tcPr>
                  <w:tcW w:w="101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80</w:t>
                  </w:r>
                </w:p>
              </w:tc>
              <w:tc>
                <w:tcPr>
                  <w:tcW w:w="1263"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隔声、减震</w:t>
                  </w:r>
                </w:p>
              </w:tc>
              <w:tc>
                <w:tcPr>
                  <w:tcW w:w="112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25</w:t>
                  </w:r>
                </w:p>
              </w:tc>
              <w:tc>
                <w:tcPr>
                  <w:tcW w:w="109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55</w:t>
                  </w:r>
                </w:p>
              </w:tc>
              <w:tc>
                <w:tcPr>
                  <w:tcW w:w="915" w:type="dxa"/>
                  <w:vMerge w:val="continue"/>
                  <w:tcBorders>
                    <w:left w:val="nil"/>
                    <w:right w:val="single" w:color="auto" w:sz="4" w:space="0"/>
                  </w:tcBorders>
                  <w:noWrap w:val="0"/>
                  <w:vAlign w:val="center"/>
                </w:tcPr>
                <w:p>
                  <w:pPr>
                    <w:adjustRightInd w:val="0"/>
                    <w:snapToGrid w:val="0"/>
                    <w:jc w:val="center"/>
                    <w:rPr>
                      <w:rFonts w:hint="eastAsia" w:ascii="Times New Roman" w:hAnsi="Times New Roman" w:eastAsia="宋体" w:cs="宋体"/>
                      <w:bCs/>
                      <w:color w:val="0C0C0C"/>
                      <w:szCs w:val="21"/>
                      <w:highlight w:val="none"/>
                      <w:lang w:val="en-US" w:eastAsia="zh-CN"/>
                    </w:rPr>
                  </w:pPr>
                </w:p>
              </w:tc>
              <w:tc>
                <w:tcPr>
                  <w:tcW w:w="100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85"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cs="宋体"/>
                      <w:bCs/>
                      <w:color w:val="0C0C0C"/>
                      <w:szCs w:val="21"/>
                      <w:highlight w:val="none"/>
                      <w:lang w:val="en-US" w:eastAsia="zh-CN"/>
                    </w:rPr>
                  </w:pPr>
                  <w:r>
                    <w:rPr>
                      <w:rFonts w:hint="eastAsia" w:cs="宋体"/>
                      <w:bCs/>
                      <w:color w:val="0C0C0C"/>
                      <w:szCs w:val="21"/>
                      <w:highlight w:val="none"/>
                      <w:lang w:val="en-US" w:eastAsia="zh-CN"/>
                    </w:rPr>
                    <w:t>废气处理设施风机</w:t>
                  </w:r>
                </w:p>
              </w:tc>
              <w:tc>
                <w:tcPr>
                  <w:tcW w:w="671"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cs="宋体"/>
                      <w:bCs/>
                      <w:color w:val="0C0C0C"/>
                      <w:szCs w:val="21"/>
                      <w:highlight w:val="none"/>
                      <w:lang w:val="en-US" w:eastAsia="zh-CN"/>
                    </w:rPr>
                  </w:pPr>
                  <w:r>
                    <w:rPr>
                      <w:rFonts w:hint="eastAsia" w:cs="宋体"/>
                      <w:bCs/>
                      <w:color w:val="0C0C0C"/>
                      <w:szCs w:val="21"/>
                      <w:highlight w:val="none"/>
                      <w:lang w:val="en-US" w:eastAsia="zh-CN"/>
                    </w:rPr>
                    <w:t>1台</w:t>
                  </w:r>
                </w:p>
              </w:tc>
              <w:tc>
                <w:tcPr>
                  <w:tcW w:w="761"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生产车间外</w:t>
                  </w:r>
                </w:p>
              </w:tc>
              <w:tc>
                <w:tcPr>
                  <w:tcW w:w="101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85</w:t>
                  </w:r>
                </w:p>
              </w:tc>
              <w:tc>
                <w:tcPr>
                  <w:tcW w:w="1263"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宋体"/>
                      <w:bCs/>
                      <w:color w:val="0C0C0C"/>
                      <w:kern w:val="2"/>
                      <w:sz w:val="21"/>
                      <w:szCs w:val="21"/>
                      <w:highlight w:val="none"/>
                      <w:lang w:val="en-US" w:eastAsia="zh-CN" w:bidi="ar-SA"/>
                    </w:rPr>
                  </w:pPr>
                  <w:r>
                    <w:rPr>
                      <w:rFonts w:hint="eastAsia" w:ascii="Times New Roman" w:hAnsi="Times New Roman" w:eastAsia="宋体" w:cs="宋体"/>
                      <w:bCs/>
                      <w:color w:val="0C0C0C"/>
                      <w:szCs w:val="21"/>
                      <w:highlight w:val="none"/>
                      <w:lang w:val="en-US" w:eastAsia="zh-CN"/>
                    </w:rPr>
                    <w:t>隔声、减震</w:t>
                  </w:r>
                </w:p>
              </w:tc>
              <w:tc>
                <w:tcPr>
                  <w:tcW w:w="112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25</w:t>
                  </w:r>
                </w:p>
              </w:tc>
              <w:tc>
                <w:tcPr>
                  <w:tcW w:w="109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60</w:t>
                  </w:r>
                </w:p>
              </w:tc>
              <w:tc>
                <w:tcPr>
                  <w:tcW w:w="915" w:type="dxa"/>
                  <w:vMerge w:val="continue"/>
                  <w:tcBorders>
                    <w:left w:val="nil"/>
                    <w:right w:val="single" w:color="auto" w:sz="4" w:space="0"/>
                  </w:tcBorders>
                  <w:noWrap w:val="0"/>
                  <w:vAlign w:val="center"/>
                </w:tcPr>
                <w:p>
                  <w:pPr>
                    <w:adjustRightInd w:val="0"/>
                    <w:snapToGrid w:val="0"/>
                    <w:jc w:val="center"/>
                    <w:rPr>
                      <w:rFonts w:hint="eastAsia" w:ascii="Times New Roman" w:hAnsi="Times New Roman" w:eastAsia="宋体" w:cs="宋体"/>
                      <w:bCs/>
                      <w:color w:val="0C0C0C"/>
                      <w:szCs w:val="21"/>
                      <w:highlight w:val="none"/>
                      <w:lang w:val="en-US" w:eastAsia="zh-CN"/>
                    </w:rPr>
                  </w:pPr>
                </w:p>
              </w:tc>
              <w:tc>
                <w:tcPr>
                  <w:tcW w:w="100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宋体"/>
                      <w:bCs/>
                      <w:color w:val="0C0C0C"/>
                      <w:szCs w:val="21"/>
                      <w:highlight w:val="none"/>
                      <w:lang w:val="en-US" w:eastAsia="zh-CN"/>
                    </w:rPr>
                  </w:pPr>
                  <w:r>
                    <w:rPr>
                      <w:rFonts w:hint="eastAsia" w:ascii="Times New Roman" w:hAnsi="Times New Roman" w:eastAsia="宋体" w:cs="宋体"/>
                      <w:bCs/>
                      <w:color w:val="0C0C0C"/>
                      <w:szCs w:val="21"/>
                      <w:highlight w:val="none"/>
                      <w:lang w:val="en-US" w:eastAsia="zh-CN"/>
                    </w:rPr>
                    <w:t>12</w:t>
                  </w:r>
                </w:p>
              </w:tc>
            </w:tr>
          </w:tbl>
          <w:p>
            <w:pPr>
              <w:pStyle w:val="40"/>
              <w:ind w:firstLine="420"/>
              <w:rPr>
                <w:rFonts w:hint="default" w:ascii="Times New Roman" w:hAnsi="Times New Roman" w:eastAsia="宋体" w:cs="Times New Roman"/>
                <w:b/>
                <w:bCs/>
                <w:color w:val="0C0C0C"/>
                <w:szCs w:val="21"/>
                <w:highlight w:val="none"/>
              </w:rPr>
            </w:pPr>
            <w:r>
              <w:rPr>
                <w:rFonts w:hint="default" w:ascii="Times New Roman" w:hAnsi="Times New Roman" w:eastAsia="宋体" w:cs="Times New Roman"/>
                <w:b/>
                <w:bCs/>
                <w:color w:val="0C0C0C"/>
                <w:szCs w:val="21"/>
                <w:highlight w:val="none"/>
              </w:rPr>
              <w:t>注：根据刘惠玲主编《噪声控制技术》（2002年10月第1版），采用隔声间（室）技术措施，降噪效果可达20~40dB(A)，项目按25dB(A)计，减振处理，降噪效果可达5~25dB(A)，项目按</w:t>
            </w:r>
            <w:r>
              <w:rPr>
                <w:rFonts w:hint="default" w:ascii="Times New Roman" w:hAnsi="Times New Roman" w:eastAsia="宋体" w:cs="Times New Roman"/>
                <w:b/>
                <w:bCs/>
                <w:color w:val="0C0C0C"/>
                <w:szCs w:val="21"/>
                <w:highlight w:val="none"/>
                <w:lang w:val="en-US" w:eastAsia="zh-CN"/>
              </w:rPr>
              <w:t>5</w:t>
            </w:r>
            <w:r>
              <w:rPr>
                <w:rFonts w:hint="default" w:ascii="Times New Roman" w:hAnsi="Times New Roman" w:eastAsia="宋体" w:cs="Times New Roman"/>
                <w:b/>
                <w:bCs/>
                <w:color w:val="0C0C0C"/>
                <w:szCs w:val="21"/>
                <w:highlight w:val="none"/>
              </w:rPr>
              <w:t>dB(A)计。项目生产设备均安装在室内，则经过墙体隔音降噪和减振效果，隔音量取30dB(A)。</w:t>
            </w:r>
          </w:p>
          <w:p>
            <w:pPr>
              <w:spacing w:line="360" w:lineRule="auto"/>
              <w:ind w:right="57" w:rightChars="27" w:firstLine="422" w:firstLineChars="200"/>
              <w:rPr>
                <w:rFonts w:hint="eastAsia"/>
                <w:b/>
                <w:bCs/>
                <w:color w:val="0C0C0C"/>
                <w:szCs w:val="21"/>
                <w:highlight w:val="none"/>
              </w:rPr>
            </w:pPr>
            <w:r>
              <w:rPr>
                <w:rFonts w:hint="eastAsia"/>
                <w:b/>
                <w:bCs/>
                <w:color w:val="0C0C0C"/>
                <w:szCs w:val="21"/>
                <w:highlight w:val="none"/>
              </w:rPr>
              <w:t>3.2达标情况分析</w:t>
            </w:r>
          </w:p>
          <w:p>
            <w:pPr>
              <w:spacing w:line="360" w:lineRule="auto"/>
              <w:ind w:right="57" w:rightChars="27" w:firstLine="480" w:firstLineChars="200"/>
              <w:rPr>
                <w:color w:val="0C0C0C"/>
                <w:sz w:val="24"/>
                <w:highlight w:val="none"/>
              </w:rPr>
            </w:pPr>
            <w:r>
              <w:rPr>
                <w:color w:val="0C0C0C"/>
                <w:sz w:val="24"/>
                <w:highlight w:val="none"/>
              </w:rPr>
              <w:t>根据《环境影响评价技术导则-声环境》（HJ2.4-2009）对室内声源的预测方法，声源位于室内，室内声源可采用等效室外声源声功率级法进行计算：</w:t>
            </w:r>
          </w:p>
          <w:p>
            <w:pPr>
              <w:spacing w:line="360" w:lineRule="auto"/>
              <w:ind w:firstLine="480" w:firstLineChars="200"/>
              <w:rPr>
                <w:color w:val="0C0C0C"/>
                <w:sz w:val="24"/>
                <w:highlight w:val="none"/>
              </w:rPr>
            </w:pPr>
            <w:bookmarkStart w:id="2" w:name="_Toc12041"/>
            <w:r>
              <w:rPr>
                <w:color w:val="0C0C0C"/>
                <w:sz w:val="24"/>
                <w:highlight w:val="none"/>
              </w:rPr>
              <w:t>①计算某一室内声源靠近围护结构处产生的A声压级Lp1：</w:t>
            </w:r>
            <w:bookmarkEnd w:id="2"/>
          </w:p>
          <w:p>
            <w:pPr>
              <w:spacing w:line="360" w:lineRule="auto"/>
              <w:ind w:right="416" w:firstLine="480" w:firstLineChars="200"/>
              <w:jc w:val="center"/>
              <w:rPr>
                <w:color w:val="0C0C0C"/>
                <w:sz w:val="24"/>
                <w:highlight w:val="none"/>
              </w:rPr>
            </w:pPr>
            <w:r>
              <w:rPr>
                <w:color w:val="0C0C0C"/>
                <w:position w:val="-24"/>
                <w:sz w:val="24"/>
                <w:highlight w:val="none"/>
              </w:rPr>
              <w:object>
                <v:shape id="_x0000_i1025" o:spt="75" type="#_x0000_t75" style="height:31pt;width:130pt;" o:ole="t" filled="f" o:preferrelative="t" stroked="f" coordsize="21600,21600">
                  <v:path/>
                  <v:fill on="f" alignshape="1" focussize="0,0"/>
                  <v:stroke on="f"/>
                  <v:imagedata r:id="rId15" o:title=""/>
                  <o:lock v:ext="edit" aspectratio="t"/>
                  <w10:wrap type="none"/>
                  <w10:anchorlock/>
                </v:shape>
                <o:OLEObject Type="Embed" ProgID="Equation.DSMT4" ShapeID="_x0000_i1025" DrawAspect="Content" ObjectID="_1468075725" r:id="rId14">
                  <o:LockedField>false</o:LockedField>
                </o:OLEObject>
              </w:object>
            </w:r>
          </w:p>
          <w:p>
            <w:pPr>
              <w:spacing w:line="360" w:lineRule="auto"/>
              <w:ind w:right="416" w:firstLine="480" w:firstLineChars="200"/>
              <w:jc w:val="left"/>
              <w:rPr>
                <w:color w:val="0C0C0C"/>
                <w:sz w:val="24"/>
                <w:highlight w:val="none"/>
              </w:rPr>
            </w:pPr>
            <w:r>
              <w:rPr>
                <w:color w:val="0C0C0C"/>
                <w:sz w:val="24"/>
                <w:highlight w:val="none"/>
              </w:rPr>
              <w:t>式中：Q－指向性因数：通常对无指向性声源，当声源放在房间中心时，Q=1；当放在一面墙的中心时，Q=2；当放在两面墙夹角时，Q=4；当放在三面墙夹角处时，Q=8。</w:t>
            </w:r>
          </w:p>
          <w:p>
            <w:pPr>
              <w:pStyle w:val="41"/>
              <w:spacing w:line="360" w:lineRule="auto"/>
              <w:ind w:firstLine="480" w:firstLineChars="200"/>
              <w:jc w:val="both"/>
              <w:rPr>
                <w:color w:val="0C0C0C"/>
                <w:sz w:val="24"/>
                <w:highlight w:val="none"/>
              </w:rPr>
            </w:pPr>
            <w:r>
              <w:rPr>
                <w:color w:val="0C0C0C"/>
                <w:sz w:val="24"/>
                <w:highlight w:val="none"/>
              </w:rPr>
              <w:t>R－房间常数：R=Sa/(1-a)，S为房间内表面面积，m</w:t>
            </w:r>
            <w:r>
              <w:rPr>
                <w:color w:val="0C0C0C"/>
                <w:sz w:val="24"/>
                <w:highlight w:val="none"/>
                <w:vertAlign w:val="superscript"/>
              </w:rPr>
              <w:t>2</w:t>
            </w:r>
            <w:r>
              <w:rPr>
                <w:color w:val="0C0C0C"/>
                <w:sz w:val="24"/>
                <w:highlight w:val="none"/>
              </w:rPr>
              <w:t>；a为平均吸声系数。</w:t>
            </w:r>
          </w:p>
          <w:p>
            <w:pPr>
              <w:spacing w:line="360" w:lineRule="auto"/>
              <w:ind w:firstLine="480" w:firstLineChars="200"/>
              <w:rPr>
                <w:color w:val="0C0C0C"/>
                <w:sz w:val="24"/>
                <w:highlight w:val="none"/>
              </w:rPr>
            </w:pPr>
            <w:r>
              <w:rPr>
                <w:color w:val="0C0C0C"/>
                <w:sz w:val="24"/>
                <w:highlight w:val="none"/>
              </w:rPr>
              <w:t>r－声源到靠近围护结构某点处的距离，m。</w:t>
            </w:r>
          </w:p>
          <w:p>
            <w:pPr>
              <w:spacing w:line="360" w:lineRule="auto"/>
              <w:ind w:firstLine="480" w:firstLineChars="200"/>
              <w:rPr>
                <w:color w:val="0C0C0C"/>
                <w:sz w:val="24"/>
                <w:highlight w:val="none"/>
              </w:rPr>
            </w:pPr>
            <w:r>
              <w:rPr>
                <w:color w:val="0C0C0C"/>
                <w:sz w:val="24"/>
                <w:highlight w:val="none"/>
              </w:rPr>
              <w:t>Lw为设备的A声功率级。</w:t>
            </w:r>
          </w:p>
          <w:p>
            <w:pPr>
              <w:pStyle w:val="15"/>
              <w:spacing w:after="0" w:line="360" w:lineRule="auto"/>
              <w:ind w:firstLine="480" w:firstLineChars="200"/>
              <w:rPr>
                <w:color w:val="0C0C0C"/>
                <w:sz w:val="24"/>
                <w:szCs w:val="24"/>
                <w:highlight w:val="none"/>
              </w:rPr>
            </w:pPr>
            <w:r>
              <w:rPr>
                <w:color w:val="0C0C0C"/>
                <w:sz w:val="24"/>
                <w:szCs w:val="24"/>
                <w:highlight w:val="none"/>
              </w:rPr>
              <w:t>计算出所有室内声源在围护结构处产生的叠加A声压级：</w:t>
            </w:r>
          </w:p>
          <w:p>
            <w:pPr>
              <w:pStyle w:val="15"/>
              <w:spacing w:after="0" w:line="360" w:lineRule="auto"/>
              <w:ind w:firstLine="480" w:firstLineChars="200"/>
              <w:jc w:val="center"/>
              <w:rPr>
                <w:color w:val="0C0C0C"/>
                <w:sz w:val="24"/>
                <w:szCs w:val="24"/>
                <w:highlight w:val="none"/>
              </w:rPr>
            </w:pPr>
            <w:r>
              <w:rPr>
                <w:color w:val="0C0C0C"/>
                <w:sz w:val="24"/>
                <w:szCs w:val="24"/>
                <w:highlight w:val="none"/>
              </w:rPr>
              <w:drawing>
                <wp:inline distT="0" distB="0" distL="114300" distR="114300">
                  <wp:extent cx="1435100" cy="379730"/>
                  <wp:effectExtent l="0" t="0" r="12700" b="1270"/>
                  <wp:docPr id="17" name="图片 14" descr="d:\Documents\Tencent Files\1442546552\Image\Group\QIB_841WFXYTVCH56E($P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d:\Documents\Tencent Files\1442546552\Image\Group\QIB_841WFXYTVCH56E($PA9.png"/>
                          <pic:cNvPicPr>
                            <a:picLocks noChangeAspect="1"/>
                          </pic:cNvPicPr>
                        </pic:nvPicPr>
                        <pic:blipFill>
                          <a:blip r:embed="rId16"/>
                          <a:stretch>
                            <a:fillRect/>
                          </a:stretch>
                        </pic:blipFill>
                        <pic:spPr>
                          <a:xfrm>
                            <a:off x="0" y="0"/>
                            <a:ext cx="1435100" cy="379730"/>
                          </a:xfrm>
                          <a:prstGeom prst="rect">
                            <a:avLst/>
                          </a:prstGeom>
                          <a:noFill/>
                          <a:ln>
                            <a:noFill/>
                          </a:ln>
                        </pic:spPr>
                      </pic:pic>
                    </a:graphicData>
                  </a:graphic>
                </wp:inline>
              </w:drawing>
            </w:r>
          </w:p>
          <w:p>
            <w:pPr>
              <w:pStyle w:val="15"/>
              <w:spacing w:after="0" w:line="360" w:lineRule="auto"/>
              <w:ind w:firstLine="480" w:firstLineChars="200"/>
              <w:rPr>
                <w:color w:val="0C0C0C"/>
                <w:sz w:val="24"/>
                <w:szCs w:val="24"/>
                <w:highlight w:val="none"/>
              </w:rPr>
            </w:pPr>
            <w:r>
              <w:rPr>
                <w:color w:val="0C0C0C"/>
                <w:sz w:val="24"/>
                <w:szCs w:val="24"/>
                <w:highlight w:val="none"/>
              </w:rPr>
              <w:t>式中：</w:t>
            </w:r>
            <w:r>
              <w:rPr>
                <w:rFonts w:hint="eastAsia"/>
                <w:color w:val="0C0C0C"/>
                <w:sz w:val="24"/>
                <w:szCs w:val="24"/>
                <w:highlight w:val="none"/>
              </w:rPr>
              <w:t xml:space="preserve">                </w:t>
            </w:r>
          </w:p>
          <w:p>
            <w:pPr>
              <w:pStyle w:val="41"/>
              <w:spacing w:line="360" w:lineRule="auto"/>
              <w:ind w:firstLine="480" w:firstLineChars="200"/>
              <w:jc w:val="both"/>
              <w:rPr>
                <w:color w:val="0C0C0C"/>
                <w:sz w:val="24"/>
                <w:highlight w:val="none"/>
              </w:rPr>
            </w:pPr>
            <w:r>
              <w:rPr>
                <w:rFonts w:eastAsia="Times New Roman"/>
                <w:color w:val="0C0C0C"/>
                <w:sz w:val="24"/>
                <w:highlight w:val="none"/>
              </w:rPr>
              <w:t>L</w:t>
            </w:r>
            <w:r>
              <w:rPr>
                <w:rFonts w:eastAsia="Times New Roman"/>
                <w:color w:val="0C0C0C"/>
                <w:sz w:val="24"/>
                <w:highlight w:val="none"/>
                <w:vertAlign w:val="subscript"/>
              </w:rPr>
              <w:t>p</w:t>
            </w:r>
            <w:r>
              <w:rPr>
                <w:rFonts w:eastAsia="Times New Roman"/>
                <w:color w:val="0C0C0C"/>
                <w:position w:val="-2"/>
                <w:sz w:val="24"/>
                <w:highlight w:val="none"/>
                <w:vertAlign w:val="subscript"/>
              </w:rPr>
              <w:t>1</w:t>
            </w:r>
            <w:r>
              <w:rPr>
                <w:rFonts w:eastAsia="Times New Roman"/>
                <w:color w:val="0C0C0C"/>
                <w:sz w:val="24"/>
                <w:highlight w:val="none"/>
              </w:rPr>
              <w:t>(T)</w:t>
            </w:r>
            <w:r>
              <w:rPr>
                <w:color w:val="0C0C0C"/>
                <w:sz w:val="24"/>
                <w:highlight w:val="none"/>
              </w:rPr>
              <w:t>－靠近围护结构处室内</w:t>
            </w:r>
            <w:r>
              <w:rPr>
                <w:color w:val="0C0C0C"/>
                <w:spacing w:val="-61"/>
                <w:sz w:val="24"/>
                <w:highlight w:val="none"/>
              </w:rPr>
              <w:t xml:space="preserve"> </w:t>
            </w:r>
            <w:r>
              <w:rPr>
                <w:rFonts w:eastAsia="Times New Roman"/>
                <w:color w:val="0C0C0C"/>
                <w:sz w:val="24"/>
                <w:highlight w:val="none"/>
              </w:rPr>
              <w:t>N</w:t>
            </w:r>
            <w:r>
              <w:rPr>
                <w:color w:val="0C0C0C"/>
                <w:sz w:val="24"/>
                <w:highlight w:val="none"/>
              </w:rPr>
              <w:t>个声源叠加A声压级，</w:t>
            </w:r>
            <w:r>
              <w:rPr>
                <w:rFonts w:eastAsia="Times New Roman"/>
                <w:color w:val="0C0C0C"/>
                <w:sz w:val="24"/>
                <w:highlight w:val="none"/>
              </w:rPr>
              <w:t>dB</w:t>
            </w:r>
            <w:r>
              <w:rPr>
                <w:color w:val="0C0C0C"/>
                <w:sz w:val="24"/>
                <w:highlight w:val="none"/>
              </w:rPr>
              <w:t>(A)；</w:t>
            </w:r>
          </w:p>
          <w:p>
            <w:pPr>
              <w:pStyle w:val="41"/>
              <w:spacing w:line="360" w:lineRule="auto"/>
              <w:ind w:firstLine="480" w:firstLineChars="200"/>
              <w:jc w:val="both"/>
              <w:outlineLvl w:val="0"/>
              <w:rPr>
                <w:color w:val="0C0C0C"/>
                <w:sz w:val="24"/>
                <w:highlight w:val="none"/>
              </w:rPr>
            </w:pPr>
            <w:bookmarkStart w:id="3" w:name="_Toc11203"/>
            <w:bookmarkStart w:id="4" w:name="_Toc12745"/>
            <w:bookmarkStart w:id="5" w:name="_Toc12546"/>
            <w:bookmarkStart w:id="6" w:name="_Toc4721"/>
            <w:bookmarkStart w:id="7" w:name="_Toc11706"/>
            <w:bookmarkStart w:id="8" w:name="_Toc6570"/>
            <w:bookmarkStart w:id="9" w:name="_Toc26881"/>
            <w:bookmarkStart w:id="10" w:name="_Toc16257"/>
            <w:bookmarkStart w:id="11" w:name="_Toc8865"/>
            <w:bookmarkStart w:id="12" w:name="_Toc19859"/>
            <w:bookmarkStart w:id="13" w:name="_Toc8729"/>
            <w:bookmarkStart w:id="14" w:name="_Toc29117"/>
            <w:bookmarkStart w:id="15" w:name="_Toc1446"/>
            <w:bookmarkStart w:id="16" w:name="_Toc26515"/>
            <w:r>
              <w:rPr>
                <w:rFonts w:eastAsia="Times New Roman"/>
                <w:color w:val="0C0C0C"/>
                <w:sz w:val="24"/>
                <w:highlight w:val="none"/>
              </w:rPr>
              <w:t>L</w:t>
            </w:r>
            <w:r>
              <w:rPr>
                <w:rFonts w:eastAsia="Times New Roman"/>
                <w:color w:val="0C0C0C"/>
                <w:sz w:val="24"/>
                <w:highlight w:val="none"/>
                <w:vertAlign w:val="subscript"/>
              </w:rPr>
              <w:t>p</w:t>
            </w:r>
            <w:r>
              <w:rPr>
                <w:rFonts w:eastAsia="Times New Roman"/>
                <w:color w:val="0C0C0C"/>
                <w:position w:val="-2"/>
                <w:sz w:val="24"/>
                <w:highlight w:val="none"/>
                <w:vertAlign w:val="subscript"/>
              </w:rPr>
              <w:t>1j</w:t>
            </w:r>
            <w:r>
              <w:rPr>
                <w:color w:val="0C0C0C"/>
                <w:sz w:val="24"/>
                <w:highlight w:val="none"/>
              </w:rPr>
              <w:t>－室内</w:t>
            </w:r>
            <w:r>
              <w:rPr>
                <w:color w:val="0C0C0C"/>
                <w:spacing w:val="-62"/>
                <w:sz w:val="24"/>
                <w:highlight w:val="none"/>
              </w:rPr>
              <w:t xml:space="preserve"> </w:t>
            </w:r>
            <w:r>
              <w:rPr>
                <w:rFonts w:eastAsia="Times New Roman"/>
                <w:color w:val="0C0C0C"/>
                <w:sz w:val="24"/>
                <w:highlight w:val="none"/>
              </w:rPr>
              <w:t>j</w:t>
            </w:r>
            <w:r>
              <w:rPr>
                <w:color w:val="0C0C0C"/>
                <w:sz w:val="24"/>
                <w:highlight w:val="none"/>
              </w:rPr>
              <w:t>声源的A声压级，</w:t>
            </w:r>
            <w:r>
              <w:rPr>
                <w:rFonts w:eastAsia="Times New Roman"/>
                <w:color w:val="0C0C0C"/>
                <w:sz w:val="24"/>
                <w:highlight w:val="none"/>
              </w:rPr>
              <w:t>dB</w:t>
            </w:r>
            <w:r>
              <w:rPr>
                <w:color w:val="0C0C0C"/>
                <w:sz w:val="24"/>
                <w:highlight w:val="none"/>
              </w:rPr>
              <w:t>(A)；</w:t>
            </w:r>
            <w:bookmarkEnd w:id="3"/>
            <w:bookmarkEnd w:id="4"/>
            <w:bookmarkEnd w:id="5"/>
            <w:bookmarkEnd w:id="6"/>
            <w:bookmarkEnd w:id="7"/>
            <w:bookmarkEnd w:id="8"/>
            <w:bookmarkEnd w:id="9"/>
            <w:bookmarkEnd w:id="10"/>
            <w:bookmarkEnd w:id="11"/>
            <w:bookmarkEnd w:id="12"/>
            <w:bookmarkEnd w:id="13"/>
            <w:bookmarkEnd w:id="14"/>
            <w:bookmarkEnd w:id="15"/>
            <w:bookmarkEnd w:id="16"/>
          </w:p>
          <w:p>
            <w:pPr>
              <w:spacing w:line="360" w:lineRule="auto"/>
              <w:ind w:firstLine="480" w:firstLineChars="200"/>
              <w:outlineLvl w:val="0"/>
              <w:rPr>
                <w:color w:val="0C0C0C"/>
                <w:sz w:val="24"/>
                <w:highlight w:val="none"/>
              </w:rPr>
            </w:pPr>
            <w:bookmarkStart w:id="17" w:name="_Toc20588"/>
            <w:bookmarkStart w:id="18" w:name="_Toc4595"/>
            <w:bookmarkStart w:id="19" w:name="_Toc17924"/>
            <w:bookmarkStart w:id="20" w:name="_Toc30031"/>
            <w:bookmarkStart w:id="21" w:name="_Toc11167"/>
            <w:bookmarkStart w:id="22" w:name="_Toc31214"/>
            <w:bookmarkStart w:id="23" w:name="_Toc32422"/>
            <w:bookmarkStart w:id="24" w:name="_Toc2453"/>
            <w:bookmarkStart w:id="25" w:name="_Toc5776"/>
            <w:bookmarkStart w:id="26" w:name="_Toc28914"/>
            <w:bookmarkStart w:id="27" w:name="_Toc15899"/>
            <w:bookmarkStart w:id="28" w:name="_Toc10533"/>
            <w:bookmarkStart w:id="29" w:name="_Toc29223"/>
            <w:bookmarkStart w:id="30" w:name="_Toc3820"/>
            <w:r>
              <w:rPr>
                <w:color w:val="0C0C0C"/>
                <w:sz w:val="24"/>
                <w:highlight w:val="none"/>
              </w:rPr>
              <w:t>②在室内近似为扩散声场地，按下式计算出靠近室外围护结构处的声压级：</w:t>
            </w:r>
            <w:bookmarkEnd w:id="17"/>
            <w:bookmarkEnd w:id="18"/>
            <w:bookmarkEnd w:id="19"/>
            <w:bookmarkEnd w:id="20"/>
            <w:bookmarkEnd w:id="21"/>
            <w:bookmarkEnd w:id="22"/>
            <w:bookmarkEnd w:id="23"/>
            <w:bookmarkEnd w:id="24"/>
            <w:bookmarkEnd w:id="25"/>
            <w:bookmarkEnd w:id="26"/>
            <w:bookmarkEnd w:id="27"/>
            <w:bookmarkEnd w:id="28"/>
            <w:bookmarkEnd w:id="29"/>
            <w:bookmarkEnd w:id="30"/>
          </w:p>
          <w:p>
            <w:pPr>
              <w:spacing w:line="360" w:lineRule="auto"/>
              <w:ind w:firstLine="480" w:firstLineChars="200"/>
              <w:jc w:val="center"/>
              <w:rPr>
                <w:color w:val="0C0C0C"/>
                <w:sz w:val="24"/>
                <w:highlight w:val="none"/>
              </w:rPr>
            </w:pPr>
            <w:r>
              <w:rPr>
                <w:color w:val="0C0C0C"/>
                <w:position w:val="-14"/>
                <w:sz w:val="24"/>
                <w:highlight w:val="none"/>
              </w:rPr>
              <w:object>
                <v:shape id="_x0000_i1026" o:spt="75" type="#_x0000_t75" style="height:19pt;width:95pt;" o:ole="t" filled="f" o:preferrelative="t" stroked="f" coordsize="21600,21600">
                  <v:path/>
                  <v:fill on="f" alignshape="1" focussize="0,0"/>
                  <v:stroke on="f"/>
                  <v:imagedata r:id="rId18" o:title=""/>
                  <o:lock v:ext="edit" aspectratio="t"/>
                  <w10:wrap type="none"/>
                  <w10:anchorlock/>
                </v:shape>
                <o:OLEObject Type="Embed" ProgID="Equation.DSMT4" ShapeID="_x0000_i1026" DrawAspect="Content" ObjectID="_1468075726" r:id="rId17">
                  <o:LockedField>false</o:LockedField>
                </o:OLEObject>
              </w:object>
            </w:r>
          </w:p>
          <w:p>
            <w:pPr>
              <w:spacing w:line="360" w:lineRule="auto"/>
              <w:ind w:firstLine="480" w:firstLineChars="200"/>
              <w:jc w:val="left"/>
              <w:rPr>
                <w:color w:val="0C0C0C"/>
                <w:sz w:val="24"/>
                <w:highlight w:val="none"/>
              </w:rPr>
            </w:pPr>
            <w:r>
              <w:rPr>
                <w:color w:val="0C0C0C"/>
                <w:sz w:val="24"/>
                <w:highlight w:val="none"/>
              </w:rPr>
              <w:t>式中：</w:t>
            </w:r>
            <w:r>
              <w:rPr>
                <w:rFonts w:hint="eastAsia"/>
                <w:color w:val="0C0C0C"/>
                <w:sz w:val="24"/>
                <w:highlight w:val="none"/>
              </w:rPr>
              <w:t xml:space="preserve">                   </w:t>
            </w:r>
          </w:p>
          <w:p>
            <w:pPr>
              <w:spacing w:line="360" w:lineRule="auto"/>
              <w:ind w:firstLine="480" w:firstLineChars="200"/>
              <w:rPr>
                <w:color w:val="0C0C0C"/>
                <w:sz w:val="24"/>
                <w:highlight w:val="none"/>
              </w:rPr>
            </w:pPr>
            <w:r>
              <w:rPr>
                <w:color w:val="0C0C0C"/>
                <w:sz w:val="24"/>
                <w:highlight w:val="none"/>
              </w:rPr>
              <w:t>L</w:t>
            </w:r>
            <w:r>
              <w:rPr>
                <w:color w:val="0C0C0C"/>
                <w:sz w:val="24"/>
                <w:highlight w:val="none"/>
                <w:vertAlign w:val="subscript"/>
              </w:rPr>
              <w:t>p1</w:t>
            </w:r>
            <w:r>
              <w:rPr>
                <w:color w:val="0C0C0C"/>
                <w:sz w:val="24"/>
                <w:highlight w:val="none"/>
              </w:rPr>
              <w:t>－声源室内声压级，dB(A)；</w:t>
            </w:r>
          </w:p>
          <w:p>
            <w:pPr>
              <w:spacing w:line="360" w:lineRule="auto"/>
              <w:ind w:firstLine="480" w:firstLineChars="200"/>
              <w:rPr>
                <w:color w:val="0C0C0C"/>
                <w:sz w:val="24"/>
                <w:highlight w:val="none"/>
              </w:rPr>
            </w:pPr>
            <w:r>
              <w:rPr>
                <w:color w:val="0C0C0C"/>
                <w:sz w:val="24"/>
                <w:highlight w:val="none"/>
              </w:rPr>
              <w:t>L</w:t>
            </w:r>
            <w:r>
              <w:rPr>
                <w:color w:val="0C0C0C"/>
                <w:sz w:val="24"/>
                <w:highlight w:val="none"/>
                <w:vertAlign w:val="subscript"/>
              </w:rPr>
              <w:t>p2</w:t>
            </w:r>
            <w:r>
              <w:rPr>
                <w:color w:val="0C0C0C"/>
                <w:sz w:val="24"/>
                <w:highlight w:val="none"/>
              </w:rPr>
              <w:t>－等效室外声压级，dB(A)；</w:t>
            </w:r>
          </w:p>
          <w:p>
            <w:pPr>
              <w:spacing w:line="360" w:lineRule="auto"/>
              <w:ind w:firstLine="480" w:firstLineChars="200"/>
              <w:rPr>
                <w:color w:val="0C0C0C"/>
                <w:sz w:val="24"/>
                <w:highlight w:val="none"/>
              </w:rPr>
            </w:pPr>
            <w:r>
              <w:rPr>
                <w:color w:val="0C0C0C"/>
                <w:sz w:val="24"/>
                <w:highlight w:val="none"/>
              </w:rPr>
              <w:t>TL－隔墙（或窗户）倍频带的隔声量，dB(A)。</w:t>
            </w:r>
          </w:p>
          <w:p>
            <w:pPr>
              <w:adjustRightInd w:val="0"/>
              <w:snapToGrid w:val="0"/>
              <w:spacing w:line="360" w:lineRule="auto"/>
              <w:ind w:firstLine="480" w:firstLineChars="200"/>
              <w:jc w:val="center"/>
              <w:rPr>
                <w:color w:val="0C0C0C"/>
                <w:sz w:val="24"/>
                <w:highlight w:val="none"/>
              </w:rPr>
            </w:pPr>
            <w:r>
              <w:rPr>
                <w:color w:val="0C0C0C"/>
                <w:sz w:val="24"/>
                <w:highlight w:val="none"/>
              </w:rPr>
              <w:drawing>
                <wp:inline distT="0" distB="0" distL="114300" distR="114300">
                  <wp:extent cx="2096135" cy="1023620"/>
                  <wp:effectExtent l="0" t="0" r="18415" b="508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9"/>
                          <a:stretch>
                            <a:fillRect/>
                          </a:stretch>
                        </pic:blipFill>
                        <pic:spPr>
                          <a:xfrm>
                            <a:off x="0" y="0"/>
                            <a:ext cx="2096135" cy="1023620"/>
                          </a:xfrm>
                          <a:prstGeom prst="rect">
                            <a:avLst/>
                          </a:prstGeom>
                          <a:noFill/>
                          <a:ln>
                            <a:noFill/>
                          </a:ln>
                        </pic:spPr>
                      </pic:pic>
                    </a:graphicData>
                  </a:graphic>
                </wp:inline>
              </w:drawing>
            </w:r>
          </w:p>
          <w:p>
            <w:pPr>
              <w:adjustRightInd w:val="0"/>
              <w:snapToGrid w:val="0"/>
              <w:ind w:firstLine="422" w:firstLineChars="20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表</w:t>
            </w:r>
            <w:r>
              <w:rPr>
                <w:rFonts w:hint="eastAsia" w:ascii="Times New Roman" w:hAnsi="Times New Roman" w:eastAsia="宋体" w:cs="Times New Roman"/>
                <w:b/>
                <w:bCs/>
                <w:color w:val="auto"/>
                <w:szCs w:val="21"/>
                <w:highlight w:val="none"/>
                <w:lang w:val="en-US" w:eastAsia="zh-CN"/>
              </w:rPr>
              <w:t>4-13</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lang w:eastAsia="zh-CN"/>
              </w:rPr>
              <w:t>生产车间的噪声影响结果表</w:t>
            </w:r>
          </w:p>
          <w:tbl>
            <w:tblPr>
              <w:tblStyle w:val="24"/>
              <w:tblW w:w="8839" w:type="dxa"/>
              <w:tblInd w:w="-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98"/>
              <w:gridCol w:w="1080"/>
              <w:gridCol w:w="1335"/>
              <w:gridCol w:w="870"/>
              <w:gridCol w:w="870"/>
              <w:gridCol w:w="645"/>
              <w:gridCol w:w="855"/>
              <w:gridCol w:w="660"/>
              <w:gridCol w:w="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8" w:hRule="atLeast"/>
              </w:trPr>
              <w:tc>
                <w:tcPr>
                  <w:tcW w:w="903" w:type="pct"/>
                  <w:vMerge w:val="restart"/>
                  <w:noWrap/>
                  <w:vAlign w:val="center"/>
                </w:tcPr>
                <w:p>
                  <w:pPr>
                    <w:widowControl/>
                    <w:snapToGrid w:val="0"/>
                    <w:jc w:val="both"/>
                    <w:textAlignment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 w:val="21"/>
                      <w:highlight w:val="none"/>
                    </w:rPr>
                    <mc:AlternateContent>
                      <mc:Choice Requires="wps">
                        <w:drawing>
                          <wp:anchor distT="0" distB="0" distL="114300" distR="114300" simplePos="0" relativeHeight="251679744" behindDoc="0" locked="0" layoutInCell="1" allowOverlap="1">
                            <wp:simplePos x="0" y="0"/>
                            <wp:positionH relativeFrom="column">
                              <wp:posOffset>-5080</wp:posOffset>
                            </wp:positionH>
                            <wp:positionV relativeFrom="paragraph">
                              <wp:posOffset>3810</wp:posOffset>
                            </wp:positionV>
                            <wp:extent cx="985520" cy="543560"/>
                            <wp:effectExtent l="2540" t="4445" r="2540" b="4445"/>
                            <wp:wrapNone/>
                            <wp:docPr id="19" name="直接连接符 19"/>
                            <wp:cNvGraphicFramePr/>
                            <a:graphic xmlns:a="http://schemas.openxmlformats.org/drawingml/2006/main">
                              <a:graphicData uri="http://schemas.microsoft.com/office/word/2010/wordprocessingShape">
                                <wps:wsp>
                                  <wps:cNvCnPr/>
                                  <wps:spPr>
                                    <a:xfrm>
                                      <a:off x="0" y="0"/>
                                      <a:ext cx="985520" cy="5435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4pt;margin-top:0.3pt;height:42.8pt;width:77.6pt;z-index:251679744;mso-width-relative:page;mso-height-relative:page;" filled="f" stroked="t" coordsize="21600,21600" o:gfxdata="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Sh20fTAAAABQEAAA8AAAAAAAAAAQAgAAAAIgAAAGRycy9kb3ducmV2LnhtbFBL&#10;AQIUABQAAAAIAIdO4kAx8FuI+wEAAOoDAAAOAAAAAAAAAAEAIAAAACIBAABkcnMvZTJvRG9jLnht&#10;bFBLBQYAAAAABgAGAFkBAACPBQAAAAA=&#10;">
                            <v:fill on="f" focussize="0,0"/>
                            <v:stroke color="#000000" joinstyle="round"/>
                            <v:imagedata o:title=""/>
                            <o:lock v:ext="edit" aspectratio="f"/>
                          </v:line>
                        </w:pict>
                      </mc:Fallback>
                    </mc:AlternateContent>
                  </w:r>
                  <w:r>
                    <w:rPr>
                      <w:rFonts w:hint="eastAsia" w:ascii="Times New Roman" w:hAnsi="Times New Roman" w:eastAsia="宋体" w:cs="Times New Roman"/>
                      <w:b/>
                      <w:bCs/>
                      <w:color w:val="auto"/>
                      <w:sz w:val="21"/>
                      <w:highlight w:val="none"/>
                      <w:lang w:val="en-US" w:eastAsia="zh-CN"/>
                    </w:rPr>
                    <w:t xml:space="preserve">       </w:t>
                  </w:r>
                  <w:r>
                    <w:rPr>
                      <w:rFonts w:hint="default" w:ascii="Times New Roman" w:hAnsi="Times New Roman" w:eastAsia="宋体" w:cs="Times New Roman"/>
                      <w:b/>
                      <w:bCs/>
                      <w:color w:val="auto"/>
                      <w:szCs w:val="21"/>
                      <w:highlight w:val="none"/>
                      <w:lang w:eastAsia="zh-CN"/>
                    </w:rPr>
                    <w:t>名称</w:t>
                  </w:r>
                </w:p>
                <w:p>
                  <w:pPr>
                    <w:widowControl/>
                    <w:snapToGrid w:val="0"/>
                    <w:ind w:firstLine="422" w:firstLineChars="200"/>
                    <w:jc w:val="both"/>
                    <w:textAlignment w:val="center"/>
                    <w:rPr>
                      <w:rFonts w:hint="default" w:ascii="Times New Roman" w:hAnsi="Times New Roman" w:eastAsia="宋体" w:cs="Times New Roman"/>
                      <w:b/>
                      <w:bCs/>
                      <w:color w:val="auto"/>
                      <w:szCs w:val="21"/>
                      <w:highlight w:val="none"/>
                      <w:lang w:eastAsia="zh-CN"/>
                    </w:rPr>
                  </w:pPr>
                </w:p>
                <w:p>
                  <w:pPr>
                    <w:widowControl/>
                    <w:snapToGrid w:val="0"/>
                    <w:ind w:firstLine="422" w:firstLineChars="200"/>
                    <w:jc w:val="both"/>
                    <w:textAlignment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声源</w:t>
                  </w:r>
                </w:p>
              </w:tc>
              <w:tc>
                <w:tcPr>
                  <w:tcW w:w="1366" w:type="pct"/>
                  <w:gridSpan w:val="2"/>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东厂界</w:t>
                  </w:r>
                </w:p>
              </w:tc>
              <w:tc>
                <w:tcPr>
                  <w:tcW w:w="984" w:type="pct"/>
                  <w:gridSpan w:val="2"/>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北厂界</w:t>
                  </w:r>
                </w:p>
              </w:tc>
              <w:tc>
                <w:tcPr>
                  <w:tcW w:w="848" w:type="pct"/>
                  <w:gridSpan w:val="2"/>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西厂界</w:t>
                  </w:r>
                </w:p>
              </w:tc>
              <w:tc>
                <w:tcPr>
                  <w:tcW w:w="897" w:type="pct"/>
                  <w:gridSpan w:val="2"/>
                  <w:noWrap/>
                  <w:vAlign w:val="center"/>
                </w:tcPr>
                <w:p>
                  <w:pPr>
                    <w:widowControl/>
                    <w:snapToGrid w:val="0"/>
                    <w:jc w:val="center"/>
                    <w:textAlignment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8" w:hRule="atLeast"/>
              </w:trPr>
              <w:tc>
                <w:tcPr>
                  <w:tcW w:w="903" w:type="pct"/>
                  <w:vMerge w:val="continue"/>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p>
              </w:tc>
              <w:tc>
                <w:tcPr>
                  <w:tcW w:w="610" w:type="pct"/>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距离(m)</w:t>
                  </w:r>
                </w:p>
              </w:tc>
              <w:tc>
                <w:tcPr>
                  <w:tcW w:w="755" w:type="pct"/>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贡献值dB(A)</w:t>
                  </w:r>
                </w:p>
              </w:tc>
              <w:tc>
                <w:tcPr>
                  <w:tcW w:w="492" w:type="pct"/>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距离(m)</w:t>
                  </w:r>
                </w:p>
              </w:tc>
              <w:tc>
                <w:tcPr>
                  <w:tcW w:w="492" w:type="pct"/>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贡献值dB(A)</w:t>
                  </w:r>
                </w:p>
              </w:tc>
              <w:tc>
                <w:tcPr>
                  <w:tcW w:w="364" w:type="pct"/>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距离(m)</w:t>
                  </w:r>
                </w:p>
              </w:tc>
              <w:tc>
                <w:tcPr>
                  <w:tcW w:w="483" w:type="pct"/>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贡献值dB(A)</w:t>
                  </w:r>
                </w:p>
              </w:tc>
              <w:tc>
                <w:tcPr>
                  <w:tcW w:w="373" w:type="pct"/>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距离(m)</w:t>
                  </w:r>
                </w:p>
              </w:tc>
              <w:tc>
                <w:tcPr>
                  <w:tcW w:w="523" w:type="pct"/>
                  <w:noWrap/>
                  <w:vAlign w:val="center"/>
                </w:tcPr>
                <w:p>
                  <w:pPr>
                    <w:widowControl/>
                    <w:snapToGrid w:val="0"/>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贡献值dB(A)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9" w:hRule="atLeast"/>
              </w:trPr>
              <w:tc>
                <w:tcPr>
                  <w:tcW w:w="903" w:type="pct"/>
                  <w:noWrap/>
                  <w:vAlign w:val="center"/>
                </w:tcPr>
                <w:p>
                  <w:pPr>
                    <w:widowControl/>
                    <w:snapToGrid w:val="0"/>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生产车间</w:t>
                  </w:r>
                  <w:r>
                    <w:rPr>
                      <w:rFonts w:hint="default" w:ascii="Times New Roman" w:hAnsi="Times New Roman" w:eastAsia="宋体" w:cs="Times New Roman"/>
                      <w:color w:val="auto"/>
                      <w:szCs w:val="21"/>
                      <w:highlight w:val="none"/>
                      <w:lang w:eastAsia="zh-CN"/>
                    </w:rPr>
                    <w:t>噪声源</w:t>
                  </w:r>
                </w:p>
              </w:tc>
              <w:tc>
                <w:tcPr>
                  <w:tcW w:w="610" w:type="pct"/>
                  <w:noWrap/>
                  <w:vAlign w:val="center"/>
                </w:tcPr>
                <w:p>
                  <w:pPr>
                    <w:widowControl/>
                    <w:snapToGrid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w:t>
                  </w:r>
                </w:p>
              </w:tc>
              <w:tc>
                <w:tcPr>
                  <w:tcW w:w="755" w:type="pct"/>
                  <w:noWrap/>
                  <w:vAlign w:val="center"/>
                </w:tcPr>
                <w:p>
                  <w:pPr>
                    <w:widowControl/>
                    <w:snapToGrid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33.13</w:t>
                  </w:r>
                </w:p>
              </w:tc>
              <w:tc>
                <w:tcPr>
                  <w:tcW w:w="492" w:type="pct"/>
                  <w:noWrap/>
                  <w:vAlign w:val="center"/>
                </w:tcPr>
                <w:p>
                  <w:pPr>
                    <w:widowControl/>
                    <w:snapToGrid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c>
                <w:tcPr>
                  <w:tcW w:w="492" w:type="pct"/>
                  <w:noWrap/>
                  <w:vAlign w:val="center"/>
                </w:tcPr>
                <w:p>
                  <w:pPr>
                    <w:widowControl/>
                    <w:snapToGrid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42.67</w:t>
                  </w:r>
                </w:p>
              </w:tc>
              <w:tc>
                <w:tcPr>
                  <w:tcW w:w="364" w:type="pct"/>
                  <w:noWrap/>
                  <w:vAlign w:val="center"/>
                </w:tcPr>
                <w:p>
                  <w:pPr>
                    <w:widowControl/>
                    <w:snapToGrid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c>
                <w:tcPr>
                  <w:tcW w:w="483" w:type="pct"/>
                  <w:noWrap/>
                  <w:vAlign w:val="center"/>
                </w:tcPr>
                <w:p>
                  <w:pPr>
                    <w:widowControl/>
                    <w:snapToGrid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30.63</w:t>
                  </w:r>
                </w:p>
              </w:tc>
              <w:tc>
                <w:tcPr>
                  <w:tcW w:w="373" w:type="pct"/>
                  <w:noWrap/>
                  <w:vAlign w:val="center"/>
                </w:tcPr>
                <w:p>
                  <w:pPr>
                    <w:widowControl/>
                    <w:snapToGrid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22</w:t>
                  </w:r>
                </w:p>
              </w:tc>
              <w:tc>
                <w:tcPr>
                  <w:tcW w:w="523" w:type="pct"/>
                  <w:noWrap/>
                  <w:vAlign w:val="center"/>
                </w:tcPr>
                <w:p>
                  <w:pPr>
                    <w:widowControl/>
                    <w:snapToGrid w:val="0"/>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29.8</w:t>
                  </w:r>
                </w:p>
              </w:tc>
            </w:tr>
          </w:tbl>
          <w:p>
            <w:pPr>
              <w:adjustRightInd w:val="0"/>
              <w:snapToGrid w:val="0"/>
              <w:spacing w:line="360" w:lineRule="auto"/>
              <w:ind w:firstLine="480" w:firstLineChars="200"/>
              <w:rPr>
                <w:b/>
                <w:bCs/>
                <w:color w:val="auto"/>
                <w:sz w:val="24"/>
                <w:highlight w:val="none"/>
              </w:rPr>
            </w:pPr>
            <w:r>
              <w:rPr>
                <w:color w:val="auto"/>
                <w:sz w:val="24"/>
                <w:highlight w:val="none"/>
              </w:rPr>
              <w:t>项目</w:t>
            </w:r>
            <w:r>
              <w:rPr>
                <w:rFonts w:hint="default" w:ascii="Times New Roman" w:hAnsi="Times New Roman" w:eastAsia="宋体" w:cs="Times New Roman"/>
                <w:color w:val="auto"/>
                <w:sz w:val="24"/>
                <w:highlight w:val="none"/>
              </w:rPr>
              <w:t>夜间不运营，</w:t>
            </w:r>
            <w:r>
              <w:rPr>
                <w:rFonts w:hint="eastAsia" w:ascii="Times New Roman" w:hAnsi="Times New Roman" w:eastAsia="宋体" w:cs="Times New Roman"/>
                <w:color w:val="auto"/>
                <w:sz w:val="24"/>
                <w:highlight w:val="none"/>
                <w:lang w:eastAsia="zh-CN"/>
              </w:rPr>
              <w:t>且不存在与原有项目背景值相叠加，</w:t>
            </w:r>
            <w:r>
              <w:rPr>
                <w:rFonts w:hint="default" w:ascii="Times New Roman" w:hAnsi="Times New Roman" w:eastAsia="宋体" w:cs="Times New Roman"/>
                <w:color w:val="auto"/>
                <w:kern w:val="2"/>
                <w:sz w:val="24"/>
                <w:szCs w:val="20"/>
                <w:highlight w:val="none"/>
                <w:lang w:val="en-US" w:eastAsia="zh-CN" w:bidi="ar"/>
              </w:rPr>
              <w:t>且厂界50m范围内无声环境保护目标</w:t>
            </w:r>
            <w:r>
              <w:rPr>
                <w:color w:val="auto"/>
                <w:sz w:val="24"/>
                <w:highlight w:val="none"/>
              </w:rPr>
              <w:t>，距离</w:t>
            </w:r>
            <w:r>
              <w:rPr>
                <w:color w:val="auto"/>
                <w:sz w:val="24"/>
                <w:szCs w:val="20"/>
                <w:highlight w:val="none"/>
                <w:lang w:bidi="ar"/>
              </w:rPr>
              <w:t>最近的</w:t>
            </w:r>
            <w:r>
              <w:rPr>
                <w:rFonts w:hint="default" w:ascii="Times New Roman" w:hAnsi="Times New Roman" w:cs="Times New Roman"/>
                <w:color w:val="auto"/>
                <w:sz w:val="24"/>
                <w:szCs w:val="20"/>
                <w:highlight w:val="none"/>
                <w:lang w:bidi="ar"/>
              </w:rPr>
              <w:t>为厂界</w:t>
            </w:r>
            <w:r>
              <w:rPr>
                <w:rFonts w:hint="default" w:ascii="Times New Roman" w:hAnsi="Times New Roman" w:cs="Times New Roman"/>
                <w:color w:val="auto"/>
                <w:sz w:val="24"/>
                <w:szCs w:val="20"/>
                <w:highlight w:val="none"/>
                <w:lang w:val="en-US" w:eastAsia="zh-CN" w:bidi="ar"/>
              </w:rPr>
              <w:t>55</w:t>
            </w:r>
            <w:r>
              <w:rPr>
                <w:rFonts w:hint="default" w:ascii="Times New Roman" w:hAnsi="Times New Roman" w:cs="Times New Roman"/>
                <w:color w:val="auto"/>
                <w:sz w:val="24"/>
                <w:szCs w:val="20"/>
                <w:highlight w:val="none"/>
                <w:lang w:bidi="ar"/>
              </w:rPr>
              <w:t>m，产污车间</w:t>
            </w:r>
            <w:r>
              <w:rPr>
                <w:rFonts w:hint="default" w:ascii="Times New Roman" w:hAnsi="Times New Roman" w:cs="Times New Roman"/>
                <w:color w:val="auto"/>
                <w:sz w:val="24"/>
                <w:szCs w:val="20"/>
                <w:highlight w:val="none"/>
                <w:lang w:val="en-US" w:eastAsia="zh-CN" w:bidi="ar"/>
              </w:rPr>
              <w:t>55</w:t>
            </w:r>
            <w:r>
              <w:rPr>
                <w:rFonts w:hint="default" w:ascii="Times New Roman" w:hAnsi="Times New Roman" w:cs="Times New Roman"/>
                <w:color w:val="auto"/>
                <w:sz w:val="24"/>
                <w:szCs w:val="20"/>
                <w:highlight w:val="none"/>
                <w:lang w:bidi="ar"/>
              </w:rPr>
              <w:t>m的</w:t>
            </w:r>
            <w:r>
              <w:rPr>
                <w:rFonts w:hint="default" w:ascii="Times New Roman" w:hAnsi="Times New Roman" w:cs="Times New Roman"/>
                <w:color w:val="auto"/>
                <w:sz w:val="24"/>
                <w:szCs w:val="20"/>
                <w:highlight w:val="none"/>
                <w:lang w:eastAsia="zh-CN" w:bidi="ar"/>
              </w:rPr>
              <w:t>马</w:t>
            </w:r>
            <w:r>
              <w:rPr>
                <w:rFonts w:hint="eastAsia"/>
                <w:color w:val="auto"/>
                <w:sz w:val="24"/>
                <w:szCs w:val="20"/>
                <w:highlight w:val="none"/>
                <w:lang w:eastAsia="zh-CN" w:bidi="ar"/>
              </w:rPr>
              <w:t>屋村</w:t>
            </w:r>
            <w:r>
              <w:rPr>
                <w:rFonts w:hint="eastAsia"/>
                <w:color w:val="auto"/>
                <w:sz w:val="24"/>
                <w:szCs w:val="20"/>
                <w:highlight w:val="none"/>
                <w:lang w:bidi="ar"/>
              </w:rPr>
              <w:t>散户</w:t>
            </w:r>
            <w:r>
              <w:rPr>
                <w:color w:val="auto"/>
                <w:sz w:val="24"/>
                <w:szCs w:val="20"/>
                <w:highlight w:val="none"/>
                <w:lang w:bidi="ar"/>
              </w:rPr>
              <w:t>，故无需考虑声环境保护目标</w:t>
            </w:r>
            <w:r>
              <w:rPr>
                <w:rFonts w:hint="eastAsia"/>
                <w:color w:val="auto"/>
                <w:sz w:val="24"/>
                <w:szCs w:val="20"/>
                <w:highlight w:val="none"/>
                <w:lang w:eastAsia="zh-CN" w:bidi="ar"/>
              </w:rPr>
              <w:t>，</w:t>
            </w:r>
            <w:r>
              <w:rPr>
                <w:color w:val="auto"/>
                <w:sz w:val="24"/>
                <w:highlight w:val="none"/>
              </w:rPr>
              <w:t>不会对周围声环境及内部造成明显影响。</w:t>
            </w:r>
          </w:p>
          <w:p>
            <w:pPr>
              <w:adjustRightInd w:val="0"/>
              <w:snapToGrid w:val="0"/>
              <w:spacing w:line="360" w:lineRule="auto"/>
              <w:ind w:firstLine="482" w:firstLineChars="200"/>
              <w:rPr>
                <w:b/>
                <w:bCs/>
                <w:color w:val="0C0C0C"/>
                <w:sz w:val="24"/>
                <w:highlight w:val="none"/>
              </w:rPr>
            </w:pPr>
            <w:r>
              <w:rPr>
                <w:rFonts w:hint="eastAsia"/>
                <w:b/>
                <w:bCs/>
                <w:color w:val="0C0C0C"/>
                <w:sz w:val="24"/>
                <w:highlight w:val="none"/>
              </w:rPr>
              <w:t>3.</w:t>
            </w:r>
            <w:r>
              <w:rPr>
                <w:rFonts w:hint="eastAsia"/>
                <w:b/>
                <w:bCs/>
                <w:color w:val="0C0C0C"/>
                <w:sz w:val="24"/>
                <w:highlight w:val="none"/>
                <w:lang w:val="en-US" w:eastAsia="zh-CN"/>
              </w:rPr>
              <w:t>4</w:t>
            </w:r>
            <w:r>
              <w:rPr>
                <w:rFonts w:hint="eastAsia"/>
                <w:b/>
                <w:bCs/>
                <w:color w:val="0C0C0C"/>
                <w:sz w:val="24"/>
                <w:highlight w:val="none"/>
              </w:rPr>
              <w:t>监测计划</w:t>
            </w:r>
          </w:p>
          <w:p>
            <w:pPr>
              <w:adjustRightInd w:val="0"/>
              <w:snapToGrid w:val="0"/>
              <w:spacing w:line="360" w:lineRule="auto"/>
              <w:ind w:firstLine="480" w:firstLineChars="200"/>
              <w:rPr>
                <w:rFonts w:hint="eastAsia"/>
                <w:b/>
                <w:bCs/>
                <w:color w:val="0C0C0C"/>
                <w:szCs w:val="21"/>
                <w:highlight w:val="none"/>
              </w:rPr>
            </w:pPr>
            <w:r>
              <w:rPr>
                <w:rFonts w:hint="eastAsia"/>
                <w:color w:val="0C0C0C"/>
                <w:sz w:val="24"/>
                <w:highlight w:val="none"/>
              </w:rPr>
              <w:t>根据《排污单位自行监测技术指南 总则》</w:t>
            </w:r>
            <w:r>
              <w:rPr>
                <w:rFonts w:hint="default" w:ascii="Times New Roman" w:hAnsi="Times New Roman" w:cs="Times New Roman"/>
                <w:color w:val="0C0C0C"/>
                <w:sz w:val="24"/>
                <w:highlight w:val="none"/>
              </w:rPr>
              <w:t>（HJ819-2017），制</w:t>
            </w:r>
            <w:r>
              <w:rPr>
                <w:rFonts w:hint="eastAsia"/>
                <w:color w:val="0C0C0C"/>
                <w:sz w:val="24"/>
                <w:highlight w:val="none"/>
              </w:rPr>
              <w:t>定</w:t>
            </w:r>
            <w:r>
              <w:rPr>
                <w:rFonts w:hint="eastAsia"/>
                <w:color w:val="0C0C0C"/>
                <w:sz w:val="24"/>
                <w:highlight w:val="none"/>
                <w:lang w:eastAsia="zh-CN"/>
              </w:rPr>
              <w:t>本项目</w:t>
            </w:r>
            <w:r>
              <w:rPr>
                <w:rFonts w:hint="eastAsia"/>
                <w:color w:val="0C0C0C"/>
                <w:sz w:val="24"/>
                <w:highlight w:val="none"/>
              </w:rPr>
              <w:t>噪声监测计划如下：</w:t>
            </w:r>
          </w:p>
          <w:p>
            <w:pPr>
              <w:adjustRightInd w:val="0"/>
              <w:snapToGrid w:val="0"/>
              <w:ind w:firstLine="422" w:firstLineChars="200"/>
              <w:jc w:val="center"/>
              <w:rPr>
                <w:b/>
                <w:bCs/>
                <w:color w:val="0C0C0C"/>
                <w:szCs w:val="21"/>
                <w:highlight w:val="none"/>
              </w:rPr>
            </w:pPr>
            <w:r>
              <w:rPr>
                <w:rFonts w:hint="eastAsia"/>
                <w:b/>
                <w:bCs/>
                <w:color w:val="0C0C0C"/>
                <w:szCs w:val="21"/>
                <w:highlight w:val="none"/>
              </w:rPr>
              <w:t>表</w:t>
            </w:r>
            <w:r>
              <w:rPr>
                <w:rFonts w:hint="eastAsia"/>
                <w:b/>
                <w:bCs/>
                <w:color w:val="0C0C0C"/>
                <w:szCs w:val="21"/>
                <w:highlight w:val="none"/>
                <w:lang w:val="en-US" w:eastAsia="zh-CN"/>
              </w:rPr>
              <w:t xml:space="preserve">4-14 </w:t>
            </w:r>
            <w:r>
              <w:rPr>
                <w:rFonts w:hint="eastAsia"/>
                <w:b/>
                <w:bCs/>
                <w:color w:val="0C0C0C"/>
                <w:szCs w:val="21"/>
                <w:highlight w:val="none"/>
              </w:rPr>
              <w:t>项目噪声监测计划表</w:t>
            </w:r>
          </w:p>
          <w:tbl>
            <w:tblPr>
              <w:tblStyle w:val="24"/>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588"/>
              <w:gridCol w:w="1997"/>
              <w:gridCol w:w="3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150"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类别</w:t>
                  </w:r>
                </w:p>
              </w:tc>
              <w:tc>
                <w:tcPr>
                  <w:tcW w:w="1588"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监测点位</w:t>
                  </w:r>
                </w:p>
              </w:tc>
              <w:tc>
                <w:tcPr>
                  <w:tcW w:w="1997"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监测项目</w:t>
                  </w:r>
                </w:p>
              </w:tc>
              <w:tc>
                <w:tcPr>
                  <w:tcW w:w="3963" w:type="dxa"/>
                  <w:noWrap w:val="0"/>
                  <w:vAlign w:val="center"/>
                </w:tcPr>
                <w:p>
                  <w:pPr>
                    <w:adjustRightInd w:val="0"/>
                    <w:snapToGrid w:val="0"/>
                    <w:jc w:val="center"/>
                    <w:rPr>
                      <w:rFonts w:hint="eastAsia"/>
                      <w:b/>
                      <w:bCs/>
                      <w:color w:val="0C0C0C"/>
                      <w:szCs w:val="21"/>
                      <w:highlight w:val="none"/>
                    </w:rPr>
                  </w:pPr>
                  <w:r>
                    <w:rPr>
                      <w:rFonts w:hint="eastAsia"/>
                      <w:b/>
                      <w:bCs/>
                      <w:color w:val="0C0C0C"/>
                      <w:szCs w:val="21"/>
                      <w:highlight w:val="none"/>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150" w:type="dxa"/>
                  <w:noWrap w:val="0"/>
                  <w:vAlign w:val="center"/>
                </w:tcPr>
                <w:p>
                  <w:pPr>
                    <w:adjustRightInd w:val="0"/>
                    <w:snapToGrid w:val="0"/>
                    <w:jc w:val="center"/>
                    <w:rPr>
                      <w:rFonts w:hint="eastAsia"/>
                      <w:color w:val="0C0C0C"/>
                      <w:szCs w:val="21"/>
                      <w:highlight w:val="none"/>
                    </w:rPr>
                  </w:pPr>
                  <w:r>
                    <w:rPr>
                      <w:rFonts w:hint="eastAsia"/>
                      <w:color w:val="0C0C0C"/>
                      <w:szCs w:val="21"/>
                      <w:highlight w:val="none"/>
                    </w:rPr>
                    <w:t>厂界噪声</w:t>
                  </w:r>
                </w:p>
              </w:tc>
              <w:tc>
                <w:tcPr>
                  <w:tcW w:w="1588" w:type="dxa"/>
                  <w:noWrap w:val="0"/>
                  <w:vAlign w:val="center"/>
                </w:tcPr>
                <w:p>
                  <w:pPr>
                    <w:adjustRightInd w:val="0"/>
                    <w:snapToGrid w:val="0"/>
                    <w:ind w:firstLine="210" w:firstLineChars="100"/>
                    <w:jc w:val="center"/>
                    <w:rPr>
                      <w:rFonts w:hint="eastAsia"/>
                      <w:color w:val="0C0C0C"/>
                      <w:szCs w:val="21"/>
                      <w:highlight w:val="none"/>
                    </w:rPr>
                  </w:pPr>
                  <w:r>
                    <w:rPr>
                      <w:rFonts w:hint="eastAsia"/>
                      <w:color w:val="0C0C0C"/>
                      <w:szCs w:val="21"/>
                      <w:highlight w:val="none"/>
                    </w:rPr>
                    <w:t>厂界</w:t>
                  </w:r>
                </w:p>
              </w:tc>
              <w:tc>
                <w:tcPr>
                  <w:tcW w:w="1997" w:type="dxa"/>
                  <w:noWrap w:val="0"/>
                  <w:vAlign w:val="center"/>
                </w:tcPr>
                <w:p>
                  <w:pPr>
                    <w:adjustRightInd w:val="0"/>
                    <w:snapToGrid w:val="0"/>
                    <w:jc w:val="center"/>
                    <w:rPr>
                      <w:color w:val="0C0C0C"/>
                      <w:szCs w:val="21"/>
                      <w:highlight w:val="none"/>
                    </w:rPr>
                  </w:pPr>
                  <w:r>
                    <w:rPr>
                      <w:rFonts w:hint="eastAsia"/>
                      <w:color w:val="0C0C0C"/>
                      <w:szCs w:val="21"/>
                      <w:highlight w:val="none"/>
                    </w:rPr>
                    <w:t>等效连续A声级</w:t>
                  </w:r>
                </w:p>
              </w:tc>
              <w:tc>
                <w:tcPr>
                  <w:tcW w:w="3963" w:type="dxa"/>
                  <w:noWrap w:val="0"/>
                  <w:vAlign w:val="center"/>
                </w:tcPr>
                <w:p>
                  <w:pPr>
                    <w:adjustRightInd w:val="0"/>
                    <w:snapToGrid w:val="0"/>
                    <w:jc w:val="center"/>
                    <w:rPr>
                      <w:color w:val="0C0C0C"/>
                      <w:szCs w:val="21"/>
                      <w:highlight w:val="none"/>
                    </w:rPr>
                  </w:pPr>
                  <w:r>
                    <w:rPr>
                      <w:rFonts w:hint="eastAsia"/>
                      <w:color w:val="0C0C0C"/>
                      <w:szCs w:val="21"/>
                      <w:highlight w:val="none"/>
                    </w:rPr>
                    <w:t>1次/季度，夜间不生产，只监测昼间噪声</w:t>
                  </w:r>
                </w:p>
              </w:tc>
            </w:tr>
          </w:tbl>
          <w:p>
            <w:pPr>
              <w:adjustRightInd w:val="0"/>
              <w:snapToGrid w:val="0"/>
              <w:spacing w:line="360" w:lineRule="auto"/>
              <w:ind w:firstLine="482" w:firstLineChars="200"/>
              <w:rPr>
                <w:rFonts w:hint="eastAsia"/>
                <w:b/>
                <w:bCs/>
                <w:color w:val="0C0C0C"/>
                <w:sz w:val="24"/>
                <w:highlight w:val="none"/>
              </w:rPr>
            </w:pPr>
            <w:r>
              <w:rPr>
                <w:rFonts w:hint="eastAsia"/>
                <w:b/>
                <w:bCs/>
                <w:color w:val="0C0C0C"/>
                <w:sz w:val="24"/>
                <w:highlight w:val="none"/>
              </w:rPr>
              <w:t>4.固体废物</w:t>
            </w:r>
          </w:p>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4.1固体废物产生情况</w:t>
            </w:r>
          </w:p>
          <w:p>
            <w:pPr>
              <w:spacing w:line="360" w:lineRule="auto"/>
              <w:ind w:firstLine="480" w:firstLineChars="200"/>
              <w:jc w:val="left"/>
              <w:rPr>
                <w:rFonts w:hint="eastAsia" w:eastAsia="宋体"/>
                <w:bCs/>
                <w:color w:val="0C0C0C"/>
                <w:sz w:val="24"/>
                <w:szCs w:val="22"/>
                <w:highlight w:val="none"/>
                <w:lang w:eastAsia="zh-CN"/>
              </w:rPr>
            </w:pPr>
            <w:r>
              <w:rPr>
                <w:rFonts w:hint="eastAsia"/>
                <w:bCs/>
                <w:color w:val="0C0C0C"/>
                <w:sz w:val="24"/>
                <w:highlight w:val="none"/>
              </w:rPr>
              <w:t>项目运营期产生的固体废物主要来源于</w:t>
            </w:r>
            <w:r>
              <w:rPr>
                <w:rFonts w:hint="eastAsia"/>
                <w:bCs/>
                <w:color w:val="0C0C0C"/>
                <w:sz w:val="24"/>
                <w:szCs w:val="22"/>
                <w:highlight w:val="none"/>
              </w:rPr>
              <w:t>废包装材料、含油</w:t>
            </w:r>
            <w:r>
              <w:rPr>
                <w:rFonts w:hint="eastAsia"/>
                <w:bCs/>
                <w:color w:val="0C0C0C"/>
                <w:sz w:val="24"/>
                <w:szCs w:val="22"/>
                <w:highlight w:val="none"/>
                <w:lang w:val="en-US" w:eastAsia="zh-CN"/>
              </w:rPr>
              <w:t>废抹布及废手套</w:t>
            </w:r>
            <w:r>
              <w:rPr>
                <w:rFonts w:hint="eastAsia"/>
                <w:bCs/>
                <w:color w:val="0C0C0C"/>
                <w:sz w:val="24"/>
                <w:szCs w:val="22"/>
                <w:highlight w:val="none"/>
              </w:rPr>
              <w:t>、废机油、废</w:t>
            </w:r>
            <w:r>
              <w:rPr>
                <w:rFonts w:hint="eastAsia"/>
                <w:bCs/>
                <w:color w:val="0C0C0C"/>
                <w:sz w:val="24"/>
                <w:szCs w:val="22"/>
                <w:highlight w:val="none"/>
                <w:lang w:val="en-US" w:eastAsia="zh-CN"/>
              </w:rPr>
              <w:t>油</w:t>
            </w:r>
            <w:r>
              <w:rPr>
                <w:rFonts w:hint="eastAsia"/>
                <w:bCs/>
                <w:color w:val="0C0C0C"/>
                <w:sz w:val="24"/>
                <w:szCs w:val="22"/>
                <w:highlight w:val="none"/>
              </w:rPr>
              <w:t>桶、废活性炭</w:t>
            </w:r>
            <w:r>
              <w:rPr>
                <w:rFonts w:hint="eastAsia"/>
                <w:bCs/>
                <w:color w:val="0C0C0C"/>
                <w:sz w:val="24"/>
                <w:szCs w:val="22"/>
                <w:highlight w:val="none"/>
                <w:lang w:eastAsia="zh-CN"/>
              </w:rPr>
              <w:t>，生活垃圾。</w:t>
            </w:r>
          </w:p>
          <w:p>
            <w:pPr>
              <w:adjustRightInd w:val="0"/>
              <w:snapToGrid w:val="0"/>
              <w:spacing w:line="360" w:lineRule="auto"/>
              <w:ind w:firstLine="482" w:firstLineChars="200"/>
              <w:rPr>
                <w:b/>
                <w:color w:val="0C0C0C"/>
                <w:sz w:val="24"/>
                <w:highlight w:val="none"/>
              </w:rPr>
            </w:pPr>
            <w:r>
              <w:rPr>
                <w:rFonts w:hint="eastAsia"/>
                <w:b/>
                <w:color w:val="0C0C0C"/>
                <w:sz w:val="24"/>
                <w:highlight w:val="none"/>
              </w:rPr>
              <w:t>4.1.1一般固体废物</w:t>
            </w:r>
          </w:p>
          <w:p>
            <w:pPr>
              <w:pStyle w:val="2"/>
              <w:spacing w:line="360" w:lineRule="auto"/>
              <w:ind w:firstLine="480" w:firstLineChars="200"/>
              <w:rPr>
                <w:rFonts w:ascii="Calibri" w:hAnsi="Calibri"/>
                <w:color w:val="0C0C0C"/>
                <w:kern w:val="2"/>
                <w:szCs w:val="21"/>
                <w:highlight w:val="none"/>
                <w:lang w:bidi="ar-SA"/>
              </w:rPr>
            </w:pPr>
            <w:r>
              <w:rPr>
                <w:color w:val="0C0C0C"/>
                <w:szCs w:val="21"/>
                <w:highlight w:val="none"/>
              </w:rPr>
              <w:t>废包装材料：</w:t>
            </w:r>
            <w:r>
              <w:rPr>
                <w:rFonts w:ascii="Calibri" w:hAnsi="Calibri"/>
                <w:color w:val="0C0C0C"/>
                <w:kern w:val="2"/>
                <w:szCs w:val="21"/>
                <w:highlight w:val="none"/>
                <w:lang w:bidi="ar-SA"/>
              </w:rPr>
              <w:t>项目生产过程中会产生一定量的废包装材料，废包装材料产生量</w:t>
            </w:r>
            <w:r>
              <w:rPr>
                <w:rFonts w:hint="default" w:ascii="Times New Roman" w:hAnsi="Times New Roman" w:cs="Times New Roman"/>
                <w:color w:val="0C0C0C"/>
                <w:kern w:val="2"/>
                <w:szCs w:val="21"/>
                <w:highlight w:val="none"/>
                <w:lang w:bidi="ar-SA"/>
              </w:rPr>
              <w:t>约为</w:t>
            </w:r>
            <w:r>
              <w:rPr>
                <w:rFonts w:hint="eastAsia" w:ascii="Times New Roman" w:cs="Times New Roman"/>
                <w:color w:val="0C0C0C"/>
                <w:kern w:val="2"/>
                <w:szCs w:val="21"/>
                <w:highlight w:val="none"/>
                <w:lang w:val="en-US" w:eastAsia="zh-CN" w:bidi="ar-SA"/>
              </w:rPr>
              <w:t>1</w:t>
            </w:r>
            <w:r>
              <w:rPr>
                <w:rFonts w:hint="default" w:ascii="Times New Roman" w:hAnsi="Times New Roman" w:cs="Times New Roman"/>
                <w:color w:val="0C0C0C"/>
                <w:kern w:val="2"/>
                <w:szCs w:val="21"/>
                <w:highlight w:val="none"/>
                <w:lang w:bidi="ar-SA"/>
              </w:rPr>
              <w:t>t/a，</w:t>
            </w:r>
            <w:r>
              <w:rPr>
                <w:rFonts w:ascii="Calibri" w:hAnsi="Calibri"/>
                <w:color w:val="0C0C0C"/>
                <w:kern w:val="2"/>
                <w:szCs w:val="21"/>
                <w:highlight w:val="none"/>
                <w:lang w:bidi="ar-SA"/>
              </w:rPr>
              <w:t>经收集后交由专业回收公司处理。</w:t>
            </w:r>
          </w:p>
          <w:p>
            <w:pPr>
              <w:adjustRightInd w:val="0"/>
              <w:snapToGrid w:val="0"/>
              <w:spacing w:line="360" w:lineRule="auto"/>
              <w:ind w:firstLine="482" w:firstLineChars="200"/>
              <w:rPr>
                <w:b/>
                <w:bCs/>
                <w:color w:val="0C0C0C"/>
                <w:sz w:val="24"/>
                <w:highlight w:val="none"/>
              </w:rPr>
            </w:pPr>
            <w:r>
              <w:rPr>
                <w:rFonts w:hint="eastAsia"/>
                <w:b/>
                <w:bCs/>
                <w:color w:val="0C0C0C"/>
                <w:sz w:val="24"/>
                <w:highlight w:val="none"/>
              </w:rPr>
              <w:t>4.1.2危险废物</w:t>
            </w:r>
          </w:p>
          <w:p>
            <w:pPr>
              <w:adjustRightInd w:val="0"/>
              <w:snapToGrid w:val="0"/>
              <w:spacing w:line="360" w:lineRule="auto"/>
              <w:ind w:firstLine="480" w:firstLineChars="200"/>
              <w:rPr>
                <w:rFonts w:hint="eastAsia"/>
                <w:color w:val="0C0C0C"/>
                <w:sz w:val="24"/>
                <w:szCs w:val="21"/>
                <w:highlight w:val="none"/>
              </w:rPr>
            </w:pPr>
            <w:r>
              <w:rPr>
                <w:rFonts w:hint="eastAsia"/>
                <w:color w:val="0C0C0C"/>
                <w:sz w:val="24"/>
                <w:szCs w:val="21"/>
                <w:highlight w:val="none"/>
              </w:rPr>
              <w:t>废机油：项目设备保养过程中需使用机油，该过程会产生废机油，</w:t>
            </w:r>
            <w:r>
              <w:rPr>
                <w:color w:val="0C0C0C"/>
                <w:sz w:val="24"/>
                <w:szCs w:val="21"/>
                <w:highlight w:val="none"/>
              </w:rPr>
              <w:t>产生量约为0.0</w:t>
            </w:r>
            <w:r>
              <w:rPr>
                <w:rFonts w:hint="eastAsia"/>
                <w:color w:val="0C0C0C"/>
                <w:sz w:val="24"/>
                <w:szCs w:val="21"/>
                <w:highlight w:val="none"/>
                <w:lang w:val="en-US" w:eastAsia="zh-CN"/>
              </w:rPr>
              <w:t>2</w:t>
            </w:r>
            <w:r>
              <w:rPr>
                <w:color w:val="0C0C0C"/>
                <w:sz w:val="24"/>
                <w:szCs w:val="21"/>
                <w:highlight w:val="none"/>
              </w:rPr>
              <w:t>t/a，</w:t>
            </w:r>
            <w:r>
              <w:rPr>
                <w:rFonts w:hint="eastAsia"/>
                <w:color w:val="0C0C0C"/>
                <w:sz w:val="24"/>
                <w:highlight w:val="none"/>
              </w:rPr>
              <w:t>根据《国家危险废物名录》（2021版），该废物按照危险废物进行管理，危废类别：HW08废矿物油与含矿物油废物，废物代码为900-214-08，</w:t>
            </w:r>
            <w:r>
              <w:rPr>
                <w:rFonts w:hint="eastAsia"/>
                <w:color w:val="0C0C0C"/>
                <w:spacing w:val="-10"/>
                <w:sz w:val="24"/>
                <w:szCs w:val="21"/>
                <w:highlight w:val="none"/>
              </w:rPr>
              <w:t>收集后</w:t>
            </w:r>
            <w:r>
              <w:rPr>
                <w:rFonts w:hint="eastAsia"/>
                <w:color w:val="0C0C0C"/>
                <w:sz w:val="24"/>
                <w:szCs w:val="21"/>
                <w:highlight w:val="none"/>
              </w:rPr>
              <w:t>交由有危险废物处理资质的单位处理。</w:t>
            </w:r>
          </w:p>
          <w:p>
            <w:pPr>
              <w:adjustRightInd w:val="0"/>
              <w:snapToGrid w:val="0"/>
              <w:spacing w:line="360" w:lineRule="auto"/>
              <w:ind w:firstLine="480" w:firstLineChars="200"/>
              <w:rPr>
                <w:rFonts w:hint="eastAsia"/>
                <w:color w:val="0C0C0C"/>
                <w:sz w:val="24"/>
                <w:szCs w:val="21"/>
                <w:highlight w:val="none"/>
              </w:rPr>
            </w:pPr>
            <w:r>
              <w:rPr>
                <w:rFonts w:hint="eastAsia"/>
                <w:color w:val="0C0C0C"/>
                <w:sz w:val="24"/>
                <w:szCs w:val="21"/>
                <w:highlight w:val="none"/>
              </w:rPr>
              <w:t>废包装桶：</w:t>
            </w:r>
            <w:r>
              <w:rPr>
                <w:rFonts w:hint="eastAsia"/>
                <w:color w:val="0C0C0C"/>
                <w:sz w:val="24"/>
                <w:highlight w:val="none"/>
              </w:rPr>
              <w:t>项目在使用机油</w:t>
            </w:r>
            <w:r>
              <w:rPr>
                <w:rFonts w:hint="eastAsia"/>
                <w:color w:val="0C0C0C"/>
                <w:sz w:val="24"/>
                <w:highlight w:val="none"/>
                <w:lang w:eastAsia="zh-CN"/>
              </w:rPr>
              <w:t>剂</w:t>
            </w:r>
            <w:r>
              <w:rPr>
                <w:rFonts w:hint="eastAsia"/>
                <w:color w:val="0C0C0C"/>
                <w:sz w:val="24"/>
                <w:highlight w:val="none"/>
              </w:rPr>
              <w:t>时会产生废包装桶，其产生量约为</w:t>
            </w:r>
            <w:r>
              <w:rPr>
                <w:rFonts w:hint="eastAsia"/>
                <w:color w:val="0C0C0C"/>
                <w:sz w:val="24"/>
                <w:highlight w:val="none"/>
                <w:lang w:val="en-US" w:eastAsia="zh-CN"/>
              </w:rPr>
              <w:t>0.01</w:t>
            </w:r>
            <w:r>
              <w:rPr>
                <w:rFonts w:hint="eastAsia"/>
                <w:color w:val="0C0C0C"/>
                <w:sz w:val="24"/>
                <w:highlight w:val="none"/>
              </w:rPr>
              <w:t>t/a，根据《国家危险废物名录》（2021版），该废物按照危险废物进行管理，危废类别：HW49其他废物，废物代码为900-041-49，收集后交由有危险废物处理资质的单位处理。</w:t>
            </w:r>
          </w:p>
          <w:p>
            <w:pPr>
              <w:adjustRightInd w:val="0"/>
              <w:snapToGrid w:val="0"/>
              <w:spacing w:line="360" w:lineRule="auto"/>
              <w:ind w:firstLine="480" w:firstLineChars="200"/>
              <w:rPr>
                <w:rFonts w:hint="eastAsia"/>
                <w:color w:val="0C0C0C"/>
                <w:sz w:val="24"/>
                <w:szCs w:val="22"/>
                <w:highlight w:val="none"/>
              </w:rPr>
            </w:pPr>
            <w:r>
              <w:rPr>
                <w:rFonts w:hint="eastAsia"/>
                <w:color w:val="0C0C0C"/>
                <w:sz w:val="24"/>
                <w:szCs w:val="21"/>
                <w:highlight w:val="none"/>
              </w:rPr>
              <w:t>含油手套及废抹布：项目设备保养过程会产生</w:t>
            </w:r>
            <w:r>
              <w:rPr>
                <w:rFonts w:hint="eastAsia"/>
                <w:color w:val="0C0C0C"/>
                <w:sz w:val="24"/>
                <w:szCs w:val="21"/>
                <w:highlight w:val="none"/>
                <w:lang w:eastAsia="zh-CN"/>
              </w:rPr>
              <w:t>含油手套及废抹布</w:t>
            </w:r>
            <w:r>
              <w:rPr>
                <w:rFonts w:hint="eastAsia"/>
                <w:color w:val="0C0C0C"/>
                <w:sz w:val="24"/>
                <w:szCs w:val="21"/>
                <w:highlight w:val="none"/>
              </w:rPr>
              <w:t>，产生量为0.01t/a，</w:t>
            </w:r>
            <w:r>
              <w:rPr>
                <w:rFonts w:hint="eastAsia"/>
                <w:color w:val="0C0C0C"/>
                <w:sz w:val="24"/>
                <w:highlight w:val="none"/>
              </w:rPr>
              <w:t>根据《国家危险废物名录》（2021版），该废物按照危险废物进行管理，废物类别：HW49其他废物，废物代码为900-041-49，</w:t>
            </w:r>
            <w:r>
              <w:rPr>
                <w:rFonts w:hint="eastAsia"/>
                <w:color w:val="0C0C0C"/>
                <w:spacing w:val="-10"/>
                <w:sz w:val="24"/>
                <w:szCs w:val="21"/>
                <w:highlight w:val="none"/>
              </w:rPr>
              <w:t>收集后</w:t>
            </w:r>
            <w:r>
              <w:rPr>
                <w:rFonts w:hint="eastAsia"/>
                <w:color w:val="0C0C0C"/>
                <w:sz w:val="24"/>
                <w:szCs w:val="21"/>
                <w:highlight w:val="none"/>
              </w:rPr>
              <w:t>交由有危险废物处理资质的单位处理。</w:t>
            </w:r>
          </w:p>
          <w:p>
            <w:pPr>
              <w:spacing w:line="360" w:lineRule="auto"/>
              <w:ind w:firstLine="480" w:firstLineChars="200"/>
              <w:rPr>
                <w:rFonts w:hint="default" w:ascii="Times New Roman" w:hAnsi="Times New Roman" w:eastAsia="宋体" w:cs="Times New Roman"/>
                <w:color w:val="auto"/>
                <w:sz w:val="24"/>
                <w:highlight w:val="none"/>
                <w:lang w:eastAsia="zh-CN" w:bidi="ar"/>
              </w:rPr>
            </w:pPr>
            <w:r>
              <w:rPr>
                <w:rFonts w:hint="eastAsia"/>
                <w:color w:val="0C0C0C"/>
                <w:sz w:val="24"/>
                <w:szCs w:val="22"/>
                <w:highlight w:val="none"/>
              </w:rPr>
              <w:t>废活性炭：</w:t>
            </w:r>
            <w:r>
              <w:rPr>
                <w:rFonts w:hint="eastAsia" w:ascii="Times New Roman" w:hAnsi="Times New Roman" w:eastAsia="宋体" w:cs="Times New Roman"/>
                <w:bCs/>
                <w:color w:val="auto"/>
                <w:sz w:val="24"/>
                <w:highlight w:val="none"/>
                <w:lang w:val="en-US" w:eastAsia="zh-CN"/>
              </w:rPr>
              <w:t>本项目</w:t>
            </w:r>
            <w:r>
              <w:rPr>
                <w:rFonts w:hint="default" w:ascii="Times New Roman" w:hAnsi="Times New Roman" w:eastAsia="宋体" w:cs="Times New Roman"/>
                <w:b w:val="0"/>
                <w:bCs w:val="0"/>
                <w:color w:val="auto"/>
                <w:sz w:val="24"/>
                <w:highlight w:val="none"/>
                <w:lang w:eastAsia="zh-CN"/>
              </w:rPr>
              <w:t>在处理有机废气的过程中会产生废活性炭。</w:t>
            </w:r>
            <w:r>
              <w:rPr>
                <w:rFonts w:hint="eastAsia" w:ascii="Times New Roman" w:hAnsi="Times New Roman" w:eastAsia="宋体" w:cs="Times New Roman"/>
                <w:color w:val="auto"/>
                <w:sz w:val="24"/>
                <w:highlight w:val="none"/>
                <w:lang w:val="en-US" w:eastAsia="zh-CN" w:bidi="ar"/>
              </w:rPr>
              <w:t>本项目</w:t>
            </w:r>
            <w:r>
              <w:rPr>
                <w:rFonts w:hint="default" w:ascii="Times New Roman" w:hAnsi="Times New Roman" w:eastAsia="宋体" w:cs="Times New Roman"/>
                <w:color w:val="auto"/>
                <w:sz w:val="24"/>
                <w:highlight w:val="none"/>
                <w:lang w:bidi="ar"/>
              </w:rPr>
              <w:t>拟设置</w:t>
            </w:r>
            <w:r>
              <w:rPr>
                <w:rFonts w:hint="eastAsia" w:ascii="Times New Roman" w:hAnsi="Times New Roman" w:eastAsia="宋体" w:cs="Times New Roman"/>
                <w:color w:val="auto"/>
                <w:sz w:val="24"/>
                <w:highlight w:val="none"/>
                <w:lang w:val="en-US" w:eastAsia="zh-CN" w:bidi="ar"/>
              </w:rPr>
              <w:t>1</w:t>
            </w:r>
            <w:r>
              <w:rPr>
                <w:rFonts w:hint="default" w:ascii="Times New Roman" w:hAnsi="Times New Roman" w:eastAsia="宋体" w:cs="Times New Roman"/>
                <w:color w:val="auto"/>
                <w:sz w:val="24"/>
                <w:highlight w:val="none"/>
                <w:lang w:bidi="ar"/>
              </w:rPr>
              <w:t>套</w:t>
            </w:r>
            <w:r>
              <w:rPr>
                <w:rFonts w:hint="default" w:ascii="Times New Roman" w:hAnsi="Times New Roman" w:eastAsia="宋体" w:cs="Times New Roman"/>
                <w:color w:val="auto"/>
                <w:sz w:val="24"/>
                <w:highlight w:val="none"/>
                <w:lang w:eastAsia="zh-CN" w:bidi="ar"/>
              </w:rPr>
              <w:t>二级</w:t>
            </w:r>
            <w:r>
              <w:rPr>
                <w:rFonts w:hint="default" w:ascii="Times New Roman" w:hAnsi="Times New Roman" w:eastAsia="宋体" w:cs="Times New Roman"/>
                <w:color w:val="auto"/>
                <w:sz w:val="24"/>
                <w:highlight w:val="none"/>
                <w:lang w:bidi="ar"/>
              </w:rPr>
              <w:t>活性炭吸附装置</w:t>
            </w:r>
            <w:r>
              <w:rPr>
                <w:rFonts w:hint="eastAsia" w:ascii="Times New Roman" w:hAnsi="Times New Roman" w:eastAsia="宋体" w:cs="Times New Roman"/>
                <w:color w:val="auto"/>
                <w:sz w:val="24"/>
                <w:highlight w:val="none"/>
                <w:lang w:val="en-US" w:eastAsia="zh-CN" w:bidi="ar"/>
              </w:rPr>
              <w:t>对注塑废气进行末端处理</w:t>
            </w:r>
            <w:r>
              <w:rPr>
                <w:rFonts w:hint="default" w:ascii="Times New Roman" w:hAnsi="Times New Roman" w:eastAsia="宋体" w:cs="Times New Roman"/>
                <w:color w:val="auto"/>
                <w:sz w:val="24"/>
                <w:highlight w:val="none"/>
                <w:lang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根据《广东省生态环境厅关于印发＜广东省工业污染源全面达标排放行</w:t>
            </w:r>
            <w:r>
              <w:rPr>
                <w:rFonts w:hint="default" w:ascii="Times New Roman" w:hAnsi="Times New Roman" w:eastAsia="宋体" w:cs="Times New Roman"/>
                <w:color w:val="auto"/>
                <w:spacing w:val="-6"/>
                <w:sz w:val="24"/>
              </w:rPr>
              <w:t>业污染环境执法指引＞及钢铁、火电、家具等</w:t>
            </w:r>
            <w:r>
              <w:rPr>
                <w:rFonts w:hint="default" w:ascii="Times New Roman" w:hAnsi="Times New Roman" w:eastAsia="宋体" w:cs="Times New Roman"/>
                <w:color w:val="auto"/>
                <w:sz w:val="24"/>
              </w:rPr>
              <w:t>15</w:t>
            </w:r>
            <w:r>
              <w:rPr>
                <w:rFonts w:hint="default" w:ascii="Times New Roman" w:hAnsi="Times New Roman" w:eastAsia="宋体" w:cs="Times New Roman"/>
                <w:color w:val="auto"/>
                <w:spacing w:val="-2"/>
                <w:sz w:val="24"/>
              </w:rPr>
              <w:t>个行业污染治理实用技术指</w:t>
            </w:r>
            <w:r>
              <w:rPr>
                <w:rFonts w:hint="default" w:ascii="Times New Roman" w:hAnsi="Times New Roman" w:eastAsia="宋体" w:cs="Times New Roman"/>
                <w:color w:val="auto"/>
                <w:sz w:val="24"/>
              </w:rPr>
              <w:t>南的通知》（粤环办[2020]79号）</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当采用活性炭为吸附材料时，建议的运行参数为：</w:t>
            </w:r>
          </w:p>
          <w:p>
            <w:pPr>
              <w:pStyle w:val="34"/>
              <w:keepNext w:val="0"/>
              <w:keepLines w:val="0"/>
              <w:pageBreakBefore w:val="0"/>
              <w:widowControl w:val="0"/>
              <w:kinsoku/>
              <w:wordWrap/>
              <w:overflowPunct/>
              <w:topLinePunct w:val="0"/>
              <w:autoSpaceDE w:val="0"/>
              <w:autoSpaceDN w:val="0"/>
              <w:bidi w:val="0"/>
              <w:adjustRightInd/>
              <w:snapToGrid/>
              <w:spacing w:before="0" w:line="360" w:lineRule="auto"/>
              <w:ind w:left="107" w:right="-29"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pacing w:val="-1"/>
                <w:sz w:val="24"/>
              </w:rPr>
              <w:t>A</w:t>
            </w:r>
            <w:r>
              <w:rPr>
                <w:rFonts w:hint="default" w:ascii="Times New Roman" w:hAnsi="Times New Roman" w:eastAsia="宋体" w:cs="Times New Roman"/>
                <w:color w:val="auto"/>
                <w:spacing w:val="-13"/>
                <w:sz w:val="24"/>
              </w:rPr>
              <w:t>、入口废气应满足颗粒物不大于</w:t>
            </w:r>
            <w:r>
              <w:rPr>
                <w:rFonts w:hint="default" w:ascii="Times New Roman" w:hAnsi="Times New Roman" w:eastAsia="宋体" w:cs="Times New Roman"/>
                <w:color w:val="auto"/>
                <w:sz w:val="24"/>
              </w:rPr>
              <w:t>1m</w:t>
            </w:r>
            <w:r>
              <w:rPr>
                <w:rFonts w:hint="default" w:ascii="Times New Roman" w:hAnsi="Times New Roman" w:eastAsia="宋体" w:cs="Times New Roman"/>
                <w:color w:val="auto"/>
                <w:spacing w:val="-3"/>
                <w:sz w:val="24"/>
              </w:rPr>
              <w:t>g</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pacing w:val="2"/>
                <w:sz w:val="24"/>
              </w:rPr>
              <w:t>m</w:t>
            </w:r>
            <w:r>
              <w:rPr>
                <w:rFonts w:hint="default" w:ascii="Times New Roman" w:hAnsi="Times New Roman" w:eastAsia="宋体" w:cs="Times New Roman"/>
                <w:color w:val="auto"/>
                <w:spacing w:val="-2"/>
                <w:w w:val="104"/>
                <w:position w:val="8"/>
                <w:sz w:val="15"/>
              </w:rPr>
              <w:t>3</w:t>
            </w:r>
            <w:r>
              <w:rPr>
                <w:rFonts w:hint="default" w:ascii="Times New Roman" w:hAnsi="Times New Roman" w:eastAsia="宋体" w:cs="Times New Roman"/>
                <w:color w:val="auto"/>
                <w:spacing w:val="-16"/>
                <w:sz w:val="24"/>
              </w:rPr>
              <w:t>，相对湿度</w:t>
            </w:r>
            <w:r>
              <w:rPr>
                <w:rFonts w:hint="default" w:ascii="Times New Roman" w:hAnsi="Times New Roman" w:eastAsia="宋体" w:cs="Times New Roman"/>
                <w:color w:val="auto"/>
                <w:spacing w:val="-1"/>
                <w:sz w:val="24"/>
              </w:rPr>
              <w:t>(</w:t>
            </w:r>
            <w:r>
              <w:rPr>
                <w:rFonts w:hint="default" w:ascii="Times New Roman" w:hAnsi="Times New Roman" w:eastAsia="宋体" w:cs="Times New Roman"/>
                <w:color w:val="auto"/>
                <w:sz w:val="24"/>
              </w:rPr>
              <w:t>R</w:t>
            </w:r>
            <w:r>
              <w:rPr>
                <w:rFonts w:hint="default" w:ascii="Times New Roman" w:hAnsi="Times New Roman" w:eastAsia="宋体" w:cs="Times New Roman"/>
                <w:color w:val="auto"/>
                <w:spacing w:val="-1"/>
                <w:sz w:val="24"/>
              </w:rPr>
              <w:t>H</w:t>
            </w:r>
            <w:r>
              <w:rPr>
                <w:rFonts w:hint="default" w:ascii="Times New Roman" w:hAnsi="Times New Roman" w:eastAsia="宋体" w:cs="Times New Roman"/>
                <w:color w:val="auto"/>
                <w:spacing w:val="1"/>
                <w:sz w:val="24"/>
              </w:rPr>
              <w:t>)</w:t>
            </w:r>
            <w:r>
              <w:rPr>
                <w:rFonts w:hint="default" w:ascii="Times New Roman" w:hAnsi="Times New Roman" w:eastAsia="宋体" w:cs="Times New Roman"/>
                <w:color w:val="auto"/>
                <w:spacing w:val="-12"/>
                <w:sz w:val="24"/>
              </w:rPr>
              <w:t>小于等于</w:t>
            </w:r>
            <w:r>
              <w:rPr>
                <w:rFonts w:hint="default" w:ascii="Times New Roman" w:hAnsi="Times New Roman" w:eastAsia="宋体" w:cs="Times New Roman"/>
                <w:color w:val="auto"/>
                <w:sz w:val="24"/>
              </w:rPr>
              <w:t>80</w:t>
            </w:r>
            <w:r>
              <w:rPr>
                <w:rFonts w:hint="default" w:ascii="Times New Roman" w:hAnsi="Times New Roman" w:eastAsia="宋体" w:cs="Times New Roman"/>
                <w:color w:val="auto"/>
                <w:spacing w:val="-1"/>
                <w:sz w:val="24"/>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pacing w:val="-9"/>
                <w:sz w:val="24"/>
              </w:rPr>
              <w:t>温度小于等于</w:t>
            </w:r>
            <w:r>
              <w:rPr>
                <w:rFonts w:hint="default" w:ascii="Times New Roman" w:hAnsi="Times New Roman" w:eastAsia="宋体" w:cs="Times New Roman"/>
                <w:color w:val="auto"/>
                <w:sz w:val="24"/>
              </w:rPr>
              <w:t>40℃等条件；</w:t>
            </w:r>
          </w:p>
          <w:p>
            <w:pPr>
              <w:pStyle w:val="34"/>
              <w:spacing w:before="5" w:line="362" w:lineRule="auto"/>
              <w:ind w:left="107" w:right="97" w:firstLine="48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w:t>
            </w:r>
            <w:r>
              <w:rPr>
                <w:rFonts w:hint="default" w:ascii="Times New Roman" w:hAnsi="Times New Roman" w:eastAsia="宋体" w:cs="Times New Roman"/>
                <w:color w:val="auto"/>
                <w:spacing w:val="-9"/>
                <w:sz w:val="24"/>
              </w:rPr>
              <w:t>、吸附层的气流风速是吸附器设计的主要参数，颗粒状吸附剂的气流风</w:t>
            </w:r>
            <w:r>
              <w:rPr>
                <w:rFonts w:hint="default" w:ascii="Times New Roman" w:hAnsi="Times New Roman" w:eastAsia="宋体" w:cs="Times New Roman"/>
                <w:color w:val="auto"/>
                <w:spacing w:val="-13"/>
                <w:sz w:val="24"/>
              </w:rPr>
              <w:t>速宜低于</w:t>
            </w:r>
            <w:r>
              <w:rPr>
                <w:rFonts w:hint="default" w:ascii="Times New Roman" w:hAnsi="Times New Roman" w:eastAsia="宋体" w:cs="Times New Roman"/>
                <w:color w:val="auto"/>
                <w:sz w:val="24"/>
              </w:rPr>
              <w:t>0.60m/s</w:t>
            </w:r>
            <w:r>
              <w:rPr>
                <w:rFonts w:hint="default" w:ascii="Times New Roman" w:hAnsi="Times New Roman" w:eastAsia="宋体" w:cs="Times New Roman"/>
                <w:color w:val="auto"/>
                <w:spacing w:val="-4"/>
                <w:sz w:val="24"/>
              </w:rPr>
              <w:t>；蜂窝状吸附剂的气流风速宜低于</w:t>
            </w:r>
            <w:r>
              <w:rPr>
                <w:rFonts w:hint="default" w:ascii="Times New Roman" w:hAnsi="Times New Roman" w:eastAsia="宋体" w:cs="Times New Roman"/>
                <w:color w:val="auto"/>
                <w:sz w:val="24"/>
              </w:rPr>
              <w:t>1.20m/s</w:t>
            </w:r>
            <w:r>
              <w:rPr>
                <w:rFonts w:hint="default" w:ascii="Times New Roman" w:hAnsi="Times New Roman" w:eastAsia="宋体" w:cs="Times New Roman"/>
                <w:color w:val="auto"/>
                <w:spacing w:val="-2"/>
                <w:sz w:val="24"/>
              </w:rPr>
              <w:t>；活性炭纤维毡</w:t>
            </w:r>
            <w:r>
              <w:rPr>
                <w:rFonts w:hint="default" w:ascii="Times New Roman" w:hAnsi="Times New Roman" w:eastAsia="宋体" w:cs="Times New Roman"/>
                <w:color w:val="auto"/>
                <w:sz w:val="24"/>
              </w:rPr>
              <w:t>吸附剂的气流风速宜低于0.15m/s。</w:t>
            </w:r>
          </w:p>
          <w:p>
            <w:pPr>
              <w:pStyle w:val="34"/>
              <w:spacing w:before="5" w:line="362" w:lineRule="auto"/>
              <w:ind w:left="107" w:right="97" w:firstLine="48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根据《关于印发＜2020年挥发性有机物治理攻坚方案＞的通知》（环大气〔2020〕33号），采用活性炭吸附技术的，应选择碘值不低于800毫克/克的活性炭，并按设计要求足量添加、及时更换。项目拟采用碘值不低于800毫克/克的活性炭吸附措施</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活性炭吸附装置参数如下表：</w:t>
            </w:r>
          </w:p>
          <w:p>
            <w:pPr>
              <w:keepNext w:val="0"/>
              <w:keepLines w:val="0"/>
              <w:widowControl w:val="0"/>
              <w:suppressLineNumbers w:val="0"/>
              <w:autoSpaceDE w:val="0"/>
              <w:autoSpaceDN w:val="0"/>
              <w:adjustRightInd w:val="0"/>
              <w:spacing w:before="0" w:beforeAutospacing="0" w:after="0" w:afterAutospacing="0"/>
              <w:ind w:left="0" w:right="0"/>
              <w:jc w:val="center"/>
              <w:textAlignment w:val="baseline"/>
              <w:rPr>
                <w:rFonts w:hint="default" w:ascii="Times New Roman" w:hAnsi="Times New Roman" w:eastAsia="宋体" w:cs="Times New Roman"/>
                <w:b/>
                <w:bCs/>
                <w:color w:val="auto"/>
                <w:kern w:val="0"/>
                <w:sz w:val="21"/>
                <w:szCs w:val="21"/>
                <w:highlight w:val="none"/>
                <w:lang w:val="en-US" w:eastAsia="zh-CN" w:bidi="ar"/>
              </w:rPr>
            </w:pPr>
            <w:r>
              <w:rPr>
                <w:rFonts w:hint="default" w:ascii="Times New Roman" w:hAnsi="Times New Roman" w:eastAsia="宋体" w:cs="Times New Roman"/>
                <w:b/>
                <w:bCs/>
                <w:color w:val="auto"/>
                <w:kern w:val="0"/>
                <w:sz w:val="21"/>
                <w:szCs w:val="21"/>
                <w:highlight w:val="none"/>
                <w:lang w:val="en-US" w:eastAsia="zh-CN" w:bidi="ar"/>
              </w:rPr>
              <w:t>表4-3</w:t>
            </w:r>
            <w:r>
              <w:rPr>
                <w:rFonts w:hint="eastAsia" w:ascii="Times New Roman" w:hAnsi="Times New Roman" w:eastAsia="宋体" w:cs="Times New Roman"/>
                <w:b/>
                <w:bCs/>
                <w:color w:val="auto"/>
                <w:kern w:val="0"/>
                <w:sz w:val="21"/>
                <w:szCs w:val="21"/>
                <w:highlight w:val="none"/>
                <w:lang w:val="en-US" w:eastAsia="zh-CN" w:bidi="ar"/>
              </w:rPr>
              <w:t>0本项目</w:t>
            </w:r>
            <w:r>
              <w:rPr>
                <w:rFonts w:hint="default" w:ascii="Times New Roman" w:hAnsi="Times New Roman" w:eastAsia="宋体" w:cs="Times New Roman"/>
                <w:b/>
                <w:bCs/>
                <w:color w:val="auto"/>
                <w:kern w:val="0"/>
                <w:sz w:val="21"/>
                <w:szCs w:val="21"/>
                <w:highlight w:val="none"/>
                <w:lang w:val="en-US" w:eastAsia="zh-CN" w:bidi="ar"/>
              </w:rPr>
              <w:t>活性炭吸附装置参数一览表</w:t>
            </w:r>
          </w:p>
          <w:tbl>
            <w:tblPr>
              <w:tblStyle w:val="24"/>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3526"/>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978" w:type="pct"/>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设备名称</w:t>
                  </w:r>
                </w:p>
              </w:tc>
              <w:tc>
                <w:tcPr>
                  <w:tcW w:w="2079" w:type="pct"/>
                  <w:noWrap w:val="0"/>
                  <w:vAlign w:val="center"/>
                </w:tcPr>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具体参数</w:t>
                  </w:r>
                </w:p>
              </w:tc>
              <w:tc>
                <w:tcPr>
                  <w:tcW w:w="1941" w:type="pct"/>
                  <w:noWrap w:val="0"/>
                  <w:vAlign w:val="center"/>
                </w:tcPr>
                <w:p>
                  <w:pPr>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二级活性炭吸附塔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8" w:type="pct"/>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活性炭吸附装置</w:t>
                  </w:r>
                </w:p>
              </w:tc>
              <w:tc>
                <w:tcPr>
                  <w:tcW w:w="2079"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炭箱尺寸（长L×宽B×高H）</w:t>
                  </w:r>
                </w:p>
              </w:tc>
              <w:tc>
                <w:tcPr>
                  <w:tcW w:w="1941" w:type="pct"/>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bidi="ar"/>
                    </w:rPr>
                    <w:t>1.5</w:t>
                  </w:r>
                  <w:r>
                    <w:rPr>
                      <w:rFonts w:hint="default" w:ascii="Times New Roman" w:hAnsi="Times New Roman" w:eastAsia="宋体" w:cs="Times New Roman"/>
                      <w:color w:val="auto"/>
                      <w:sz w:val="21"/>
                      <w:szCs w:val="21"/>
                      <w:highlight w:val="none"/>
                      <w:lang w:bidi="ar"/>
                    </w:rPr>
                    <w:t>m*</w:t>
                  </w:r>
                  <w:r>
                    <w:rPr>
                      <w:rFonts w:hint="eastAsia" w:ascii="Times New Roman" w:hAnsi="Times New Roman" w:eastAsia="宋体" w:cs="Times New Roman"/>
                      <w:color w:val="auto"/>
                      <w:sz w:val="21"/>
                      <w:szCs w:val="21"/>
                      <w:highlight w:val="none"/>
                      <w:lang w:val="en-US" w:eastAsia="zh-CN" w:bidi="ar"/>
                    </w:rPr>
                    <w:t>1.3</w:t>
                  </w:r>
                  <w:r>
                    <w:rPr>
                      <w:rFonts w:hint="default" w:ascii="Times New Roman" w:hAnsi="Times New Roman" w:eastAsia="宋体" w:cs="Times New Roman"/>
                      <w:color w:val="auto"/>
                      <w:sz w:val="21"/>
                      <w:szCs w:val="21"/>
                      <w:highlight w:val="none"/>
                      <w:lang w:bidi="ar"/>
                    </w:rPr>
                    <w:t>m*</w:t>
                  </w:r>
                  <w:r>
                    <w:rPr>
                      <w:rFonts w:hint="eastAsia" w:ascii="Times New Roman" w:hAnsi="Times New Roman" w:eastAsia="宋体" w:cs="Times New Roman"/>
                      <w:color w:val="auto"/>
                      <w:sz w:val="21"/>
                      <w:szCs w:val="21"/>
                      <w:highlight w:val="none"/>
                      <w:lang w:val="en-US" w:eastAsia="zh-CN" w:bidi="ar"/>
                    </w:rPr>
                    <w:t>1.2</w:t>
                  </w:r>
                  <w:r>
                    <w:rPr>
                      <w:rFonts w:hint="default" w:ascii="Times New Roman" w:hAnsi="Times New Roman" w:eastAsia="宋体" w:cs="Times New Roman"/>
                      <w:color w:val="auto"/>
                      <w:sz w:val="21"/>
                      <w:szCs w:val="21"/>
                      <w:highlight w:val="none"/>
                      <w:lang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7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2079"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设计风量Q</w:t>
                  </w:r>
                </w:p>
              </w:tc>
              <w:tc>
                <w:tcPr>
                  <w:tcW w:w="1941" w:type="pct"/>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6000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7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2079" w:type="pct"/>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气体流速</w:t>
                  </w:r>
                  <w:r>
                    <w:rPr>
                      <w:rFonts w:hint="default" w:ascii="Times New Roman" w:hAnsi="Times New Roman" w:eastAsia="宋体" w:cs="Times New Roman"/>
                      <w:color w:val="auto"/>
                      <w:sz w:val="21"/>
                      <w:szCs w:val="21"/>
                      <w:highlight w:val="none"/>
                      <w:lang w:val="en-US" w:eastAsia="zh-CN"/>
                    </w:rPr>
                    <w:t>v空</w:t>
                  </w:r>
                </w:p>
              </w:tc>
              <w:tc>
                <w:tcPr>
                  <w:tcW w:w="1941" w:type="pc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1.07</w:t>
                  </w:r>
                  <w:r>
                    <w:rPr>
                      <w:rFonts w:hint="default" w:ascii="Times New Roman" w:hAnsi="Times New Roman" w:eastAsia="宋体" w:cs="Times New Roman"/>
                      <w:color w:val="auto"/>
                      <w:sz w:val="21"/>
                      <w:szCs w:val="21"/>
                      <w:highlight w:val="none"/>
                      <w:lang w:val="en-US" w:eastAsia="zh-CN"/>
                    </w:rPr>
                    <w:t>m/s</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v空=</w:t>
                  </w:r>
                  <w:r>
                    <w:rPr>
                      <w:rFonts w:hint="default" w:ascii="Times New Roman" w:hAnsi="Times New Roman" w:eastAsia="宋体" w:cs="Times New Roman"/>
                      <w:color w:val="auto"/>
                      <w:sz w:val="21"/>
                      <w:szCs w:val="21"/>
                      <w:highlight w:val="none"/>
                    </w:rPr>
                    <w:t>Q</w:t>
                  </w:r>
                  <w:r>
                    <w:rPr>
                      <w:rFonts w:hint="default" w:ascii="Times New Roman" w:hAnsi="Times New Roman" w:eastAsia="宋体" w:cs="Times New Roman"/>
                      <w:color w:val="auto"/>
                      <w:sz w:val="21"/>
                      <w:szCs w:val="21"/>
                      <w:highlight w:val="none"/>
                      <w:lang w:val="en-US" w:eastAsia="zh-CN"/>
                    </w:rPr>
                    <w:t>/3600/（</w:t>
                  </w:r>
                  <w:r>
                    <w:rPr>
                      <w:rFonts w:hint="default" w:ascii="Times New Roman" w:hAnsi="Times New Roman" w:eastAsia="宋体" w:cs="Times New Roman"/>
                      <w:color w:val="auto"/>
                      <w:sz w:val="21"/>
                      <w:szCs w:val="21"/>
                      <w:highlight w:val="none"/>
                    </w:rPr>
                    <w:t>B×</w:t>
                  </w:r>
                  <w:r>
                    <w:rPr>
                      <w:rFonts w:hint="default" w:ascii="Times New Roman" w:hAnsi="Times New Roman" w:eastAsia="宋体" w:cs="Times New Roman"/>
                      <w:color w:val="auto"/>
                      <w:sz w:val="21"/>
                      <w:szCs w:val="21"/>
                      <w:highlight w:val="none"/>
                      <w:lang w:val="en-US" w:eastAsia="zh-CN"/>
                    </w:rPr>
                    <w:t>H)</w:t>
                  </w: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978" w:type="pct"/>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2079" w:type="pc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吸附箱</w:t>
                  </w:r>
                  <w:r>
                    <w:rPr>
                      <w:rFonts w:hint="default" w:ascii="Times New Roman" w:hAnsi="Times New Roman" w:eastAsia="宋体" w:cs="Times New Roman"/>
                      <w:color w:val="auto"/>
                      <w:sz w:val="21"/>
                      <w:szCs w:val="21"/>
                      <w:highlight w:val="none"/>
                    </w:rPr>
                    <w:t>停留时间T</w:t>
                  </w:r>
                </w:p>
              </w:tc>
              <w:tc>
                <w:tcPr>
                  <w:tcW w:w="1941" w:type="pct"/>
                  <w:noWrap w:val="0"/>
                  <w:vAlign w:val="center"/>
                </w:tcPr>
                <w:p>
                  <w:pPr>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1.40</w:t>
                  </w:r>
                  <w:r>
                    <w:rPr>
                      <w:rFonts w:hint="default" w:ascii="Times New Roman" w:hAnsi="Times New Roman" w:eastAsia="宋体" w:cs="Times New Roman"/>
                      <w:color w:val="auto"/>
                      <w:sz w:val="21"/>
                      <w:szCs w:val="21"/>
                      <w:highlight w:val="none"/>
                    </w:rPr>
                    <w:t>s【T=</w:t>
                  </w:r>
                  <w:r>
                    <w:rPr>
                      <w:rFonts w:hint="default" w:ascii="Times New Roman" w:hAnsi="Times New Roman" w:eastAsia="宋体" w:cs="Times New Roman"/>
                      <w:color w:val="auto"/>
                      <w:sz w:val="21"/>
                      <w:szCs w:val="21"/>
                      <w:highlight w:val="none"/>
                      <w:lang w:val="en-US" w:eastAsia="zh-CN"/>
                    </w:rPr>
                    <w:t>L</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v</w:t>
                  </w:r>
                  <w:r>
                    <w:rPr>
                      <w:rFonts w:hint="default" w:ascii="Times New Roman" w:hAnsi="Times New Roman" w:eastAsia="宋体" w:cs="Times New Roman"/>
                      <w:color w:val="auto"/>
                      <w:sz w:val="21"/>
                      <w:szCs w:val="21"/>
                      <w:highlight w:val="none"/>
                      <w:lang w:eastAsia="zh-CN"/>
                    </w:rPr>
                    <w:t>空</w:t>
                  </w:r>
                  <w:r>
                    <w:rPr>
                      <w:rFonts w:hint="default" w:ascii="Times New Roman" w:hAnsi="Times New Roman" w:eastAsia="宋体" w:cs="Times New Roman"/>
                      <w:color w:val="auto"/>
                      <w:sz w:val="21"/>
                      <w:szCs w:val="21"/>
                      <w:highlight w:val="none"/>
                    </w:rPr>
                    <w:t>】</w:t>
                  </w:r>
                </w:p>
              </w:tc>
            </w:tr>
          </w:tbl>
          <w:p>
            <w:pPr>
              <w:pStyle w:val="34"/>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气体流速</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本项目</w:t>
            </w:r>
            <w:r>
              <w:rPr>
                <w:rFonts w:hint="default" w:ascii="Times New Roman" w:hAnsi="Times New Roman" w:eastAsia="宋体" w:cs="Times New Roman"/>
                <w:color w:val="auto"/>
                <w:sz w:val="24"/>
                <w:lang w:eastAsia="zh-CN"/>
              </w:rPr>
              <w:t>使用蜂窝状活性炭，</w:t>
            </w:r>
            <w:r>
              <w:rPr>
                <w:rFonts w:hint="default" w:ascii="Times New Roman" w:hAnsi="Times New Roman" w:eastAsia="宋体" w:cs="Times New Roman"/>
                <w:color w:val="auto"/>
                <w:sz w:val="24"/>
              </w:rPr>
              <w:t>一般来说采用蜂窝状活性炭气体流速宜低于1.2m/s</w:t>
            </w:r>
            <w:r>
              <w:rPr>
                <w:rFonts w:hint="default" w:ascii="Times New Roman" w:hAnsi="Times New Roman" w:eastAsia="宋体" w:cs="Times New Roman"/>
                <w:color w:val="auto"/>
                <w:sz w:val="24"/>
                <w:lang w:eastAsia="zh-CN"/>
              </w:rPr>
              <w:t>，根据上表核算可知</w:t>
            </w:r>
            <w:r>
              <w:rPr>
                <w:rFonts w:hint="eastAsia" w:ascii="Times New Roman" w:hAnsi="Times New Roman" w:eastAsia="宋体" w:cs="Times New Roman"/>
                <w:color w:val="auto"/>
                <w:kern w:val="0"/>
                <w:sz w:val="24"/>
                <w:szCs w:val="24"/>
                <w:lang w:val="en-US" w:eastAsia="zh-CN" w:bidi="ar-SA"/>
              </w:rPr>
              <w:t>本项目注塑废气二级活性炭吸附塔的</w:t>
            </w:r>
            <w:r>
              <w:rPr>
                <w:rFonts w:hint="default" w:ascii="Times New Roman" w:hAnsi="Times New Roman" w:eastAsia="宋体" w:cs="Times New Roman"/>
                <w:color w:val="auto"/>
                <w:sz w:val="24"/>
                <w:lang w:eastAsia="zh-CN"/>
              </w:rPr>
              <w:t>气体流速为</w:t>
            </w:r>
            <w:r>
              <w:rPr>
                <w:rFonts w:hint="eastAsia" w:ascii="Times New Roman" w:hAnsi="Times New Roman" w:eastAsia="宋体" w:cs="Times New Roman"/>
                <w:color w:val="auto"/>
                <w:sz w:val="24"/>
                <w:lang w:val="en-US" w:eastAsia="zh-CN"/>
              </w:rPr>
              <w:t>1.07</w:t>
            </w:r>
            <w:r>
              <w:rPr>
                <w:rFonts w:hint="default" w:ascii="Times New Roman" w:hAnsi="Times New Roman" w:eastAsia="宋体" w:cs="Times New Roman"/>
                <w:color w:val="auto"/>
                <w:sz w:val="24"/>
              </w:rPr>
              <w:t>m/s</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符合要求。</w:t>
            </w:r>
          </w:p>
          <w:p>
            <w:pPr>
              <w:pStyle w:val="45"/>
              <w:keepNext w:val="0"/>
              <w:keepLines w:val="0"/>
              <w:pageBreakBefore w:val="0"/>
              <w:widowControl w:val="0"/>
              <w:numPr>
                <w:ilvl w:val="0"/>
                <w:numId w:val="0"/>
              </w:numPr>
              <w:tabs>
                <w:tab w:val="left" w:pos="1690"/>
              </w:tabs>
              <w:kinsoku/>
              <w:wordWrap/>
              <w:overflowPunct/>
              <w:topLinePunct w:val="0"/>
              <w:bidi w:val="0"/>
              <w:adjustRightInd/>
              <w:snapToGrid/>
              <w:spacing w:before="0" w:after="0" w:line="360" w:lineRule="auto"/>
              <w:ind w:right="0" w:rightChars="0" w:firstLine="480" w:firstLineChars="200"/>
              <w:jc w:val="left"/>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en-US" w:bidi="ar-SA"/>
              </w:rPr>
              <w:t>停留时间</w:t>
            </w:r>
            <w:r>
              <w:rPr>
                <w:rFonts w:hint="default" w:ascii="Times New Roman" w:hAnsi="Times New Roman" w:eastAsia="宋体"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en-US" w:bidi="ar-SA"/>
              </w:rPr>
              <w:t>活性炭吸附箱停留时间需大于0.8s</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cs="Times New Roman"/>
                <w:color w:val="auto"/>
                <w:kern w:val="0"/>
                <w:sz w:val="24"/>
                <w:szCs w:val="24"/>
                <w:lang w:val="en-US" w:eastAsia="zh-CN" w:bidi="ar-SA"/>
              </w:rPr>
              <w:t>本项目</w:t>
            </w:r>
            <w:r>
              <w:rPr>
                <w:rFonts w:hint="eastAsia" w:ascii="Times New Roman" w:hAnsi="Times New Roman" w:eastAsia="宋体" w:cs="Times New Roman"/>
                <w:color w:val="auto"/>
                <w:kern w:val="0"/>
                <w:sz w:val="24"/>
                <w:szCs w:val="24"/>
                <w:lang w:val="en-US" w:eastAsia="zh-CN" w:bidi="ar-SA"/>
              </w:rPr>
              <w:t>注塑废气</w:t>
            </w:r>
            <w:r>
              <w:rPr>
                <w:rFonts w:hint="default" w:ascii="Times New Roman" w:hAnsi="Times New Roman" w:eastAsia="宋体" w:cs="Times New Roman"/>
                <w:color w:val="auto"/>
                <w:kern w:val="0"/>
                <w:sz w:val="24"/>
                <w:szCs w:val="24"/>
                <w:lang w:val="en-US" w:eastAsia="zh-CN" w:bidi="ar-SA"/>
              </w:rPr>
              <w:t>吸附箱停留时间为</w:t>
            </w:r>
            <w:r>
              <w:rPr>
                <w:rFonts w:hint="eastAsia" w:ascii="Times New Roman" w:hAnsi="Times New Roman" w:cs="Times New Roman"/>
                <w:color w:val="auto"/>
                <w:kern w:val="0"/>
                <w:sz w:val="24"/>
                <w:szCs w:val="24"/>
                <w:lang w:val="en-US" w:eastAsia="zh-CN" w:bidi="ar-SA"/>
              </w:rPr>
              <w:t>1.40</w:t>
            </w:r>
            <w:r>
              <w:rPr>
                <w:rFonts w:hint="default" w:ascii="Times New Roman" w:hAnsi="Times New Roman" w:eastAsia="宋体" w:cs="Times New Roman"/>
                <w:color w:val="auto"/>
                <w:kern w:val="0"/>
                <w:sz w:val="24"/>
                <w:szCs w:val="24"/>
                <w:lang w:val="en-US" w:eastAsia="zh-CN" w:bidi="ar-SA"/>
              </w:rPr>
              <w:t>s</w:t>
            </w:r>
            <w:r>
              <w:rPr>
                <w:rFonts w:hint="eastAsia"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符合有要求。</w:t>
            </w:r>
          </w:p>
          <w:p>
            <w:pPr>
              <w:pStyle w:val="45"/>
              <w:keepNext w:val="0"/>
              <w:keepLines w:val="0"/>
              <w:pageBreakBefore w:val="0"/>
              <w:widowControl w:val="0"/>
              <w:numPr>
                <w:ilvl w:val="0"/>
                <w:numId w:val="0"/>
              </w:numPr>
              <w:tabs>
                <w:tab w:val="left" w:pos="1690"/>
              </w:tabs>
              <w:kinsoku/>
              <w:wordWrap/>
              <w:overflowPunct/>
              <w:topLinePunct w:val="0"/>
              <w:autoSpaceDE/>
              <w:autoSpaceDN/>
              <w:bidi w:val="0"/>
              <w:adjustRightInd/>
              <w:snapToGrid/>
              <w:spacing w:before="0" w:after="0" w:line="360" w:lineRule="auto"/>
              <w:ind w:right="0" w:rightChars="0" w:firstLine="480" w:firstLineChars="200"/>
              <w:jc w:val="left"/>
              <w:textAlignment w:val="auto"/>
              <w:rPr>
                <w:rFonts w:hint="eastAsia"/>
                <w:color w:val="0C0C0C"/>
                <w:sz w:val="24"/>
                <w:highlight w:val="none"/>
              </w:rPr>
            </w:pPr>
            <w:r>
              <w:rPr>
                <w:rFonts w:hint="default" w:ascii="Times New Roman" w:hAnsi="Times New Roman" w:eastAsia="宋体" w:cs="Times New Roman"/>
                <w:color w:val="auto"/>
                <w:kern w:val="0"/>
                <w:sz w:val="24"/>
                <w:szCs w:val="24"/>
                <w:lang w:val="en-US" w:eastAsia="zh-CN" w:bidi="ar-SA"/>
              </w:rPr>
              <w:t>3）活性炭装填量：根据《现代涂装手册》（化学工业出版社，陈治良主编），活性炭吸附容量约为25%，</w:t>
            </w:r>
            <w:r>
              <w:rPr>
                <w:rFonts w:hint="default" w:ascii="Times New Roman" w:hAnsi="Times New Roman" w:eastAsia="宋体" w:cs="Times New Roman"/>
                <w:bCs/>
                <w:color w:val="auto"/>
                <w:sz w:val="24"/>
                <w:szCs w:val="22"/>
                <w:highlight w:val="none"/>
                <w:lang w:eastAsia="zh-CN"/>
              </w:rPr>
              <w:t>即</w:t>
            </w:r>
            <w:r>
              <w:rPr>
                <w:rFonts w:hint="default" w:ascii="Times New Roman" w:hAnsi="Times New Roman" w:eastAsia="宋体" w:cs="Times New Roman"/>
                <w:bCs/>
                <w:color w:val="auto"/>
                <w:sz w:val="24"/>
                <w:szCs w:val="22"/>
                <w:highlight w:val="none"/>
              </w:rPr>
              <w:t>每千克活性炭吸附有机废气0.25kg计算，</w:t>
            </w:r>
            <w:r>
              <w:rPr>
                <w:rFonts w:hint="eastAsia" w:ascii="Times New Roman" w:hAnsi="Times New Roman" w:cs="Times New Roman"/>
                <w:bCs/>
                <w:color w:val="auto"/>
                <w:sz w:val="24"/>
                <w:szCs w:val="22"/>
                <w:highlight w:val="none"/>
                <w:lang w:eastAsia="zh-CN"/>
              </w:rPr>
              <w:t>本项目</w:t>
            </w:r>
            <w:r>
              <w:rPr>
                <w:rFonts w:hint="eastAsia" w:ascii="Times New Roman" w:hAnsi="Times New Roman" w:cs="Times New Roman"/>
                <w:bCs/>
                <w:color w:val="auto"/>
                <w:sz w:val="24"/>
                <w:szCs w:val="22"/>
                <w:highlight w:val="none"/>
                <w:lang w:val="en-US" w:eastAsia="zh-CN"/>
              </w:rPr>
              <w:t>注塑废气进入活性炭吸附装置的废气量为0.0891</w:t>
            </w:r>
            <w:r>
              <w:rPr>
                <w:rFonts w:hint="default" w:ascii="Times New Roman" w:hAnsi="Times New Roman" w:eastAsia="宋体" w:cs="Times New Roman"/>
                <w:color w:val="auto"/>
                <w:sz w:val="24"/>
                <w:szCs w:val="24"/>
                <w:lang w:val="en-US" w:eastAsia="zh-CN"/>
              </w:rPr>
              <w:t>t/a</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需要活性炭吸附的有机废气量为</w:t>
            </w:r>
            <w:r>
              <w:rPr>
                <w:rFonts w:hint="eastAsia" w:ascii="Times New Roman" w:hAnsi="Times New Roman" w:cs="Times New Roman"/>
                <w:color w:val="auto"/>
                <w:sz w:val="24"/>
                <w:szCs w:val="24"/>
                <w:lang w:val="en-US" w:eastAsia="zh-CN"/>
              </w:rPr>
              <w:t>0.0713</w:t>
            </w:r>
            <w:r>
              <w:rPr>
                <w:rFonts w:hint="default" w:ascii="Times New Roman" w:hAnsi="Times New Roman" w:eastAsia="宋体" w:cs="Times New Roman"/>
                <w:color w:val="auto"/>
                <w:sz w:val="24"/>
                <w:szCs w:val="24"/>
                <w:lang w:val="en-US" w:eastAsia="zh-CN"/>
              </w:rPr>
              <w:t>t/a</w:t>
            </w:r>
            <w:r>
              <w:rPr>
                <w:rFonts w:hint="default" w:ascii="Times New Roman" w:hAnsi="Times New Roman" w:eastAsia="宋体" w:cs="Times New Roman"/>
                <w:bCs/>
                <w:color w:val="auto"/>
                <w:sz w:val="24"/>
                <w:szCs w:val="22"/>
                <w:highlight w:val="none"/>
              </w:rPr>
              <w:t>，则</w:t>
            </w:r>
            <w:r>
              <w:rPr>
                <w:rFonts w:hint="eastAsia" w:ascii="Times New Roman" w:hAnsi="Times New Roman" w:cs="Times New Roman"/>
                <w:bCs/>
                <w:color w:val="auto"/>
                <w:sz w:val="24"/>
                <w:szCs w:val="22"/>
                <w:highlight w:val="none"/>
                <w:lang w:eastAsia="zh-CN"/>
              </w:rPr>
              <w:t>项目</w:t>
            </w:r>
            <w:r>
              <w:rPr>
                <w:rFonts w:hint="eastAsia" w:ascii="Times New Roman" w:hAnsi="Times New Roman" w:cs="Times New Roman"/>
                <w:bCs/>
                <w:color w:val="auto"/>
                <w:sz w:val="24"/>
                <w:szCs w:val="22"/>
                <w:highlight w:val="none"/>
                <w:lang w:val="en-US" w:eastAsia="zh-CN"/>
              </w:rPr>
              <w:t>注塑废气处理</w:t>
            </w:r>
            <w:r>
              <w:rPr>
                <w:rFonts w:hint="default" w:ascii="Times New Roman" w:hAnsi="Times New Roman" w:eastAsia="宋体" w:cs="Times New Roman"/>
                <w:bCs/>
                <w:color w:val="auto"/>
                <w:sz w:val="24"/>
                <w:szCs w:val="22"/>
                <w:highlight w:val="none"/>
                <w:lang w:eastAsia="zh-CN"/>
              </w:rPr>
              <w:t>所需的</w:t>
            </w:r>
            <w:r>
              <w:rPr>
                <w:rFonts w:hint="default" w:ascii="Times New Roman" w:hAnsi="Times New Roman" w:eastAsia="宋体" w:cs="Times New Roman"/>
                <w:bCs/>
                <w:color w:val="auto"/>
                <w:sz w:val="24"/>
                <w:szCs w:val="22"/>
                <w:highlight w:val="none"/>
              </w:rPr>
              <w:t>活性炭</w:t>
            </w:r>
            <w:r>
              <w:rPr>
                <w:rFonts w:hint="default" w:ascii="Times New Roman" w:hAnsi="Times New Roman" w:eastAsia="宋体" w:cs="Times New Roman"/>
                <w:bCs/>
                <w:color w:val="auto"/>
                <w:sz w:val="24"/>
                <w:szCs w:val="22"/>
                <w:highlight w:val="none"/>
                <w:lang w:eastAsia="zh-CN"/>
              </w:rPr>
              <w:t>量为</w:t>
            </w:r>
            <w:r>
              <w:rPr>
                <w:rFonts w:hint="eastAsia" w:ascii="Times New Roman" w:hAnsi="Times New Roman" w:cs="Times New Roman"/>
                <w:bCs/>
                <w:color w:val="auto"/>
                <w:sz w:val="24"/>
                <w:szCs w:val="22"/>
                <w:highlight w:val="none"/>
                <w:lang w:val="en-US" w:eastAsia="zh-CN"/>
              </w:rPr>
              <w:t>0.285</w:t>
            </w:r>
            <w:r>
              <w:rPr>
                <w:rFonts w:hint="default" w:ascii="Times New Roman" w:hAnsi="Times New Roman" w:eastAsia="宋体" w:cs="Times New Roman"/>
                <w:bCs/>
                <w:color w:val="auto"/>
                <w:sz w:val="24"/>
                <w:szCs w:val="22"/>
                <w:highlight w:val="none"/>
              </w:rPr>
              <w:t>t/a</w:t>
            </w:r>
            <w:r>
              <w:rPr>
                <w:rFonts w:hint="eastAsia" w:ascii="Times New Roman" w:hAnsi="Times New Roman" w:cs="Times New Roman"/>
                <w:bCs/>
                <w:color w:val="auto"/>
                <w:sz w:val="24"/>
                <w:szCs w:val="22"/>
                <w:highlight w:val="none"/>
                <w:lang w:eastAsia="zh-CN"/>
              </w:rPr>
              <w:t>，</w:t>
            </w:r>
            <w:r>
              <w:rPr>
                <w:rFonts w:hint="eastAsia" w:ascii="Times New Roman" w:hAnsi="Times New Roman" w:cs="Times New Roman"/>
                <w:bCs/>
                <w:color w:val="auto"/>
                <w:sz w:val="24"/>
                <w:szCs w:val="22"/>
                <w:highlight w:val="none"/>
                <w:lang w:val="en-US" w:eastAsia="zh-CN"/>
              </w:rPr>
              <w:t>则本项目产生的废活性炭量为0.285+0.0713=0.356</w:t>
            </w:r>
            <w:r>
              <w:rPr>
                <w:rFonts w:hint="default" w:ascii="Times New Roman" w:hAnsi="Times New Roman" w:eastAsia="宋体" w:cs="Times New Roman"/>
                <w:bCs/>
                <w:color w:val="auto"/>
                <w:sz w:val="24"/>
                <w:szCs w:val="22"/>
                <w:highlight w:val="none"/>
              </w:rPr>
              <w:t>t/a</w:t>
            </w:r>
            <w:r>
              <w:rPr>
                <w:rFonts w:hint="default" w:ascii="Times New Roman" w:hAnsi="Times New Roman" w:eastAsia="宋体" w:cs="Times New Roman"/>
                <w:bCs/>
                <w:color w:val="auto"/>
                <w:sz w:val="24"/>
                <w:szCs w:val="22"/>
                <w:highlight w:val="none"/>
                <w:lang w:val="en-US" w:eastAsia="zh-CN"/>
              </w:rPr>
              <w:t>。</w:t>
            </w:r>
          </w:p>
          <w:p>
            <w:pPr>
              <w:adjustRightInd w:val="0"/>
              <w:snapToGrid w:val="0"/>
              <w:spacing w:line="360" w:lineRule="auto"/>
              <w:ind w:firstLine="482" w:firstLineChars="200"/>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4.1.</w:t>
            </w:r>
            <w:r>
              <w:rPr>
                <w:rFonts w:hint="eastAsia" w:ascii="Times New Roman" w:hAnsi="Times New Roman" w:cs="Times New Roman"/>
                <w:b/>
                <w:color w:val="auto"/>
                <w:sz w:val="24"/>
                <w:highlight w:val="none"/>
                <w:lang w:val="en-US" w:eastAsia="zh-CN"/>
              </w:rPr>
              <w:t>3</w:t>
            </w:r>
            <w:r>
              <w:rPr>
                <w:rFonts w:hint="default" w:ascii="Times New Roman" w:hAnsi="Times New Roman" w:cs="Times New Roman"/>
                <w:b/>
                <w:color w:val="auto"/>
                <w:sz w:val="24"/>
                <w:highlight w:val="none"/>
                <w:lang w:val="en-US" w:eastAsia="zh-CN"/>
              </w:rPr>
              <w:t>生活垃圾</w:t>
            </w:r>
          </w:p>
          <w:p>
            <w:pPr>
              <w:pStyle w:val="1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生活垃圾主要来自员工日常办公，成分主要是废纸张、瓜果皮核、饮料包装瓶、塑料包装纸等，本项目员工</w:t>
            </w:r>
            <w:r>
              <w:rPr>
                <w:rFonts w:hint="eastAsia" w:hAnsi="Times New Roman" w:cs="Times New Roman"/>
                <w:kern w:val="2"/>
                <w:sz w:val="24"/>
                <w:szCs w:val="24"/>
                <w:lang w:val="en-US" w:eastAsia="zh-CN" w:bidi="ar-SA"/>
              </w:rPr>
              <w:t>40</w:t>
            </w:r>
            <w:r>
              <w:rPr>
                <w:rFonts w:hint="default" w:ascii="Times New Roman" w:hAnsi="Times New Roman" w:eastAsia="宋体" w:cs="Times New Roman"/>
                <w:kern w:val="2"/>
                <w:sz w:val="24"/>
                <w:szCs w:val="24"/>
                <w:lang w:val="en-US" w:eastAsia="zh-CN" w:bidi="ar-SA"/>
              </w:rPr>
              <w:t>人，年工作300天，根据惠州地区生活垃圾产生统计数据，项目不包食宿，生活垃圾产生系数为0.5kg/人•d，生活垃圾产生量</w:t>
            </w:r>
            <w:r>
              <w:rPr>
                <w:rFonts w:hint="eastAsia" w:hAnsi="Times New Roman" w:cs="Times New Roman"/>
                <w:kern w:val="2"/>
                <w:sz w:val="24"/>
                <w:szCs w:val="24"/>
                <w:lang w:val="en-US" w:eastAsia="zh-CN" w:bidi="ar-SA"/>
              </w:rPr>
              <w:t>6</w:t>
            </w:r>
            <w:r>
              <w:rPr>
                <w:rFonts w:hint="default" w:ascii="Times New Roman" w:hAnsi="Times New Roman" w:eastAsia="宋体" w:cs="Times New Roman"/>
                <w:kern w:val="2"/>
                <w:sz w:val="24"/>
                <w:szCs w:val="24"/>
                <w:lang w:val="en-US" w:eastAsia="zh-CN" w:bidi="ar-SA"/>
              </w:rPr>
              <w:t>t/a，生活垃圾集中收集后交由环卫部门清运处理</w:t>
            </w:r>
            <w:r>
              <w:rPr>
                <w:rFonts w:hint="eastAsia" w:ascii="Times New Roman" w:hAnsi="Times New Roman" w:eastAsia="宋体" w:cs="Times New Roman"/>
                <w:kern w:val="2"/>
                <w:sz w:val="24"/>
                <w:szCs w:val="24"/>
                <w:lang w:val="en-US" w:eastAsia="zh-CN" w:bidi="ar-SA"/>
              </w:rPr>
              <w:t>。</w:t>
            </w:r>
          </w:p>
          <w:p>
            <w:pPr>
              <w:adjustRightInd w:val="0"/>
              <w:snapToGrid w:val="0"/>
              <w:ind w:firstLine="422" w:firstLineChars="200"/>
              <w:jc w:val="center"/>
              <w:rPr>
                <w:b/>
                <w:color w:val="0C0C0C"/>
                <w:szCs w:val="21"/>
                <w:highlight w:val="none"/>
              </w:rPr>
            </w:pPr>
            <w:r>
              <w:rPr>
                <w:rFonts w:hint="eastAsia"/>
                <w:b/>
                <w:color w:val="0C0C0C"/>
                <w:szCs w:val="21"/>
                <w:highlight w:val="none"/>
              </w:rPr>
              <w:t>表</w:t>
            </w:r>
            <w:r>
              <w:rPr>
                <w:rFonts w:hint="eastAsia"/>
                <w:b/>
                <w:color w:val="0C0C0C"/>
                <w:szCs w:val="21"/>
                <w:highlight w:val="none"/>
                <w:lang w:val="en-US" w:eastAsia="zh-CN"/>
              </w:rPr>
              <w:t xml:space="preserve">4-15 </w:t>
            </w:r>
            <w:r>
              <w:rPr>
                <w:rFonts w:hint="eastAsia"/>
                <w:b/>
                <w:color w:val="0C0C0C"/>
                <w:szCs w:val="21"/>
                <w:highlight w:val="none"/>
              </w:rPr>
              <w:t>固体废物污染强源核算结果一览表</w:t>
            </w:r>
          </w:p>
          <w:tbl>
            <w:tblPr>
              <w:tblStyle w:val="24"/>
              <w:tblW w:w="5108" w:type="pct"/>
              <w:tblInd w:w="-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
              <w:gridCol w:w="1302"/>
              <w:gridCol w:w="1290"/>
              <w:gridCol w:w="705"/>
              <w:gridCol w:w="645"/>
              <w:gridCol w:w="1110"/>
              <w:gridCol w:w="1110"/>
              <w:gridCol w:w="885"/>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509" w:type="pct"/>
                  <w:noWrap w:val="0"/>
                  <w:vAlign w:val="center"/>
                </w:tcPr>
                <w:p>
                  <w:pPr>
                    <w:adjustRightInd w:val="0"/>
                    <w:snapToGrid w:val="0"/>
                    <w:jc w:val="center"/>
                    <w:rPr>
                      <w:rFonts w:hint="eastAsia"/>
                      <w:b/>
                      <w:color w:val="0C0C0C"/>
                      <w:szCs w:val="21"/>
                      <w:highlight w:val="none"/>
                    </w:rPr>
                  </w:pPr>
                  <w:r>
                    <w:rPr>
                      <w:rFonts w:hint="eastAsia"/>
                      <w:b/>
                      <w:color w:val="0C0C0C"/>
                      <w:szCs w:val="21"/>
                      <w:highlight w:val="none"/>
                    </w:rPr>
                    <w:t>工序/</w:t>
                  </w:r>
                </w:p>
                <w:p>
                  <w:pPr>
                    <w:adjustRightInd w:val="0"/>
                    <w:snapToGrid w:val="0"/>
                    <w:jc w:val="center"/>
                    <w:rPr>
                      <w:b/>
                      <w:color w:val="0C0C0C"/>
                      <w:szCs w:val="21"/>
                      <w:highlight w:val="none"/>
                    </w:rPr>
                  </w:pPr>
                  <w:r>
                    <w:rPr>
                      <w:rFonts w:hint="eastAsia"/>
                      <w:b/>
                      <w:color w:val="0C0C0C"/>
                      <w:szCs w:val="21"/>
                      <w:highlight w:val="none"/>
                    </w:rPr>
                    <w:t>生产线</w:t>
                  </w:r>
                </w:p>
              </w:tc>
              <w:tc>
                <w:tcPr>
                  <w:tcW w:w="734" w:type="pct"/>
                  <w:noWrap w:val="0"/>
                  <w:vAlign w:val="center"/>
                </w:tcPr>
                <w:p>
                  <w:pPr>
                    <w:adjustRightInd w:val="0"/>
                    <w:snapToGrid w:val="0"/>
                    <w:jc w:val="center"/>
                    <w:rPr>
                      <w:rFonts w:hint="eastAsia"/>
                      <w:b/>
                      <w:color w:val="0C0C0C"/>
                      <w:szCs w:val="21"/>
                      <w:highlight w:val="none"/>
                    </w:rPr>
                  </w:pPr>
                  <w:r>
                    <w:rPr>
                      <w:rFonts w:hint="eastAsia"/>
                      <w:b/>
                      <w:color w:val="0C0C0C"/>
                      <w:szCs w:val="21"/>
                      <w:highlight w:val="none"/>
                    </w:rPr>
                    <w:t>污染源</w:t>
                  </w:r>
                </w:p>
              </w:tc>
              <w:tc>
                <w:tcPr>
                  <w:tcW w:w="727" w:type="pct"/>
                  <w:noWrap w:val="0"/>
                  <w:vAlign w:val="center"/>
                </w:tcPr>
                <w:p>
                  <w:pPr>
                    <w:adjustRightInd w:val="0"/>
                    <w:snapToGrid w:val="0"/>
                    <w:jc w:val="center"/>
                    <w:rPr>
                      <w:rFonts w:hint="eastAsia"/>
                      <w:b/>
                      <w:color w:val="0C0C0C"/>
                      <w:szCs w:val="21"/>
                      <w:highlight w:val="none"/>
                    </w:rPr>
                  </w:pPr>
                  <w:r>
                    <w:rPr>
                      <w:rFonts w:hint="eastAsia"/>
                      <w:b/>
                      <w:color w:val="0C0C0C"/>
                      <w:szCs w:val="21"/>
                      <w:highlight w:val="none"/>
                    </w:rPr>
                    <w:t>主要有毒有害物质名称</w:t>
                  </w:r>
                </w:p>
              </w:tc>
              <w:tc>
                <w:tcPr>
                  <w:tcW w:w="397" w:type="pct"/>
                  <w:noWrap w:val="0"/>
                  <w:vAlign w:val="center"/>
                </w:tcPr>
                <w:p>
                  <w:pPr>
                    <w:adjustRightInd w:val="0"/>
                    <w:snapToGrid w:val="0"/>
                    <w:jc w:val="center"/>
                    <w:rPr>
                      <w:rFonts w:hint="eastAsia"/>
                      <w:b/>
                      <w:color w:val="0C0C0C"/>
                      <w:szCs w:val="21"/>
                      <w:highlight w:val="none"/>
                    </w:rPr>
                  </w:pPr>
                  <w:r>
                    <w:rPr>
                      <w:rFonts w:hint="eastAsia"/>
                      <w:b/>
                      <w:color w:val="0C0C0C"/>
                      <w:szCs w:val="21"/>
                      <w:highlight w:val="none"/>
                    </w:rPr>
                    <w:t>固废属性</w:t>
                  </w:r>
                </w:p>
              </w:tc>
              <w:tc>
                <w:tcPr>
                  <w:tcW w:w="363" w:type="pct"/>
                  <w:noWrap w:val="0"/>
                  <w:vAlign w:val="center"/>
                </w:tcPr>
                <w:p>
                  <w:pPr>
                    <w:adjustRightInd w:val="0"/>
                    <w:snapToGrid w:val="0"/>
                    <w:jc w:val="center"/>
                    <w:rPr>
                      <w:rFonts w:hint="eastAsia"/>
                      <w:b/>
                      <w:color w:val="0C0C0C"/>
                      <w:szCs w:val="21"/>
                      <w:highlight w:val="none"/>
                    </w:rPr>
                  </w:pPr>
                  <w:r>
                    <w:rPr>
                      <w:rFonts w:hint="eastAsia"/>
                      <w:b/>
                      <w:color w:val="0C0C0C"/>
                      <w:szCs w:val="21"/>
                      <w:highlight w:val="none"/>
                    </w:rPr>
                    <w:t>物料性状</w:t>
                  </w:r>
                </w:p>
              </w:tc>
              <w:tc>
                <w:tcPr>
                  <w:tcW w:w="626" w:type="pct"/>
                  <w:noWrap w:val="0"/>
                  <w:vAlign w:val="center"/>
                </w:tcPr>
                <w:p>
                  <w:pPr>
                    <w:adjustRightInd w:val="0"/>
                    <w:snapToGrid w:val="0"/>
                    <w:jc w:val="center"/>
                    <w:rPr>
                      <w:b/>
                      <w:color w:val="0C0C0C"/>
                      <w:szCs w:val="21"/>
                      <w:highlight w:val="none"/>
                    </w:rPr>
                  </w:pPr>
                  <w:r>
                    <w:rPr>
                      <w:rFonts w:hint="eastAsia"/>
                      <w:b/>
                      <w:color w:val="0C0C0C"/>
                      <w:szCs w:val="21"/>
                      <w:highlight w:val="none"/>
                    </w:rPr>
                    <w:t>产生量及处置量t/a</w:t>
                  </w:r>
                </w:p>
              </w:tc>
              <w:tc>
                <w:tcPr>
                  <w:tcW w:w="626" w:type="pct"/>
                  <w:noWrap w:val="0"/>
                  <w:vAlign w:val="center"/>
                </w:tcPr>
                <w:p>
                  <w:pPr>
                    <w:adjustRightInd w:val="0"/>
                    <w:snapToGrid w:val="0"/>
                    <w:jc w:val="center"/>
                    <w:rPr>
                      <w:rFonts w:hint="eastAsia"/>
                      <w:b/>
                      <w:color w:val="0C0C0C"/>
                      <w:szCs w:val="21"/>
                      <w:highlight w:val="none"/>
                    </w:rPr>
                  </w:pPr>
                  <w:r>
                    <w:rPr>
                      <w:rFonts w:hint="eastAsia"/>
                      <w:b/>
                      <w:color w:val="0C0C0C"/>
                      <w:szCs w:val="21"/>
                      <w:highlight w:val="none"/>
                    </w:rPr>
                    <w:t>处置方式和去向</w:t>
                  </w:r>
                </w:p>
              </w:tc>
              <w:tc>
                <w:tcPr>
                  <w:tcW w:w="499" w:type="pct"/>
                  <w:noWrap w:val="0"/>
                  <w:vAlign w:val="center"/>
                </w:tcPr>
                <w:p>
                  <w:pPr>
                    <w:adjustRightInd w:val="0"/>
                    <w:snapToGrid w:val="0"/>
                    <w:jc w:val="center"/>
                    <w:rPr>
                      <w:b/>
                      <w:color w:val="0C0C0C"/>
                      <w:szCs w:val="21"/>
                      <w:highlight w:val="none"/>
                    </w:rPr>
                  </w:pPr>
                  <w:r>
                    <w:rPr>
                      <w:rFonts w:hint="eastAsia"/>
                      <w:b/>
                      <w:color w:val="0C0C0C"/>
                      <w:szCs w:val="21"/>
                      <w:highlight w:val="none"/>
                    </w:rPr>
                    <w:t>环境管理要求</w:t>
                  </w:r>
                </w:p>
              </w:tc>
              <w:tc>
                <w:tcPr>
                  <w:tcW w:w="514" w:type="pct"/>
                  <w:noWrap w:val="0"/>
                  <w:vAlign w:val="center"/>
                </w:tcPr>
                <w:p>
                  <w:pPr>
                    <w:adjustRightInd w:val="0"/>
                    <w:snapToGrid w:val="0"/>
                    <w:jc w:val="center"/>
                    <w:rPr>
                      <w:rFonts w:hint="eastAsia"/>
                      <w:b/>
                      <w:color w:val="0C0C0C"/>
                      <w:szCs w:val="21"/>
                      <w:highlight w:val="none"/>
                    </w:rPr>
                  </w:pPr>
                  <w:r>
                    <w:rPr>
                      <w:rFonts w:hint="eastAsia"/>
                      <w:b/>
                      <w:color w:val="0C0C0C"/>
                      <w:szCs w:val="21"/>
                      <w:highlight w:val="none"/>
                    </w:rPr>
                    <w:t>最终</w:t>
                  </w:r>
                </w:p>
                <w:p>
                  <w:pPr>
                    <w:adjustRightInd w:val="0"/>
                    <w:snapToGrid w:val="0"/>
                    <w:jc w:val="center"/>
                    <w:rPr>
                      <w:rFonts w:hint="eastAsia"/>
                      <w:bCs/>
                      <w:color w:val="0C0C0C"/>
                      <w:szCs w:val="21"/>
                      <w:highlight w:val="none"/>
                    </w:rPr>
                  </w:pPr>
                  <w:r>
                    <w:rPr>
                      <w:rFonts w:hint="eastAsia"/>
                      <w:b/>
                      <w:color w:val="0C0C0C"/>
                      <w:szCs w:val="21"/>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9" w:type="pct"/>
                  <w:noWrap w:val="0"/>
                  <w:vAlign w:val="center"/>
                </w:tcPr>
                <w:p>
                  <w:pPr>
                    <w:jc w:val="center"/>
                    <w:rPr>
                      <w:rFonts w:hint="eastAsia" w:ascii="Times New Roman" w:hAnsi="Times New Roman" w:eastAsia="宋体" w:cs="Times New Roman"/>
                      <w:bCs/>
                      <w:color w:val="0C0C0C"/>
                      <w:szCs w:val="21"/>
                      <w:highlight w:val="none"/>
                      <w:lang w:eastAsia="zh-CN" w:bidi="ar"/>
                    </w:rPr>
                  </w:pPr>
                  <w:r>
                    <w:rPr>
                      <w:rFonts w:hint="default" w:ascii="Times New Roman" w:hAnsi="Times New Roman" w:eastAsia="宋体" w:cs="Times New Roman"/>
                      <w:bCs/>
                      <w:color w:val="0C0C0C"/>
                      <w:szCs w:val="21"/>
                      <w:highlight w:val="none"/>
                      <w:lang w:bidi="ar"/>
                    </w:rPr>
                    <w:t>办公生活</w:t>
                  </w:r>
                </w:p>
              </w:tc>
              <w:tc>
                <w:tcPr>
                  <w:tcW w:w="734" w:type="pct"/>
                  <w:noWrap w:val="0"/>
                  <w:vAlign w:val="center"/>
                </w:tcPr>
                <w:p>
                  <w:pPr>
                    <w:jc w:val="center"/>
                    <w:rPr>
                      <w:rFonts w:hint="default" w:ascii="Times New Roman" w:hAnsi="Times New Roman" w:eastAsia="宋体" w:cs="Times New Roman"/>
                      <w:bCs/>
                      <w:color w:val="0C0C0C"/>
                      <w:szCs w:val="21"/>
                      <w:highlight w:val="none"/>
                      <w:lang w:bidi="ar"/>
                    </w:rPr>
                  </w:pPr>
                  <w:r>
                    <w:rPr>
                      <w:rFonts w:hint="default" w:ascii="Times New Roman" w:hAnsi="Times New Roman" w:eastAsia="宋体" w:cs="Times New Roman"/>
                      <w:bCs/>
                      <w:color w:val="0C0C0C"/>
                      <w:szCs w:val="21"/>
                      <w:highlight w:val="none"/>
                      <w:lang w:bidi="ar"/>
                    </w:rPr>
                    <w:t>生活</w:t>
                  </w:r>
                </w:p>
                <w:p>
                  <w:pPr>
                    <w:jc w:val="center"/>
                    <w:rPr>
                      <w:rFonts w:hint="eastAsia" w:ascii="Times New Roman" w:hAnsi="Times New Roman" w:eastAsia="宋体" w:cs="Times New Roman"/>
                      <w:bCs/>
                      <w:color w:val="0C0C0C"/>
                      <w:szCs w:val="21"/>
                      <w:highlight w:val="none"/>
                      <w:lang w:eastAsia="zh-CN" w:bidi="ar"/>
                    </w:rPr>
                  </w:pPr>
                  <w:r>
                    <w:rPr>
                      <w:rFonts w:hint="default" w:ascii="Times New Roman" w:hAnsi="Times New Roman" w:eastAsia="宋体" w:cs="Times New Roman"/>
                      <w:bCs/>
                      <w:color w:val="0C0C0C"/>
                      <w:szCs w:val="21"/>
                      <w:highlight w:val="none"/>
                      <w:lang w:bidi="ar"/>
                    </w:rPr>
                    <w:t>垃圾</w:t>
                  </w:r>
                </w:p>
              </w:tc>
              <w:tc>
                <w:tcPr>
                  <w:tcW w:w="727" w:type="pct"/>
                  <w:noWrap w:val="0"/>
                  <w:vAlign w:val="center"/>
                </w:tcPr>
                <w:p>
                  <w:pPr>
                    <w:jc w:val="center"/>
                    <w:rPr>
                      <w:rFonts w:hint="eastAsia" w:ascii="Times New Roman" w:hAnsi="Times New Roman" w:eastAsia="宋体" w:cs="Times New Roman"/>
                      <w:bCs/>
                      <w:color w:val="0C0C0C"/>
                      <w:szCs w:val="21"/>
                      <w:highlight w:val="none"/>
                      <w:lang w:eastAsia="zh-CN" w:bidi="ar"/>
                    </w:rPr>
                  </w:pPr>
                  <w:r>
                    <w:rPr>
                      <w:rFonts w:hint="eastAsia" w:ascii="Times New Roman" w:hAnsi="Times New Roman" w:eastAsia="宋体" w:cs="Times New Roman"/>
                      <w:bCs/>
                      <w:color w:val="0C0C0C"/>
                      <w:szCs w:val="21"/>
                      <w:highlight w:val="none"/>
                      <w:lang w:val="en-US" w:eastAsia="zh-CN" w:bidi="ar"/>
                    </w:rPr>
                    <w:t>/</w:t>
                  </w:r>
                </w:p>
              </w:tc>
              <w:tc>
                <w:tcPr>
                  <w:tcW w:w="397" w:type="pct"/>
                  <w:noWrap w:val="0"/>
                  <w:vAlign w:val="center"/>
                </w:tcPr>
                <w:p>
                  <w:pPr>
                    <w:jc w:val="center"/>
                    <w:rPr>
                      <w:rFonts w:hint="eastAsia" w:ascii="Times New Roman" w:hAnsi="Times New Roman" w:eastAsia="宋体" w:cs="Times New Roman"/>
                      <w:bCs/>
                      <w:color w:val="0C0C0C"/>
                      <w:szCs w:val="21"/>
                      <w:highlight w:val="none"/>
                      <w:lang w:eastAsia="zh-CN" w:bidi="ar"/>
                    </w:rPr>
                  </w:pPr>
                  <w:r>
                    <w:rPr>
                      <w:rFonts w:hint="eastAsia" w:ascii="Times New Roman" w:hAnsi="Times New Roman" w:eastAsia="宋体" w:cs="Times New Roman"/>
                      <w:bCs/>
                      <w:color w:val="0C0C0C"/>
                      <w:szCs w:val="21"/>
                      <w:highlight w:val="none"/>
                      <w:lang w:eastAsia="zh-CN" w:bidi="ar"/>
                    </w:rPr>
                    <w:t>生活垃圾</w:t>
                  </w:r>
                </w:p>
              </w:tc>
              <w:tc>
                <w:tcPr>
                  <w:tcW w:w="363" w:type="pct"/>
                  <w:noWrap w:val="0"/>
                  <w:vAlign w:val="center"/>
                </w:tcPr>
                <w:p>
                  <w:pPr>
                    <w:jc w:val="center"/>
                    <w:rPr>
                      <w:rFonts w:hint="eastAsia" w:ascii="Times New Roman" w:hAnsi="Times New Roman" w:eastAsia="宋体" w:cs="Times New Roman"/>
                      <w:bCs/>
                      <w:color w:val="0C0C0C"/>
                      <w:szCs w:val="21"/>
                      <w:highlight w:val="none"/>
                      <w:lang w:bidi="ar"/>
                    </w:rPr>
                  </w:pPr>
                  <w:r>
                    <w:rPr>
                      <w:rFonts w:hint="default" w:ascii="Times New Roman" w:hAnsi="Times New Roman" w:eastAsia="宋体" w:cs="Times New Roman"/>
                      <w:bCs/>
                      <w:color w:val="0C0C0C"/>
                      <w:szCs w:val="21"/>
                      <w:highlight w:val="none"/>
                      <w:lang w:bidi="ar"/>
                    </w:rPr>
                    <w:t>固态</w:t>
                  </w:r>
                </w:p>
              </w:tc>
              <w:tc>
                <w:tcPr>
                  <w:tcW w:w="626" w:type="pct"/>
                  <w:noWrap w:val="0"/>
                  <w:vAlign w:val="center"/>
                </w:tcPr>
                <w:p>
                  <w:pPr>
                    <w:jc w:val="center"/>
                    <w:rPr>
                      <w:rFonts w:hint="eastAsia" w:ascii="Times New Roman" w:hAnsi="Times New Roman" w:eastAsia="宋体" w:cs="Times New Roman"/>
                      <w:bCs/>
                      <w:color w:val="0C0C0C"/>
                      <w:szCs w:val="21"/>
                      <w:highlight w:val="none"/>
                      <w:lang w:val="en-US" w:eastAsia="zh-CN" w:bidi="ar"/>
                    </w:rPr>
                  </w:pPr>
                  <w:r>
                    <w:rPr>
                      <w:rFonts w:hint="eastAsia" w:ascii="Times New Roman" w:hAnsi="Times New Roman" w:eastAsia="宋体" w:cs="Times New Roman"/>
                      <w:bCs/>
                      <w:color w:val="0C0C0C"/>
                      <w:szCs w:val="21"/>
                      <w:highlight w:val="none"/>
                      <w:lang w:val="en-US" w:eastAsia="zh-CN" w:bidi="ar"/>
                    </w:rPr>
                    <w:t>6</w:t>
                  </w:r>
                </w:p>
              </w:tc>
              <w:tc>
                <w:tcPr>
                  <w:tcW w:w="626" w:type="pct"/>
                  <w:noWrap w:val="0"/>
                  <w:vAlign w:val="center"/>
                </w:tcPr>
                <w:p>
                  <w:pPr>
                    <w:jc w:val="center"/>
                    <w:rPr>
                      <w:rFonts w:hint="default" w:ascii="Times New Roman" w:hAnsi="Times New Roman" w:eastAsia="宋体" w:cs="Times New Roman"/>
                      <w:bCs/>
                      <w:color w:val="0C0C0C"/>
                      <w:szCs w:val="21"/>
                      <w:highlight w:val="none"/>
                      <w:lang w:bidi="ar"/>
                    </w:rPr>
                  </w:pPr>
                  <w:r>
                    <w:rPr>
                      <w:rFonts w:hint="default" w:ascii="Times New Roman" w:hAnsi="Times New Roman" w:eastAsia="宋体" w:cs="Times New Roman"/>
                      <w:bCs/>
                      <w:color w:val="0C0C0C"/>
                      <w:szCs w:val="21"/>
                      <w:highlight w:val="none"/>
                      <w:lang w:bidi="ar"/>
                    </w:rPr>
                    <w:t>环卫</w:t>
                  </w:r>
                </w:p>
                <w:p>
                  <w:pPr>
                    <w:jc w:val="center"/>
                    <w:rPr>
                      <w:rFonts w:hint="eastAsia" w:ascii="Times New Roman" w:hAnsi="Times New Roman" w:eastAsia="宋体" w:cs="Times New Roman"/>
                      <w:bCs/>
                      <w:color w:val="0C0C0C"/>
                      <w:szCs w:val="21"/>
                      <w:highlight w:val="none"/>
                      <w:lang w:val="zh-CN" w:bidi="ar"/>
                    </w:rPr>
                  </w:pPr>
                  <w:r>
                    <w:rPr>
                      <w:rFonts w:hint="default" w:ascii="Times New Roman" w:hAnsi="Times New Roman" w:eastAsia="宋体" w:cs="Times New Roman"/>
                      <w:bCs/>
                      <w:color w:val="0C0C0C"/>
                      <w:szCs w:val="21"/>
                      <w:highlight w:val="none"/>
                      <w:lang w:bidi="ar"/>
                    </w:rPr>
                    <w:t>部门</w:t>
                  </w:r>
                </w:p>
              </w:tc>
              <w:tc>
                <w:tcPr>
                  <w:tcW w:w="499" w:type="pct"/>
                  <w:noWrap w:val="0"/>
                  <w:vAlign w:val="center"/>
                </w:tcPr>
                <w:p>
                  <w:pPr>
                    <w:jc w:val="center"/>
                    <w:rPr>
                      <w:rFonts w:hint="eastAsia" w:ascii="Times New Roman" w:hAnsi="Times New Roman" w:eastAsia="宋体" w:cs="Times New Roman"/>
                      <w:bCs/>
                      <w:color w:val="0C0C0C"/>
                      <w:szCs w:val="21"/>
                      <w:highlight w:val="none"/>
                      <w:lang w:bidi="ar"/>
                    </w:rPr>
                  </w:pPr>
                  <w:r>
                    <w:rPr>
                      <w:rFonts w:hint="default" w:ascii="Times New Roman" w:hAnsi="Times New Roman" w:eastAsia="宋体" w:cs="Times New Roman"/>
                      <w:bCs/>
                      <w:color w:val="0C0C0C"/>
                      <w:szCs w:val="21"/>
                      <w:highlight w:val="none"/>
                      <w:lang w:bidi="ar"/>
                    </w:rPr>
                    <w:t>设生活垃圾收集点</w:t>
                  </w:r>
                </w:p>
              </w:tc>
              <w:tc>
                <w:tcPr>
                  <w:tcW w:w="514" w:type="pct"/>
                  <w:noWrap w:val="0"/>
                  <w:vAlign w:val="center"/>
                </w:tcPr>
                <w:p>
                  <w:pPr>
                    <w:jc w:val="center"/>
                    <w:rPr>
                      <w:rFonts w:hint="default" w:ascii="Times New Roman" w:hAnsi="Times New Roman" w:eastAsia="宋体" w:cs="Times New Roman"/>
                      <w:bCs/>
                      <w:color w:val="0C0C0C"/>
                      <w:szCs w:val="21"/>
                      <w:highlight w:val="none"/>
                      <w:lang w:val="en-US" w:eastAsia="zh-CN" w:bidi="ar"/>
                    </w:rPr>
                  </w:pPr>
                  <w:r>
                    <w:rPr>
                      <w:rFonts w:hint="eastAsia" w:ascii="Times New Roman" w:hAnsi="Times New Roman" w:eastAsia="宋体" w:cs="Times New Roman"/>
                      <w:bCs/>
                      <w:color w:val="0C0C0C"/>
                      <w:szCs w:val="21"/>
                      <w:highlight w:val="none"/>
                      <w:lang w:val="en-US" w:eastAsia="zh-CN" w:bidi="ar"/>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509" w:type="pct"/>
                  <w:noWrap w:val="0"/>
                  <w:vAlign w:val="center"/>
                </w:tcPr>
                <w:p>
                  <w:pPr>
                    <w:jc w:val="center"/>
                    <w:rPr>
                      <w:rFonts w:hint="eastAsia"/>
                      <w:bCs/>
                      <w:color w:val="0C0C0C"/>
                      <w:szCs w:val="21"/>
                      <w:highlight w:val="none"/>
                      <w:lang w:eastAsia="zh-CN" w:bidi="ar"/>
                    </w:rPr>
                  </w:pPr>
                  <w:r>
                    <w:rPr>
                      <w:rFonts w:hint="eastAsia"/>
                      <w:bCs/>
                      <w:color w:val="0C0C0C"/>
                      <w:szCs w:val="21"/>
                      <w:highlight w:val="none"/>
                      <w:lang w:eastAsia="zh-CN" w:bidi="ar"/>
                    </w:rPr>
                    <w:t>生产</w:t>
                  </w:r>
                </w:p>
                <w:p>
                  <w:pPr>
                    <w:jc w:val="center"/>
                    <w:rPr>
                      <w:rFonts w:hint="eastAsia" w:eastAsia="宋体"/>
                      <w:bCs/>
                      <w:color w:val="0C0C0C"/>
                      <w:kern w:val="2"/>
                      <w:sz w:val="21"/>
                      <w:szCs w:val="21"/>
                      <w:highlight w:val="none"/>
                      <w:lang w:val="en-US" w:eastAsia="zh-CN" w:bidi="ar"/>
                    </w:rPr>
                  </w:pPr>
                  <w:r>
                    <w:rPr>
                      <w:rFonts w:hint="eastAsia"/>
                      <w:bCs/>
                      <w:color w:val="0C0C0C"/>
                      <w:szCs w:val="21"/>
                      <w:highlight w:val="none"/>
                      <w:lang w:eastAsia="zh-CN" w:bidi="ar"/>
                    </w:rPr>
                    <w:t>过程</w:t>
                  </w:r>
                </w:p>
              </w:tc>
              <w:tc>
                <w:tcPr>
                  <w:tcW w:w="734" w:type="pct"/>
                  <w:noWrap w:val="0"/>
                  <w:vAlign w:val="center"/>
                </w:tcPr>
                <w:p>
                  <w:pPr>
                    <w:jc w:val="center"/>
                    <w:rPr>
                      <w:rFonts w:hint="eastAsia" w:eastAsia="宋体"/>
                      <w:bCs/>
                      <w:color w:val="0C0C0C"/>
                      <w:kern w:val="2"/>
                      <w:sz w:val="21"/>
                      <w:szCs w:val="21"/>
                      <w:highlight w:val="none"/>
                      <w:lang w:val="en-US" w:eastAsia="zh-CN" w:bidi="ar"/>
                    </w:rPr>
                  </w:pPr>
                  <w:r>
                    <w:rPr>
                      <w:rFonts w:hint="eastAsia"/>
                      <w:bCs/>
                      <w:color w:val="0C0C0C"/>
                      <w:szCs w:val="21"/>
                      <w:highlight w:val="none"/>
                      <w:lang w:eastAsia="zh-CN" w:bidi="ar"/>
                    </w:rPr>
                    <w:t>废包装材料</w:t>
                  </w:r>
                </w:p>
              </w:tc>
              <w:tc>
                <w:tcPr>
                  <w:tcW w:w="727" w:type="pct"/>
                  <w:noWrap w:val="0"/>
                  <w:vAlign w:val="center"/>
                </w:tcPr>
                <w:p>
                  <w:pPr>
                    <w:jc w:val="center"/>
                    <w:rPr>
                      <w:bCs/>
                      <w:color w:val="0C0C0C"/>
                      <w:szCs w:val="21"/>
                      <w:highlight w:val="none"/>
                      <w:lang w:bidi="ar"/>
                    </w:rPr>
                  </w:pPr>
                  <w:r>
                    <w:rPr>
                      <w:bCs/>
                      <w:color w:val="0C0C0C"/>
                      <w:szCs w:val="21"/>
                      <w:highlight w:val="none"/>
                      <w:lang w:bidi="ar"/>
                    </w:rPr>
                    <w:t>/</w:t>
                  </w:r>
                </w:p>
              </w:tc>
              <w:tc>
                <w:tcPr>
                  <w:tcW w:w="397" w:type="pct"/>
                  <w:noWrap w:val="0"/>
                  <w:vAlign w:val="center"/>
                </w:tcPr>
                <w:p>
                  <w:pPr>
                    <w:adjustRightInd w:val="0"/>
                    <w:snapToGrid w:val="0"/>
                    <w:jc w:val="center"/>
                    <w:rPr>
                      <w:rFonts w:hint="eastAsia" w:eastAsiaTheme="minorEastAsia"/>
                      <w:bCs/>
                      <w:color w:val="0C0C0C"/>
                      <w:szCs w:val="21"/>
                      <w:highlight w:val="none"/>
                      <w:lang w:val="en-US" w:eastAsia="zh-CN"/>
                    </w:rPr>
                  </w:pPr>
                  <w:r>
                    <w:rPr>
                      <w:rFonts w:hint="eastAsia"/>
                      <w:bCs/>
                      <w:color w:val="0C0C0C"/>
                      <w:szCs w:val="21"/>
                      <w:highlight w:val="none"/>
                      <w:lang w:val="en-US" w:eastAsia="zh-CN"/>
                    </w:rPr>
                    <w:t>一般固体废物</w:t>
                  </w:r>
                </w:p>
              </w:tc>
              <w:tc>
                <w:tcPr>
                  <w:tcW w:w="363"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固态</w:t>
                  </w:r>
                </w:p>
              </w:tc>
              <w:tc>
                <w:tcPr>
                  <w:tcW w:w="626" w:type="pct"/>
                  <w:noWrap w:val="0"/>
                  <w:vAlign w:val="center"/>
                </w:tcPr>
                <w:p>
                  <w:pPr>
                    <w:jc w:val="center"/>
                    <w:rPr>
                      <w:rFonts w:hint="eastAsia" w:eastAsia="宋体"/>
                      <w:bCs/>
                      <w:color w:val="0C0C0C"/>
                      <w:szCs w:val="21"/>
                      <w:highlight w:val="none"/>
                      <w:lang w:eastAsia="zh-CN"/>
                    </w:rPr>
                  </w:pPr>
                  <w:r>
                    <w:rPr>
                      <w:rFonts w:hint="eastAsia"/>
                      <w:bCs/>
                      <w:color w:val="0C0C0C"/>
                      <w:szCs w:val="21"/>
                      <w:highlight w:val="none"/>
                      <w:lang w:val="en-US" w:eastAsia="zh-CN"/>
                    </w:rPr>
                    <w:t>1</w:t>
                  </w:r>
                </w:p>
              </w:tc>
              <w:tc>
                <w:tcPr>
                  <w:tcW w:w="626" w:type="pct"/>
                  <w:noWrap w:val="0"/>
                  <w:vAlign w:val="center"/>
                </w:tcPr>
                <w:p>
                  <w:pPr>
                    <w:adjustRightInd w:val="0"/>
                    <w:snapToGrid w:val="0"/>
                    <w:jc w:val="center"/>
                    <w:rPr>
                      <w:rFonts w:hint="eastAsia"/>
                      <w:bCs/>
                      <w:color w:val="0C0C0C"/>
                      <w:szCs w:val="21"/>
                      <w:highlight w:val="none"/>
                    </w:rPr>
                  </w:pPr>
                  <w:r>
                    <w:rPr>
                      <w:rFonts w:ascii="宋体" w:hAnsi="宋体" w:eastAsia="宋体" w:cs="宋体"/>
                      <w:spacing w:val="10"/>
                      <w:sz w:val="20"/>
                      <w:szCs w:val="20"/>
                    </w:rPr>
                    <w:t>交</w:t>
                  </w:r>
                  <w:r>
                    <w:rPr>
                      <w:rFonts w:ascii="宋体" w:hAnsi="宋体" w:eastAsia="宋体" w:cs="宋体"/>
                      <w:spacing w:val="7"/>
                      <w:sz w:val="20"/>
                      <w:szCs w:val="20"/>
                    </w:rPr>
                    <w:t>由专业回收</w:t>
                  </w:r>
                  <w:r>
                    <w:rPr>
                      <w:rFonts w:ascii="宋体" w:hAnsi="宋体" w:eastAsia="宋体" w:cs="宋体"/>
                      <w:spacing w:val="8"/>
                      <w:sz w:val="20"/>
                      <w:szCs w:val="20"/>
                    </w:rPr>
                    <w:t>公</w:t>
                  </w:r>
                  <w:r>
                    <w:rPr>
                      <w:rFonts w:ascii="宋体" w:hAnsi="宋体" w:eastAsia="宋体" w:cs="宋体"/>
                      <w:spacing w:val="7"/>
                      <w:sz w:val="20"/>
                      <w:szCs w:val="20"/>
                    </w:rPr>
                    <w:t>司回收处理</w:t>
                  </w:r>
                </w:p>
              </w:tc>
              <w:tc>
                <w:tcPr>
                  <w:tcW w:w="499" w:type="pct"/>
                  <w:noWrap w:val="0"/>
                  <w:vAlign w:val="center"/>
                </w:tcPr>
                <w:p>
                  <w:pPr>
                    <w:jc w:val="center"/>
                    <w:rPr>
                      <w:rFonts w:hint="eastAsia"/>
                      <w:bCs/>
                      <w:color w:val="0C0C0C"/>
                      <w:szCs w:val="21"/>
                      <w:highlight w:val="none"/>
                    </w:rPr>
                  </w:pPr>
                  <w:r>
                    <w:rPr>
                      <w:rFonts w:hint="eastAsia"/>
                      <w:bCs/>
                      <w:color w:val="0C0C0C"/>
                      <w:szCs w:val="21"/>
                      <w:highlight w:val="none"/>
                    </w:rPr>
                    <w:t>一般固体废物暂存间</w:t>
                  </w:r>
                </w:p>
              </w:tc>
              <w:tc>
                <w:tcPr>
                  <w:tcW w:w="514"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资源化利用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509"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废气</w:t>
                  </w:r>
                </w:p>
                <w:p>
                  <w:pPr>
                    <w:jc w:val="center"/>
                    <w:rPr>
                      <w:rFonts w:hint="eastAsia"/>
                      <w:bCs/>
                      <w:color w:val="0C0C0C"/>
                      <w:szCs w:val="21"/>
                      <w:highlight w:val="none"/>
                    </w:rPr>
                  </w:pPr>
                  <w:r>
                    <w:rPr>
                      <w:rFonts w:hint="eastAsia"/>
                      <w:bCs/>
                      <w:color w:val="0C0C0C"/>
                      <w:szCs w:val="21"/>
                      <w:highlight w:val="none"/>
                      <w:lang w:bidi="ar"/>
                    </w:rPr>
                    <w:t>治理</w:t>
                  </w:r>
                </w:p>
              </w:tc>
              <w:tc>
                <w:tcPr>
                  <w:tcW w:w="734" w:type="pct"/>
                  <w:noWrap w:val="0"/>
                  <w:vAlign w:val="center"/>
                </w:tcPr>
                <w:p>
                  <w:pPr>
                    <w:jc w:val="center"/>
                    <w:rPr>
                      <w:bCs/>
                      <w:color w:val="0C0C0C"/>
                      <w:szCs w:val="21"/>
                      <w:highlight w:val="none"/>
                      <w:lang w:bidi="ar"/>
                    </w:rPr>
                  </w:pPr>
                  <w:r>
                    <w:rPr>
                      <w:rFonts w:hint="eastAsia"/>
                      <w:bCs/>
                      <w:color w:val="0C0C0C"/>
                      <w:szCs w:val="21"/>
                      <w:highlight w:val="none"/>
                      <w:lang w:bidi="ar"/>
                    </w:rPr>
                    <w:t>废活性炭</w:t>
                  </w:r>
                </w:p>
              </w:tc>
              <w:tc>
                <w:tcPr>
                  <w:tcW w:w="727"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废活性炭</w:t>
                  </w:r>
                </w:p>
              </w:tc>
              <w:tc>
                <w:tcPr>
                  <w:tcW w:w="397" w:type="pct"/>
                  <w:vMerge w:val="restart"/>
                  <w:noWrap w:val="0"/>
                  <w:vAlign w:val="center"/>
                </w:tcPr>
                <w:p>
                  <w:pPr>
                    <w:adjustRightInd w:val="0"/>
                    <w:snapToGrid w:val="0"/>
                    <w:jc w:val="center"/>
                    <w:rPr>
                      <w:rFonts w:hint="eastAsia"/>
                      <w:bCs/>
                      <w:color w:val="0C0C0C"/>
                      <w:szCs w:val="21"/>
                      <w:highlight w:val="none"/>
                    </w:rPr>
                  </w:pPr>
                  <w:r>
                    <w:rPr>
                      <w:rFonts w:hint="eastAsia"/>
                      <w:bCs/>
                      <w:color w:val="0C0C0C"/>
                      <w:szCs w:val="21"/>
                      <w:highlight w:val="none"/>
                    </w:rPr>
                    <w:t>危险废物</w:t>
                  </w:r>
                </w:p>
              </w:tc>
              <w:tc>
                <w:tcPr>
                  <w:tcW w:w="363" w:type="pct"/>
                  <w:noWrap w:val="0"/>
                  <w:vAlign w:val="center"/>
                </w:tcPr>
                <w:p>
                  <w:pPr>
                    <w:jc w:val="center"/>
                    <w:rPr>
                      <w:rFonts w:hint="eastAsia"/>
                      <w:bCs/>
                      <w:color w:val="0C0C0C"/>
                      <w:szCs w:val="21"/>
                      <w:highlight w:val="none"/>
                    </w:rPr>
                  </w:pPr>
                  <w:r>
                    <w:rPr>
                      <w:rFonts w:hint="eastAsia"/>
                      <w:bCs/>
                      <w:color w:val="0C0C0C"/>
                      <w:szCs w:val="21"/>
                      <w:highlight w:val="none"/>
                      <w:lang w:bidi="ar"/>
                    </w:rPr>
                    <w:t>固态</w:t>
                  </w:r>
                </w:p>
              </w:tc>
              <w:tc>
                <w:tcPr>
                  <w:tcW w:w="626" w:type="pct"/>
                  <w:noWrap w:val="0"/>
                  <w:vAlign w:val="center"/>
                </w:tcPr>
                <w:p>
                  <w:pPr>
                    <w:jc w:val="center"/>
                    <w:rPr>
                      <w:rFonts w:hint="default" w:eastAsia="宋体"/>
                      <w:bCs/>
                      <w:color w:val="0C0C0C"/>
                      <w:szCs w:val="21"/>
                      <w:highlight w:val="none"/>
                      <w:lang w:val="en-US" w:eastAsia="zh-CN"/>
                    </w:rPr>
                  </w:pPr>
                  <w:r>
                    <w:rPr>
                      <w:rFonts w:hint="eastAsia"/>
                      <w:color w:val="0C0C0C"/>
                      <w:szCs w:val="21"/>
                      <w:highlight w:val="none"/>
                      <w:lang w:val="en-US" w:eastAsia="zh-CN"/>
                    </w:rPr>
                    <w:t>0.356</w:t>
                  </w:r>
                </w:p>
              </w:tc>
              <w:tc>
                <w:tcPr>
                  <w:tcW w:w="626" w:type="pct"/>
                  <w:vMerge w:val="restart"/>
                  <w:noWrap w:val="0"/>
                  <w:vAlign w:val="center"/>
                </w:tcPr>
                <w:p>
                  <w:pPr>
                    <w:adjustRightInd w:val="0"/>
                    <w:snapToGrid w:val="0"/>
                    <w:jc w:val="center"/>
                    <w:rPr>
                      <w:rFonts w:hint="eastAsia"/>
                      <w:bCs/>
                      <w:color w:val="0C0C0C"/>
                      <w:szCs w:val="21"/>
                      <w:highlight w:val="none"/>
                      <w:lang w:bidi="ar"/>
                    </w:rPr>
                  </w:pPr>
                  <w:r>
                    <w:rPr>
                      <w:rFonts w:hint="eastAsia"/>
                      <w:bCs/>
                      <w:color w:val="0C0C0C"/>
                      <w:szCs w:val="21"/>
                      <w:highlight w:val="none"/>
                      <w:lang w:bidi="ar"/>
                    </w:rPr>
                    <w:t>交由有危险废物处理资质的单位</w:t>
                  </w:r>
                </w:p>
                <w:p>
                  <w:pPr>
                    <w:adjustRightInd w:val="0"/>
                    <w:snapToGrid w:val="0"/>
                    <w:jc w:val="center"/>
                    <w:rPr>
                      <w:rFonts w:hint="eastAsia"/>
                      <w:bCs/>
                      <w:color w:val="0C0C0C"/>
                      <w:szCs w:val="21"/>
                      <w:highlight w:val="none"/>
                    </w:rPr>
                  </w:pPr>
                  <w:r>
                    <w:rPr>
                      <w:rFonts w:hint="eastAsia"/>
                      <w:bCs/>
                      <w:color w:val="0C0C0C"/>
                      <w:szCs w:val="21"/>
                      <w:highlight w:val="none"/>
                      <w:lang w:bidi="ar"/>
                    </w:rPr>
                    <w:t>处置</w:t>
                  </w:r>
                </w:p>
              </w:tc>
              <w:tc>
                <w:tcPr>
                  <w:tcW w:w="499" w:type="pct"/>
                  <w:vMerge w:val="restart"/>
                  <w:noWrap w:val="0"/>
                  <w:vAlign w:val="center"/>
                </w:tcPr>
                <w:p>
                  <w:pPr>
                    <w:jc w:val="center"/>
                    <w:rPr>
                      <w:rFonts w:hint="eastAsia"/>
                      <w:bCs/>
                      <w:color w:val="0C0C0C"/>
                      <w:szCs w:val="21"/>
                      <w:highlight w:val="none"/>
                    </w:rPr>
                  </w:pPr>
                  <w:r>
                    <w:rPr>
                      <w:rFonts w:hint="eastAsia"/>
                      <w:bCs/>
                      <w:color w:val="0C0C0C"/>
                      <w:szCs w:val="21"/>
                      <w:highlight w:val="none"/>
                      <w:lang w:eastAsia="zh-CN" w:bidi="ar"/>
                    </w:rPr>
                    <w:t>危险废物</w:t>
                  </w:r>
                  <w:r>
                    <w:rPr>
                      <w:rFonts w:hint="eastAsia"/>
                      <w:bCs/>
                      <w:color w:val="0C0C0C"/>
                      <w:szCs w:val="21"/>
                      <w:highlight w:val="none"/>
                      <w:lang w:bidi="ar"/>
                    </w:rPr>
                    <w:t>暂存间</w:t>
                  </w:r>
                </w:p>
              </w:tc>
              <w:tc>
                <w:tcPr>
                  <w:tcW w:w="514"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509"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维修</w:t>
                  </w:r>
                </w:p>
                <w:p>
                  <w:pPr>
                    <w:jc w:val="center"/>
                    <w:rPr>
                      <w:rFonts w:hint="eastAsia"/>
                      <w:bCs/>
                      <w:color w:val="0C0C0C"/>
                      <w:szCs w:val="21"/>
                      <w:highlight w:val="none"/>
                    </w:rPr>
                  </w:pPr>
                  <w:r>
                    <w:rPr>
                      <w:rFonts w:hint="eastAsia"/>
                      <w:bCs/>
                      <w:color w:val="0C0C0C"/>
                      <w:szCs w:val="21"/>
                      <w:highlight w:val="none"/>
                      <w:lang w:bidi="ar"/>
                    </w:rPr>
                    <w:t>过程</w:t>
                  </w:r>
                </w:p>
              </w:tc>
              <w:tc>
                <w:tcPr>
                  <w:tcW w:w="734"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含油手套及废抹布</w:t>
                  </w:r>
                </w:p>
              </w:tc>
              <w:tc>
                <w:tcPr>
                  <w:tcW w:w="727"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矿物油等</w:t>
                  </w:r>
                </w:p>
              </w:tc>
              <w:tc>
                <w:tcPr>
                  <w:tcW w:w="397" w:type="pct"/>
                  <w:vMerge w:val="continue"/>
                  <w:noWrap w:val="0"/>
                  <w:vAlign w:val="center"/>
                </w:tcPr>
                <w:p>
                  <w:pPr>
                    <w:adjustRightInd w:val="0"/>
                    <w:snapToGrid w:val="0"/>
                    <w:jc w:val="center"/>
                    <w:rPr>
                      <w:rFonts w:hint="eastAsia"/>
                      <w:bCs/>
                      <w:color w:val="0C0C0C"/>
                      <w:szCs w:val="21"/>
                      <w:highlight w:val="none"/>
                    </w:rPr>
                  </w:pPr>
                </w:p>
              </w:tc>
              <w:tc>
                <w:tcPr>
                  <w:tcW w:w="363" w:type="pct"/>
                  <w:noWrap w:val="0"/>
                  <w:vAlign w:val="center"/>
                </w:tcPr>
                <w:p>
                  <w:pPr>
                    <w:jc w:val="center"/>
                    <w:rPr>
                      <w:rFonts w:hint="eastAsia"/>
                      <w:bCs/>
                      <w:color w:val="0C0C0C"/>
                      <w:szCs w:val="21"/>
                      <w:highlight w:val="none"/>
                    </w:rPr>
                  </w:pPr>
                  <w:r>
                    <w:rPr>
                      <w:rFonts w:hint="eastAsia"/>
                      <w:bCs/>
                      <w:color w:val="0C0C0C"/>
                      <w:szCs w:val="21"/>
                      <w:highlight w:val="none"/>
                      <w:lang w:bidi="ar"/>
                    </w:rPr>
                    <w:t>固态</w:t>
                  </w:r>
                </w:p>
              </w:tc>
              <w:tc>
                <w:tcPr>
                  <w:tcW w:w="626" w:type="pct"/>
                  <w:noWrap w:val="0"/>
                  <w:vAlign w:val="center"/>
                </w:tcPr>
                <w:p>
                  <w:pPr>
                    <w:jc w:val="center"/>
                    <w:rPr>
                      <w:rFonts w:hint="eastAsia"/>
                      <w:bCs/>
                      <w:color w:val="0C0C0C"/>
                      <w:szCs w:val="21"/>
                      <w:highlight w:val="none"/>
                    </w:rPr>
                  </w:pPr>
                  <w:r>
                    <w:rPr>
                      <w:rFonts w:hint="eastAsia"/>
                      <w:color w:val="0C0C0C"/>
                      <w:szCs w:val="21"/>
                      <w:highlight w:val="none"/>
                    </w:rPr>
                    <w:t>0.01</w:t>
                  </w:r>
                </w:p>
              </w:tc>
              <w:tc>
                <w:tcPr>
                  <w:tcW w:w="626" w:type="pct"/>
                  <w:vMerge w:val="continue"/>
                  <w:noWrap w:val="0"/>
                  <w:vAlign w:val="center"/>
                </w:tcPr>
                <w:p>
                  <w:pPr>
                    <w:adjustRightInd w:val="0"/>
                    <w:snapToGrid w:val="0"/>
                    <w:jc w:val="center"/>
                    <w:rPr>
                      <w:rFonts w:hint="eastAsia"/>
                      <w:bCs/>
                      <w:color w:val="0C0C0C"/>
                      <w:szCs w:val="21"/>
                      <w:highlight w:val="none"/>
                    </w:rPr>
                  </w:pPr>
                </w:p>
              </w:tc>
              <w:tc>
                <w:tcPr>
                  <w:tcW w:w="499" w:type="pct"/>
                  <w:vMerge w:val="continue"/>
                  <w:noWrap w:val="0"/>
                  <w:vAlign w:val="center"/>
                </w:tcPr>
                <w:p>
                  <w:pPr>
                    <w:jc w:val="center"/>
                    <w:rPr>
                      <w:rFonts w:hint="eastAsia"/>
                      <w:bCs/>
                      <w:color w:val="0C0C0C"/>
                      <w:szCs w:val="21"/>
                      <w:highlight w:val="none"/>
                    </w:rPr>
                  </w:pPr>
                </w:p>
              </w:tc>
              <w:tc>
                <w:tcPr>
                  <w:tcW w:w="514"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9"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维修</w:t>
                  </w:r>
                </w:p>
                <w:p>
                  <w:pPr>
                    <w:jc w:val="center"/>
                    <w:rPr>
                      <w:rFonts w:hint="eastAsia"/>
                      <w:bCs/>
                      <w:color w:val="0C0C0C"/>
                      <w:szCs w:val="21"/>
                      <w:highlight w:val="none"/>
                    </w:rPr>
                  </w:pPr>
                  <w:r>
                    <w:rPr>
                      <w:rFonts w:hint="eastAsia"/>
                      <w:bCs/>
                      <w:color w:val="0C0C0C"/>
                      <w:szCs w:val="21"/>
                      <w:highlight w:val="none"/>
                      <w:lang w:bidi="ar"/>
                    </w:rPr>
                    <w:t>过程</w:t>
                  </w:r>
                </w:p>
              </w:tc>
              <w:tc>
                <w:tcPr>
                  <w:tcW w:w="734"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废机油</w:t>
                  </w:r>
                </w:p>
              </w:tc>
              <w:tc>
                <w:tcPr>
                  <w:tcW w:w="727"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矿物油</w:t>
                  </w:r>
                </w:p>
              </w:tc>
              <w:tc>
                <w:tcPr>
                  <w:tcW w:w="397" w:type="pct"/>
                  <w:vMerge w:val="continue"/>
                  <w:noWrap w:val="0"/>
                  <w:vAlign w:val="center"/>
                </w:tcPr>
                <w:p>
                  <w:pPr>
                    <w:adjustRightInd w:val="0"/>
                    <w:snapToGrid w:val="0"/>
                    <w:jc w:val="center"/>
                    <w:rPr>
                      <w:rFonts w:hint="eastAsia"/>
                      <w:bCs/>
                      <w:color w:val="0C0C0C"/>
                      <w:szCs w:val="21"/>
                      <w:highlight w:val="none"/>
                    </w:rPr>
                  </w:pPr>
                </w:p>
              </w:tc>
              <w:tc>
                <w:tcPr>
                  <w:tcW w:w="363" w:type="pct"/>
                  <w:noWrap w:val="0"/>
                  <w:vAlign w:val="center"/>
                </w:tcPr>
                <w:p>
                  <w:pPr>
                    <w:jc w:val="center"/>
                    <w:rPr>
                      <w:rFonts w:hint="eastAsia"/>
                      <w:bCs/>
                      <w:color w:val="0C0C0C"/>
                      <w:szCs w:val="21"/>
                      <w:highlight w:val="none"/>
                    </w:rPr>
                  </w:pPr>
                  <w:r>
                    <w:rPr>
                      <w:rFonts w:hint="eastAsia"/>
                      <w:bCs/>
                      <w:color w:val="0C0C0C"/>
                      <w:szCs w:val="21"/>
                      <w:highlight w:val="none"/>
                      <w:lang w:bidi="ar"/>
                    </w:rPr>
                    <w:t>液态</w:t>
                  </w:r>
                </w:p>
              </w:tc>
              <w:tc>
                <w:tcPr>
                  <w:tcW w:w="626" w:type="pct"/>
                  <w:noWrap w:val="0"/>
                  <w:vAlign w:val="center"/>
                </w:tcPr>
                <w:p>
                  <w:pPr>
                    <w:jc w:val="center"/>
                    <w:rPr>
                      <w:rFonts w:hint="eastAsia" w:eastAsia="宋体"/>
                      <w:bCs/>
                      <w:color w:val="0C0C0C"/>
                      <w:szCs w:val="21"/>
                      <w:highlight w:val="none"/>
                      <w:lang w:eastAsia="zh-CN"/>
                    </w:rPr>
                  </w:pPr>
                  <w:r>
                    <w:rPr>
                      <w:color w:val="0C0C0C"/>
                      <w:szCs w:val="21"/>
                      <w:highlight w:val="none"/>
                    </w:rPr>
                    <w:t>0.0</w:t>
                  </w:r>
                  <w:r>
                    <w:rPr>
                      <w:rFonts w:hint="eastAsia"/>
                      <w:color w:val="0C0C0C"/>
                      <w:szCs w:val="21"/>
                      <w:highlight w:val="none"/>
                      <w:lang w:val="en-US" w:eastAsia="zh-CN"/>
                    </w:rPr>
                    <w:t>2</w:t>
                  </w:r>
                </w:p>
              </w:tc>
              <w:tc>
                <w:tcPr>
                  <w:tcW w:w="626" w:type="pct"/>
                  <w:vMerge w:val="continue"/>
                  <w:noWrap w:val="0"/>
                  <w:vAlign w:val="center"/>
                </w:tcPr>
                <w:p>
                  <w:pPr>
                    <w:adjustRightInd w:val="0"/>
                    <w:snapToGrid w:val="0"/>
                    <w:jc w:val="center"/>
                    <w:rPr>
                      <w:rFonts w:hint="eastAsia"/>
                      <w:bCs/>
                      <w:color w:val="0C0C0C"/>
                      <w:szCs w:val="21"/>
                      <w:highlight w:val="none"/>
                    </w:rPr>
                  </w:pPr>
                </w:p>
              </w:tc>
              <w:tc>
                <w:tcPr>
                  <w:tcW w:w="499" w:type="pct"/>
                  <w:vMerge w:val="continue"/>
                  <w:noWrap w:val="0"/>
                  <w:vAlign w:val="center"/>
                </w:tcPr>
                <w:p>
                  <w:pPr>
                    <w:jc w:val="center"/>
                    <w:rPr>
                      <w:bCs/>
                      <w:color w:val="0C0C0C"/>
                      <w:szCs w:val="21"/>
                      <w:highlight w:val="none"/>
                    </w:rPr>
                  </w:pPr>
                </w:p>
              </w:tc>
              <w:tc>
                <w:tcPr>
                  <w:tcW w:w="514"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无害化处理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509"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维修</w:t>
                  </w:r>
                </w:p>
                <w:p>
                  <w:pPr>
                    <w:jc w:val="center"/>
                    <w:rPr>
                      <w:rFonts w:hint="eastAsia"/>
                      <w:bCs/>
                      <w:color w:val="0C0C0C"/>
                      <w:szCs w:val="21"/>
                      <w:highlight w:val="none"/>
                    </w:rPr>
                  </w:pPr>
                  <w:r>
                    <w:rPr>
                      <w:rFonts w:hint="eastAsia"/>
                      <w:bCs/>
                      <w:color w:val="0C0C0C"/>
                      <w:szCs w:val="21"/>
                      <w:highlight w:val="none"/>
                      <w:lang w:bidi="ar"/>
                    </w:rPr>
                    <w:t>过程</w:t>
                  </w:r>
                </w:p>
              </w:tc>
              <w:tc>
                <w:tcPr>
                  <w:tcW w:w="734"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废包装桶</w:t>
                  </w:r>
                </w:p>
              </w:tc>
              <w:tc>
                <w:tcPr>
                  <w:tcW w:w="727"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矿物油等</w:t>
                  </w:r>
                </w:p>
              </w:tc>
              <w:tc>
                <w:tcPr>
                  <w:tcW w:w="397" w:type="pct"/>
                  <w:vMerge w:val="continue"/>
                  <w:noWrap w:val="0"/>
                  <w:vAlign w:val="center"/>
                </w:tcPr>
                <w:p>
                  <w:pPr>
                    <w:adjustRightInd w:val="0"/>
                    <w:snapToGrid w:val="0"/>
                    <w:jc w:val="center"/>
                    <w:rPr>
                      <w:rFonts w:hint="eastAsia"/>
                      <w:bCs/>
                      <w:color w:val="0C0C0C"/>
                      <w:szCs w:val="21"/>
                      <w:highlight w:val="none"/>
                    </w:rPr>
                  </w:pPr>
                </w:p>
              </w:tc>
              <w:tc>
                <w:tcPr>
                  <w:tcW w:w="363" w:type="pct"/>
                  <w:noWrap w:val="0"/>
                  <w:vAlign w:val="center"/>
                </w:tcPr>
                <w:p>
                  <w:pPr>
                    <w:jc w:val="center"/>
                    <w:rPr>
                      <w:rFonts w:hint="eastAsia"/>
                      <w:bCs/>
                      <w:color w:val="0C0C0C"/>
                      <w:szCs w:val="21"/>
                      <w:highlight w:val="none"/>
                    </w:rPr>
                  </w:pPr>
                  <w:r>
                    <w:rPr>
                      <w:rFonts w:hint="eastAsia"/>
                      <w:bCs/>
                      <w:color w:val="0C0C0C"/>
                      <w:szCs w:val="21"/>
                      <w:highlight w:val="none"/>
                      <w:lang w:bidi="ar"/>
                    </w:rPr>
                    <w:t>固态</w:t>
                  </w:r>
                </w:p>
              </w:tc>
              <w:tc>
                <w:tcPr>
                  <w:tcW w:w="626" w:type="pct"/>
                  <w:noWrap w:val="0"/>
                  <w:vAlign w:val="center"/>
                </w:tcPr>
                <w:p>
                  <w:pPr>
                    <w:jc w:val="center"/>
                    <w:rPr>
                      <w:rFonts w:hint="default" w:eastAsia="宋体"/>
                      <w:bCs/>
                      <w:color w:val="0C0C0C"/>
                      <w:szCs w:val="21"/>
                      <w:highlight w:val="none"/>
                      <w:lang w:val="en-US" w:eastAsia="zh-CN"/>
                    </w:rPr>
                  </w:pPr>
                  <w:r>
                    <w:rPr>
                      <w:rFonts w:hint="eastAsia"/>
                      <w:color w:val="0C0C0C"/>
                      <w:szCs w:val="21"/>
                      <w:highlight w:val="none"/>
                      <w:lang w:val="en-US" w:eastAsia="zh-CN"/>
                    </w:rPr>
                    <w:t>0.01</w:t>
                  </w:r>
                </w:p>
              </w:tc>
              <w:tc>
                <w:tcPr>
                  <w:tcW w:w="626" w:type="pct"/>
                  <w:vMerge w:val="continue"/>
                  <w:noWrap w:val="0"/>
                  <w:vAlign w:val="center"/>
                </w:tcPr>
                <w:p>
                  <w:pPr>
                    <w:adjustRightInd w:val="0"/>
                    <w:snapToGrid w:val="0"/>
                    <w:jc w:val="center"/>
                    <w:rPr>
                      <w:rFonts w:hint="eastAsia"/>
                      <w:bCs/>
                      <w:color w:val="0C0C0C"/>
                      <w:szCs w:val="21"/>
                      <w:highlight w:val="none"/>
                    </w:rPr>
                  </w:pPr>
                </w:p>
              </w:tc>
              <w:tc>
                <w:tcPr>
                  <w:tcW w:w="499" w:type="pct"/>
                  <w:vMerge w:val="continue"/>
                  <w:noWrap w:val="0"/>
                  <w:vAlign w:val="center"/>
                </w:tcPr>
                <w:p>
                  <w:pPr>
                    <w:jc w:val="center"/>
                    <w:rPr>
                      <w:rFonts w:hint="eastAsia"/>
                      <w:bCs/>
                      <w:color w:val="0C0C0C"/>
                      <w:szCs w:val="21"/>
                      <w:highlight w:val="none"/>
                    </w:rPr>
                  </w:pPr>
                </w:p>
              </w:tc>
              <w:tc>
                <w:tcPr>
                  <w:tcW w:w="514" w:type="pct"/>
                  <w:noWrap w:val="0"/>
                  <w:vAlign w:val="center"/>
                </w:tcPr>
                <w:p>
                  <w:pPr>
                    <w:jc w:val="center"/>
                    <w:rPr>
                      <w:rFonts w:hint="eastAsia"/>
                      <w:bCs/>
                      <w:color w:val="0C0C0C"/>
                      <w:szCs w:val="21"/>
                      <w:highlight w:val="none"/>
                      <w:lang w:bidi="ar"/>
                    </w:rPr>
                  </w:pPr>
                  <w:r>
                    <w:rPr>
                      <w:rFonts w:hint="eastAsia"/>
                      <w:bCs/>
                      <w:color w:val="0C0C0C"/>
                      <w:szCs w:val="21"/>
                      <w:highlight w:val="none"/>
                      <w:lang w:bidi="ar"/>
                    </w:rPr>
                    <w:t>无害化处理</w:t>
                  </w:r>
                </w:p>
              </w:tc>
            </w:tr>
          </w:tbl>
          <w:p>
            <w:pPr>
              <w:adjustRightInd w:val="0"/>
              <w:snapToGrid w:val="0"/>
              <w:jc w:val="center"/>
              <w:rPr>
                <w:rFonts w:hint="eastAsia"/>
                <w:b/>
                <w:color w:val="0C0C0C"/>
                <w:szCs w:val="21"/>
                <w:highlight w:val="none"/>
              </w:rPr>
            </w:pPr>
          </w:p>
          <w:p>
            <w:pPr>
              <w:adjustRightInd w:val="0"/>
              <w:snapToGrid w:val="0"/>
              <w:jc w:val="center"/>
              <w:rPr>
                <w:b/>
                <w:color w:val="0C0C0C"/>
                <w:szCs w:val="21"/>
                <w:highlight w:val="none"/>
              </w:rPr>
            </w:pPr>
            <w:r>
              <w:rPr>
                <w:rFonts w:hint="eastAsia"/>
                <w:b/>
                <w:color w:val="0C0C0C"/>
                <w:szCs w:val="21"/>
                <w:highlight w:val="none"/>
              </w:rPr>
              <w:t>表4</w:t>
            </w:r>
            <w:r>
              <w:rPr>
                <w:rFonts w:hint="eastAsia"/>
                <w:b/>
                <w:color w:val="0C0C0C"/>
                <w:szCs w:val="21"/>
                <w:highlight w:val="none"/>
                <w:lang w:val="en-US" w:eastAsia="zh-CN"/>
              </w:rPr>
              <w:t xml:space="preserve">-16 </w:t>
            </w:r>
            <w:r>
              <w:rPr>
                <w:rFonts w:hint="eastAsia"/>
                <w:b/>
                <w:color w:val="0C0C0C"/>
                <w:szCs w:val="21"/>
                <w:highlight w:val="none"/>
                <w:lang w:eastAsia="zh-CN"/>
              </w:rPr>
              <w:t>本项目</w:t>
            </w:r>
            <w:r>
              <w:rPr>
                <w:rFonts w:hint="eastAsia"/>
                <w:b/>
                <w:color w:val="0C0C0C"/>
                <w:szCs w:val="21"/>
                <w:highlight w:val="none"/>
              </w:rPr>
              <w:t>危险废物产生及处置统计表</w:t>
            </w:r>
          </w:p>
          <w:tbl>
            <w:tblPr>
              <w:tblStyle w:val="24"/>
              <w:tblW w:w="8790"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9"/>
              <w:gridCol w:w="1096"/>
              <w:gridCol w:w="810"/>
              <w:gridCol w:w="1215"/>
              <w:gridCol w:w="795"/>
              <w:gridCol w:w="1110"/>
              <w:gridCol w:w="591"/>
              <w:gridCol w:w="652"/>
              <w:gridCol w:w="695"/>
              <w:gridCol w:w="724"/>
              <w:gridCol w:w="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38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序号</w:t>
                  </w:r>
                </w:p>
              </w:tc>
              <w:tc>
                <w:tcPr>
                  <w:tcW w:w="1096"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危险</w:t>
                  </w:r>
                </w:p>
                <w:p>
                  <w:pPr>
                    <w:jc w:val="center"/>
                    <w:rPr>
                      <w:rFonts w:hint="eastAsia"/>
                      <w:b/>
                      <w:color w:val="0C0C0C"/>
                      <w:szCs w:val="21"/>
                      <w:highlight w:val="none"/>
                    </w:rPr>
                  </w:pPr>
                  <w:r>
                    <w:rPr>
                      <w:rFonts w:hint="eastAsia"/>
                      <w:b/>
                      <w:color w:val="0C0C0C"/>
                      <w:szCs w:val="21"/>
                      <w:highlight w:val="none"/>
                      <w:lang w:bidi="ar"/>
                    </w:rPr>
                    <w:t>废物</w:t>
                  </w:r>
                </w:p>
              </w:tc>
              <w:tc>
                <w:tcPr>
                  <w:tcW w:w="810"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危险废物类别</w:t>
                  </w:r>
                </w:p>
              </w:tc>
              <w:tc>
                <w:tcPr>
                  <w:tcW w:w="1215"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危险废物代码及行业来源</w:t>
                  </w:r>
                </w:p>
              </w:tc>
              <w:tc>
                <w:tcPr>
                  <w:tcW w:w="795" w:type="dxa"/>
                  <w:tcBorders>
                    <w:top w:val="single" w:color="auto" w:sz="4" w:space="0"/>
                    <w:left w:val="nil"/>
                    <w:bottom w:val="single" w:color="auto" w:sz="4" w:space="0"/>
                    <w:right w:val="single" w:color="auto" w:sz="4" w:space="0"/>
                  </w:tcBorders>
                  <w:noWrap w:val="0"/>
                  <w:vAlign w:val="center"/>
                </w:tcPr>
                <w:p>
                  <w:pPr>
                    <w:jc w:val="center"/>
                    <w:rPr>
                      <w:b/>
                      <w:color w:val="0C0C0C"/>
                      <w:szCs w:val="21"/>
                      <w:highlight w:val="none"/>
                    </w:rPr>
                  </w:pPr>
                  <w:r>
                    <w:rPr>
                      <w:rFonts w:hint="eastAsia"/>
                      <w:b/>
                      <w:color w:val="0C0C0C"/>
                      <w:szCs w:val="21"/>
                      <w:highlight w:val="none"/>
                      <w:lang w:bidi="ar"/>
                    </w:rPr>
                    <w:t>产生量</w:t>
                  </w:r>
                  <w:r>
                    <w:rPr>
                      <w:b/>
                      <w:color w:val="0C0C0C"/>
                      <w:szCs w:val="21"/>
                      <w:highlight w:val="none"/>
                      <w:lang w:bidi="ar"/>
                    </w:rPr>
                    <w:t>t/a</w:t>
                  </w:r>
                </w:p>
              </w:tc>
              <w:tc>
                <w:tcPr>
                  <w:tcW w:w="1110"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产生工序及装置</w:t>
                  </w:r>
                </w:p>
              </w:tc>
              <w:tc>
                <w:tcPr>
                  <w:tcW w:w="591"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形态</w:t>
                  </w:r>
                </w:p>
              </w:tc>
              <w:tc>
                <w:tcPr>
                  <w:tcW w:w="652"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主要成分</w:t>
                  </w:r>
                </w:p>
              </w:tc>
              <w:tc>
                <w:tcPr>
                  <w:tcW w:w="695"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产废周期</w:t>
                  </w:r>
                </w:p>
              </w:tc>
              <w:tc>
                <w:tcPr>
                  <w:tcW w:w="724"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危险</w:t>
                  </w:r>
                </w:p>
                <w:p>
                  <w:pPr>
                    <w:jc w:val="center"/>
                    <w:rPr>
                      <w:rFonts w:hint="eastAsia"/>
                      <w:b/>
                      <w:color w:val="0C0C0C"/>
                      <w:szCs w:val="21"/>
                      <w:highlight w:val="none"/>
                    </w:rPr>
                  </w:pPr>
                  <w:r>
                    <w:rPr>
                      <w:rFonts w:hint="eastAsia"/>
                      <w:b/>
                      <w:color w:val="0C0C0C"/>
                      <w:szCs w:val="21"/>
                      <w:highlight w:val="none"/>
                      <w:lang w:bidi="ar"/>
                    </w:rPr>
                    <w:t>特性</w:t>
                  </w:r>
                </w:p>
              </w:tc>
              <w:tc>
                <w:tcPr>
                  <w:tcW w:w="713"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8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Cs/>
                      <w:color w:val="0C0C0C"/>
                      <w:szCs w:val="21"/>
                      <w:highlight w:val="none"/>
                    </w:rPr>
                  </w:pPr>
                  <w:r>
                    <w:rPr>
                      <w:rFonts w:hint="eastAsia" w:ascii="宋体" w:hAnsi="宋体" w:cs="宋体"/>
                      <w:bCs/>
                      <w:color w:val="0C0C0C"/>
                      <w:szCs w:val="21"/>
                      <w:highlight w:val="none"/>
                      <w:lang w:bidi="ar"/>
                    </w:rPr>
                    <w:t>1</w:t>
                  </w:r>
                </w:p>
              </w:tc>
              <w:tc>
                <w:tcPr>
                  <w:tcW w:w="1096"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szCs w:val="21"/>
                      <w:highlight w:val="none"/>
                    </w:rPr>
                  </w:pPr>
                  <w:r>
                    <w:rPr>
                      <w:rFonts w:hint="eastAsia" w:ascii="宋体" w:hAnsi="宋体" w:cs="宋体"/>
                      <w:bCs/>
                      <w:color w:val="0C0C0C"/>
                      <w:szCs w:val="21"/>
                      <w:highlight w:val="none"/>
                      <w:lang w:bidi="ar"/>
                    </w:rPr>
                    <w:t>废活性炭</w:t>
                  </w:r>
                </w:p>
              </w:tc>
              <w:tc>
                <w:tcPr>
                  <w:tcW w:w="81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szCs w:val="21"/>
                      <w:highlight w:val="none"/>
                    </w:rPr>
                  </w:pPr>
                  <w:r>
                    <w:rPr>
                      <w:rFonts w:hint="eastAsia"/>
                      <w:color w:val="0C0C0C"/>
                      <w:szCs w:val="21"/>
                      <w:highlight w:val="none"/>
                    </w:rPr>
                    <w:t>HW49</w:t>
                  </w:r>
                </w:p>
              </w:tc>
              <w:tc>
                <w:tcPr>
                  <w:tcW w:w="121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szCs w:val="21"/>
                      <w:highlight w:val="none"/>
                    </w:rPr>
                  </w:pPr>
                  <w:r>
                    <w:rPr>
                      <w:rFonts w:hint="eastAsia"/>
                      <w:color w:val="0C0C0C"/>
                      <w:szCs w:val="21"/>
                      <w:highlight w:val="none"/>
                    </w:rPr>
                    <w:t>900-039-49</w:t>
                  </w:r>
                </w:p>
              </w:tc>
              <w:tc>
                <w:tcPr>
                  <w:tcW w:w="795" w:type="dxa"/>
                  <w:tcBorders>
                    <w:top w:val="single" w:color="auto" w:sz="4" w:space="0"/>
                    <w:left w:val="nil"/>
                    <w:bottom w:val="single" w:color="auto" w:sz="4" w:space="0"/>
                    <w:right w:val="single" w:color="auto" w:sz="4" w:space="0"/>
                  </w:tcBorders>
                  <w:noWrap w:val="0"/>
                  <w:vAlign w:val="center"/>
                </w:tcPr>
                <w:p>
                  <w:pPr>
                    <w:jc w:val="center"/>
                    <w:rPr>
                      <w:rFonts w:hint="default" w:ascii="宋体" w:hAnsi="宋体" w:eastAsia="宋体" w:cs="宋体"/>
                      <w:bCs/>
                      <w:color w:val="0C0C0C"/>
                      <w:szCs w:val="21"/>
                      <w:highlight w:val="none"/>
                      <w:lang w:val="en-US" w:eastAsia="zh-CN"/>
                    </w:rPr>
                  </w:pPr>
                  <w:r>
                    <w:rPr>
                      <w:rFonts w:hint="eastAsia"/>
                      <w:color w:val="0C0C0C"/>
                      <w:szCs w:val="21"/>
                      <w:highlight w:val="none"/>
                      <w:lang w:val="en-US" w:eastAsia="zh-CN"/>
                    </w:rPr>
                    <w:t>0.356</w:t>
                  </w:r>
                </w:p>
              </w:tc>
              <w:tc>
                <w:tcPr>
                  <w:tcW w:w="1110"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szCs w:val="21"/>
                      <w:highlight w:val="none"/>
                    </w:rPr>
                  </w:pPr>
                  <w:r>
                    <w:rPr>
                      <w:rFonts w:hint="eastAsia" w:ascii="宋体" w:hAnsi="宋体" w:cs="宋体"/>
                      <w:bCs/>
                      <w:color w:val="0C0C0C"/>
                      <w:szCs w:val="21"/>
                      <w:highlight w:val="none"/>
                      <w:lang w:bidi="ar"/>
                    </w:rPr>
                    <w:t>废气治理</w:t>
                  </w:r>
                </w:p>
              </w:tc>
              <w:tc>
                <w:tcPr>
                  <w:tcW w:w="591"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szCs w:val="21"/>
                      <w:highlight w:val="none"/>
                    </w:rPr>
                  </w:pPr>
                  <w:r>
                    <w:rPr>
                      <w:rFonts w:hint="eastAsia"/>
                      <w:bCs/>
                      <w:color w:val="0C0C0C"/>
                      <w:szCs w:val="21"/>
                      <w:highlight w:val="none"/>
                      <w:lang w:bidi="ar"/>
                    </w:rPr>
                    <w:t>固态</w:t>
                  </w:r>
                </w:p>
              </w:tc>
              <w:tc>
                <w:tcPr>
                  <w:tcW w:w="652"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szCs w:val="21"/>
                      <w:highlight w:val="none"/>
                    </w:rPr>
                  </w:pPr>
                  <w:r>
                    <w:rPr>
                      <w:rFonts w:hint="eastAsia"/>
                      <w:bCs/>
                      <w:color w:val="0C0C0C"/>
                      <w:szCs w:val="21"/>
                      <w:highlight w:val="none"/>
                      <w:lang w:bidi="ar"/>
                    </w:rPr>
                    <w:t>废活性炭</w:t>
                  </w:r>
                </w:p>
              </w:tc>
              <w:tc>
                <w:tcPr>
                  <w:tcW w:w="695"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szCs w:val="21"/>
                      <w:highlight w:val="none"/>
                    </w:rPr>
                  </w:pPr>
                  <w:r>
                    <w:rPr>
                      <w:rFonts w:hint="eastAsia"/>
                      <w:color w:val="0C0C0C"/>
                      <w:szCs w:val="21"/>
                      <w:highlight w:val="none"/>
                      <w:lang w:bidi="ar"/>
                    </w:rPr>
                    <w:t>三个月</w:t>
                  </w:r>
                </w:p>
              </w:tc>
              <w:tc>
                <w:tcPr>
                  <w:tcW w:w="724"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szCs w:val="21"/>
                      <w:highlight w:val="none"/>
                    </w:rPr>
                  </w:pPr>
                  <w:r>
                    <w:rPr>
                      <w:rFonts w:hint="eastAsia" w:ascii="宋体" w:hAnsi="宋体" w:cs="宋体"/>
                      <w:color w:val="0C0C0C"/>
                      <w:szCs w:val="21"/>
                      <w:highlight w:val="none"/>
                      <w:lang w:bidi="ar"/>
                    </w:rPr>
                    <w:t>T</w:t>
                  </w:r>
                </w:p>
              </w:tc>
              <w:tc>
                <w:tcPr>
                  <w:tcW w:w="713" w:type="dxa"/>
                  <w:vMerge w:val="restart"/>
                  <w:tcBorders>
                    <w:top w:val="nil"/>
                    <w:left w:val="nil"/>
                    <w:right w:val="single" w:color="auto" w:sz="4" w:space="0"/>
                  </w:tcBorders>
                  <w:noWrap w:val="0"/>
                  <w:vAlign w:val="center"/>
                </w:tcPr>
                <w:p>
                  <w:pPr>
                    <w:jc w:val="center"/>
                    <w:rPr>
                      <w:rFonts w:hint="eastAsia" w:ascii="宋体" w:hAnsi="宋体" w:cs="宋体"/>
                      <w:bCs/>
                      <w:color w:val="0C0C0C"/>
                      <w:szCs w:val="21"/>
                      <w:highlight w:val="none"/>
                    </w:rPr>
                  </w:pPr>
                  <w:r>
                    <w:rPr>
                      <w:color w:val="0C0C0C"/>
                      <w:szCs w:val="21"/>
                      <w:highlight w:val="none"/>
                      <w:lang w:bidi="ar"/>
                    </w:rPr>
                    <w:t>交由</w:t>
                  </w:r>
                  <w:r>
                    <w:rPr>
                      <w:rFonts w:hint="eastAsia"/>
                      <w:color w:val="0C0C0C"/>
                      <w:szCs w:val="21"/>
                      <w:highlight w:val="none"/>
                      <w:lang w:bidi="ar"/>
                    </w:rPr>
                    <w:t>有</w:t>
                  </w:r>
                  <w:r>
                    <w:rPr>
                      <w:color w:val="0C0C0C"/>
                      <w:szCs w:val="21"/>
                      <w:highlight w:val="none"/>
                      <w:lang w:bidi="ar"/>
                    </w:rPr>
                    <w:t>危险废物处理资质的单位</w:t>
                  </w:r>
                  <w:r>
                    <w:rPr>
                      <w:rFonts w:hint="eastAsia"/>
                      <w:color w:val="0C0C0C"/>
                      <w:szCs w:val="21"/>
                      <w:highlight w:val="none"/>
                      <w:lang w:bidi="ar"/>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38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Cs/>
                      <w:color w:val="0C0C0C"/>
                      <w:szCs w:val="21"/>
                      <w:highlight w:val="none"/>
                      <w:lang w:bidi="ar"/>
                    </w:rPr>
                  </w:pPr>
                  <w:r>
                    <w:rPr>
                      <w:rFonts w:hint="eastAsia" w:ascii="宋体" w:hAnsi="宋体" w:cs="宋体"/>
                      <w:bCs/>
                      <w:color w:val="0C0C0C"/>
                      <w:szCs w:val="21"/>
                      <w:highlight w:val="none"/>
                      <w:lang w:bidi="ar"/>
                    </w:rPr>
                    <w:t>2</w:t>
                  </w:r>
                </w:p>
              </w:tc>
              <w:tc>
                <w:tcPr>
                  <w:tcW w:w="1096"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ascii="宋体" w:hAnsi="宋体" w:cs="宋体"/>
                      <w:bCs/>
                      <w:color w:val="0C0C0C"/>
                      <w:szCs w:val="21"/>
                      <w:highlight w:val="none"/>
                      <w:lang w:bidi="ar"/>
                    </w:rPr>
                    <w:t>含油手套及废抹布</w:t>
                  </w:r>
                </w:p>
              </w:tc>
              <w:tc>
                <w:tcPr>
                  <w:tcW w:w="81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kern w:val="2"/>
                      <w:sz w:val="21"/>
                      <w:szCs w:val="21"/>
                      <w:highlight w:val="none"/>
                      <w:lang w:val="en-US" w:eastAsia="zh-CN" w:bidi="ar-SA"/>
                    </w:rPr>
                  </w:pPr>
                  <w:r>
                    <w:rPr>
                      <w:rFonts w:hint="eastAsia"/>
                      <w:color w:val="0C0C0C"/>
                      <w:szCs w:val="21"/>
                      <w:highlight w:val="none"/>
                    </w:rPr>
                    <w:t>HW49</w:t>
                  </w:r>
                </w:p>
              </w:tc>
              <w:tc>
                <w:tcPr>
                  <w:tcW w:w="121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kern w:val="2"/>
                      <w:sz w:val="21"/>
                      <w:szCs w:val="21"/>
                      <w:highlight w:val="none"/>
                      <w:lang w:val="en-US" w:eastAsia="zh-CN" w:bidi="ar-SA"/>
                    </w:rPr>
                  </w:pPr>
                  <w:r>
                    <w:rPr>
                      <w:rFonts w:hint="eastAsia"/>
                      <w:color w:val="0C0C0C"/>
                      <w:szCs w:val="21"/>
                      <w:highlight w:val="none"/>
                    </w:rPr>
                    <w:t>900-041-49</w:t>
                  </w:r>
                </w:p>
              </w:tc>
              <w:tc>
                <w:tcPr>
                  <w:tcW w:w="795"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color w:val="0C0C0C"/>
                      <w:szCs w:val="21"/>
                      <w:highlight w:val="none"/>
                    </w:rPr>
                    <w:t>0.01</w:t>
                  </w:r>
                </w:p>
              </w:tc>
              <w:tc>
                <w:tcPr>
                  <w:tcW w:w="1110"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ascii="宋体" w:hAnsi="宋体" w:cs="宋体"/>
                      <w:bCs/>
                      <w:color w:val="0C0C0C"/>
                      <w:szCs w:val="21"/>
                      <w:highlight w:val="none"/>
                      <w:lang w:bidi="ar"/>
                    </w:rPr>
                    <w:t>维修过程</w:t>
                  </w:r>
                </w:p>
              </w:tc>
              <w:tc>
                <w:tcPr>
                  <w:tcW w:w="591"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bCs/>
                      <w:color w:val="0C0C0C"/>
                      <w:szCs w:val="21"/>
                      <w:highlight w:val="none"/>
                      <w:lang w:bidi="ar"/>
                    </w:rPr>
                    <w:t>固态</w:t>
                  </w:r>
                </w:p>
              </w:tc>
              <w:tc>
                <w:tcPr>
                  <w:tcW w:w="652"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bCs/>
                      <w:color w:val="0C0C0C"/>
                      <w:szCs w:val="21"/>
                      <w:highlight w:val="none"/>
                      <w:lang w:bidi="ar"/>
                    </w:rPr>
                    <w:t>矿物油等</w:t>
                  </w:r>
                </w:p>
              </w:tc>
              <w:tc>
                <w:tcPr>
                  <w:tcW w:w="695" w:type="dxa"/>
                  <w:tcBorders>
                    <w:top w:val="single" w:color="auto" w:sz="4" w:space="0"/>
                    <w:left w:val="nil"/>
                    <w:bottom w:val="single" w:color="auto" w:sz="4" w:space="0"/>
                    <w:right w:val="single" w:color="auto" w:sz="4" w:space="0"/>
                  </w:tcBorders>
                  <w:noWrap w:val="0"/>
                  <w:vAlign w:val="center"/>
                </w:tcPr>
                <w:p>
                  <w:pPr>
                    <w:topLinePunct/>
                    <w:snapToGrid w:val="0"/>
                    <w:jc w:val="center"/>
                    <w:rPr>
                      <w:rFonts w:hint="eastAsia" w:ascii="宋体" w:hAnsi="宋体" w:cs="宋体"/>
                      <w:bCs/>
                      <w:color w:val="0C0C0C"/>
                      <w:kern w:val="2"/>
                      <w:sz w:val="21"/>
                      <w:szCs w:val="21"/>
                      <w:highlight w:val="none"/>
                      <w:lang w:val="en-US" w:eastAsia="zh-CN" w:bidi="ar-SA"/>
                    </w:rPr>
                  </w:pPr>
                  <w:r>
                    <w:rPr>
                      <w:rFonts w:hint="eastAsia"/>
                      <w:color w:val="0C0C0C"/>
                      <w:szCs w:val="21"/>
                      <w:highlight w:val="none"/>
                      <w:lang w:bidi="ar"/>
                    </w:rPr>
                    <w:t>一个月</w:t>
                  </w:r>
                </w:p>
              </w:tc>
              <w:tc>
                <w:tcPr>
                  <w:tcW w:w="724"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color w:val="0C0C0C"/>
                      <w:szCs w:val="21"/>
                      <w:highlight w:val="none"/>
                      <w:lang w:bidi="ar"/>
                    </w:rPr>
                    <w:t>T/ln</w:t>
                  </w:r>
                </w:p>
              </w:tc>
              <w:tc>
                <w:tcPr>
                  <w:tcW w:w="713" w:type="dxa"/>
                  <w:vMerge w:val="continue"/>
                  <w:tcBorders>
                    <w:left w:val="nil"/>
                    <w:right w:val="single" w:color="auto" w:sz="4" w:space="0"/>
                  </w:tcBorders>
                  <w:noWrap w:val="0"/>
                  <w:vAlign w:val="center"/>
                </w:tcPr>
                <w:p>
                  <w:pPr>
                    <w:jc w:val="center"/>
                    <w:rPr>
                      <w:color w:val="0C0C0C"/>
                      <w:szCs w:val="21"/>
                      <w:highlight w:val="none"/>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38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Cs/>
                      <w:color w:val="0C0C0C"/>
                      <w:szCs w:val="21"/>
                      <w:highlight w:val="none"/>
                    </w:rPr>
                  </w:pPr>
                  <w:r>
                    <w:rPr>
                      <w:rFonts w:hint="eastAsia" w:ascii="宋体" w:hAnsi="宋体" w:cs="宋体"/>
                      <w:bCs/>
                      <w:color w:val="0C0C0C"/>
                      <w:szCs w:val="21"/>
                      <w:highlight w:val="none"/>
                      <w:lang w:bidi="ar"/>
                    </w:rPr>
                    <w:t>3</w:t>
                  </w:r>
                </w:p>
              </w:tc>
              <w:tc>
                <w:tcPr>
                  <w:tcW w:w="1096"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ascii="宋体" w:hAnsi="宋体" w:cs="宋体"/>
                      <w:bCs/>
                      <w:color w:val="0C0C0C"/>
                      <w:szCs w:val="21"/>
                      <w:highlight w:val="none"/>
                      <w:lang w:bidi="ar"/>
                    </w:rPr>
                    <w:t>废机油</w:t>
                  </w:r>
                </w:p>
              </w:tc>
              <w:tc>
                <w:tcPr>
                  <w:tcW w:w="81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kern w:val="2"/>
                      <w:sz w:val="21"/>
                      <w:szCs w:val="21"/>
                      <w:highlight w:val="none"/>
                      <w:lang w:val="en-US" w:eastAsia="zh-CN" w:bidi="ar-SA"/>
                    </w:rPr>
                  </w:pPr>
                  <w:r>
                    <w:rPr>
                      <w:rFonts w:hint="eastAsia"/>
                      <w:color w:val="0C0C0C"/>
                      <w:szCs w:val="21"/>
                      <w:highlight w:val="none"/>
                    </w:rPr>
                    <w:t>HW08</w:t>
                  </w:r>
                </w:p>
              </w:tc>
              <w:tc>
                <w:tcPr>
                  <w:tcW w:w="121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kern w:val="2"/>
                      <w:sz w:val="21"/>
                      <w:szCs w:val="21"/>
                      <w:highlight w:val="none"/>
                      <w:lang w:val="en-US" w:eastAsia="zh-CN" w:bidi="ar-SA"/>
                    </w:rPr>
                  </w:pPr>
                  <w:r>
                    <w:rPr>
                      <w:rFonts w:hint="eastAsia"/>
                      <w:color w:val="0C0C0C"/>
                      <w:szCs w:val="21"/>
                      <w:highlight w:val="none"/>
                    </w:rPr>
                    <w:t>900-214-08</w:t>
                  </w:r>
                </w:p>
              </w:tc>
              <w:tc>
                <w:tcPr>
                  <w:tcW w:w="795"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eastAsia="宋体" w:cs="宋体"/>
                      <w:bCs/>
                      <w:color w:val="0C0C0C"/>
                      <w:kern w:val="2"/>
                      <w:sz w:val="21"/>
                      <w:szCs w:val="21"/>
                      <w:highlight w:val="none"/>
                      <w:lang w:val="en-US" w:eastAsia="zh-CN" w:bidi="ar-SA"/>
                    </w:rPr>
                  </w:pPr>
                  <w:r>
                    <w:rPr>
                      <w:color w:val="0C0C0C"/>
                      <w:szCs w:val="21"/>
                      <w:highlight w:val="none"/>
                    </w:rPr>
                    <w:t>0.0</w:t>
                  </w:r>
                  <w:r>
                    <w:rPr>
                      <w:rFonts w:hint="eastAsia"/>
                      <w:color w:val="0C0C0C"/>
                      <w:szCs w:val="21"/>
                      <w:highlight w:val="none"/>
                      <w:lang w:val="en-US" w:eastAsia="zh-CN"/>
                    </w:rPr>
                    <w:t>2</w:t>
                  </w:r>
                </w:p>
              </w:tc>
              <w:tc>
                <w:tcPr>
                  <w:tcW w:w="1110"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ascii="宋体" w:hAnsi="宋体" w:cs="宋体"/>
                      <w:bCs/>
                      <w:color w:val="0C0C0C"/>
                      <w:szCs w:val="21"/>
                      <w:highlight w:val="none"/>
                      <w:lang w:bidi="ar"/>
                    </w:rPr>
                    <w:t>维修过程</w:t>
                  </w:r>
                </w:p>
              </w:tc>
              <w:tc>
                <w:tcPr>
                  <w:tcW w:w="591"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bCs/>
                      <w:color w:val="0C0C0C"/>
                      <w:szCs w:val="21"/>
                      <w:highlight w:val="none"/>
                      <w:lang w:bidi="ar"/>
                    </w:rPr>
                    <w:t>液态</w:t>
                  </w:r>
                </w:p>
              </w:tc>
              <w:tc>
                <w:tcPr>
                  <w:tcW w:w="652"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bCs/>
                      <w:color w:val="0C0C0C"/>
                      <w:szCs w:val="21"/>
                      <w:highlight w:val="none"/>
                      <w:lang w:bidi="ar"/>
                    </w:rPr>
                    <w:t>矿物油</w:t>
                  </w:r>
                </w:p>
              </w:tc>
              <w:tc>
                <w:tcPr>
                  <w:tcW w:w="695" w:type="dxa"/>
                  <w:tcBorders>
                    <w:top w:val="single" w:color="auto" w:sz="4" w:space="0"/>
                    <w:left w:val="nil"/>
                    <w:bottom w:val="single" w:color="auto" w:sz="4" w:space="0"/>
                    <w:right w:val="single" w:color="auto" w:sz="4" w:space="0"/>
                  </w:tcBorders>
                  <w:noWrap w:val="0"/>
                  <w:vAlign w:val="center"/>
                </w:tcPr>
                <w:p>
                  <w:pPr>
                    <w:topLinePunct/>
                    <w:snapToGrid w:val="0"/>
                    <w:jc w:val="center"/>
                    <w:rPr>
                      <w:rFonts w:hint="eastAsia" w:ascii="宋体" w:hAnsi="宋体" w:cs="宋体"/>
                      <w:bCs/>
                      <w:color w:val="0C0C0C"/>
                      <w:kern w:val="2"/>
                      <w:sz w:val="21"/>
                      <w:szCs w:val="21"/>
                      <w:highlight w:val="none"/>
                      <w:lang w:val="en-US" w:eastAsia="zh-CN" w:bidi="ar-SA"/>
                    </w:rPr>
                  </w:pPr>
                  <w:r>
                    <w:rPr>
                      <w:rFonts w:hint="eastAsia"/>
                      <w:color w:val="0C0C0C"/>
                      <w:szCs w:val="21"/>
                      <w:highlight w:val="none"/>
                      <w:lang w:bidi="ar"/>
                    </w:rPr>
                    <w:t>一个月</w:t>
                  </w:r>
                </w:p>
              </w:tc>
              <w:tc>
                <w:tcPr>
                  <w:tcW w:w="724"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color w:val="0C0C0C"/>
                      <w:szCs w:val="21"/>
                      <w:highlight w:val="none"/>
                      <w:lang w:bidi="ar"/>
                    </w:rPr>
                    <w:t>T</w:t>
                  </w:r>
                  <w:r>
                    <w:rPr>
                      <w:rFonts w:hint="eastAsia" w:ascii="宋体" w:hAnsi="宋体" w:cs="宋体"/>
                      <w:color w:val="0C0C0C"/>
                      <w:szCs w:val="21"/>
                      <w:highlight w:val="none"/>
                      <w:lang w:bidi="ar"/>
                    </w:rPr>
                    <w:t>，</w:t>
                  </w:r>
                  <w:r>
                    <w:rPr>
                      <w:color w:val="0C0C0C"/>
                      <w:szCs w:val="21"/>
                      <w:highlight w:val="none"/>
                      <w:lang w:bidi="ar"/>
                    </w:rPr>
                    <w:t>I</w:t>
                  </w:r>
                </w:p>
              </w:tc>
              <w:tc>
                <w:tcPr>
                  <w:tcW w:w="713" w:type="dxa"/>
                  <w:vMerge w:val="continue"/>
                  <w:tcBorders>
                    <w:left w:val="nil"/>
                    <w:right w:val="single" w:color="auto" w:sz="4" w:space="0"/>
                  </w:tcBorders>
                  <w:noWrap w:val="0"/>
                  <w:vAlign w:val="center"/>
                </w:tcPr>
                <w:p>
                  <w:pPr>
                    <w:rPr>
                      <w:color w:val="0C0C0C"/>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389"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宋体" w:hAnsi="宋体" w:cs="宋体"/>
                      <w:bCs/>
                      <w:color w:val="0C0C0C"/>
                      <w:szCs w:val="21"/>
                      <w:highlight w:val="none"/>
                    </w:rPr>
                  </w:pPr>
                  <w:r>
                    <w:rPr>
                      <w:rFonts w:hint="eastAsia" w:ascii="宋体" w:hAnsi="宋体" w:cs="宋体"/>
                      <w:bCs/>
                      <w:color w:val="0C0C0C"/>
                      <w:szCs w:val="21"/>
                      <w:highlight w:val="none"/>
                      <w:lang w:bidi="ar"/>
                    </w:rPr>
                    <w:t>4</w:t>
                  </w:r>
                </w:p>
              </w:tc>
              <w:tc>
                <w:tcPr>
                  <w:tcW w:w="1096"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bCs/>
                      <w:color w:val="0C0C0C"/>
                      <w:szCs w:val="21"/>
                      <w:highlight w:val="none"/>
                      <w:lang w:bidi="ar"/>
                    </w:rPr>
                    <w:t>废包装桶</w:t>
                  </w:r>
                </w:p>
              </w:tc>
              <w:tc>
                <w:tcPr>
                  <w:tcW w:w="810"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kern w:val="2"/>
                      <w:sz w:val="21"/>
                      <w:szCs w:val="21"/>
                      <w:highlight w:val="none"/>
                      <w:lang w:val="en-US" w:eastAsia="zh-CN" w:bidi="ar-SA"/>
                    </w:rPr>
                  </w:pPr>
                  <w:r>
                    <w:rPr>
                      <w:rFonts w:hint="eastAsia"/>
                      <w:color w:val="0C0C0C"/>
                      <w:szCs w:val="21"/>
                      <w:highlight w:val="none"/>
                    </w:rPr>
                    <w:t>HW49</w:t>
                  </w:r>
                </w:p>
              </w:tc>
              <w:tc>
                <w:tcPr>
                  <w:tcW w:w="1215"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kern w:val="2"/>
                      <w:sz w:val="21"/>
                      <w:szCs w:val="21"/>
                      <w:highlight w:val="none"/>
                      <w:lang w:val="en-US" w:eastAsia="zh-CN" w:bidi="ar-SA"/>
                    </w:rPr>
                  </w:pPr>
                  <w:r>
                    <w:rPr>
                      <w:rFonts w:hint="eastAsia"/>
                      <w:color w:val="0C0C0C"/>
                      <w:szCs w:val="21"/>
                      <w:highlight w:val="none"/>
                    </w:rPr>
                    <w:t>900-041-49</w:t>
                  </w:r>
                </w:p>
              </w:tc>
              <w:tc>
                <w:tcPr>
                  <w:tcW w:w="795" w:type="dxa"/>
                  <w:tcBorders>
                    <w:top w:val="single" w:color="auto" w:sz="4" w:space="0"/>
                    <w:left w:val="nil"/>
                    <w:bottom w:val="single" w:color="auto" w:sz="4" w:space="0"/>
                    <w:right w:val="single" w:color="auto" w:sz="4" w:space="0"/>
                  </w:tcBorders>
                  <w:noWrap w:val="0"/>
                  <w:vAlign w:val="center"/>
                </w:tcPr>
                <w:p>
                  <w:pPr>
                    <w:jc w:val="center"/>
                    <w:rPr>
                      <w:rFonts w:hint="default" w:ascii="宋体" w:hAnsi="宋体" w:eastAsia="宋体" w:cs="宋体"/>
                      <w:bCs/>
                      <w:color w:val="0C0C0C"/>
                      <w:kern w:val="2"/>
                      <w:sz w:val="21"/>
                      <w:szCs w:val="21"/>
                      <w:highlight w:val="none"/>
                      <w:lang w:val="en-US" w:eastAsia="zh-CN" w:bidi="ar-SA"/>
                    </w:rPr>
                  </w:pPr>
                  <w:r>
                    <w:rPr>
                      <w:rFonts w:hint="eastAsia"/>
                      <w:color w:val="0C0C0C"/>
                      <w:szCs w:val="21"/>
                      <w:highlight w:val="none"/>
                      <w:lang w:val="en-US" w:eastAsia="zh-CN"/>
                    </w:rPr>
                    <w:t>0.01</w:t>
                  </w:r>
                </w:p>
              </w:tc>
              <w:tc>
                <w:tcPr>
                  <w:tcW w:w="1110"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ascii="宋体" w:hAnsi="宋体" w:cs="宋体"/>
                      <w:bCs/>
                      <w:color w:val="0C0C0C"/>
                      <w:szCs w:val="21"/>
                      <w:highlight w:val="none"/>
                      <w:lang w:bidi="ar"/>
                    </w:rPr>
                    <w:t>生产过程</w:t>
                  </w:r>
                </w:p>
              </w:tc>
              <w:tc>
                <w:tcPr>
                  <w:tcW w:w="591"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bCs/>
                      <w:color w:val="0C0C0C"/>
                      <w:szCs w:val="21"/>
                      <w:highlight w:val="none"/>
                      <w:lang w:bidi="ar"/>
                    </w:rPr>
                    <w:t>固态</w:t>
                  </w:r>
                </w:p>
              </w:tc>
              <w:tc>
                <w:tcPr>
                  <w:tcW w:w="652" w:type="dxa"/>
                  <w:tcBorders>
                    <w:top w:val="single" w:color="auto" w:sz="4" w:space="0"/>
                    <w:left w:val="nil"/>
                    <w:bottom w:val="single" w:color="auto" w:sz="4" w:space="0"/>
                    <w:right w:val="single" w:color="auto" w:sz="4" w:space="0"/>
                  </w:tcBorders>
                  <w:noWrap w:val="0"/>
                  <w:vAlign w:val="center"/>
                </w:tcPr>
                <w:p>
                  <w:pPr>
                    <w:jc w:val="center"/>
                    <w:rPr>
                      <w:rFonts w:hint="eastAsia" w:ascii="宋体" w:hAnsi="宋体" w:cs="宋体"/>
                      <w:bCs/>
                      <w:color w:val="0C0C0C"/>
                      <w:kern w:val="2"/>
                      <w:sz w:val="21"/>
                      <w:szCs w:val="21"/>
                      <w:highlight w:val="none"/>
                      <w:lang w:val="en-US" w:eastAsia="zh-CN" w:bidi="ar-SA"/>
                    </w:rPr>
                  </w:pPr>
                  <w:r>
                    <w:rPr>
                      <w:rFonts w:hint="eastAsia"/>
                      <w:bCs/>
                      <w:color w:val="0C0C0C"/>
                      <w:szCs w:val="21"/>
                      <w:highlight w:val="none"/>
                      <w:lang w:bidi="ar"/>
                    </w:rPr>
                    <w:t>矿物油等</w:t>
                  </w:r>
                </w:p>
              </w:tc>
              <w:tc>
                <w:tcPr>
                  <w:tcW w:w="695" w:type="dxa"/>
                  <w:tcBorders>
                    <w:top w:val="single" w:color="auto" w:sz="4" w:space="0"/>
                    <w:left w:val="nil"/>
                    <w:bottom w:val="single" w:color="auto" w:sz="4" w:space="0"/>
                    <w:right w:val="single" w:color="auto" w:sz="4" w:space="0"/>
                  </w:tcBorders>
                  <w:noWrap w:val="0"/>
                  <w:vAlign w:val="center"/>
                </w:tcPr>
                <w:p>
                  <w:pPr>
                    <w:topLinePunct/>
                    <w:snapToGrid w:val="0"/>
                    <w:jc w:val="center"/>
                    <w:rPr>
                      <w:rFonts w:hint="eastAsia" w:ascii="宋体" w:hAnsi="宋体" w:cs="宋体"/>
                      <w:bCs/>
                      <w:color w:val="0C0C0C"/>
                      <w:kern w:val="2"/>
                      <w:sz w:val="21"/>
                      <w:szCs w:val="21"/>
                      <w:highlight w:val="none"/>
                      <w:lang w:val="en-US" w:eastAsia="zh-CN" w:bidi="ar-SA"/>
                    </w:rPr>
                  </w:pPr>
                  <w:r>
                    <w:rPr>
                      <w:rFonts w:hint="eastAsia"/>
                      <w:color w:val="0C0C0C"/>
                      <w:szCs w:val="21"/>
                      <w:highlight w:val="none"/>
                      <w:lang w:bidi="ar"/>
                    </w:rPr>
                    <w:t>一个月</w:t>
                  </w:r>
                </w:p>
              </w:tc>
              <w:tc>
                <w:tcPr>
                  <w:tcW w:w="724" w:type="dxa"/>
                  <w:tcBorders>
                    <w:top w:val="single" w:color="auto" w:sz="4" w:space="0"/>
                    <w:left w:val="nil"/>
                    <w:bottom w:val="single" w:color="auto" w:sz="4" w:space="0"/>
                    <w:right w:val="single" w:color="auto" w:sz="4" w:space="0"/>
                  </w:tcBorders>
                  <w:noWrap w:val="0"/>
                  <w:vAlign w:val="center"/>
                </w:tcPr>
                <w:p>
                  <w:pPr>
                    <w:jc w:val="center"/>
                    <w:rPr>
                      <w:rFonts w:hint="eastAsia" w:ascii="Times New Roman" w:hAnsi="Times New Roman" w:eastAsia="宋体" w:cs="Times New Roman"/>
                      <w:color w:val="0C0C0C"/>
                      <w:szCs w:val="21"/>
                      <w:highlight w:val="none"/>
                      <w:lang w:val="en-US" w:eastAsia="zh-CN" w:bidi="ar"/>
                    </w:rPr>
                  </w:pPr>
                  <w:r>
                    <w:rPr>
                      <w:rFonts w:hint="eastAsia" w:ascii="Times New Roman" w:hAnsi="Times New Roman" w:eastAsia="宋体" w:cs="Times New Roman"/>
                      <w:color w:val="0C0C0C"/>
                      <w:szCs w:val="21"/>
                      <w:highlight w:val="none"/>
                      <w:lang w:bidi="ar"/>
                    </w:rPr>
                    <w:t>T/ln</w:t>
                  </w:r>
                </w:p>
              </w:tc>
              <w:tc>
                <w:tcPr>
                  <w:tcW w:w="713" w:type="dxa"/>
                  <w:vMerge w:val="continue"/>
                  <w:tcBorders>
                    <w:left w:val="nil"/>
                    <w:right w:val="single" w:color="auto" w:sz="4" w:space="0"/>
                  </w:tcBorders>
                  <w:noWrap w:val="0"/>
                  <w:vAlign w:val="center"/>
                </w:tcPr>
                <w:p>
                  <w:pPr>
                    <w:rPr>
                      <w:color w:val="0C0C0C"/>
                      <w:szCs w:val="21"/>
                      <w:highlight w:val="none"/>
                    </w:rPr>
                  </w:pPr>
                </w:p>
              </w:tc>
            </w:tr>
          </w:tbl>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4.2处置去向及环境管理要求</w:t>
            </w:r>
          </w:p>
          <w:p>
            <w:pPr>
              <w:adjustRightInd w:val="0"/>
              <w:snapToGrid w:val="0"/>
              <w:spacing w:line="360" w:lineRule="auto"/>
              <w:ind w:firstLine="482" w:firstLineChars="200"/>
              <w:rPr>
                <w:b/>
                <w:color w:val="0C0C0C"/>
                <w:sz w:val="24"/>
                <w:highlight w:val="none"/>
              </w:rPr>
            </w:pPr>
            <w:r>
              <w:rPr>
                <w:rFonts w:hint="eastAsia"/>
                <w:b/>
                <w:color w:val="0C0C0C"/>
                <w:sz w:val="24"/>
                <w:highlight w:val="none"/>
              </w:rPr>
              <w:t>4.2.1生活垃圾</w:t>
            </w:r>
          </w:p>
          <w:p>
            <w:pPr>
              <w:adjustRightInd w:val="0"/>
              <w:snapToGrid w:val="0"/>
              <w:spacing w:line="360" w:lineRule="auto"/>
              <w:ind w:firstLine="480" w:firstLineChars="200"/>
              <w:rPr>
                <w:rFonts w:hint="eastAsia"/>
                <w:bCs/>
                <w:color w:val="0C0C0C"/>
                <w:sz w:val="24"/>
                <w:highlight w:val="none"/>
              </w:rPr>
            </w:pPr>
            <w:r>
              <w:rPr>
                <w:rFonts w:hint="eastAsia"/>
                <w:bCs/>
                <w:color w:val="0C0C0C"/>
                <w:sz w:val="24"/>
                <w:highlight w:val="none"/>
              </w:rPr>
              <w:t>生活垃圾统一收集，交由环卫部门统一处理。</w:t>
            </w:r>
          </w:p>
          <w:p>
            <w:pPr>
              <w:adjustRightInd w:val="0"/>
              <w:snapToGrid w:val="0"/>
              <w:spacing w:line="360" w:lineRule="auto"/>
              <w:ind w:firstLine="482" w:firstLineChars="200"/>
              <w:rPr>
                <w:b/>
                <w:color w:val="0C0C0C"/>
                <w:sz w:val="24"/>
                <w:highlight w:val="none"/>
              </w:rPr>
            </w:pPr>
            <w:r>
              <w:rPr>
                <w:rFonts w:hint="eastAsia"/>
                <w:b/>
                <w:color w:val="0C0C0C"/>
                <w:sz w:val="24"/>
                <w:highlight w:val="none"/>
              </w:rPr>
              <w:t>4.2.2一般固体废物</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对于一般工业废物，根据《一般工业固体废物贮存和填埋污染控制标准》(GB 18599-2020)及相关国家及地方法律法规，提出如下环保措施：</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1）为防止雨水径流进入贮存、处置场内，避免渗滤液量增加和滑坡，贮存、处置场周边应设置导流渠。</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2）为加强监督管理，贮存、处置场应按GB15562.2设置环境保护图形标志。</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3）贮存、处置场使用单位，应建立检查维护制度。定期检查维护堤、坝、挡土墙、导流渠等设施，发现有损坏可能或异常，应及时采取必要措施，以保障正常运行。</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4）贮存、处置场的使用单位，应建立档案制度。应将入场的一般工业固体废物的种类和数量以及下列资料。详细记录在案，长期保存，供随时查阅。</w:t>
            </w:r>
          </w:p>
          <w:p>
            <w:pPr>
              <w:adjustRightInd w:val="0"/>
              <w:snapToGrid w:val="0"/>
              <w:spacing w:line="360" w:lineRule="auto"/>
              <w:ind w:firstLine="482" w:firstLineChars="200"/>
              <w:rPr>
                <w:b/>
                <w:color w:val="0C0C0C"/>
                <w:sz w:val="24"/>
                <w:highlight w:val="none"/>
              </w:rPr>
            </w:pPr>
            <w:r>
              <w:rPr>
                <w:rFonts w:hint="eastAsia"/>
                <w:b/>
                <w:color w:val="0C0C0C"/>
                <w:sz w:val="24"/>
                <w:highlight w:val="none"/>
              </w:rPr>
              <w:t>4.2.3危险废物</w:t>
            </w:r>
          </w:p>
          <w:p>
            <w:pPr>
              <w:adjustRightInd w:val="0"/>
              <w:snapToGrid w:val="0"/>
              <w:spacing w:line="360" w:lineRule="auto"/>
              <w:ind w:firstLine="480" w:firstLineChars="200"/>
              <w:rPr>
                <w:rFonts w:hint="default" w:ascii="Times New Roman" w:hAnsi="Times New Roman" w:cs="Times New Roman"/>
                <w:b/>
                <w:color w:val="auto"/>
                <w:szCs w:val="21"/>
                <w:highlight w:val="none"/>
              </w:rPr>
            </w:pPr>
            <w:r>
              <w:rPr>
                <w:rFonts w:hint="default" w:ascii="Times New Roman" w:hAnsi="Times New Roman" w:cs="Times New Roman"/>
                <w:bCs/>
                <w:color w:val="auto"/>
                <w:sz w:val="24"/>
                <w:highlight w:val="none"/>
              </w:rPr>
              <w:t>为保证固体废物暂存场内暂存的危险废物不对环境产生污染，依据《危险废物贮存污染控制标准》（GB18597-2001，2013年修正）、《危险废物收集、贮运、运输技术规范》（HJ2025-2012）及相关国家及地方法律法规，项目危险废物的暂存场所设置情况如下表：</w:t>
            </w:r>
          </w:p>
          <w:p>
            <w:pPr>
              <w:adjustRightInd w:val="0"/>
              <w:snapToGrid w:val="0"/>
              <w:ind w:firstLine="422" w:firstLineChars="200"/>
              <w:jc w:val="center"/>
              <w:rPr>
                <w:b/>
                <w:color w:val="0C0C0C"/>
                <w:szCs w:val="21"/>
                <w:highlight w:val="none"/>
              </w:rPr>
            </w:pPr>
            <w:r>
              <w:rPr>
                <w:rFonts w:hint="eastAsia"/>
                <w:b/>
                <w:color w:val="0C0C0C"/>
                <w:szCs w:val="21"/>
                <w:highlight w:val="none"/>
              </w:rPr>
              <w:t>表</w:t>
            </w:r>
            <w:r>
              <w:rPr>
                <w:rFonts w:hint="eastAsia"/>
                <w:b/>
                <w:color w:val="0C0C0C"/>
                <w:szCs w:val="21"/>
                <w:highlight w:val="none"/>
                <w:lang w:val="en-US" w:eastAsia="zh-CN"/>
              </w:rPr>
              <w:t xml:space="preserve">4-17 </w:t>
            </w:r>
            <w:r>
              <w:rPr>
                <w:rFonts w:hint="eastAsia"/>
                <w:b/>
                <w:color w:val="0C0C0C"/>
                <w:szCs w:val="21"/>
                <w:highlight w:val="none"/>
              </w:rPr>
              <w:t>项目危险废物贮存场所（设施）基本情况表</w:t>
            </w:r>
          </w:p>
          <w:tbl>
            <w:tblPr>
              <w:tblStyle w:val="24"/>
              <w:tblW w:w="8809" w:type="dxa"/>
              <w:tblInd w:w="-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
              <w:gridCol w:w="1110"/>
              <w:gridCol w:w="1078"/>
              <w:gridCol w:w="1757"/>
              <w:gridCol w:w="1233"/>
              <w:gridCol w:w="423"/>
              <w:gridCol w:w="652"/>
              <w:gridCol w:w="664"/>
              <w:gridCol w:w="749"/>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序号</w:t>
                  </w:r>
                </w:p>
              </w:tc>
              <w:tc>
                <w:tcPr>
                  <w:tcW w:w="1110"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贮存场所（设施）名称</w:t>
                  </w:r>
                </w:p>
              </w:tc>
              <w:tc>
                <w:tcPr>
                  <w:tcW w:w="1078"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lang w:bidi="ar"/>
                    </w:rPr>
                  </w:pPr>
                  <w:r>
                    <w:rPr>
                      <w:rFonts w:hint="eastAsia"/>
                      <w:b/>
                      <w:color w:val="0C0C0C"/>
                      <w:szCs w:val="21"/>
                      <w:highlight w:val="none"/>
                      <w:lang w:bidi="ar"/>
                    </w:rPr>
                    <w:t>危险废物</w:t>
                  </w:r>
                </w:p>
                <w:p>
                  <w:pPr>
                    <w:jc w:val="center"/>
                    <w:rPr>
                      <w:rFonts w:hint="eastAsia"/>
                      <w:b/>
                      <w:color w:val="0C0C0C"/>
                      <w:szCs w:val="21"/>
                      <w:highlight w:val="none"/>
                    </w:rPr>
                  </w:pPr>
                  <w:r>
                    <w:rPr>
                      <w:rFonts w:hint="eastAsia"/>
                      <w:b/>
                      <w:color w:val="0C0C0C"/>
                      <w:szCs w:val="21"/>
                      <w:highlight w:val="none"/>
                      <w:lang w:bidi="ar"/>
                    </w:rPr>
                    <w:t>名称</w:t>
                  </w:r>
                </w:p>
              </w:tc>
              <w:tc>
                <w:tcPr>
                  <w:tcW w:w="1757"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危险废物类别</w:t>
                  </w:r>
                </w:p>
              </w:tc>
              <w:tc>
                <w:tcPr>
                  <w:tcW w:w="1233"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危险废物代码</w:t>
                  </w:r>
                </w:p>
              </w:tc>
              <w:tc>
                <w:tcPr>
                  <w:tcW w:w="423"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位置</w:t>
                  </w:r>
                </w:p>
              </w:tc>
              <w:tc>
                <w:tcPr>
                  <w:tcW w:w="652"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占地</w:t>
                  </w:r>
                </w:p>
                <w:p>
                  <w:pPr>
                    <w:jc w:val="center"/>
                    <w:rPr>
                      <w:rFonts w:hint="eastAsia"/>
                      <w:b/>
                      <w:color w:val="0C0C0C"/>
                      <w:szCs w:val="21"/>
                      <w:highlight w:val="none"/>
                    </w:rPr>
                  </w:pPr>
                  <w:r>
                    <w:rPr>
                      <w:rFonts w:hint="eastAsia"/>
                      <w:b/>
                      <w:color w:val="0C0C0C"/>
                      <w:szCs w:val="21"/>
                      <w:highlight w:val="none"/>
                      <w:lang w:bidi="ar"/>
                    </w:rPr>
                    <w:t>面积</w:t>
                  </w:r>
                </w:p>
              </w:tc>
              <w:tc>
                <w:tcPr>
                  <w:tcW w:w="664"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贮存方式</w:t>
                  </w:r>
                </w:p>
              </w:tc>
              <w:tc>
                <w:tcPr>
                  <w:tcW w:w="749" w:type="dxa"/>
                  <w:tcBorders>
                    <w:top w:val="single" w:color="auto" w:sz="4" w:space="0"/>
                    <w:left w:val="nil"/>
                    <w:bottom w:val="single" w:color="auto" w:sz="4" w:space="0"/>
                    <w:right w:val="single" w:color="auto" w:sz="4" w:space="0"/>
                  </w:tcBorders>
                  <w:noWrap w:val="0"/>
                  <w:vAlign w:val="center"/>
                </w:tcPr>
                <w:p>
                  <w:pPr>
                    <w:jc w:val="center"/>
                    <w:rPr>
                      <w:b/>
                      <w:color w:val="0C0C0C"/>
                      <w:szCs w:val="21"/>
                      <w:highlight w:val="none"/>
                    </w:rPr>
                  </w:pPr>
                  <w:r>
                    <w:rPr>
                      <w:rFonts w:hint="eastAsia"/>
                      <w:b/>
                      <w:color w:val="0C0C0C"/>
                      <w:szCs w:val="21"/>
                      <w:highlight w:val="none"/>
                      <w:lang w:bidi="ar"/>
                    </w:rPr>
                    <w:t>贮存能力</w:t>
                  </w:r>
                </w:p>
              </w:tc>
              <w:tc>
                <w:tcPr>
                  <w:tcW w:w="723" w:type="dxa"/>
                  <w:tcBorders>
                    <w:top w:val="single" w:color="auto" w:sz="4" w:space="0"/>
                    <w:left w:val="nil"/>
                    <w:bottom w:val="single" w:color="auto" w:sz="4" w:space="0"/>
                    <w:right w:val="single" w:color="auto" w:sz="4" w:space="0"/>
                  </w:tcBorders>
                  <w:noWrap w:val="0"/>
                  <w:vAlign w:val="center"/>
                </w:tcPr>
                <w:p>
                  <w:pPr>
                    <w:jc w:val="center"/>
                    <w:rPr>
                      <w:rFonts w:hint="eastAsia"/>
                      <w:b/>
                      <w:color w:val="0C0C0C"/>
                      <w:szCs w:val="21"/>
                      <w:highlight w:val="none"/>
                    </w:rPr>
                  </w:pPr>
                  <w:r>
                    <w:rPr>
                      <w:rFonts w:hint="eastAsia"/>
                      <w:b/>
                      <w:color w:val="0C0C0C"/>
                      <w:szCs w:val="21"/>
                      <w:highlight w:val="none"/>
                      <w:lang w:bidi="ar"/>
                    </w:rPr>
                    <w:t>贮存周期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bCs/>
                      <w:color w:val="0C0C0C"/>
                      <w:szCs w:val="21"/>
                      <w:highlight w:val="none"/>
                    </w:rPr>
                  </w:pPr>
                  <w:r>
                    <w:rPr>
                      <w:bCs/>
                      <w:color w:val="0C0C0C"/>
                      <w:szCs w:val="21"/>
                      <w:highlight w:val="none"/>
                      <w:lang w:bidi="ar"/>
                    </w:rPr>
                    <w:t>1</w:t>
                  </w:r>
                </w:p>
              </w:tc>
              <w:tc>
                <w:tcPr>
                  <w:tcW w:w="1110" w:type="dxa"/>
                  <w:vMerge w:val="restart"/>
                  <w:tcBorders>
                    <w:top w:val="nil"/>
                    <w:left w:val="nil"/>
                    <w:right w:val="single" w:color="auto" w:sz="4" w:space="0"/>
                  </w:tcBorders>
                  <w:noWrap w:val="0"/>
                  <w:vAlign w:val="center"/>
                </w:tcPr>
                <w:p>
                  <w:pPr>
                    <w:jc w:val="center"/>
                    <w:rPr>
                      <w:rFonts w:hint="eastAsia"/>
                      <w:bCs/>
                      <w:color w:val="0C0C0C"/>
                      <w:szCs w:val="21"/>
                      <w:highlight w:val="none"/>
                    </w:rPr>
                  </w:pPr>
                  <w:r>
                    <w:rPr>
                      <w:rFonts w:hint="eastAsia"/>
                      <w:bCs/>
                      <w:color w:val="0C0C0C"/>
                      <w:szCs w:val="21"/>
                      <w:highlight w:val="none"/>
                      <w:lang w:bidi="ar"/>
                    </w:rPr>
                    <w:t>危险废物暂存间</w:t>
                  </w:r>
                </w:p>
              </w:tc>
              <w:tc>
                <w:tcPr>
                  <w:tcW w:w="1078" w:type="dxa"/>
                  <w:tcBorders>
                    <w:top w:val="single" w:color="auto" w:sz="4" w:space="0"/>
                    <w:left w:val="nil"/>
                    <w:bottom w:val="single" w:color="auto" w:sz="4" w:space="0"/>
                    <w:right w:val="single" w:color="auto" w:sz="4" w:space="0"/>
                  </w:tcBorders>
                  <w:noWrap w:val="0"/>
                  <w:vAlign w:val="center"/>
                </w:tcPr>
                <w:p>
                  <w:pPr>
                    <w:jc w:val="center"/>
                    <w:rPr>
                      <w:rFonts w:hint="eastAsia"/>
                      <w:bCs/>
                      <w:color w:val="0C0C0C"/>
                      <w:szCs w:val="21"/>
                      <w:highlight w:val="none"/>
                    </w:rPr>
                  </w:pPr>
                  <w:r>
                    <w:rPr>
                      <w:rFonts w:hint="eastAsia" w:ascii="宋体" w:hAnsi="宋体" w:cs="宋体"/>
                      <w:bCs/>
                      <w:color w:val="0C0C0C"/>
                      <w:szCs w:val="21"/>
                      <w:highlight w:val="none"/>
                      <w:lang w:bidi="ar"/>
                    </w:rPr>
                    <w:t>废活性炭</w:t>
                  </w:r>
                </w:p>
              </w:tc>
              <w:tc>
                <w:tcPr>
                  <w:tcW w:w="1757" w:type="dxa"/>
                  <w:tcBorders>
                    <w:top w:val="single" w:color="auto" w:sz="4" w:space="0"/>
                    <w:left w:val="nil"/>
                    <w:bottom w:val="single" w:color="auto" w:sz="4" w:space="0"/>
                    <w:right w:val="single" w:color="auto" w:sz="4" w:space="0"/>
                  </w:tcBorders>
                  <w:noWrap w:val="0"/>
                  <w:vAlign w:val="center"/>
                </w:tcPr>
                <w:p>
                  <w:pPr>
                    <w:topLinePunct/>
                    <w:snapToGrid w:val="0"/>
                    <w:jc w:val="center"/>
                    <w:rPr>
                      <w:rFonts w:hint="eastAsia"/>
                      <w:bCs/>
                      <w:color w:val="0C0C0C"/>
                      <w:szCs w:val="21"/>
                      <w:highlight w:val="none"/>
                    </w:rPr>
                  </w:pPr>
                  <w:r>
                    <w:rPr>
                      <w:color w:val="0C0C0C"/>
                      <w:szCs w:val="21"/>
                      <w:highlight w:val="none"/>
                      <w:lang w:bidi="ar"/>
                    </w:rPr>
                    <w:t>HW49</w:t>
                  </w:r>
                  <w:r>
                    <w:rPr>
                      <w:rFonts w:hint="eastAsia" w:ascii="宋体" w:hAnsi="宋体" w:cs="宋体"/>
                      <w:color w:val="0C0C0C"/>
                      <w:szCs w:val="21"/>
                      <w:highlight w:val="none"/>
                      <w:lang w:bidi="ar"/>
                    </w:rPr>
                    <w:t>其他废物</w:t>
                  </w:r>
                </w:p>
              </w:tc>
              <w:tc>
                <w:tcPr>
                  <w:tcW w:w="1233"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szCs w:val="21"/>
                      <w:highlight w:val="none"/>
                    </w:rPr>
                  </w:pPr>
                  <w:r>
                    <w:rPr>
                      <w:rFonts w:hint="eastAsia"/>
                      <w:color w:val="0C0C0C"/>
                      <w:szCs w:val="21"/>
                      <w:highlight w:val="none"/>
                    </w:rPr>
                    <w:t>900-039-49</w:t>
                  </w:r>
                </w:p>
              </w:tc>
              <w:tc>
                <w:tcPr>
                  <w:tcW w:w="423" w:type="dxa"/>
                  <w:vMerge w:val="restart"/>
                  <w:tcBorders>
                    <w:top w:val="nil"/>
                    <w:left w:val="nil"/>
                    <w:right w:val="single" w:color="auto" w:sz="4" w:space="0"/>
                  </w:tcBorders>
                  <w:noWrap w:val="0"/>
                  <w:vAlign w:val="center"/>
                </w:tcPr>
                <w:p>
                  <w:pPr>
                    <w:jc w:val="both"/>
                    <w:rPr>
                      <w:rFonts w:hint="eastAsia" w:eastAsia="宋体"/>
                      <w:bCs/>
                      <w:color w:val="0C0C0C"/>
                      <w:szCs w:val="21"/>
                      <w:highlight w:val="none"/>
                      <w:lang w:eastAsia="zh-CN"/>
                    </w:rPr>
                  </w:pPr>
                  <w:r>
                    <w:rPr>
                      <w:rFonts w:hint="eastAsia"/>
                      <w:bCs/>
                      <w:color w:val="0C0C0C"/>
                      <w:szCs w:val="21"/>
                      <w:highlight w:val="none"/>
                      <w:lang w:eastAsia="zh-CN"/>
                    </w:rPr>
                    <w:t>一楼东北面</w:t>
                  </w:r>
                </w:p>
              </w:tc>
              <w:tc>
                <w:tcPr>
                  <w:tcW w:w="652" w:type="dxa"/>
                  <w:vMerge w:val="restart"/>
                  <w:tcBorders>
                    <w:top w:val="nil"/>
                    <w:left w:val="nil"/>
                    <w:right w:val="single" w:color="auto" w:sz="4" w:space="0"/>
                  </w:tcBorders>
                  <w:noWrap w:val="0"/>
                  <w:vAlign w:val="center"/>
                </w:tcPr>
                <w:p>
                  <w:pPr>
                    <w:jc w:val="both"/>
                    <w:rPr>
                      <w:rFonts w:hint="eastAsia"/>
                      <w:bCs/>
                      <w:color w:val="0C0C0C"/>
                      <w:szCs w:val="21"/>
                      <w:highlight w:val="none"/>
                    </w:rPr>
                  </w:pPr>
                  <w:r>
                    <w:rPr>
                      <w:rFonts w:hint="eastAsia" w:ascii="宋体" w:hAnsi="宋体" w:cs="宋体"/>
                      <w:bCs/>
                      <w:color w:val="0C0C0C"/>
                      <w:szCs w:val="21"/>
                      <w:highlight w:val="none"/>
                      <w:lang w:val="en-US" w:eastAsia="zh-CN" w:bidi="ar"/>
                    </w:rPr>
                    <w:t>5</w:t>
                  </w:r>
                  <w:r>
                    <w:rPr>
                      <w:rFonts w:hint="eastAsia" w:ascii="宋体" w:hAnsi="宋体" w:cs="宋体"/>
                      <w:bCs/>
                      <w:color w:val="0C0C0C"/>
                      <w:szCs w:val="21"/>
                      <w:highlight w:val="none"/>
                      <w:lang w:bidi="ar"/>
                    </w:rPr>
                    <w:t>平</w:t>
                  </w:r>
                </w:p>
                <w:p>
                  <w:pPr>
                    <w:jc w:val="center"/>
                    <w:rPr>
                      <w:rFonts w:hint="eastAsia"/>
                      <w:bCs/>
                      <w:color w:val="0C0C0C"/>
                      <w:szCs w:val="21"/>
                      <w:highlight w:val="none"/>
                    </w:rPr>
                  </w:pPr>
                  <w:r>
                    <w:rPr>
                      <w:rFonts w:hint="eastAsia"/>
                      <w:bCs/>
                      <w:color w:val="0C0C0C"/>
                      <w:szCs w:val="21"/>
                      <w:highlight w:val="none"/>
                      <w:lang w:bidi="ar"/>
                    </w:rPr>
                    <w:t>方米</w:t>
                  </w:r>
                </w:p>
              </w:tc>
              <w:tc>
                <w:tcPr>
                  <w:tcW w:w="664" w:type="dxa"/>
                  <w:tcBorders>
                    <w:top w:val="single" w:color="auto" w:sz="4" w:space="0"/>
                    <w:left w:val="nil"/>
                    <w:bottom w:val="single" w:color="auto" w:sz="4" w:space="0"/>
                    <w:right w:val="single" w:color="auto" w:sz="4" w:space="0"/>
                  </w:tcBorders>
                  <w:noWrap w:val="0"/>
                  <w:vAlign w:val="center"/>
                </w:tcPr>
                <w:p>
                  <w:pPr>
                    <w:jc w:val="center"/>
                    <w:rPr>
                      <w:rFonts w:hint="eastAsia"/>
                      <w:bCs/>
                      <w:color w:val="0C0C0C"/>
                      <w:szCs w:val="21"/>
                      <w:highlight w:val="none"/>
                    </w:rPr>
                  </w:pPr>
                  <w:r>
                    <w:rPr>
                      <w:rFonts w:hint="eastAsia"/>
                      <w:bCs/>
                      <w:color w:val="0C0C0C"/>
                      <w:szCs w:val="21"/>
                      <w:highlight w:val="none"/>
                      <w:lang w:bidi="ar"/>
                    </w:rPr>
                    <w:t>桶装</w:t>
                  </w:r>
                </w:p>
              </w:tc>
              <w:tc>
                <w:tcPr>
                  <w:tcW w:w="749" w:type="dxa"/>
                  <w:vMerge w:val="restart"/>
                  <w:tcBorders>
                    <w:top w:val="nil"/>
                    <w:left w:val="nil"/>
                    <w:right w:val="single" w:color="auto" w:sz="4" w:space="0"/>
                  </w:tcBorders>
                  <w:noWrap w:val="0"/>
                  <w:vAlign w:val="center"/>
                </w:tcPr>
                <w:p>
                  <w:pPr>
                    <w:jc w:val="center"/>
                    <w:rPr>
                      <w:bCs/>
                      <w:color w:val="0C0C0C"/>
                      <w:szCs w:val="21"/>
                      <w:highlight w:val="none"/>
                    </w:rPr>
                  </w:pPr>
                  <w:r>
                    <w:rPr>
                      <w:rFonts w:hint="eastAsia"/>
                      <w:bCs/>
                      <w:color w:val="0C0C0C"/>
                      <w:szCs w:val="21"/>
                      <w:highlight w:val="none"/>
                      <w:lang w:bidi="ar"/>
                    </w:rPr>
                    <w:t>5t</w:t>
                  </w:r>
                </w:p>
              </w:tc>
              <w:tc>
                <w:tcPr>
                  <w:tcW w:w="723" w:type="dxa"/>
                  <w:vMerge w:val="restart"/>
                  <w:tcBorders>
                    <w:top w:val="nil"/>
                    <w:left w:val="nil"/>
                    <w:right w:val="single" w:color="auto" w:sz="4" w:space="0"/>
                  </w:tcBorders>
                  <w:noWrap w:val="0"/>
                  <w:vAlign w:val="center"/>
                </w:tcPr>
                <w:p>
                  <w:pPr>
                    <w:jc w:val="center"/>
                    <w:rPr>
                      <w:rFonts w:hint="eastAsia"/>
                      <w:bCs/>
                      <w:color w:val="0C0C0C"/>
                      <w:szCs w:val="21"/>
                      <w:highlight w:val="none"/>
                    </w:rPr>
                  </w:pPr>
                  <w:r>
                    <w:rPr>
                      <w:rFonts w:hint="eastAsia"/>
                      <w:bCs/>
                      <w:color w:val="0C0C0C"/>
                      <w:szCs w:val="21"/>
                      <w:highlight w:val="none"/>
                      <w:lang w:bidi="ar"/>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4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bCs/>
                      <w:color w:val="0C0C0C"/>
                      <w:szCs w:val="21"/>
                      <w:highlight w:val="none"/>
                      <w:lang w:eastAsia="zh-CN"/>
                    </w:rPr>
                  </w:pPr>
                  <w:r>
                    <w:rPr>
                      <w:rFonts w:hint="eastAsia"/>
                      <w:bCs/>
                      <w:color w:val="0C0C0C"/>
                      <w:szCs w:val="21"/>
                      <w:highlight w:val="none"/>
                      <w:lang w:val="en-US" w:eastAsia="zh-CN" w:bidi="ar"/>
                    </w:rPr>
                    <w:t>2</w:t>
                  </w:r>
                </w:p>
              </w:tc>
              <w:tc>
                <w:tcPr>
                  <w:tcW w:w="1110" w:type="dxa"/>
                  <w:vMerge w:val="continue"/>
                  <w:tcBorders>
                    <w:left w:val="nil"/>
                    <w:right w:val="single" w:color="auto" w:sz="4" w:space="0"/>
                  </w:tcBorders>
                  <w:noWrap w:val="0"/>
                  <w:vAlign w:val="center"/>
                </w:tcPr>
                <w:p>
                  <w:pPr>
                    <w:rPr>
                      <w:color w:val="0C0C0C"/>
                      <w:szCs w:val="21"/>
                      <w:highlight w:val="none"/>
                    </w:rPr>
                  </w:pPr>
                </w:p>
              </w:tc>
              <w:tc>
                <w:tcPr>
                  <w:tcW w:w="1078" w:type="dxa"/>
                  <w:tcBorders>
                    <w:top w:val="single" w:color="auto" w:sz="4" w:space="0"/>
                    <w:left w:val="nil"/>
                    <w:bottom w:val="single" w:color="auto" w:sz="4" w:space="0"/>
                    <w:right w:val="single" w:color="auto" w:sz="4" w:space="0"/>
                  </w:tcBorders>
                  <w:noWrap w:val="0"/>
                  <w:vAlign w:val="center"/>
                </w:tcPr>
                <w:p>
                  <w:pPr>
                    <w:jc w:val="center"/>
                    <w:rPr>
                      <w:rFonts w:hint="eastAsia"/>
                      <w:bCs/>
                      <w:color w:val="0C0C0C"/>
                      <w:szCs w:val="21"/>
                      <w:highlight w:val="none"/>
                    </w:rPr>
                  </w:pPr>
                  <w:r>
                    <w:rPr>
                      <w:rFonts w:hint="eastAsia" w:ascii="宋体" w:hAnsi="宋体" w:cs="宋体"/>
                      <w:bCs/>
                      <w:color w:val="0C0C0C"/>
                      <w:szCs w:val="21"/>
                      <w:highlight w:val="none"/>
                      <w:lang w:bidi="ar"/>
                    </w:rPr>
                    <w:t>含油手套及废抹布</w:t>
                  </w:r>
                </w:p>
              </w:tc>
              <w:tc>
                <w:tcPr>
                  <w:tcW w:w="1757" w:type="dxa"/>
                  <w:tcBorders>
                    <w:top w:val="single" w:color="auto" w:sz="4" w:space="0"/>
                    <w:left w:val="nil"/>
                    <w:bottom w:val="single" w:color="auto" w:sz="4" w:space="0"/>
                    <w:right w:val="single" w:color="auto" w:sz="4" w:space="0"/>
                  </w:tcBorders>
                  <w:noWrap w:val="0"/>
                  <w:vAlign w:val="center"/>
                </w:tcPr>
                <w:p>
                  <w:pPr>
                    <w:topLinePunct/>
                    <w:snapToGrid w:val="0"/>
                    <w:jc w:val="center"/>
                    <w:rPr>
                      <w:rFonts w:hint="eastAsia"/>
                      <w:bCs/>
                      <w:color w:val="0C0C0C"/>
                      <w:szCs w:val="21"/>
                      <w:highlight w:val="none"/>
                    </w:rPr>
                  </w:pPr>
                  <w:r>
                    <w:rPr>
                      <w:color w:val="0C0C0C"/>
                      <w:szCs w:val="21"/>
                      <w:highlight w:val="none"/>
                      <w:lang w:bidi="ar"/>
                    </w:rPr>
                    <w:t>HW49</w:t>
                  </w:r>
                  <w:r>
                    <w:rPr>
                      <w:rFonts w:hint="eastAsia" w:ascii="宋体" w:hAnsi="宋体" w:cs="宋体"/>
                      <w:color w:val="0C0C0C"/>
                      <w:szCs w:val="21"/>
                      <w:highlight w:val="none"/>
                      <w:lang w:bidi="ar"/>
                    </w:rPr>
                    <w:t>其他废物</w:t>
                  </w:r>
                </w:p>
              </w:tc>
              <w:tc>
                <w:tcPr>
                  <w:tcW w:w="1233"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szCs w:val="21"/>
                      <w:highlight w:val="none"/>
                    </w:rPr>
                  </w:pPr>
                  <w:r>
                    <w:rPr>
                      <w:rFonts w:hint="eastAsia"/>
                      <w:color w:val="0C0C0C"/>
                      <w:szCs w:val="21"/>
                      <w:highlight w:val="none"/>
                    </w:rPr>
                    <w:t>900-041-49</w:t>
                  </w:r>
                </w:p>
              </w:tc>
              <w:tc>
                <w:tcPr>
                  <w:tcW w:w="423" w:type="dxa"/>
                  <w:vMerge w:val="continue"/>
                  <w:tcBorders>
                    <w:left w:val="nil"/>
                    <w:right w:val="single" w:color="auto" w:sz="4" w:space="0"/>
                  </w:tcBorders>
                  <w:noWrap w:val="0"/>
                  <w:vAlign w:val="center"/>
                </w:tcPr>
                <w:p>
                  <w:pPr>
                    <w:rPr>
                      <w:color w:val="0C0C0C"/>
                      <w:szCs w:val="21"/>
                      <w:highlight w:val="none"/>
                    </w:rPr>
                  </w:pPr>
                </w:p>
              </w:tc>
              <w:tc>
                <w:tcPr>
                  <w:tcW w:w="652" w:type="dxa"/>
                  <w:vMerge w:val="continue"/>
                  <w:tcBorders>
                    <w:left w:val="nil"/>
                    <w:right w:val="single" w:color="auto" w:sz="4" w:space="0"/>
                  </w:tcBorders>
                  <w:noWrap w:val="0"/>
                  <w:vAlign w:val="center"/>
                </w:tcPr>
                <w:p>
                  <w:pPr>
                    <w:rPr>
                      <w:color w:val="0C0C0C"/>
                      <w:szCs w:val="21"/>
                      <w:highlight w:val="none"/>
                    </w:rPr>
                  </w:pPr>
                </w:p>
              </w:tc>
              <w:tc>
                <w:tcPr>
                  <w:tcW w:w="664" w:type="dxa"/>
                  <w:tcBorders>
                    <w:top w:val="single" w:color="auto" w:sz="4" w:space="0"/>
                    <w:left w:val="nil"/>
                    <w:bottom w:val="single" w:color="auto" w:sz="4" w:space="0"/>
                    <w:right w:val="single" w:color="auto" w:sz="4" w:space="0"/>
                  </w:tcBorders>
                  <w:noWrap w:val="0"/>
                  <w:vAlign w:val="center"/>
                </w:tcPr>
                <w:p>
                  <w:pPr>
                    <w:jc w:val="center"/>
                    <w:rPr>
                      <w:rFonts w:hint="eastAsia"/>
                      <w:bCs/>
                      <w:color w:val="0C0C0C"/>
                      <w:szCs w:val="21"/>
                      <w:highlight w:val="none"/>
                    </w:rPr>
                  </w:pPr>
                  <w:r>
                    <w:rPr>
                      <w:rFonts w:hint="eastAsia"/>
                      <w:bCs/>
                      <w:color w:val="0C0C0C"/>
                      <w:szCs w:val="21"/>
                      <w:highlight w:val="none"/>
                      <w:lang w:bidi="ar"/>
                    </w:rPr>
                    <w:t>桶装</w:t>
                  </w:r>
                </w:p>
              </w:tc>
              <w:tc>
                <w:tcPr>
                  <w:tcW w:w="749" w:type="dxa"/>
                  <w:vMerge w:val="continue"/>
                  <w:tcBorders>
                    <w:left w:val="nil"/>
                    <w:right w:val="single" w:color="auto" w:sz="4" w:space="0"/>
                  </w:tcBorders>
                  <w:noWrap w:val="0"/>
                  <w:vAlign w:val="center"/>
                </w:tcPr>
                <w:p>
                  <w:pPr>
                    <w:rPr>
                      <w:color w:val="0C0C0C"/>
                      <w:szCs w:val="21"/>
                      <w:highlight w:val="none"/>
                    </w:rPr>
                  </w:pPr>
                </w:p>
              </w:tc>
              <w:tc>
                <w:tcPr>
                  <w:tcW w:w="723" w:type="dxa"/>
                  <w:vMerge w:val="continue"/>
                  <w:tcBorders>
                    <w:left w:val="nil"/>
                    <w:right w:val="single" w:color="auto" w:sz="4" w:space="0"/>
                  </w:tcBorders>
                  <w:noWrap w:val="0"/>
                  <w:vAlign w:val="center"/>
                </w:tcPr>
                <w:p>
                  <w:pPr>
                    <w:rPr>
                      <w:color w:val="0C0C0C"/>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bCs/>
                      <w:color w:val="0C0C0C"/>
                      <w:szCs w:val="21"/>
                      <w:highlight w:val="none"/>
                      <w:lang w:eastAsia="zh-CN"/>
                    </w:rPr>
                  </w:pPr>
                  <w:r>
                    <w:rPr>
                      <w:rFonts w:hint="eastAsia"/>
                      <w:bCs/>
                      <w:color w:val="0C0C0C"/>
                      <w:szCs w:val="21"/>
                      <w:highlight w:val="none"/>
                      <w:lang w:val="en-US" w:eastAsia="zh-CN" w:bidi="ar"/>
                    </w:rPr>
                    <w:t>3</w:t>
                  </w:r>
                </w:p>
              </w:tc>
              <w:tc>
                <w:tcPr>
                  <w:tcW w:w="1110" w:type="dxa"/>
                  <w:vMerge w:val="continue"/>
                  <w:tcBorders>
                    <w:left w:val="nil"/>
                    <w:right w:val="single" w:color="auto" w:sz="4" w:space="0"/>
                  </w:tcBorders>
                  <w:noWrap w:val="0"/>
                  <w:vAlign w:val="center"/>
                </w:tcPr>
                <w:p>
                  <w:pPr>
                    <w:rPr>
                      <w:color w:val="0C0C0C"/>
                      <w:szCs w:val="21"/>
                      <w:highlight w:val="none"/>
                    </w:rPr>
                  </w:pPr>
                </w:p>
              </w:tc>
              <w:tc>
                <w:tcPr>
                  <w:tcW w:w="1078" w:type="dxa"/>
                  <w:tcBorders>
                    <w:top w:val="single" w:color="auto" w:sz="4" w:space="0"/>
                    <w:left w:val="nil"/>
                    <w:bottom w:val="single" w:color="auto" w:sz="4" w:space="0"/>
                    <w:right w:val="single" w:color="auto" w:sz="4" w:space="0"/>
                  </w:tcBorders>
                  <w:noWrap w:val="0"/>
                  <w:vAlign w:val="center"/>
                </w:tcPr>
                <w:p>
                  <w:pPr>
                    <w:jc w:val="center"/>
                    <w:rPr>
                      <w:rFonts w:hint="eastAsia"/>
                      <w:bCs/>
                      <w:color w:val="0C0C0C"/>
                      <w:szCs w:val="21"/>
                      <w:highlight w:val="none"/>
                    </w:rPr>
                  </w:pPr>
                  <w:r>
                    <w:rPr>
                      <w:rFonts w:hint="eastAsia" w:ascii="宋体" w:hAnsi="宋体" w:cs="宋体"/>
                      <w:bCs/>
                      <w:color w:val="0C0C0C"/>
                      <w:szCs w:val="21"/>
                      <w:highlight w:val="none"/>
                      <w:lang w:bidi="ar"/>
                    </w:rPr>
                    <w:t>废机油</w:t>
                  </w:r>
                </w:p>
              </w:tc>
              <w:tc>
                <w:tcPr>
                  <w:tcW w:w="1757" w:type="dxa"/>
                  <w:tcBorders>
                    <w:top w:val="single" w:color="auto" w:sz="4" w:space="0"/>
                    <w:left w:val="nil"/>
                    <w:bottom w:val="single" w:color="auto" w:sz="4" w:space="0"/>
                    <w:right w:val="single" w:color="auto" w:sz="4" w:space="0"/>
                  </w:tcBorders>
                  <w:noWrap w:val="0"/>
                  <w:vAlign w:val="center"/>
                </w:tcPr>
                <w:p>
                  <w:pPr>
                    <w:topLinePunct/>
                    <w:snapToGrid w:val="0"/>
                    <w:jc w:val="center"/>
                    <w:rPr>
                      <w:rFonts w:hint="eastAsia"/>
                      <w:color w:val="0C0C0C"/>
                      <w:szCs w:val="21"/>
                      <w:highlight w:val="none"/>
                    </w:rPr>
                  </w:pPr>
                  <w:r>
                    <w:rPr>
                      <w:color w:val="0C0C0C"/>
                      <w:szCs w:val="21"/>
                      <w:highlight w:val="none"/>
                      <w:lang w:bidi="ar"/>
                    </w:rPr>
                    <w:t>HW08</w:t>
                  </w:r>
                  <w:r>
                    <w:rPr>
                      <w:rFonts w:hint="eastAsia"/>
                      <w:color w:val="0C0C0C"/>
                      <w:szCs w:val="21"/>
                      <w:highlight w:val="none"/>
                      <w:lang w:bidi="ar"/>
                    </w:rPr>
                    <w:t>废矿物油与含矿物油废物</w:t>
                  </w:r>
                </w:p>
              </w:tc>
              <w:tc>
                <w:tcPr>
                  <w:tcW w:w="1233"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szCs w:val="21"/>
                      <w:highlight w:val="none"/>
                    </w:rPr>
                  </w:pPr>
                  <w:r>
                    <w:rPr>
                      <w:rFonts w:hint="eastAsia"/>
                      <w:color w:val="0C0C0C"/>
                      <w:szCs w:val="21"/>
                      <w:highlight w:val="none"/>
                    </w:rPr>
                    <w:t>900-214-08</w:t>
                  </w:r>
                </w:p>
              </w:tc>
              <w:tc>
                <w:tcPr>
                  <w:tcW w:w="423" w:type="dxa"/>
                  <w:vMerge w:val="continue"/>
                  <w:tcBorders>
                    <w:left w:val="nil"/>
                    <w:right w:val="single" w:color="auto" w:sz="4" w:space="0"/>
                  </w:tcBorders>
                  <w:noWrap w:val="0"/>
                  <w:vAlign w:val="center"/>
                </w:tcPr>
                <w:p>
                  <w:pPr>
                    <w:rPr>
                      <w:color w:val="0C0C0C"/>
                      <w:szCs w:val="21"/>
                      <w:highlight w:val="none"/>
                    </w:rPr>
                  </w:pPr>
                </w:p>
              </w:tc>
              <w:tc>
                <w:tcPr>
                  <w:tcW w:w="652" w:type="dxa"/>
                  <w:vMerge w:val="continue"/>
                  <w:tcBorders>
                    <w:left w:val="nil"/>
                    <w:right w:val="single" w:color="auto" w:sz="4" w:space="0"/>
                  </w:tcBorders>
                  <w:noWrap w:val="0"/>
                  <w:vAlign w:val="center"/>
                </w:tcPr>
                <w:p>
                  <w:pPr>
                    <w:rPr>
                      <w:color w:val="0C0C0C"/>
                      <w:szCs w:val="21"/>
                      <w:highlight w:val="none"/>
                    </w:rPr>
                  </w:pPr>
                </w:p>
              </w:tc>
              <w:tc>
                <w:tcPr>
                  <w:tcW w:w="664" w:type="dxa"/>
                  <w:tcBorders>
                    <w:top w:val="single" w:color="auto" w:sz="4" w:space="0"/>
                    <w:left w:val="nil"/>
                    <w:bottom w:val="single" w:color="auto" w:sz="4" w:space="0"/>
                    <w:right w:val="single" w:color="auto" w:sz="4" w:space="0"/>
                  </w:tcBorders>
                  <w:noWrap w:val="0"/>
                  <w:vAlign w:val="center"/>
                </w:tcPr>
                <w:p>
                  <w:pPr>
                    <w:jc w:val="center"/>
                    <w:rPr>
                      <w:rFonts w:hint="eastAsia"/>
                      <w:bCs/>
                      <w:color w:val="0C0C0C"/>
                      <w:szCs w:val="21"/>
                      <w:highlight w:val="none"/>
                    </w:rPr>
                  </w:pPr>
                  <w:r>
                    <w:rPr>
                      <w:rFonts w:hint="eastAsia"/>
                      <w:bCs/>
                      <w:color w:val="0C0C0C"/>
                      <w:szCs w:val="21"/>
                      <w:highlight w:val="none"/>
                      <w:lang w:bidi="ar"/>
                    </w:rPr>
                    <w:t>桶装</w:t>
                  </w:r>
                </w:p>
              </w:tc>
              <w:tc>
                <w:tcPr>
                  <w:tcW w:w="749" w:type="dxa"/>
                  <w:vMerge w:val="continue"/>
                  <w:tcBorders>
                    <w:left w:val="nil"/>
                    <w:right w:val="single" w:color="auto" w:sz="4" w:space="0"/>
                  </w:tcBorders>
                  <w:noWrap w:val="0"/>
                  <w:vAlign w:val="center"/>
                </w:tcPr>
                <w:p>
                  <w:pPr>
                    <w:rPr>
                      <w:color w:val="0C0C0C"/>
                      <w:szCs w:val="21"/>
                      <w:highlight w:val="none"/>
                    </w:rPr>
                  </w:pPr>
                </w:p>
              </w:tc>
              <w:tc>
                <w:tcPr>
                  <w:tcW w:w="723" w:type="dxa"/>
                  <w:vMerge w:val="continue"/>
                  <w:tcBorders>
                    <w:left w:val="nil"/>
                    <w:right w:val="single" w:color="auto" w:sz="4" w:space="0"/>
                  </w:tcBorders>
                  <w:noWrap w:val="0"/>
                  <w:vAlign w:val="center"/>
                </w:tcPr>
                <w:p>
                  <w:pPr>
                    <w:rPr>
                      <w:color w:val="0C0C0C"/>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42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eastAsia="宋体"/>
                      <w:bCs/>
                      <w:color w:val="0C0C0C"/>
                      <w:szCs w:val="21"/>
                      <w:highlight w:val="none"/>
                      <w:lang w:eastAsia="zh-CN"/>
                    </w:rPr>
                  </w:pPr>
                  <w:r>
                    <w:rPr>
                      <w:rFonts w:hint="eastAsia"/>
                      <w:bCs/>
                      <w:color w:val="0C0C0C"/>
                      <w:szCs w:val="21"/>
                      <w:highlight w:val="none"/>
                      <w:lang w:val="en-US" w:eastAsia="zh-CN" w:bidi="ar"/>
                    </w:rPr>
                    <w:t>4</w:t>
                  </w:r>
                </w:p>
              </w:tc>
              <w:tc>
                <w:tcPr>
                  <w:tcW w:w="1110" w:type="dxa"/>
                  <w:vMerge w:val="continue"/>
                  <w:tcBorders>
                    <w:left w:val="nil"/>
                    <w:right w:val="single" w:color="auto" w:sz="4" w:space="0"/>
                  </w:tcBorders>
                  <w:noWrap w:val="0"/>
                  <w:vAlign w:val="center"/>
                </w:tcPr>
                <w:p>
                  <w:pPr>
                    <w:rPr>
                      <w:color w:val="0C0C0C"/>
                      <w:szCs w:val="21"/>
                      <w:highlight w:val="none"/>
                    </w:rPr>
                  </w:pPr>
                </w:p>
              </w:tc>
              <w:tc>
                <w:tcPr>
                  <w:tcW w:w="1078" w:type="dxa"/>
                  <w:tcBorders>
                    <w:top w:val="single" w:color="auto" w:sz="4" w:space="0"/>
                    <w:left w:val="nil"/>
                    <w:bottom w:val="single" w:color="auto" w:sz="4" w:space="0"/>
                    <w:right w:val="single" w:color="auto" w:sz="4" w:space="0"/>
                  </w:tcBorders>
                  <w:noWrap w:val="0"/>
                  <w:vAlign w:val="center"/>
                </w:tcPr>
                <w:p>
                  <w:pPr>
                    <w:jc w:val="center"/>
                    <w:rPr>
                      <w:rFonts w:hint="eastAsia"/>
                      <w:bCs/>
                      <w:color w:val="0C0C0C"/>
                      <w:szCs w:val="21"/>
                      <w:highlight w:val="none"/>
                    </w:rPr>
                  </w:pPr>
                  <w:r>
                    <w:rPr>
                      <w:rFonts w:hint="eastAsia"/>
                      <w:bCs/>
                      <w:color w:val="0C0C0C"/>
                      <w:szCs w:val="21"/>
                      <w:highlight w:val="none"/>
                      <w:lang w:bidi="ar"/>
                    </w:rPr>
                    <w:t>废包装桶</w:t>
                  </w:r>
                </w:p>
              </w:tc>
              <w:tc>
                <w:tcPr>
                  <w:tcW w:w="1757" w:type="dxa"/>
                  <w:tcBorders>
                    <w:top w:val="single" w:color="auto" w:sz="4" w:space="0"/>
                    <w:left w:val="nil"/>
                    <w:bottom w:val="single" w:color="auto" w:sz="4" w:space="0"/>
                    <w:right w:val="single" w:color="auto" w:sz="4" w:space="0"/>
                  </w:tcBorders>
                  <w:noWrap w:val="0"/>
                  <w:vAlign w:val="center"/>
                </w:tcPr>
                <w:p>
                  <w:pPr>
                    <w:topLinePunct/>
                    <w:snapToGrid w:val="0"/>
                    <w:jc w:val="center"/>
                    <w:rPr>
                      <w:rFonts w:hint="eastAsia"/>
                      <w:color w:val="0C0C0C"/>
                      <w:szCs w:val="21"/>
                      <w:highlight w:val="none"/>
                    </w:rPr>
                  </w:pPr>
                  <w:r>
                    <w:rPr>
                      <w:color w:val="0C0C0C"/>
                      <w:szCs w:val="21"/>
                      <w:highlight w:val="none"/>
                      <w:lang w:bidi="ar"/>
                    </w:rPr>
                    <w:t>HW49</w:t>
                  </w:r>
                  <w:r>
                    <w:rPr>
                      <w:rFonts w:hint="eastAsia" w:ascii="宋体" w:hAnsi="宋体" w:cs="宋体"/>
                      <w:color w:val="0C0C0C"/>
                      <w:szCs w:val="21"/>
                      <w:highlight w:val="none"/>
                      <w:lang w:bidi="ar"/>
                    </w:rPr>
                    <w:t>其他废物</w:t>
                  </w:r>
                </w:p>
              </w:tc>
              <w:tc>
                <w:tcPr>
                  <w:tcW w:w="1233" w:type="dxa"/>
                  <w:tcBorders>
                    <w:top w:val="single" w:color="auto" w:sz="4" w:space="0"/>
                    <w:left w:val="nil"/>
                    <w:bottom w:val="single" w:color="auto" w:sz="4" w:space="0"/>
                    <w:right w:val="single" w:color="auto" w:sz="4" w:space="0"/>
                  </w:tcBorders>
                  <w:noWrap w:val="0"/>
                  <w:vAlign w:val="center"/>
                </w:tcPr>
                <w:p>
                  <w:pPr>
                    <w:adjustRightInd w:val="0"/>
                    <w:snapToGrid w:val="0"/>
                    <w:jc w:val="center"/>
                    <w:rPr>
                      <w:rFonts w:hint="eastAsia"/>
                      <w:color w:val="0C0C0C"/>
                      <w:szCs w:val="21"/>
                      <w:highlight w:val="none"/>
                    </w:rPr>
                  </w:pPr>
                  <w:r>
                    <w:rPr>
                      <w:rFonts w:hint="eastAsia"/>
                      <w:color w:val="0C0C0C"/>
                      <w:szCs w:val="21"/>
                      <w:highlight w:val="none"/>
                    </w:rPr>
                    <w:t>900-041-49</w:t>
                  </w:r>
                </w:p>
              </w:tc>
              <w:tc>
                <w:tcPr>
                  <w:tcW w:w="423" w:type="dxa"/>
                  <w:vMerge w:val="continue"/>
                  <w:tcBorders>
                    <w:left w:val="nil"/>
                    <w:right w:val="single" w:color="auto" w:sz="4" w:space="0"/>
                  </w:tcBorders>
                  <w:noWrap w:val="0"/>
                  <w:vAlign w:val="center"/>
                </w:tcPr>
                <w:p>
                  <w:pPr>
                    <w:rPr>
                      <w:color w:val="0C0C0C"/>
                      <w:szCs w:val="21"/>
                      <w:highlight w:val="none"/>
                    </w:rPr>
                  </w:pPr>
                </w:p>
              </w:tc>
              <w:tc>
                <w:tcPr>
                  <w:tcW w:w="652" w:type="dxa"/>
                  <w:vMerge w:val="continue"/>
                  <w:tcBorders>
                    <w:left w:val="nil"/>
                    <w:right w:val="single" w:color="auto" w:sz="4" w:space="0"/>
                  </w:tcBorders>
                  <w:noWrap w:val="0"/>
                  <w:vAlign w:val="center"/>
                </w:tcPr>
                <w:p>
                  <w:pPr>
                    <w:rPr>
                      <w:color w:val="0C0C0C"/>
                      <w:szCs w:val="21"/>
                      <w:highlight w:val="none"/>
                    </w:rPr>
                  </w:pPr>
                </w:p>
              </w:tc>
              <w:tc>
                <w:tcPr>
                  <w:tcW w:w="664" w:type="dxa"/>
                  <w:tcBorders>
                    <w:top w:val="single" w:color="auto" w:sz="4" w:space="0"/>
                    <w:left w:val="nil"/>
                    <w:bottom w:val="single" w:color="auto" w:sz="4" w:space="0"/>
                    <w:right w:val="single" w:color="auto" w:sz="4" w:space="0"/>
                  </w:tcBorders>
                  <w:noWrap w:val="0"/>
                  <w:vAlign w:val="center"/>
                </w:tcPr>
                <w:p>
                  <w:pPr>
                    <w:jc w:val="center"/>
                    <w:rPr>
                      <w:rFonts w:hint="eastAsia"/>
                      <w:bCs/>
                      <w:color w:val="0C0C0C"/>
                      <w:szCs w:val="21"/>
                      <w:highlight w:val="none"/>
                    </w:rPr>
                  </w:pPr>
                  <w:r>
                    <w:rPr>
                      <w:rFonts w:hint="eastAsia"/>
                      <w:bCs/>
                      <w:color w:val="0C0C0C"/>
                      <w:szCs w:val="21"/>
                      <w:highlight w:val="none"/>
                      <w:lang w:val="en-US" w:eastAsia="zh-CN" w:bidi="ar"/>
                    </w:rPr>
                    <w:t>袋</w:t>
                  </w:r>
                  <w:r>
                    <w:rPr>
                      <w:rFonts w:hint="eastAsia"/>
                      <w:bCs/>
                      <w:color w:val="0C0C0C"/>
                      <w:szCs w:val="21"/>
                      <w:highlight w:val="none"/>
                      <w:lang w:bidi="ar"/>
                    </w:rPr>
                    <w:t>装</w:t>
                  </w:r>
                </w:p>
              </w:tc>
              <w:tc>
                <w:tcPr>
                  <w:tcW w:w="749" w:type="dxa"/>
                  <w:vMerge w:val="continue"/>
                  <w:tcBorders>
                    <w:left w:val="nil"/>
                    <w:right w:val="single" w:color="auto" w:sz="4" w:space="0"/>
                  </w:tcBorders>
                  <w:noWrap w:val="0"/>
                  <w:vAlign w:val="center"/>
                </w:tcPr>
                <w:p>
                  <w:pPr>
                    <w:rPr>
                      <w:color w:val="0C0C0C"/>
                      <w:szCs w:val="21"/>
                      <w:highlight w:val="none"/>
                    </w:rPr>
                  </w:pPr>
                </w:p>
              </w:tc>
              <w:tc>
                <w:tcPr>
                  <w:tcW w:w="723" w:type="dxa"/>
                  <w:vMerge w:val="continue"/>
                  <w:tcBorders>
                    <w:left w:val="nil"/>
                    <w:right w:val="single" w:color="auto" w:sz="4" w:space="0"/>
                  </w:tcBorders>
                  <w:noWrap w:val="0"/>
                  <w:vAlign w:val="center"/>
                </w:tcPr>
                <w:p>
                  <w:pPr>
                    <w:rPr>
                      <w:color w:val="0C0C0C"/>
                      <w:szCs w:val="21"/>
                      <w:highlight w:val="none"/>
                    </w:rPr>
                  </w:pPr>
                </w:p>
              </w:tc>
            </w:tr>
          </w:tbl>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危废暂存间应达到以下要求：</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1）采取室内贮存方式，设置环境保护图形标志和警示标志。房屋上设坡屋顶防雨。为防止暴雨径流进入室内，固体废物处置场周边设置导流渠，室内地坪高出室外地坪。</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2）固体废物袋装收集后，按类别放入相应的容器内，禁止一般废物与危险废物混放，不相容的危险废物分开存放并设有隔离间隔断。</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3）收集固体废物的容器放置在隔架上，其底部与地面相距一定距离，以保持地面干燥，盛装在容器内的同类危险废物可以堆叠存放，每个堆间应留有搬运通道。</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4）固体废物置场室内地面做耐腐蚀硬化处理，且表面无裂隙。</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5）固体废物置场内暂存的固体废物定期运至有关部门处置。</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6）室内做积水沟收集渗漏液，积水沟设排积水泵坑。</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7）固体废物置场室内地面、裙脚和积水沟做防渗漏处理，所使用的材料要与危险废物相容。</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8）建立档案制度，对暂存的废物种类、数量、特性、包装容器类别、存放库位、存入日期、运出日期等详细记录在案并长期保存。建立定期巡查、维护制度。</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总之，本项目实施后对固体废物的处置应本着减量化、资源化、无害化的原则，进行妥善处理，预计可以避免对环境造成二次污染，不会对环境造成不利影响。</w:t>
            </w:r>
          </w:p>
          <w:p>
            <w:pPr>
              <w:pStyle w:val="42"/>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地下水</w:t>
            </w:r>
          </w:p>
          <w:p>
            <w:pPr>
              <w:pStyle w:val="42"/>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本项目可能存在的对地下水和土壤的污染源有：机油等液态物料的泄漏、固废储存时浸出液、储存装置的泄漏。</w:t>
            </w:r>
          </w:p>
          <w:p>
            <w:pPr>
              <w:pStyle w:val="42"/>
              <w:spacing w:line="240" w:lineRule="auto"/>
              <w:ind w:left="0" w:leftChars="0" w:firstLine="0" w:firstLineChars="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4-1</w:t>
            </w:r>
            <w:r>
              <w:rPr>
                <w:rFonts w:hint="eastAsia" w:ascii="Times New Roman" w:hAnsi="Times New Roman" w:cs="Times New Roman"/>
                <w:b/>
                <w:bCs/>
                <w:color w:val="auto"/>
                <w:sz w:val="21"/>
                <w:szCs w:val="21"/>
                <w:highlight w:val="none"/>
                <w:lang w:val="en-US" w:eastAsia="zh-CN"/>
              </w:rPr>
              <w:t xml:space="preserve">8 </w:t>
            </w:r>
            <w:r>
              <w:rPr>
                <w:rFonts w:hint="default" w:ascii="Times New Roman" w:hAnsi="Times New Roman" w:cs="Times New Roman"/>
                <w:b/>
                <w:bCs/>
                <w:color w:val="auto"/>
                <w:sz w:val="21"/>
                <w:szCs w:val="21"/>
                <w:highlight w:val="none"/>
              </w:rPr>
              <w:t>本项目污染源情况</w:t>
            </w:r>
          </w:p>
          <w:tbl>
            <w:tblPr>
              <w:tblStyle w:val="24"/>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18"/>
              <w:gridCol w:w="2339"/>
              <w:gridCol w:w="2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013" w:type="pct"/>
                  <w:noWrap w:val="0"/>
                  <w:vAlign w:val="center"/>
                </w:tcPr>
                <w:p>
                  <w:pPr>
                    <w:pStyle w:val="42"/>
                    <w:spacing w:line="240" w:lineRule="auto"/>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污染源名称</w:t>
                  </w:r>
                </w:p>
              </w:tc>
              <w:tc>
                <w:tcPr>
                  <w:tcW w:w="1338" w:type="pct"/>
                  <w:noWrap w:val="0"/>
                  <w:vAlign w:val="center"/>
                </w:tcPr>
                <w:p>
                  <w:pPr>
                    <w:pStyle w:val="42"/>
                    <w:spacing w:line="240" w:lineRule="auto"/>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途径</w:t>
                  </w:r>
                </w:p>
              </w:tc>
              <w:tc>
                <w:tcPr>
                  <w:tcW w:w="1648" w:type="pct"/>
                  <w:noWrap w:val="0"/>
                  <w:vAlign w:val="center"/>
                </w:tcPr>
                <w:p>
                  <w:pPr>
                    <w:pStyle w:val="42"/>
                    <w:spacing w:line="240" w:lineRule="auto"/>
                    <w:ind w:firstLine="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成分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2013" w:type="pct"/>
                  <w:noWrap w:val="0"/>
                  <w:vAlign w:val="center"/>
                </w:tcPr>
                <w:p>
                  <w:pPr>
                    <w:pStyle w:val="42"/>
                    <w:spacing w:line="240" w:lineRule="auto"/>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液态物料</w:t>
                  </w:r>
                </w:p>
              </w:tc>
              <w:tc>
                <w:tcPr>
                  <w:tcW w:w="1338" w:type="pct"/>
                  <w:noWrap w:val="0"/>
                  <w:vAlign w:val="center"/>
                </w:tcPr>
                <w:p>
                  <w:pPr>
                    <w:pStyle w:val="42"/>
                    <w:spacing w:line="240" w:lineRule="auto"/>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泄漏</w:t>
                  </w:r>
                </w:p>
              </w:tc>
              <w:tc>
                <w:tcPr>
                  <w:tcW w:w="1648" w:type="pct"/>
                  <w:noWrap w:val="0"/>
                  <w:vAlign w:val="center"/>
                </w:tcPr>
                <w:p>
                  <w:pPr>
                    <w:pStyle w:val="42"/>
                    <w:spacing w:line="240" w:lineRule="auto"/>
                    <w:ind w:firstLine="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rPr>
                    <w:t>机油等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013" w:type="pct"/>
                  <w:noWrap w:val="0"/>
                  <w:vAlign w:val="center"/>
                </w:tcPr>
                <w:p>
                  <w:pPr>
                    <w:pStyle w:val="42"/>
                    <w:spacing w:line="240" w:lineRule="auto"/>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固废储存、储存装置</w:t>
                  </w:r>
                </w:p>
              </w:tc>
              <w:tc>
                <w:tcPr>
                  <w:tcW w:w="1338" w:type="pct"/>
                  <w:noWrap w:val="0"/>
                  <w:vAlign w:val="center"/>
                </w:tcPr>
                <w:p>
                  <w:pPr>
                    <w:pStyle w:val="42"/>
                    <w:spacing w:line="240" w:lineRule="auto"/>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泄漏、渗透</w:t>
                  </w:r>
                </w:p>
              </w:tc>
              <w:tc>
                <w:tcPr>
                  <w:tcW w:w="1648" w:type="pct"/>
                  <w:noWrap w:val="0"/>
                  <w:vAlign w:val="center"/>
                </w:tcPr>
                <w:p>
                  <w:pPr>
                    <w:pStyle w:val="42"/>
                    <w:spacing w:line="240" w:lineRule="auto"/>
                    <w:ind w:firstLine="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机油等</w:t>
                  </w:r>
                </w:p>
              </w:tc>
            </w:tr>
          </w:tbl>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color w:val="auto"/>
                <w:sz w:val="24"/>
                <w:highlight w:val="none"/>
              </w:rPr>
              <w:t>运营期正常工况下，物料经包装桶运输储存，不会出现跑、冒、滴、漏现象。因此，正常工况下，项目不存在地下水污染途径，对地下水影响很小。</w:t>
            </w:r>
          </w:p>
          <w:p>
            <w:pPr>
              <w:adjustRightInd w:val="0"/>
              <w:snapToGrid w:val="0"/>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非正常工况下可能存在的地下水污染途径为：贮存液态物料的容器发生泄漏外流，防渗层破损。固废储存时浸出液的污染物可能泄漏直接进入地下水，对地下水造成污染</w:t>
            </w:r>
            <w:r>
              <w:rPr>
                <w:rFonts w:hint="default" w:ascii="Times New Roman" w:hAnsi="Times New Roman" w:cs="Times New Roman"/>
                <w:bCs/>
                <w:color w:val="auto"/>
                <w:sz w:val="24"/>
                <w:highlight w:val="none"/>
              </w:rPr>
              <w:t>。</w:t>
            </w:r>
          </w:p>
          <w:p>
            <w:pPr>
              <w:adjustRightInd w:val="0"/>
              <w:snapToGrid w:val="0"/>
              <w:spacing w:line="360" w:lineRule="auto"/>
              <w:ind w:firstLine="480" w:firstLineChars="200"/>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因此，本项目遵循“源头控制，分区防治，污染监控、风险应急”的原则，拟采取的地下水防护措施如下：</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（1）生产车间、仓库</w:t>
            </w:r>
          </w:p>
          <w:p>
            <w:pPr>
              <w:pStyle w:val="42"/>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生产车间的地面采取粘土铺底，再在上层铺设10-15cm的水泥进行硬化，不存在地下水污染途径。</w:t>
            </w:r>
          </w:p>
          <w:p>
            <w:pPr>
              <w:pStyle w:val="42"/>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eastAsia="zh-CN"/>
              </w:rPr>
              <w:t>原辅料</w:t>
            </w:r>
            <w:r>
              <w:rPr>
                <w:rFonts w:hint="default" w:ascii="Times New Roman" w:hAnsi="Times New Roman" w:cs="Times New Roman"/>
                <w:color w:val="auto"/>
                <w:sz w:val="24"/>
                <w:highlight w:val="none"/>
              </w:rPr>
              <w:t>储存在仓库内，</w:t>
            </w:r>
            <w:r>
              <w:rPr>
                <w:rFonts w:hint="default" w:ascii="Times New Roman" w:hAnsi="Times New Roman" w:cs="Times New Roman"/>
                <w:color w:val="auto"/>
                <w:sz w:val="24"/>
                <w:highlight w:val="none"/>
                <w:lang w:eastAsia="zh-CN"/>
              </w:rPr>
              <w:t>各类原辅料</w:t>
            </w:r>
            <w:r>
              <w:rPr>
                <w:rFonts w:hint="default" w:ascii="Times New Roman" w:hAnsi="Times New Roman" w:cs="Times New Roman"/>
                <w:color w:val="auto"/>
                <w:sz w:val="24"/>
                <w:highlight w:val="none"/>
              </w:rPr>
              <w:t>分开存放。</w:t>
            </w:r>
            <w:r>
              <w:rPr>
                <w:rFonts w:hint="default" w:ascii="Times New Roman" w:hAnsi="Times New Roman" w:cs="Times New Roman"/>
                <w:color w:val="auto"/>
                <w:sz w:val="24"/>
                <w:highlight w:val="none"/>
                <w:lang w:eastAsia="zh-CN"/>
              </w:rPr>
              <w:t>原辅料</w:t>
            </w:r>
            <w:r>
              <w:rPr>
                <w:rFonts w:hint="default" w:ascii="Times New Roman" w:hAnsi="Times New Roman" w:cs="Times New Roman"/>
                <w:color w:val="auto"/>
                <w:sz w:val="24"/>
                <w:highlight w:val="none"/>
              </w:rPr>
              <w:t>储存时必须完整、密封且表面带有物品标志，储存容器不损坏、不泄漏、具有良好的防水性。机油储存时必须完整、密封且表面带有易燃液体标志，储存容器不损坏、不泄漏、注意防火。仓库内设置围堰，在四周设置导流槽，门口设置围挡，防止物料泄漏时大面积扩散；不同种类原材料独立包装，加强巡查，及时发现破裂的容器，并及时进行维护与修补，防止物料腐蚀地面基础层，造成地下水污染；仓库的地面采取粘土铺底，再在上层铺设10-15cm的水泥进行硬化，不存在地下水污染途径。</w:t>
            </w:r>
          </w:p>
          <w:p>
            <w:pPr>
              <w:pStyle w:val="42"/>
              <w:numPr>
                <w:ilvl w:val="0"/>
                <w:numId w:val="5"/>
              </w:numPr>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一般固废暂存间</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一般固废暂存间必须防雨、防晒、防风，设置防渗地坪，该防渗地坪的具体技术要求为“等效黏土防渗层</w:t>
            </w:r>
            <w:r>
              <w:rPr>
                <w:rFonts w:hint="default" w:ascii="Times New Roman" w:hAnsi="Times New Roman" w:cs="Times New Roman"/>
                <w:bCs/>
                <w:color w:val="auto"/>
                <w:spacing w:val="20"/>
                <w:sz w:val="24"/>
                <w:highlight w:val="none"/>
              </w:rPr>
              <w:t>Mb≥1.5m，</w:t>
            </w:r>
            <w:r>
              <w:rPr>
                <w:rFonts w:hint="default" w:ascii="Times New Roman" w:hAnsi="Times New Roman" w:cs="Times New Roman"/>
                <w:bCs/>
                <w:color w:val="auto"/>
                <w:sz w:val="24"/>
                <w:highlight w:val="none"/>
              </w:rPr>
              <w:t xml:space="preserve">渗透系数≤10 </w:t>
            </w:r>
            <w:r>
              <w:rPr>
                <w:rFonts w:hint="default" w:ascii="Times New Roman" w:hAnsi="Times New Roman" w:cs="Times New Roman"/>
                <w:bCs/>
                <w:color w:val="auto"/>
                <w:sz w:val="24"/>
                <w:highlight w:val="none"/>
                <w:vertAlign w:val="superscript"/>
              </w:rPr>
              <w:t xml:space="preserve">-7 </w:t>
            </w:r>
            <w:r>
              <w:rPr>
                <w:rFonts w:hint="default" w:ascii="Times New Roman" w:hAnsi="Times New Roman" w:cs="Times New Roman"/>
                <w:bCs/>
                <w:color w:val="auto"/>
                <w:sz w:val="24"/>
                <w:highlight w:val="none"/>
              </w:rPr>
              <w:t>cm/s</w:t>
            </w:r>
            <w:r>
              <w:rPr>
                <w:rFonts w:hint="default" w:ascii="Times New Roman" w:hAnsi="Times New Roman" w:cs="Times New Roman"/>
                <w:color w:val="auto"/>
                <w:sz w:val="24"/>
                <w:highlight w:val="none"/>
              </w:rPr>
              <w:t>”。一般固废暂存间设置围堰，在四周设置导流槽，门口设置围挡，防止物料泄漏时大面积扩散。不同种类原材料独立包装，加强巡查，及时发现破裂的容器，并及时进行维护与修补，防止物料腐蚀地面基础层，造成地下水污染。</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（3）危险废物暂存间</w:t>
            </w:r>
          </w:p>
          <w:p>
            <w:pPr>
              <w:pStyle w:val="42"/>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危险废物暂存间，按照《危险废物贮存污染控制标准》（GB 18597-2001，2013年修订）的相关要求进行设计并采取了相应的防渗措施，包括：</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①危险废物暂存间基础设置防渗地坪，该防渗地坪的具体技术要求为“等效黏土防渗层</w:t>
            </w:r>
            <w:r>
              <w:rPr>
                <w:rFonts w:hint="default" w:ascii="Times New Roman" w:hAnsi="Times New Roman" w:cs="Times New Roman"/>
                <w:bCs/>
                <w:color w:val="auto"/>
                <w:spacing w:val="20"/>
                <w:sz w:val="24"/>
                <w:highlight w:val="none"/>
              </w:rPr>
              <w:t>Mb≥6.0m，</w:t>
            </w:r>
            <w:r>
              <w:rPr>
                <w:rFonts w:hint="default" w:ascii="Times New Roman" w:hAnsi="Times New Roman" w:cs="Times New Roman"/>
                <w:bCs/>
                <w:color w:val="auto"/>
                <w:sz w:val="24"/>
                <w:highlight w:val="none"/>
              </w:rPr>
              <w:t xml:space="preserve">渗透系数≤10 </w:t>
            </w:r>
            <w:r>
              <w:rPr>
                <w:rFonts w:hint="default" w:ascii="Times New Roman" w:hAnsi="Times New Roman" w:cs="Times New Roman"/>
                <w:bCs/>
                <w:color w:val="auto"/>
                <w:sz w:val="24"/>
                <w:highlight w:val="none"/>
                <w:vertAlign w:val="superscript"/>
              </w:rPr>
              <w:t xml:space="preserve">-7 </w:t>
            </w:r>
            <w:r>
              <w:rPr>
                <w:rFonts w:hint="default" w:ascii="Times New Roman" w:hAnsi="Times New Roman" w:cs="Times New Roman"/>
                <w:bCs/>
                <w:color w:val="auto"/>
                <w:sz w:val="24"/>
                <w:highlight w:val="none"/>
              </w:rPr>
              <w:t>cm/s</w:t>
            </w:r>
            <w:r>
              <w:rPr>
                <w:rFonts w:hint="default" w:ascii="Times New Roman" w:hAnsi="Times New Roman" w:cs="Times New Roman"/>
                <w:color w:val="auto"/>
                <w:sz w:val="24"/>
                <w:highlight w:val="none"/>
              </w:rPr>
              <w:t>”。</w:t>
            </w:r>
          </w:p>
          <w:p>
            <w:pPr>
              <w:pStyle w:val="42"/>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②地面与裙脚用坚固、防渗的材料建造，设计堵截泄漏的裙脚；衬里能够覆盖危险废物或其溶出物可能涉及到的范围。</w:t>
            </w:r>
          </w:p>
          <w:p>
            <w:pPr>
              <w:pStyle w:val="42"/>
              <w:spacing w:line="36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③不相容的危险废物分开存放，并设有隔离间隔断，加强危险废物的管理，防止其包装出现破损、泄漏等问题；危险废物堆要防风、防雨、防晒等。</w:t>
            </w: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bCs/>
                <w:color w:val="auto"/>
                <w:kern w:val="21"/>
                <w:sz w:val="24"/>
                <w:highlight w:val="none"/>
              </w:rPr>
              <w:t>综上所述，项目在生产车间、仓库、一般固废暂存间和危险废物暂存间均采取措施后，不存在地下水污染途径。</w:t>
            </w:r>
          </w:p>
          <w:p>
            <w:pPr>
              <w:adjustRightInd w:val="0"/>
              <w:snapToGrid w:val="0"/>
              <w:spacing w:line="360" w:lineRule="auto"/>
              <w:ind w:firstLine="480"/>
              <w:rPr>
                <w:rFonts w:hint="eastAsia"/>
                <w:b/>
                <w:bCs/>
                <w:color w:val="0C0C0C"/>
                <w:sz w:val="24"/>
                <w:highlight w:val="none"/>
              </w:rPr>
            </w:pPr>
            <w:r>
              <w:rPr>
                <w:rFonts w:hint="eastAsia"/>
                <w:b/>
                <w:bCs/>
                <w:color w:val="0C0C0C"/>
                <w:sz w:val="24"/>
                <w:highlight w:val="none"/>
              </w:rPr>
              <w:t>5.2土壤</w:t>
            </w:r>
          </w:p>
          <w:p>
            <w:pPr>
              <w:adjustRightInd w:val="0"/>
              <w:snapToGrid w:val="0"/>
              <w:spacing w:line="360" w:lineRule="auto"/>
              <w:ind w:firstLine="480"/>
              <w:rPr>
                <w:color w:val="0C0C0C"/>
                <w:sz w:val="24"/>
                <w:highlight w:val="none"/>
              </w:rPr>
            </w:pPr>
            <w:r>
              <w:rPr>
                <w:color w:val="0C0C0C"/>
                <w:sz w:val="24"/>
                <w:highlight w:val="none"/>
              </w:rPr>
              <w:t>根据</w:t>
            </w:r>
            <w:r>
              <w:rPr>
                <w:rFonts w:hint="eastAsia"/>
                <w:color w:val="0C0C0C"/>
                <w:sz w:val="24"/>
                <w:highlight w:val="none"/>
              </w:rPr>
              <w:t>《环境影响评价技术导则 土壤环境》（HJ964-2018），</w:t>
            </w:r>
            <w:r>
              <w:rPr>
                <w:color w:val="0C0C0C"/>
                <w:sz w:val="24"/>
                <w:highlight w:val="none"/>
              </w:rPr>
              <w:t>污染类项目土壤环境影响的途径有三种：“大气沉降”，“地表漫流”，“垂直入渗”。</w:t>
            </w:r>
            <w:r>
              <w:rPr>
                <w:rFonts w:hint="eastAsia" w:ascii="Times New Roman" w:hAnsi="Times New Roman" w:eastAsia="宋体" w:cs="Times New Roman"/>
                <w:bCs/>
                <w:color w:val="auto"/>
                <w:kern w:val="21"/>
                <w:sz w:val="24"/>
                <w:highlight w:val="none"/>
                <w:lang w:eastAsia="zh-CN"/>
              </w:rPr>
              <w:t>本项目</w:t>
            </w:r>
            <w:r>
              <w:rPr>
                <w:rFonts w:hint="eastAsia" w:ascii="Times New Roman" w:hAnsi="Times New Roman" w:eastAsia="宋体" w:cs="Times New Roman"/>
                <w:bCs/>
                <w:color w:val="auto"/>
                <w:kern w:val="21"/>
                <w:sz w:val="24"/>
                <w:highlight w:val="none"/>
              </w:rPr>
              <w:t>的行业类别是</w:t>
            </w:r>
            <w:r>
              <w:rPr>
                <w:rFonts w:hint="eastAsia" w:ascii="Times New Roman" w:hAnsi="Times New Roman" w:cs="Times New Roman"/>
                <w:b w:val="0"/>
                <w:bCs w:val="0"/>
                <w:color w:val="000000"/>
                <w:sz w:val="24"/>
                <w:szCs w:val="24"/>
                <w:highlight w:val="none"/>
                <w:lang w:val="en-US" w:eastAsia="zh-CN"/>
              </w:rPr>
              <w:t>39计算机、通信和其他电子设备制造</w:t>
            </w:r>
            <w:r>
              <w:rPr>
                <w:rFonts w:hint="eastAsia"/>
                <w:color w:val="0C0C0C"/>
                <w:sz w:val="24"/>
                <w:highlight w:val="none"/>
              </w:rPr>
              <w:t>，</w:t>
            </w:r>
            <w:r>
              <w:rPr>
                <w:color w:val="0C0C0C"/>
                <w:sz w:val="24"/>
                <w:highlight w:val="none"/>
              </w:rPr>
              <w:t>根据《农用地土壤污染状况详查点位布设技术规定》的</w:t>
            </w:r>
            <w:r>
              <w:rPr>
                <w:rFonts w:hint="eastAsia"/>
                <w:color w:val="0C0C0C"/>
                <w:sz w:val="24"/>
                <w:highlight w:val="none"/>
              </w:rPr>
              <w:t>附表1，</w:t>
            </w:r>
            <w:r>
              <w:rPr>
                <w:rFonts w:hint="eastAsia"/>
                <w:color w:val="0C0C0C"/>
                <w:sz w:val="24"/>
                <w:highlight w:val="none"/>
                <w:lang w:eastAsia="zh-CN"/>
              </w:rPr>
              <w:t>本项目</w:t>
            </w:r>
            <w:r>
              <w:rPr>
                <w:rFonts w:hint="eastAsia"/>
                <w:color w:val="0C0C0C"/>
                <w:sz w:val="24"/>
                <w:highlight w:val="none"/>
              </w:rPr>
              <w:t>不属于“需考虑大气沉降影响的行业”，也不属于“需考虑地表产流的行业”</w:t>
            </w:r>
            <w:r>
              <w:rPr>
                <w:rFonts w:hint="eastAsia"/>
                <w:color w:val="0C0C0C"/>
                <w:sz w:val="24"/>
                <w:highlight w:val="none"/>
                <w:lang w:eastAsia="zh-CN"/>
              </w:rPr>
              <w:t>，</w:t>
            </w:r>
            <w:r>
              <w:rPr>
                <w:rFonts w:hint="eastAsia"/>
                <w:color w:val="0C0C0C"/>
                <w:sz w:val="24"/>
                <w:highlight w:val="none"/>
              </w:rPr>
              <w:t>因此</w:t>
            </w:r>
            <w:r>
              <w:rPr>
                <w:rFonts w:hint="eastAsia"/>
                <w:color w:val="0C0C0C"/>
                <w:sz w:val="24"/>
                <w:highlight w:val="none"/>
                <w:lang w:eastAsia="zh-CN"/>
              </w:rPr>
              <w:t>本项目</w:t>
            </w:r>
            <w:r>
              <w:rPr>
                <w:rFonts w:hint="eastAsia"/>
                <w:color w:val="0C0C0C"/>
                <w:sz w:val="24"/>
                <w:highlight w:val="none"/>
              </w:rPr>
              <w:t>不涉及大气沉降和地表漫流这两个土壤污染途径。</w:t>
            </w:r>
          </w:p>
          <w:p>
            <w:pPr>
              <w:adjustRightInd w:val="0"/>
              <w:snapToGrid w:val="0"/>
              <w:spacing w:line="360" w:lineRule="auto"/>
              <w:ind w:firstLine="480" w:firstLineChars="200"/>
              <w:rPr>
                <w:rFonts w:hint="eastAsia"/>
                <w:bCs/>
                <w:color w:val="0C0C0C"/>
                <w:spacing w:val="20"/>
                <w:sz w:val="24"/>
                <w:szCs w:val="21"/>
                <w:highlight w:val="none"/>
              </w:rPr>
            </w:pPr>
            <w:r>
              <w:rPr>
                <w:rFonts w:hint="eastAsia"/>
                <w:bCs/>
                <w:color w:val="0C0C0C"/>
                <w:kern w:val="21"/>
                <w:sz w:val="24"/>
                <w:highlight w:val="none"/>
              </w:rPr>
              <w:t>而项目在</w:t>
            </w:r>
            <w:r>
              <w:rPr>
                <w:bCs/>
                <w:color w:val="0C0C0C"/>
                <w:kern w:val="21"/>
                <w:sz w:val="24"/>
                <w:highlight w:val="none"/>
              </w:rPr>
              <w:t>生产车间</w:t>
            </w:r>
            <w:r>
              <w:rPr>
                <w:rFonts w:hint="eastAsia"/>
                <w:bCs/>
                <w:color w:val="0C0C0C"/>
                <w:kern w:val="21"/>
                <w:sz w:val="24"/>
                <w:highlight w:val="none"/>
              </w:rPr>
              <w:t>、仓库、一般固废暂存间和</w:t>
            </w:r>
            <w:r>
              <w:rPr>
                <w:bCs/>
                <w:color w:val="0C0C0C"/>
                <w:kern w:val="21"/>
                <w:sz w:val="24"/>
                <w:highlight w:val="none"/>
              </w:rPr>
              <w:t>危险废物暂存间</w:t>
            </w:r>
            <w:r>
              <w:rPr>
                <w:rFonts w:hint="eastAsia"/>
                <w:bCs/>
                <w:color w:val="0C0C0C"/>
                <w:kern w:val="21"/>
                <w:sz w:val="24"/>
                <w:highlight w:val="none"/>
              </w:rPr>
              <w:t>均采取措施后，</w:t>
            </w:r>
            <w:r>
              <w:rPr>
                <w:bCs/>
                <w:color w:val="0C0C0C"/>
                <w:kern w:val="21"/>
                <w:sz w:val="24"/>
                <w:highlight w:val="none"/>
              </w:rPr>
              <w:t>无垂直入渗的途径</w:t>
            </w:r>
            <w:r>
              <w:rPr>
                <w:rFonts w:hint="eastAsia"/>
                <w:bCs/>
                <w:color w:val="0C0C0C"/>
                <w:kern w:val="21"/>
                <w:sz w:val="24"/>
                <w:highlight w:val="none"/>
              </w:rPr>
              <w:t>，不存在土壤污染途径。</w:t>
            </w:r>
            <w:r>
              <w:rPr>
                <w:color w:val="0C0C0C"/>
                <w:sz w:val="24"/>
                <w:highlight w:val="none"/>
              </w:rPr>
              <w:t>综上所述，项目运营期不存在地下水、土壤污染途径，故不提出跟踪监测的相关要求。</w:t>
            </w:r>
          </w:p>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6.生态环境影响</w:t>
            </w:r>
          </w:p>
          <w:p>
            <w:pPr>
              <w:adjustRightInd w:val="0"/>
              <w:snapToGrid w:val="0"/>
              <w:spacing w:line="360" w:lineRule="auto"/>
              <w:ind w:firstLine="480" w:firstLineChars="200"/>
              <w:rPr>
                <w:rFonts w:hint="eastAsia"/>
                <w:bCs/>
                <w:color w:val="0C0C0C"/>
                <w:sz w:val="24"/>
                <w:highlight w:val="none"/>
              </w:rPr>
            </w:pPr>
            <w:r>
              <w:rPr>
                <w:rFonts w:hint="eastAsia"/>
                <w:bCs/>
                <w:color w:val="0C0C0C"/>
                <w:sz w:val="24"/>
                <w:highlight w:val="none"/>
                <w:lang w:eastAsia="zh-CN"/>
              </w:rPr>
              <w:t>本项目</w:t>
            </w:r>
            <w:r>
              <w:rPr>
                <w:rFonts w:hint="eastAsia"/>
                <w:bCs/>
                <w:color w:val="0C0C0C"/>
                <w:sz w:val="24"/>
                <w:highlight w:val="none"/>
              </w:rPr>
              <w:t>厂房早已建成，不涉及新增用地，不会对周边生态环境造成明显影响。</w:t>
            </w:r>
          </w:p>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7.环境风险</w:t>
            </w:r>
          </w:p>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7.1主要危险物质及分布：</w:t>
            </w:r>
          </w:p>
          <w:p>
            <w:pPr>
              <w:pStyle w:val="43"/>
              <w:autoSpaceDE w:val="0"/>
              <w:autoSpaceDN w:val="0"/>
              <w:spacing w:line="360" w:lineRule="auto"/>
              <w:ind w:firstLine="480"/>
              <w:rPr>
                <w:color w:val="auto"/>
                <w:sz w:val="24"/>
                <w:szCs w:val="24"/>
                <w:highlight w:val="none"/>
              </w:rPr>
            </w:pPr>
            <w:r>
              <w:rPr>
                <w:rFonts w:hint="eastAsia" w:ascii="Times New Roman" w:hAnsi="Times New Roman" w:eastAsia="宋体" w:cs="Times New Roman"/>
                <w:bCs/>
                <w:color w:val="0C0C0C"/>
                <w:kern w:val="2"/>
                <w:sz w:val="24"/>
                <w:szCs w:val="24"/>
                <w:highlight w:val="none"/>
                <w:lang w:val="en-US" w:eastAsia="zh-CN" w:bidi="ar-SA"/>
              </w:rPr>
              <w:t>根据《建设项目环境风险评价技术导则》（HJ169-2018）附录B，本项目涉及的危险物质为机油、废机油，主要分布：危险废物暂存间、</w:t>
            </w:r>
            <w:r>
              <w:rPr>
                <w:rFonts w:hint="eastAsia" w:ascii="Times New Roman" w:hAnsi="Times New Roman" w:cs="Times New Roman"/>
                <w:bCs/>
                <w:color w:val="0C0C0C"/>
                <w:kern w:val="2"/>
                <w:sz w:val="24"/>
                <w:szCs w:val="24"/>
                <w:highlight w:val="none"/>
                <w:lang w:val="en-US" w:eastAsia="zh-CN" w:bidi="ar-SA"/>
              </w:rPr>
              <w:t>原料</w:t>
            </w:r>
            <w:r>
              <w:rPr>
                <w:rFonts w:hint="eastAsia" w:ascii="Times New Roman" w:hAnsi="Times New Roman" w:eastAsia="宋体" w:cs="Times New Roman"/>
                <w:bCs/>
                <w:color w:val="0C0C0C"/>
                <w:kern w:val="2"/>
                <w:sz w:val="24"/>
                <w:szCs w:val="24"/>
                <w:highlight w:val="none"/>
                <w:lang w:val="en-US" w:eastAsia="zh-CN" w:bidi="ar-SA"/>
              </w:rPr>
              <w:t>仓库。据《建设项目环境风险评价技术导则》（HJ169-2018）中“附录B重点关注的危险物质及临界量”的油类物质（矿物油类，如石油、汽油、柴油等；生物柴油等）临界量推荐值为2500t。健康危险急性毒性物质（类别2，类别3）临界量推荐值为50t（根据仓库的最大储存量和危险废物暂存间的储存量），计算得出本迁改建项目危险物质数量与临界量比值Q=0.002008&lt;1，则</w:t>
            </w:r>
            <w:r>
              <w:rPr>
                <w:color w:val="auto"/>
                <w:sz w:val="24"/>
                <w:szCs w:val="24"/>
                <w:highlight w:val="none"/>
              </w:rPr>
              <w:t>本项目环境风险潜势为Ⅰ，具体情况如下表：</w:t>
            </w:r>
          </w:p>
          <w:p>
            <w:pPr>
              <w:autoSpaceDE w:val="0"/>
              <w:autoSpaceDN w:val="0"/>
              <w:jc w:val="center"/>
              <w:rPr>
                <w:b/>
                <w:bCs/>
                <w:color w:val="auto"/>
                <w:szCs w:val="21"/>
                <w:highlight w:val="none"/>
              </w:rPr>
            </w:pPr>
            <w:r>
              <w:rPr>
                <w:b/>
                <w:bCs/>
                <w:color w:val="auto"/>
                <w:szCs w:val="21"/>
                <w:highlight w:val="none"/>
              </w:rPr>
              <w:t>表</w:t>
            </w:r>
            <w:r>
              <w:rPr>
                <w:rFonts w:hint="eastAsia"/>
                <w:b/>
                <w:bCs/>
                <w:color w:val="auto"/>
                <w:szCs w:val="21"/>
                <w:highlight w:val="none"/>
                <w:lang w:val="en-US" w:eastAsia="zh-CN"/>
              </w:rPr>
              <w:t>4-19</w:t>
            </w:r>
            <w:r>
              <w:rPr>
                <w:b/>
                <w:bCs/>
                <w:color w:val="auto"/>
                <w:szCs w:val="21"/>
                <w:highlight w:val="none"/>
              </w:rPr>
              <w:t xml:space="preserve"> 危险物质数量与临界量比值Q核算表</w:t>
            </w:r>
          </w:p>
          <w:tbl>
            <w:tblPr>
              <w:tblStyle w:val="24"/>
              <w:tblW w:w="50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79"/>
              <w:gridCol w:w="1342"/>
              <w:gridCol w:w="2245"/>
              <w:gridCol w:w="1707"/>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jc w:val="center"/>
              </w:trPr>
              <w:tc>
                <w:tcPr>
                  <w:tcW w:w="380" w:type="pct"/>
                  <w:noWrap w:val="0"/>
                  <w:vAlign w:val="center"/>
                </w:tcPr>
                <w:p>
                  <w:pPr>
                    <w:jc w:val="center"/>
                    <w:rPr>
                      <w:b/>
                      <w:bCs/>
                      <w:color w:val="auto"/>
                      <w:szCs w:val="21"/>
                      <w:highlight w:val="none"/>
                    </w:rPr>
                  </w:pPr>
                  <w:r>
                    <w:rPr>
                      <w:b/>
                      <w:bCs/>
                      <w:color w:val="auto"/>
                      <w:szCs w:val="21"/>
                      <w:highlight w:val="none"/>
                    </w:rPr>
                    <w:t>序号</w:t>
                  </w:r>
                </w:p>
              </w:tc>
              <w:tc>
                <w:tcPr>
                  <w:tcW w:w="731" w:type="pct"/>
                  <w:noWrap w:val="0"/>
                  <w:vAlign w:val="center"/>
                </w:tcPr>
                <w:p>
                  <w:pPr>
                    <w:jc w:val="center"/>
                    <w:rPr>
                      <w:b/>
                      <w:bCs/>
                      <w:color w:val="auto"/>
                      <w:szCs w:val="21"/>
                      <w:highlight w:val="none"/>
                    </w:rPr>
                  </w:pPr>
                  <w:r>
                    <w:rPr>
                      <w:b/>
                      <w:bCs/>
                      <w:color w:val="auto"/>
                      <w:szCs w:val="21"/>
                      <w:highlight w:val="none"/>
                    </w:rPr>
                    <w:t>危化品名</w:t>
                  </w:r>
                </w:p>
              </w:tc>
              <w:tc>
                <w:tcPr>
                  <w:tcW w:w="767" w:type="pct"/>
                  <w:noWrap w:val="0"/>
                  <w:vAlign w:val="center"/>
                </w:tcPr>
                <w:p>
                  <w:pPr>
                    <w:jc w:val="center"/>
                    <w:rPr>
                      <w:b/>
                      <w:bCs/>
                      <w:color w:val="auto"/>
                      <w:szCs w:val="21"/>
                      <w:highlight w:val="none"/>
                    </w:rPr>
                  </w:pPr>
                  <w:r>
                    <w:rPr>
                      <w:b/>
                      <w:bCs/>
                      <w:color w:val="auto"/>
                      <w:szCs w:val="21"/>
                      <w:highlight w:val="none"/>
                    </w:rPr>
                    <w:t>临界量Qi（t）</w:t>
                  </w:r>
                </w:p>
              </w:tc>
              <w:tc>
                <w:tcPr>
                  <w:tcW w:w="1283" w:type="pct"/>
                  <w:noWrap w:val="0"/>
                  <w:vAlign w:val="center"/>
                </w:tcPr>
                <w:p>
                  <w:pPr>
                    <w:jc w:val="center"/>
                    <w:rPr>
                      <w:b/>
                      <w:bCs/>
                      <w:color w:val="auto"/>
                      <w:szCs w:val="21"/>
                      <w:highlight w:val="none"/>
                    </w:rPr>
                  </w:pPr>
                  <w:r>
                    <w:rPr>
                      <w:b/>
                      <w:bCs/>
                      <w:color w:val="auto"/>
                      <w:szCs w:val="21"/>
                      <w:highlight w:val="none"/>
                    </w:rPr>
                    <w:t>突发事件案例以及遇水反应生成的物质</w:t>
                  </w:r>
                </w:p>
              </w:tc>
              <w:tc>
                <w:tcPr>
                  <w:tcW w:w="975" w:type="pct"/>
                  <w:noWrap w:val="0"/>
                  <w:vAlign w:val="center"/>
                </w:tcPr>
                <w:p>
                  <w:pPr>
                    <w:jc w:val="center"/>
                    <w:rPr>
                      <w:b/>
                      <w:bCs/>
                      <w:color w:val="auto"/>
                      <w:szCs w:val="21"/>
                      <w:highlight w:val="none"/>
                    </w:rPr>
                  </w:pPr>
                  <w:r>
                    <w:rPr>
                      <w:b/>
                      <w:bCs/>
                      <w:color w:val="auto"/>
                      <w:szCs w:val="21"/>
                      <w:highlight w:val="none"/>
                    </w:rPr>
                    <w:t>厂内最大存在量qi（t）</w:t>
                  </w:r>
                </w:p>
              </w:tc>
              <w:tc>
                <w:tcPr>
                  <w:tcW w:w="863" w:type="pct"/>
                  <w:noWrap w:val="0"/>
                  <w:vAlign w:val="center"/>
                </w:tcPr>
                <w:p>
                  <w:pPr>
                    <w:jc w:val="center"/>
                    <w:rPr>
                      <w:b/>
                      <w:bCs/>
                      <w:color w:val="auto"/>
                      <w:szCs w:val="21"/>
                      <w:highlight w:val="none"/>
                    </w:rPr>
                  </w:pPr>
                  <w:r>
                    <w:rPr>
                      <w:b/>
                      <w:bCs/>
                      <w:color w:val="auto"/>
                      <w:szCs w:val="21"/>
                      <w:highlight w:val="none"/>
                    </w:rPr>
                    <w:t>qi/Qi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80" w:type="pct"/>
                  <w:noWrap w:val="0"/>
                  <w:vAlign w:val="center"/>
                </w:tcPr>
                <w:p>
                  <w:pPr>
                    <w:jc w:val="center"/>
                    <w:rPr>
                      <w:rFonts w:hint="eastAsia" w:eastAsiaTheme="minorEastAsia"/>
                      <w:color w:val="auto"/>
                      <w:szCs w:val="21"/>
                      <w:highlight w:val="none"/>
                      <w:lang w:eastAsia="zh-CN"/>
                    </w:rPr>
                  </w:pPr>
                  <w:r>
                    <w:rPr>
                      <w:rFonts w:hint="eastAsia"/>
                      <w:color w:val="auto"/>
                      <w:szCs w:val="21"/>
                      <w:highlight w:val="none"/>
                      <w:lang w:val="en-US" w:eastAsia="zh-CN"/>
                    </w:rPr>
                    <w:t>1</w:t>
                  </w:r>
                </w:p>
              </w:tc>
              <w:tc>
                <w:tcPr>
                  <w:tcW w:w="731" w:type="pct"/>
                  <w:noWrap w:val="0"/>
                  <w:vAlign w:val="center"/>
                </w:tcPr>
                <w:p>
                  <w:pPr>
                    <w:jc w:val="center"/>
                    <w:rPr>
                      <w:color w:val="auto"/>
                      <w:highlight w:val="none"/>
                    </w:rPr>
                  </w:pPr>
                  <w:r>
                    <w:rPr>
                      <w:color w:val="auto"/>
                      <w:szCs w:val="21"/>
                      <w:highlight w:val="none"/>
                    </w:rPr>
                    <w:t>机油</w:t>
                  </w:r>
                </w:p>
              </w:tc>
              <w:tc>
                <w:tcPr>
                  <w:tcW w:w="767" w:type="pct"/>
                  <w:noWrap w:val="0"/>
                  <w:vAlign w:val="center"/>
                </w:tcPr>
                <w:p>
                  <w:pPr>
                    <w:jc w:val="center"/>
                    <w:rPr>
                      <w:color w:val="auto"/>
                      <w:szCs w:val="21"/>
                      <w:highlight w:val="none"/>
                    </w:rPr>
                  </w:pPr>
                  <w:r>
                    <w:rPr>
                      <w:rFonts w:hint="eastAsia"/>
                      <w:color w:val="auto"/>
                      <w:highlight w:val="none"/>
                    </w:rPr>
                    <w:t>25</w:t>
                  </w:r>
                  <w:r>
                    <w:rPr>
                      <w:color w:val="auto"/>
                      <w:highlight w:val="none"/>
                    </w:rPr>
                    <w:t>00</w:t>
                  </w:r>
                </w:p>
              </w:tc>
              <w:tc>
                <w:tcPr>
                  <w:tcW w:w="1283" w:type="pct"/>
                  <w:noWrap w:val="0"/>
                  <w:vAlign w:val="center"/>
                </w:tcPr>
                <w:p>
                  <w:pPr>
                    <w:jc w:val="center"/>
                    <w:rPr>
                      <w:color w:val="auto"/>
                      <w:szCs w:val="21"/>
                      <w:highlight w:val="none"/>
                    </w:rPr>
                  </w:pPr>
                  <w:r>
                    <w:rPr>
                      <w:color w:val="auto"/>
                      <w:szCs w:val="21"/>
                      <w:highlight w:val="none"/>
                    </w:rPr>
                    <w:t>/</w:t>
                  </w:r>
                </w:p>
              </w:tc>
              <w:tc>
                <w:tcPr>
                  <w:tcW w:w="975" w:type="pct"/>
                  <w:noWrap w:val="0"/>
                  <w:vAlign w:val="center"/>
                </w:tcPr>
                <w:p>
                  <w:pPr>
                    <w:jc w:val="center"/>
                    <w:rPr>
                      <w:rFonts w:hint="eastAsia" w:eastAsia="宋体"/>
                      <w:color w:val="auto"/>
                      <w:szCs w:val="21"/>
                      <w:highlight w:val="none"/>
                      <w:lang w:eastAsia="zh-CN"/>
                    </w:rPr>
                  </w:pPr>
                  <w:r>
                    <w:rPr>
                      <w:color w:val="auto"/>
                      <w:szCs w:val="21"/>
                      <w:highlight w:val="none"/>
                    </w:rPr>
                    <w:t>0.0</w:t>
                  </w:r>
                  <w:r>
                    <w:rPr>
                      <w:rFonts w:hint="eastAsia"/>
                      <w:color w:val="auto"/>
                      <w:szCs w:val="21"/>
                      <w:highlight w:val="none"/>
                      <w:lang w:val="en-US" w:eastAsia="zh-CN"/>
                    </w:rPr>
                    <w:t>2</w:t>
                  </w:r>
                </w:p>
              </w:tc>
              <w:tc>
                <w:tcPr>
                  <w:tcW w:w="863" w:type="pct"/>
                  <w:noWrap w:val="0"/>
                  <w:vAlign w:val="center"/>
                </w:tcPr>
                <w:p>
                  <w:pPr>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0.000008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80" w:type="pct"/>
                  <w:noWrap w:val="0"/>
                  <w:vAlign w:val="center"/>
                </w:tcPr>
                <w:p>
                  <w:pPr>
                    <w:jc w:val="center"/>
                    <w:rPr>
                      <w:rFonts w:hint="eastAsia" w:eastAsiaTheme="minorEastAsia"/>
                      <w:color w:val="auto"/>
                      <w:szCs w:val="21"/>
                      <w:highlight w:val="none"/>
                      <w:lang w:eastAsia="zh-CN"/>
                    </w:rPr>
                  </w:pPr>
                  <w:r>
                    <w:rPr>
                      <w:rFonts w:hint="eastAsia"/>
                      <w:color w:val="auto"/>
                      <w:szCs w:val="21"/>
                      <w:highlight w:val="none"/>
                      <w:lang w:val="en-US" w:eastAsia="zh-CN"/>
                    </w:rPr>
                    <w:t>2</w:t>
                  </w:r>
                </w:p>
              </w:tc>
              <w:tc>
                <w:tcPr>
                  <w:tcW w:w="731" w:type="pct"/>
                  <w:noWrap w:val="0"/>
                  <w:vAlign w:val="center"/>
                </w:tcPr>
                <w:p>
                  <w:pPr>
                    <w:jc w:val="center"/>
                    <w:rPr>
                      <w:color w:val="auto"/>
                      <w:highlight w:val="none"/>
                    </w:rPr>
                  </w:pPr>
                  <w:r>
                    <w:rPr>
                      <w:rFonts w:hint="eastAsia"/>
                      <w:color w:val="auto"/>
                      <w:highlight w:val="none"/>
                    </w:rPr>
                    <w:t>废机油</w:t>
                  </w:r>
                </w:p>
              </w:tc>
              <w:tc>
                <w:tcPr>
                  <w:tcW w:w="767" w:type="pct"/>
                  <w:noWrap w:val="0"/>
                  <w:vAlign w:val="center"/>
                </w:tcPr>
                <w:p>
                  <w:pPr>
                    <w:jc w:val="center"/>
                    <w:rPr>
                      <w:color w:val="auto"/>
                      <w:szCs w:val="21"/>
                      <w:highlight w:val="none"/>
                    </w:rPr>
                  </w:pPr>
                  <w:r>
                    <w:rPr>
                      <w:rFonts w:hint="eastAsia"/>
                      <w:color w:val="auto"/>
                      <w:highlight w:val="none"/>
                    </w:rPr>
                    <w:t>25</w:t>
                  </w:r>
                  <w:r>
                    <w:rPr>
                      <w:color w:val="auto"/>
                      <w:highlight w:val="none"/>
                    </w:rPr>
                    <w:t>00</w:t>
                  </w:r>
                </w:p>
              </w:tc>
              <w:tc>
                <w:tcPr>
                  <w:tcW w:w="1283" w:type="pct"/>
                  <w:noWrap w:val="0"/>
                  <w:vAlign w:val="center"/>
                </w:tcPr>
                <w:p>
                  <w:pPr>
                    <w:jc w:val="center"/>
                    <w:rPr>
                      <w:color w:val="auto"/>
                      <w:szCs w:val="21"/>
                      <w:highlight w:val="none"/>
                    </w:rPr>
                  </w:pPr>
                  <w:r>
                    <w:rPr>
                      <w:color w:val="auto"/>
                      <w:szCs w:val="21"/>
                      <w:highlight w:val="none"/>
                    </w:rPr>
                    <w:t>/</w:t>
                  </w:r>
                </w:p>
              </w:tc>
              <w:tc>
                <w:tcPr>
                  <w:tcW w:w="975" w:type="pct"/>
                  <w:noWrap w:val="0"/>
                  <w:vAlign w:val="center"/>
                </w:tcPr>
                <w:p>
                  <w:pPr>
                    <w:jc w:val="center"/>
                    <w:rPr>
                      <w:rFonts w:hint="eastAsia" w:eastAsia="宋体"/>
                      <w:color w:val="auto"/>
                      <w:szCs w:val="21"/>
                      <w:highlight w:val="none"/>
                      <w:lang w:eastAsia="zh-CN"/>
                    </w:rPr>
                  </w:pPr>
                  <w:r>
                    <w:rPr>
                      <w:color w:val="auto"/>
                      <w:szCs w:val="21"/>
                      <w:highlight w:val="none"/>
                    </w:rPr>
                    <w:t>0.0</w:t>
                  </w:r>
                  <w:r>
                    <w:rPr>
                      <w:rFonts w:hint="eastAsia"/>
                      <w:color w:val="auto"/>
                      <w:szCs w:val="21"/>
                      <w:highlight w:val="none"/>
                      <w:lang w:val="en-US" w:eastAsia="zh-CN"/>
                    </w:rPr>
                    <w:t>2</w:t>
                  </w:r>
                </w:p>
              </w:tc>
              <w:tc>
                <w:tcPr>
                  <w:tcW w:w="863" w:type="pct"/>
                  <w:noWrap w:val="0"/>
                  <w:vAlign w:val="center"/>
                </w:tcPr>
                <w:p>
                  <w:pPr>
                    <w:jc w:val="center"/>
                    <w:rPr>
                      <w:rFonts w:hint="default" w:ascii="Times New Roman" w:hAnsi="Times New Roman" w:eastAsia="宋体" w:cs="Times New Roman"/>
                      <w:color w:val="auto"/>
                      <w:szCs w:val="21"/>
                      <w:highlight w:val="none"/>
                      <w:lang w:val="en-US"/>
                    </w:rPr>
                  </w:pPr>
                  <w:r>
                    <w:rPr>
                      <w:rFonts w:hint="eastAsia" w:ascii="Times New Roman" w:hAnsi="Times New Roman" w:eastAsia="宋体" w:cs="Times New Roman"/>
                      <w:color w:val="auto"/>
                      <w:szCs w:val="21"/>
                      <w:highlight w:val="none"/>
                      <w:lang w:val="en-US" w:eastAsia="zh-CN"/>
                    </w:rPr>
                    <w:t>0.000008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136" w:type="pct"/>
                  <w:gridSpan w:val="5"/>
                  <w:noWrap w:val="0"/>
                  <w:vAlign w:val="center"/>
                </w:tcPr>
                <w:p>
                  <w:pPr>
                    <w:jc w:val="center"/>
                    <w:rPr>
                      <w:color w:val="auto"/>
                      <w:szCs w:val="21"/>
                      <w:highlight w:val="none"/>
                    </w:rPr>
                  </w:pPr>
                  <w:r>
                    <w:rPr>
                      <w:color w:val="auto"/>
                      <w:szCs w:val="21"/>
                      <w:highlight w:val="none"/>
                    </w:rPr>
                    <w:object>
                      <v:shape id="_x0000_i1027" o:spt="75" type="#_x0000_t75" style="height:28.25pt;width:38.3pt;" o:ole="t" filled="f" o:preferrelative="t" stroked="f" coordsize="21600,21600">
                        <v:path/>
                        <v:fill on="f" focussize="0,0"/>
                        <v:stroke on="f"/>
                        <v:imagedata r:id="rId21" o:title=""/>
                        <o:lock v:ext="edit" aspectratio="t"/>
                        <w10:wrap type="none"/>
                        <w10:anchorlock/>
                      </v:shape>
                      <o:OLEObject Type="Embed" ProgID="Equation.3" ShapeID="_x0000_i1027" DrawAspect="Content" ObjectID="_1468075727" r:id="rId20">
                        <o:LockedField>false</o:LockedField>
                      </o:OLEObject>
                    </w:object>
                  </w:r>
                </w:p>
              </w:tc>
              <w:tc>
                <w:tcPr>
                  <w:tcW w:w="863"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0.000016</w:t>
                  </w:r>
                </w:p>
              </w:tc>
            </w:tr>
          </w:tbl>
          <w:p>
            <w:pPr>
              <w:pStyle w:val="14"/>
              <w:adjustRightInd w:val="0"/>
              <w:snapToGrid w:val="0"/>
              <w:spacing w:line="360" w:lineRule="auto"/>
              <w:ind w:firstLine="480"/>
              <w:rPr>
                <w:rFonts w:hint="eastAsia"/>
                <w:b/>
                <w:bCs/>
                <w:color w:val="0C0C0C"/>
                <w:szCs w:val="24"/>
                <w:highlight w:val="none"/>
              </w:rPr>
            </w:pPr>
            <w:r>
              <w:rPr>
                <w:rFonts w:hint="eastAsia"/>
                <w:b/>
                <w:bCs/>
                <w:color w:val="0C0C0C"/>
                <w:szCs w:val="24"/>
                <w:highlight w:val="none"/>
                <w:lang w:val="en-US" w:eastAsia="zh-CN"/>
              </w:rPr>
              <w:t>7.2</w:t>
            </w:r>
            <w:r>
              <w:rPr>
                <w:rFonts w:hint="eastAsia"/>
                <w:b/>
                <w:bCs/>
                <w:color w:val="0C0C0C"/>
                <w:szCs w:val="24"/>
                <w:highlight w:val="none"/>
              </w:rPr>
              <w:t>环境风险识别</w:t>
            </w:r>
          </w:p>
          <w:p>
            <w:pPr>
              <w:spacing w:line="360" w:lineRule="auto"/>
              <w:ind w:firstLine="480" w:firstLineChars="200"/>
              <w:rPr>
                <w:color w:val="auto"/>
                <w:sz w:val="24"/>
                <w:highlight w:val="none"/>
              </w:rPr>
            </w:pPr>
            <w:r>
              <w:rPr>
                <w:color w:val="auto"/>
                <w:sz w:val="24"/>
                <w:highlight w:val="none"/>
              </w:rPr>
              <w:t>通过对本项目所涉及的物质、生产设施、环保设施进行风险识别，得出项目可能存在的风险源及可能发生的风险事故如下表。</w:t>
            </w:r>
          </w:p>
          <w:p>
            <w:pPr>
              <w:widowControl/>
              <w:jc w:val="center"/>
              <w:rPr>
                <w:rFonts w:hint="default" w:ascii="Times New Roman" w:hAnsi="Times New Roman" w:cs="Times New Roman"/>
                <w:b/>
                <w:bCs/>
                <w:color w:val="0C0C0C"/>
                <w:kern w:val="0"/>
                <w:sz w:val="22"/>
                <w:szCs w:val="22"/>
                <w:highlight w:val="none"/>
                <w:lang w:bidi="ar"/>
              </w:rPr>
            </w:pPr>
            <w:r>
              <w:rPr>
                <w:rFonts w:hint="default" w:ascii="Times New Roman" w:hAnsi="Times New Roman" w:cs="Times New Roman"/>
                <w:b/>
                <w:bCs/>
                <w:color w:val="0C0C0C"/>
                <w:kern w:val="0"/>
                <w:sz w:val="22"/>
                <w:szCs w:val="22"/>
                <w:highlight w:val="none"/>
                <w:lang w:bidi="ar"/>
              </w:rPr>
              <w:t>表</w:t>
            </w:r>
            <w:r>
              <w:rPr>
                <w:rFonts w:hint="eastAsia" w:ascii="Times New Roman" w:hAnsi="Times New Roman" w:cs="Times New Roman"/>
                <w:b/>
                <w:bCs/>
                <w:color w:val="0C0C0C"/>
                <w:kern w:val="0"/>
                <w:sz w:val="22"/>
                <w:szCs w:val="22"/>
                <w:highlight w:val="none"/>
                <w:lang w:val="en-US" w:eastAsia="zh-CN" w:bidi="ar"/>
              </w:rPr>
              <w:t>4-20</w:t>
            </w:r>
            <w:r>
              <w:rPr>
                <w:rFonts w:hint="default" w:ascii="Times New Roman" w:hAnsi="Times New Roman" w:cs="Times New Roman"/>
                <w:b/>
                <w:bCs/>
                <w:color w:val="0C0C0C"/>
                <w:kern w:val="0"/>
                <w:sz w:val="22"/>
                <w:szCs w:val="22"/>
                <w:highlight w:val="none"/>
                <w:lang w:bidi="ar"/>
              </w:rPr>
              <w:t>项目环境风险识别一览表</w:t>
            </w:r>
          </w:p>
          <w:tbl>
            <w:tblPr>
              <w:tblStyle w:val="25"/>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87"/>
              <w:gridCol w:w="972"/>
              <w:gridCol w:w="2301"/>
              <w:gridCol w:w="1595"/>
              <w:gridCol w:w="1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405" w:type="pct"/>
                  <w:noWrap w:val="0"/>
                  <w:vAlign w:val="center"/>
                </w:tcPr>
                <w:p>
                  <w:pPr>
                    <w:jc w:val="center"/>
                    <w:rPr>
                      <w:b/>
                      <w:bCs/>
                      <w:color w:val="0C0C0C"/>
                      <w:highlight w:val="none"/>
                    </w:rPr>
                  </w:pPr>
                  <w:r>
                    <w:rPr>
                      <w:b/>
                      <w:bCs/>
                      <w:color w:val="0C0C0C"/>
                      <w:highlight w:val="none"/>
                    </w:rPr>
                    <w:t>序号</w:t>
                  </w:r>
                </w:p>
              </w:tc>
              <w:tc>
                <w:tcPr>
                  <w:tcW w:w="954" w:type="pct"/>
                  <w:noWrap w:val="0"/>
                  <w:vAlign w:val="center"/>
                </w:tcPr>
                <w:p>
                  <w:pPr>
                    <w:jc w:val="center"/>
                    <w:rPr>
                      <w:b/>
                      <w:bCs/>
                      <w:color w:val="0C0C0C"/>
                      <w:highlight w:val="none"/>
                    </w:rPr>
                  </w:pPr>
                  <w:r>
                    <w:rPr>
                      <w:b/>
                      <w:bCs/>
                      <w:color w:val="0C0C0C"/>
                      <w:highlight w:val="none"/>
                    </w:rPr>
                    <w:t>风险单元</w:t>
                  </w:r>
                </w:p>
              </w:tc>
              <w:tc>
                <w:tcPr>
                  <w:tcW w:w="549" w:type="pct"/>
                  <w:noWrap w:val="0"/>
                  <w:vAlign w:val="center"/>
                </w:tcPr>
                <w:p>
                  <w:pPr>
                    <w:jc w:val="center"/>
                    <w:rPr>
                      <w:b/>
                      <w:bCs/>
                      <w:color w:val="0C0C0C"/>
                      <w:highlight w:val="none"/>
                    </w:rPr>
                  </w:pPr>
                  <w:r>
                    <w:rPr>
                      <w:b/>
                      <w:bCs/>
                      <w:color w:val="0C0C0C"/>
                      <w:highlight w:val="none"/>
                    </w:rPr>
                    <w:t>风险源</w:t>
                  </w:r>
                </w:p>
              </w:tc>
              <w:tc>
                <w:tcPr>
                  <w:tcW w:w="1301" w:type="pct"/>
                  <w:noWrap w:val="0"/>
                  <w:vAlign w:val="center"/>
                </w:tcPr>
                <w:p>
                  <w:pPr>
                    <w:jc w:val="center"/>
                    <w:rPr>
                      <w:b/>
                      <w:bCs/>
                      <w:color w:val="0C0C0C"/>
                      <w:highlight w:val="none"/>
                    </w:rPr>
                  </w:pPr>
                  <w:r>
                    <w:rPr>
                      <w:b/>
                      <w:bCs/>
                      <w:color w:val="0C0C0C"/>
                      <w:highlight w:val="none"/>
                    </w:rPr>
                    <w:t>主要危险物质</w:t>
                  </w:r>
                </w:p>
              </w:tc>
              <w:tc>
                <w:tcPr>
                  <w:tcW w:w="902" w:type="pct"/>
                  <w:noWrap w:val="0"/>
                  <w:vAlign w:val="center"/>
                </w:tcPr>
                <w:p>
                  <w:pPr>
                    <w:jc w:val="both"/>
                    <w:rPr>
                      <w:b/>
                      <w:bCs/>
                      <w:color w:val="0C0C0C"/>
                      <w:highlight w:val="none"/>
                    </w:rPr>
                  </w:pPr>
                  <w:r>
                    <w:rPr>
                      <w:b/>
                      <w:bCs/>
                      <w:color w:val="0C0C0C"/>
                      <w:highlight w:val="none"/>
                    </w:rPr>
                    <w:t>环境风险类型</w:t>
                  </w:r>
                </w:p>
              </w:tc>
              <w:tc>
                <w:tcPr>
                  <w:tcW w:w="885" w:type="pct"/>
                  <w:noWrap w:val="0"/>
                  <w:vAlign w:val="center"/>
                </w:tcPr>
                <w:p>
                  <w:pPr>
                    <w:jc w:val="both"/>
                    <w:rPr>
                      <w:b/>
                      <w:bCs/>
                      <w:color w:val="0C0C0C"/>
                      <w:highlight w:val="none"/>
                    </w:rPr>
                  </w:pPr>
                  <w:r>
                    <w:rPr>
                      <w:b/>
                      <w:bCs/>
                      <w:color w:val="0C0C0C"/>
                      <w:highlight w:val="none"/>
                    </w:rPr>
                    <w:t>环境影响途径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405" w:type="pct"/>
                  <w:noWrap w:val="0"/>
                  <w:vAlign w:val="center"/>
                </w:tcPr>
                <w:p>
                  <w:pPr>
                    <w:jc w:val="center"/>
                    <w:rPr>
                      <w:rFonts w:hint="eastAsia" w:eastAsia="宋体"/>
                      <w:color w:val="0C0C0C"/>
                      <w:highlight w:val="none"/>
                      <w:lang w:eastAsia="zh-CN"/>
                    </w:rPr>
                  </w:pPr>
                  <w:r>
                    <w:rPr>
                      <w:rFonts w:hint="eastAsia"/>
                      <w:color w:val="0C0C0C"/>
                      <w:highlight w:val="none"/>
                      <w:lang w:val="en-US" w:eastAsia="zh-CN"/>
                    </w:rPr>
                    <w:t>1</w:t>
                  </w:r>
                </w:p>
              </w:tc>
              <w:tc>
                <w:tcPr>
                  <w:tcW w:w="954" w:type="pct"/>
                  <w:noWrap w:val="0"/>
                  <w:vAlign w:val="center"/>
                </w:tcPr>
                <w:p>
                  <w:pPr>
                    <w:jc w:val="center"/>
                    <w:rPr>
                      <w:rFonts w:hint="eastAsia" w:eastAsia="宋体"/>
                      <w:color w:val="0C0C0C"/>
                      <w:highlight w:val="none"/>
                      <w:lang w:val="en-US" w:eastAsia="zh-CN"/>
                    </w:rPr>
                  </w:pPr>
                  <w:r>
                    <w:rPr>
                      <w:rFonts w:hint="eastAsia"/>
                      <w:color w:val="0C0C0C"/>
                      <w:highlight w:val="none"/>
                      <w:lang w:val="en-US" w:eastAsia="zh-CN"/>
                    </w:rPr>
                    <w:t>原料仓库</w:t>
                  </w:r>
                </w:p>
              </w:tc>
              <w:tc>
                <w:tcPr>
                  <w:tcW w:w="549" w:type="pct"/>
                  <w:noWrap w:val="0"/>
                  <w:vAlign w:val="center"/>
                </w:tcPr>
                <w:p>
                  <w:pPr>
                    <w:jc w:val="center"/>
                    <w:rPr>
                      <w:rFonts w:hint="eastAsia" w:eastAsia="宋体"/>
                      <w:color w:val="0C0C0C"/>
                      <w:highlight w:val="none"/>
                      <w:lang w:val="en-US" w:eastAsia="zh-CN"/>
                    </w:rPr>
                  </w:pPr>
                  <w:r>
                    <w:rPr>
                      <w:rFonts w:hint="eastAsia"/>
                      <w:color w:val="0C0C0C"/>
                      <w:highlight w:val="none"/>
                      <w:lang w:val="en-US" w:eastAsia="zh-CN"/>
                    </w:rPr>
                    <w:t>储存</w:t>
                  </w:r>
                </w:p>
              </w:tc>
              <w:tc>
                <w:tcPr>
                  <w:tcW w:w="1301" w:type="pct"/>
                  <w:noWrap w:val="0"/>
                  <w:vAlign w:val="center"/>
                </w:tcPr>
                <w:p>
                  <w:pPr>
                    <w:jc w:val="center"/>
                    <w:rPr>
                      <w:rFonts w:hint="default" w:eastAsia="宋体"/>
                      <w:color w:val="0C0C0C"/>
                      <w:highlight w:val="none"/>
                      <w:lang w:val="en-US" w:eastAsia="zh-CN"/>
                    </w:rPr>
                  </w:pPr>
                  <w:r>
                    <w:rPr>
                      <w:rFonts w:hint="eastAsia" w:eastAsia="宋体"/>
                      <w:color w:val="0C0C0C"/>
                      <w:highlight w:val="none"/>
                      <w:lang w:val="en-US" w:eastAsia="zh-CN"/>
                    </w:rPr>
                    <w:t>机油等</w:t>
                  </w:r>
                </w:p>
              </w:tc>
              <w:tc>
                <w:tcPr>
                  <w:tcW w:w="902" w:type="pct"/>
                  <w:noWrap w:val="0"/>
                  <w:vAlign w:val="center"/>
                </w:tcPr>
                <w:p>
                  <w:pPr>
                    <w:jc w:val="center"/>
                    <w:rPr>
                      <w:color w:val="0C0C0C"/>
                      <w:highlight w:val="none"/>
                    </w:rPr>
                  </w:pPr>
                  <w:r>
                    <w:rPr>
                      <w:color w:val="0C0C0C"/>
                      <w:highlight w:val="none"/>
                    </w:rPr>
                    <w:t>泄漏、火灾</w:t>
                  </w:r>
                </w:p>
              </w:tc>
              <w:tc>
                <w:tcPr>
                  <w:tcW w:w="885" w:type="pct"/>
                  <w:noWrap w:val="0"/>
                  <w:vAlign w:val="center"/>
                </w:tcPr>
                <w:p>
                  <w:pPr>
                    <w:jc w:val="center"/>
                    <w:rPr>
                      <w:color w:val="0C0C0C"/>
                      <w:highlight w:val="none"/>
                    </w:rPr>
                  </w:pPr>
                  <w:r>
                    <w:rPr>
                      <w:color w:val="0C0C0C"/>
                      <w:highlight w:val="none"/>
                    </w:rPr>
                    <w:t>大气、地表水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05" w:type="pct"/>
                  <w:noWrap w:val="0"/>
                  <w:vAlign w:val="center"/>
                </w:tcPr>
                <w:p>
                  <w:pPr>
                    <w:jc w:val="center"/>
                    <w:rPr>
                      <w:rFonts w:hint="eastAsia" w:eastAsia="宋体"/>
                      <w:color w:val="0C0C0C"/>
                      <w:highlight w:val="none"/>
                      <w:lang w:eastAsia="zh-CN"/>
                    </w:rPr>
                  </w:pPr>
                  <w:r>
                    <w:rPr>
                      <w:rFonts w:hint="eastAsia"/>
                      <w:color w:val="0C0C0C"/>
                      <w:highlight w:val="none"/>
                      <w:lang w:val="en-US" w:eastAsia="zh-CN"/>
                    </w:rPr>
                    <w:t>2</w:t>
                  </w:r>
                </w:p>
              </w:tc>
              <w:tc>
                <w:tcPr>
                  <w:tcW w:w="954" w:type="pct"/>
                  <w:noWrap w:val="0"/>
                  <w:vAlign w:val="center"/>
                </w:tcPr>
                <w:p>
                  <w:pPr>
                    <w:jc w:val="center"/>
                    <w:rPr>
                      <w:color w:val="0C0C0C"/>
                      <w:kern w:val="2"/>
                      <w:sz w:val="21"/>
                      <w:szCs w:val="24"/>
                      <w:highlight w:val="none"/>
                      <w:lang w:val="en-US" w:eastAsia="zh-CN" w:bidi="ar-SA"/>
                    </w:rPr>
                  </w:pPr>
                  <w:r>
                    <w:rPr>
                      <w:rFonts w:hint="eastAsia"/>
                      <w:color w:val="0C0C0C"/>
                      <w:highlight w:val="none"/>
                    </w:rPr>
                    <w:t>危险废物暂存间</w:t>
                  </w:r>
                </w:p>
              </w:tc>
              <w:tc>
                <w:tcPr>
                  <w:tcW w:w="549" w:type="pct"/>
                  <w:noWrap w:val="0"/>
                  <w:vAlign w:val="center"/>
                </w:tcPr>
                <w:p>
                  <w:pPr>
                    <w:jc w:val="center"/>
                    <w:rPr>
                      <w:color w:val="0C0C0C"/>
                      <w:kern w:val="2"/>
                      <w:sz w:val="21"/>
                      <w:szCs w:val="24"/>
                      <w:highlight w:val="none"/>
                      <w:lang w:val="en-US" w:eastAsia="zh-CN" w:bidi="ar-SA"/>
                    </w:rPr>
                  </w:pPr>
                  <w:r>
                    <w:rPr>
                      <w:color w:val="0C0C0C"/>
                      <w:highlight w:val="none"/>
                    </w:rPr>
                    <w:t>储存</w:t>
                  </w:r>
                </w:p>
              </w:tc>
              <w:tc>
                <w:tcPr>
                  <w:tcW w:w="1301" w:type="pct"/>
                  <w:noWrap w:val="0"/>
                  <w:vAlign w:val="center"/>
                </w:tcPr>
                <w:p>
                  <w:pPr>
                    <w:jc w:val="center"/>
                    <w:rPr>
                      <w:rFonts w:hint="eastAsia" w:eastAsia="宋体"/>
                      <w:color w:val="0C0C0C"/>
                      <w:kern w:val="2"/>
                      <w:sz w:val="21"/>
                      <w:szCs w:val="24"/>
                      <w:highlight w:val="none"/>
                      <w:lang w:val="en-US" w:eastAsia="zh-CN" w:bidi="ar-SA"/>
                    </w:rPr>
                  </w:pPr>
                  <w:r>
                    <w:rPr>
                      <w:rFonts w:hint="eastAsia"/>
                      <w:color w:val="0C0C0C"/>
                      <w:highlight w:val="none"/>
                      <w:lang w:eastAsia="zh-CN"/>
                    </w:rPr>
                    <w:t>机油、废活性炭等</w:t>
                  </w:r>
                </w:p>
              </w:tc>
              <w:tc>
                <w:tcPr>
                  <w:tcW w:w="902" w:type="pct"/>
                  <w:noWrap w:val="0"/>
                  <w:vAlign w:val="center"/>
                </w:tcPr>
                <w:p>
                  <w:pPr>
                    <w:jc w:val="center"/>
                    <w:rPr>
                      <w:color w:val="0C0C0C"/>
                      <w:kern w:val="2"/>
                      <w:sz w:val="21"/>
                      <w:szCs w:val="24"/>
                      <w:highlight w:val="none"/>
                      <w:lang w:val="en-US" w:eastAsia="zh-CN" w:bidi="ar-SA"/>
                    </w:rPr>
                  </w:pPr>
                  <w:r>
                    <w:rPr>
                      <w:color w:val="0C0C0C"/>
                      <w:highlight w:val="none"/>
                    </w:rPr>
                    <w:t>泄漏、火灾</w:t>
                  </w:r>
                </w:p>
              </w:tc>
              <w:tc>
                <w:tcPr>
                  <w:tcW w:w="885" w:type="pct"/>
                  <w:noWrap w:val="0"/>
                  <w:vAlign w:val="center"/>
                </w:tcPr>
                <w:p>
                  <w:pPr>
                    <w:jc w:val="center"/>
                    <w:rPr>
                      <w:color w:val="0C0C0C"/>
                      <w:kern w:val="2"/>
                      <w:sz w:val="21"/>
                      <w:szCs w:val="24"/>
                      <w:highlight w:val="none"/>
                      <w:lang w:val="en-US" w:eastAsia="zh-CN" w:bidi="ar-SA"/>
                    </w:rPr>
                  </w:pPr>
                  <w:r>
                    <w:rPr>
                      <w:color w:val="0C0C0C"/>
                      <w:highlight w:val="none"/>
                    </w:rPr>
                    <w:t>大气、地表水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405" w:type="pct"/>
                  <w:noWrap w:val="0"/>
                  <w:vAlign w:val="center"/>
                </w:tcPr>
                <w:p>
                  <w:pPr>
                    <w:jc w:val="center"/>
                    <w:rPr>
                      <w:rFonts w:hint="default"/>
                      <w:color w:val="0C0C0C"/>
                      <w:highlight w:val="none"/>
                      <w:lang w:val="en-US" w:eastAsia="zh-CN"/>
                    </w:rPr>
                  </w:pPr>
                  <w:r>
                    <w:rPr>
                      <w:rFonts w:hint="eastAsia"/>
                      <w:color w:val="0C0C0C"/>
                      <w:highlight w:val="none"/>
                      <w:lang w:val="en-US" w:eastAsia="zh-CN"/>
                    </w:rPr>
                    <w:t>3</w:t>
                  </w:r>
                </w:p>
              </w:tc>
              <w:tc>
                <w:tcPr>
                  <w:tcW w:w="954" w:type="pct"/>
                  <w:noWrap w:val="0"/>
                  <w:vAlign w:val="center"/>
                </w:tcPr>
                <w:p>
                  <w:pPr>
                    <w:jc w:val="center"/>
                    <w:rPr>
                      <w:color w:val="0C0C0C"/>
                      <w:kern w:val="2"/>
                      <w:sz w:val="21"/>
                      <w:szCs w:val="24"/>
                      <w:highlight w:val="none"/>
                      <w:lang w:val="en-US" w:eastAsia="zh-CN" w:bidi="ar-SA"/>
                    </w:rPr>
                  </w:pPr>
                  <w:r>
                    <w:rPr>
                      <w:color w:val="0C0C0C"/>
                      <w:highlight w:val="none"/>
                    </w:rPr>
                    <w:t>废气处理设施</w:t>
                  </w:r>
                </w:p>
              </w:tc>
              <w:tc>
                <w:tcPr>
                  <w:tcW w:w="549" w:type="pct"/>
                  <w:noWrap w:val="0"/>
                  <w:vAlign w:val="center"/>
                </w:tcPr>
                <w:p>
                  <w:pPr>
                    <w:jc w:val="center"/>
                    <w:rPr>
                      <w:color w:val="0C0C0C"/>
                      <w:kern w:val="2"/>
                      <w:sz w:val="21"/>
                      <w:szCs w:val="24"/>
                      <w:highlight w:val="none"/>
                      <w:lang w:val="en-US" w:eastAsia="zh-CN" w:bidi="ar-SA"/>
                    </w:rPr>
                  </w:pPr>
                  <w:r>
                    <w:rPr>
                      <w:color w:val="0C0C0C"/>
                      <w:highlight w:val="none"/>
                    </w:rPr>
                    <w:t>排气筒</w:t>
                  </w:r>
                </w:p>
              </w:tc>
              <w:tc>
                <w:tcPr>
                  <w:tcW w:w="1301" w:type="pct"/>
                  <w:noWrap w:val="0"/>
                  <w:vAlign w:val="center"/>
                </w:tcPr>
                <w:p>
                  <w:pPr>
                    <w:jc w:val="center"/>
                    <w:rPr>
                      <w:rFonts w:hint="default"/>
                      <w:color w:val="0C0C0C"/>
                      <w:kern w:val="2"/>
                      <w:sz w:val="21"/>
                      <w:szCs w:val="24"/>
                      <w:highlight w:val="none"/>
                      <w:lang w:val="en-US" w:eastAsia="zh-CN" w:bidi="ar-SA"/>
                    </w:rPr>
                  </w:pPr>
                  <w:r>
                    <w:rPr>
                      <w:rFonts w:hint="eastAsia"/>
                      <w:color w:val="0C0C0C"/>
                      <w:kern w:val="2"/>
                      <w:sz w:val="21"/>
                      <w:szCs w:val="24"/>
                      <w:highlight w:val="none"/>
                      <w:lang w:val="en-US" w:eastAsia="zh-CN" w:bidi="ar-SA"/>
                    </w:rPr>
                    <w:t>非甲烷总烃</w:t>
                  </w:r>
                </w:p>
              </w:tc>
              <w:tc>
                <w:tcPr>
                  <w:tcW w:w="902" w:type="pct"/>
                  <w:noWrap w:val="0"/>
                  <w:vAlign w:val="center"/>
                </w:tcPr>
                <w:p>
                  <w:pPr>
                    <w:jc w:val="center"/>
                    <w:rPr>
                      <w:color w:val="0C0C0C"/>
                      <w:kern w:val="2"/>
                      <w:sz w:val="21"/>
                      <w:szCs w:val="24"/>
                      <w:highlight w:val="none"/>
                      <w:lang w:val="en-US" w:eastAsia="zh-CN" w:bidi="ar-SA"/>
                    </w:rPr>
                  </w:pPr>
                  <w:r>
                    <w:rPr>
                      <w:color w:val="0C0C0C"/>
                      <w:highlight w:val="none"/>
                    </w:rPr>
                    <w:t>事故排放</w:t>
                  </w:r>
                </w:p>
              </w:tc>
              <w:tc>
                <w:tcPr>
                  <w:tcW w:w="885" w:type="pct"/>
                  <w:noWrap w:val="0"/>
                  <w:vAlign w:val="center"/>
                </w:tcPr>
                <w:p>
                  <w:pPr>
                    <w:jc w:val="center"/>
                    <w:rPr>
                      <w:color w:val="0C0C0C"/>
                      <w:kern w:val="2"/>
                      <w:sz w:val="21"/>
                      <w:szCs w:val="24"/>
                      <w:highlight w:val="none"/>
                      <w:lang w:val="en-US" w:eastAsia="zh-CN" w:bidi="ar-SA"/>
                    </w:rPr>
                  </w:pPr>
                  <w:r>
                    <w:rPr>
                      <w:color w:val="0C0C0C"/>
                      <w:highlight w:val="none"/>
                    </w:rPr>
                    <w:t>大气</w:t>
                  </w:r>
                </w:p>
              </w:tc>
            </w:tr>
          </w:tbl>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7.2环境影响途径及危害后果：</w:t>
            </w:r>
          </w:p>
          <w:p>
            <w:pPr>
              <w:adjustRightInd w:val="0"/>
              <w:snapToGrid w:val="0"/>
              <w:spacing w:line="360" w:lineRule="auto"/>
              <w:ind w:firstLine="480" w:firstLineChars="200"/>
              <w:rPr>
                <w:rFonts w:hint="eastAsia"/>
                <w:bCs/>
                <w:color w:val="0C0C0C"/>
                <w:sz w:val="24"/>
                <w:highlight w:val="none"/>
              </w:rPr>
            </w:pPr>
            <w:r>
              <w:rPr>
                <w:rFonts w:hint="eastAsia"/>
                <w:bCs/>
                <w:color w:val="0C0C0C"/>
                <w:sz w:val="24"/>
                <w:highlight w:val="none"/>
              </w:rPr>
              <w:t>大气：遇到明火或高热引起的火灾。</w:t>
            </w:r>
          </w:p>
          <w:p>
            <w:pPr>
              <w:adjustRightInd w:val="0"/>
              <w:snapToGrid w:val="0"/>
              <w:spacing w:line="360" w:lineRule="auto"/>
              <w:ind w:firstLine="480" w:firstLineChars="200"/>
              <w:rPr>
                <w:color w:val="0C0C0C"/>
                <w:sz w:val="24"/>
                <w:highlight w:val="none"/>
              </w:rPr>
            </w:pPr>
            <w:r>
              <w:rPr>
                <w:rFonts w:hint="eastAsia"/>
                <w:bCs/>
                <w:color w:val="0C0C0C"/>
                <w:sz w:val="24"/>
                <w:highlight w:val="none"/>
              </w:rPr>
              <w:t>地表水：消防废水。</w:t>
            </w:r>
          </w:p>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7.3风险源安全防范措施：</w:t>
            </w:r>
          </w:p>
          <w:p>
            <w:pPr>
              <w:adjustRightInd w:val="0"/>
              <w:snapToGrid w:val="0"/>
              <w:spacing w:line="360" w:lineRule="auto"/>
              <w:ind w:firstLine="480" w:firstLineChars="200"/>
              <w:rPr>
                <w:rFonts w:hint="eastAsia"/>
                <w:b/>
                <w:color w:val="0C0C0C"/>
                <w:sz w:val="24"/>
                <w:highlight w:val="none"/>
              </w:rPr>
            </w:pPr>
            <w:r>
              <w:rPr>
                <w:rFonts w:hint="eastAsia"/>
                <w:bCs/>
                <w:color w:val="0C0C0C"/>
                <w:sz w:val="24"/>
                <w:highlight w:val="none"/>
              </w:rPr>
              <w:t>（1）对危险物品的储存量、储存周期要根据生产进度安排，避免过量存储，收集的危险废物要及时委托资质单位处理，以便降低事故发生的概率；（2）储存区备有泡沫灭火器，大量泄漏采用泡沫覆盖，降低灾害围堰收集物料通过管道输送至消防废水池。（3）防止机械（撞击、摩擦）着火源，控制高温物体着火源、电气着火源；建立报警系统；（4）避免静电引起事故，设备良好接地；装罐输送中防静电限制流速，禁止高速输送。</w:t>
            </w:r>
          </w:p>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7.4水环境风险防范措施：</w:t>
            </w:r>
          </w:p>
          <w:p>
            <w:pPr>
              <w:adjustRightInd w:val="0"/>
              <w:snapToGrid w:val="0"/>
              <w:spacing w:line="360" w:lineRule="auto"/>
              <w:ind w:firstLine="480" w:firstLineChars="200"/>
              <w:rPr>
                <w:rFonts w:hint="eastAsia"/>
                <w:bCs/>
                <w:color w:val="0C0C0C"/>
                <w:sz w:val="24"/>
                <w:highlight w:val="none"/>
              </w:rPr>
            </w:pPr>
            <w:r>
              <w:rPr>
                <w:color w:val="0C0C0C"/>
                <w:sz w:val="24"/>
                <w:highlight w:val="none"/>
              </w:rPr>
              <w:t>危险废物暂存</w:t>
            </w:r>
            <w:r>
              <w:rPr>
                <w:rFonts w:hint="eastAsia"/>
                <w:color w:val="0C0C0C"/>
                <w:sz w:val="24"/>
                <w:highlight w:val="none"/>
              </w:rPr>
              <w:t>间</w:t>
            </w:r>
            <w:r>
              <w:rPr>
                <w:color w:val="0C0C0C"/>
                <w:sz w:val="24"/>
                <w:highlight w:val="none"/>
              </w:rPr>
              <w:t>设置防渗地坪</w:t>
            </w:r>
            <w:r>
              <w:rPr>
                <w:rFonts w:hint="eastAsia"/>
                <w:color w:val="0C0C0C"/>
                <w:sz w:val="24"/>
                <w:highlight w:val="none"/>
              </w:rPr>
              <w:t>，该防渗地坪的具体技术要求为“等效黏土防渗层</w:t>
            </w:r>
            <w:r>
              <w:rPr>
                <w:bCs/>
                <w:color w:val="0C0C0C"/>
                <w:spacing w:val="20"/>
                <w:sz w:val="24"/>
                <w:highlight w:val="none"/>
              </w:rPr>
              <w:t>Mb≥</w:t>
            </w:r>
            <w:r>
              <w:rPr>
                <w:rFonts w:hint="eastAsia"/>
                <w:bCs/>
                <w:color w:val="0C0C0C"/>
                <w:spacing w:val="20"/>
                <w:sz w:val="24"/>
                <w:highlight w:val="none"/>
              </w:rPr>
              <w:t>6.0</w:t>
            </w:r>
            <w:r>
              <w:rPr>
                <w:bCs/>
                <w:color w:val="0C0C0C"/>
                <w:spacing w:val="20"/>
                <w:sz w:val="24"/>
                <w:highlight w:val="none"/>
              </w:rPr>
              <w:t>m，</w:t>
            </w:r>
            <w:r>
              <w:rPr>
                <w:bCs/>
                <w:color w:val="0C0C0C"/>
                <w:sz w:val="24"/>
                <w:highlight w:val="none"/>
              </w:rPr>
              <w:t xml:space="preserve">渗透系数≤10 </w:t>
            </w:r>
            <w:r>
              <w:rPr>
                <w:bCs/>
                <w:color w:val="0C0C0C"/>
                <w:sz w:val="24"/>
                <w:highlight w:val="none"/>
                <w:vertAlign w:val="superscript"/>
              </w:rPr>
              <w:t xml:space="preserve">-7 </w:t>
            </w:r>
            <w:r>
              <w:rPr>
                <w:bCs/>
                <w:color w:val="0C0C0C"/>
                <w:sz w:val="24"/>
                <w:highlight w:val="none"/>
              </w:rPr>
              <w:t>cm/s</w:t>
            </w:r>
            <w:r>
              <w:rPr>
                <w:rFonts w:hint="eastAsia"/>
                <w:color w:val="0C0C0C"/>
                <w:sz w:val="24"/>
                <w:highlight w:val="none"/>
              </w:rPr>
              <w:t>”。</w:t>
            </w:r>
            <w:r>
              <w:rPr>
                <w:color w:val="0C0C0C"/>
                <w:sz w:val="24"/>
                <w:highlight w:val="none"/>
              </w:rPr>
              <w:t>一般固废暂存间必须防雨、防晒、防风，设置防渗地坪</w:t>
            </w:r>
            <w:r>
              <w:rPr>
                <w:rFonts w:hint="eastAsia"/>
                <w:color w:val="0C0C0C"/>
                <w:sz w:val="24"/>
                <w:highlight w:val="none"/>
              </w:rPr>
              <w:t>，该防渗地坪的具体技术要求为“等效黏土防渗层</w:t>
            </w:r>
            <w:r>
              <w:rPr>
                <w:bCs/>
                <w:color w:val="0C0C0C"/>
                <w:spacing w:val="20"/>
                <w:sz w:val="24"/>
                <w:highlight w:val="none"/>
              </w:rPr>
              <w:t>Mb≥1.5m，</w:t>
            </w:r>
            <w:r>
              <w:rPr>
                <w:bCs/>
                <w:color w:val="0C0C0C"/>
                <w:sz w:val="24"/>
                <w:highlight w:val="none"/>
              </w:rPr>
              <w:t xml:space="preserve">渗透系数≤10 </w:t>
            </w:r>
            <w:r>
              <w:rPr>
                <w:bCs/>
                <w:color w:val="0C0C0C"/>
                <w:sz w:val="24"/>
                <w:highlight w:val="none"/>
                <w:vertAlign w:val="superscript"/>
              </w:rPr>
              <w:t xml:space="preserve">-7 </w:t>
            </w:r>
            <w:r>
              <w:rPr>
                <w:bCs/>
                <w:color w:val="0C0C0C"/>
                <w:sz w:val="24"/>
                <w:highlight w:val="none"/>
              </w:rPr>
              <w:t>cm/s</w:t>
            </w:r>
            <w:r>
              <w:rPr>
                <w:rFonts w:hint="eastAsia"/>
                <w:color w:val="0C0C0C"/>
                <w:sz w:val="24"/>
                <w:highlight w:val="none"/>
              </w:rPr>
              <w:t>”</w:t>
            </w:r>
            <w:r>
              <w:rPr>
                <w:color w:val="0C0C0C"/>
                <w:sz w:val="24"/>
                <w:highlight w:val="none"/>
              </w:rPr>
              <w:t>。生产车间</w:t>
            </w:r>
            <w:r>
              <w:rPr>
                <w:rFonts w:hint="eastAsia"/>
                <w:color w:val="0C0C0C"/>
                <w:sz w:val="24"/>
                <w:highlight w:val="none"/>
              </w:rPr>
              <w:t>、仓库</w:t>
            </w:r>
            <w:r>
              <w:rPr>
                <w:color w:val="0C0C0C"/>
                <w:sz w:val="24"/>
                <w:highlight w:val="none"/>
              </w:rPr>
              <w:t>的地面采取粘土铺底，再在上层铺设10-15cm的水泥进行硬化</w:t>
            </w:r>
            <w:r>
              <w:rPr>
                <w:rFonts w:hint="eastAsia"/>
                <w:color w:val="0C0C0C"/>
                <w:sz w:val="24"/>
                <w:highlight w:val="none"/>
              </w:rPr>
              <w:t>。</w:t>
            </w:r>
          </w:p>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7.5大气环境风险防范措施：</w:t>
            </w:r>
          </w:p>
          <w:p>
            <w:pPr>
              <w:adjustRightInd w:val="0"/>
              <w:snapToGrid w:val="0"/>
              <w:spacing w:line="360" w:lineRule="auto"/>
              <w:ind w:firstLine="480" w:firstLineChars="200"/>
              <w:rPr>
                <w:rFonts w:hint="eastAsia"/>
                <w:bCs/>
                <w:color w:val="0C0C0C"/>
                <w:sz w:val="24"/>
                <w:highlight w:val="none"/>
              </w:rPr>
            </w:pPr>
            <w:r>
              <w:rPr>
                <w:rFonts w:hint="eastAsia"/>
                <w:bCs/>
                <w:color w:val="0C0C0C"/>
                <w:sz w:val="24"/>
                <w:highlight w:val="none"/>
              </w:rPr>
              <w:t>（1）定期对废气处理设施进行检测和维修，以降低因设备故障造成的事故排放。</w:t>
            </w:r>
          </w:p>
          <w:p>
            <w:pPr>
              <w:adjustRightInd w:val="0"/>
              <w:snapToGrid w:val="0"/>
              <w:spacing w:line="360" w:lineRule="auto"/>
              <w:ind w:firstLine="480" w:firstLineChars="200"/>
              <w:rPr>
                <w:rFonts w:hint="eastAsia"/>
                <w:bCs/>
                <w:color w:val="0C0C0C"/>
                <w:sz w:val="24"/>
                <w:highlight w:val="none"/>
              </w:rPr>
            </w:pPr>
            <w:r>
              <w:rPr>
                <w:rFonts w:hint="eastAsia"/>
                <w:bCs/>
                <w:color w:val="0C0C0C"/>
                <w:sz w:val="24"/>
                <w:highlight w:val="none"/>
              </w:rPr>
              <w:t>（2）建立各废气处理设施操作规范及安全操作指引，并由应急指挥部定期组织培训及操作考核。</w:t>
            </w:r>
          </w:p>
          <w:p>
            <w:pPr>
              <w:adjustRightInd w:val="0"/>
              <w:snapToGrid w:val="0"/>
              <w:spacing w:line="360" w:lineRule="auto"/>
              <w:ind w:firstLine="480" w:firstLineChars="200"/>
              <w:rPr>
                <w:rFonts w:hint="eastAsia"/>
                <w:bCs/>
                <w:color w:val="0C0C0C"/>
                <w:sz w:val="24"/>
                <w:highlight w:val="none"/>
              </w:rPr>
            </w:pPr>
            <w:r>
              <w:rPr>
                <w:rFonts w:hint="eastAsia"/>
                <w:bCs/>
                <w:color w:val="0C0C0C"/>
                <w:sz w:val="24"/>
                <w:highlight w:val="none"/>
              </w:rPr>
              <w:t>（3）在发生泄露事故时，应及时组织人群转移，以减少对人群的伤害。</w:t>
            </w:r>
          </w:p>
          <w:p>
            <w:pPr>
              <w:adjustRightInd w:val="0"/>
              <w:snapToGrid w:val="0"/>
              <w:spacing w:line="360" w:lineRule="auto"/>
              <w:ind w:firstLine="482" w:firstLineChars="200"/>
              <w:rPr>
                <w:rFonts w:hint="eastAsia"/>
                <w:b/>
                <w:color w:val="0C0C0C"/>
                <w:sz w:val="24"/>
                <w:highlight w:val="none"/>
              </w:rPr>
            </w:pPr>
            <w:r>
              <w:rPr>
                <w:rFonts w:hint="eastAsia"/>
                <w:b/>
                <w:color w:val="0C0C0C"/>
                <w:sz w:val="24"/>
                <w:highlight w:val="none"/>
              </w:rPr>
              <w:t>7.6事故预防管理措施：</w:t>
            </w:r>
          </w:p>
          <w:p>
            <w:pPr>
              <w:adjustRightInd w:val="0"/>
              <w:snapToGrid w:val="0"/>
              <w:spacing w:line="360" w:lineRule="auto"/>
              <w:ind w:firstLine="480" w:firstLineChars="200"/>
              <w:rPr>
                <w:rFonts w:hint="eastAsia" w:cs="宋体"/>
                <w:bCs/>
                <w:color w:val="0C0C0C"/>
                <w:spacing w:val="-10"/>
                <w:sz w:val="24"/>
                <w:szCs w:val="21"/>
                <w:highlight w:val="none"/>
              </w:rPr>
            </w:pPr>
            <w:r>
              <w:rPr>
                <w:rFonts w:hint="eastAsia"/>
                <w:bCs/>
                <w:color w:val="0C0C0C"/>
                <w:sz w:val="24"/>
                <w:highlight w:val="none"/>
              </w:rPr>
              <w:t>企业</w:t>
            </w:r>
            <w:r>
              <w:rPr>
                <w:rFonts w:hint="eastAsia"/>
                <w:bCs/>
                <w:color w:val="0C0C0C"/>
                <w:sz w:val="24"/>
                <w:highlight w:val="none"/>
                <w:lang w:eastAsia="zh-CN"/>
              </w:rPr>
              <w:t>需</w:t>
            </w:r>
            <w:r>
              <w:rPr>
                <w:rFonts w:hint="eastAsia"/>
                <w:bCs/>
                <w:color w:val="0C0C0C"/>
                <w:sz w:val="24"/>
                <w:highlight w:val="none"/>
              </w:rPr>
              <w:t>编制突发环境应急预案，并按照预案内容配备相关应急物质并做好相关的演练工作。</w:t>
            </w:r>
          </w:p>
        </w:tc>
      </w:tr>
    </w:tbl>
    <w:p>
      <w:pPr>
        <w:pStyle w:val="23"/>
        <w:adjustRightInd w:val="0"/>
        <w:snapToGrid w:val="0"/>
        <w:spacing w:before="0" w:beforeAutospacing="0" w:after="0" w:afterAutospacing="0"/>
        <w:jc w:val="center"/>
        <w:outlineLvl w:val="0"/>
        <w:rPr>
          <w:rFonts w:hint="default" w:ascii="Times New Roman" w:hAnsi="Times New Roman" w:eastAsia="黑体" w:cs="Times New Roman"/>
          <w:snapToGrid w:val="0"/>
          <w:color w:val="auto"/>
          <w:sz w:val="30"/>
          <w:szCs w:val="30"/>
          <w:highlight w:val="none"/>
        </w:rPr>
        <w:sectPr>
          <w:footerReference r:id="rId3" w:type="default"/>
          <w:pgSz w:w="11906" w:h="16838"/>
          <w:pgMar w:top="1701" w:right="1531" w:bottom="1701" w:left="1531" w:header="851" w:footer="851" w:gutter="0"/>
          <w:pgNumType w:fmt="decimal"/>
          <w:cols w:space="720" w:num="1"/>
          <w:docGrid w:linePitch="312" w:charSpace="0"/>
        </w:sectPr>
      </w:pPr>
    </w:p>
    <w:p>
      <w:pPr>
        <w:pStyle w:val="23"/>
        <w:adjustRightInd w:val="0"/>
        <w:snapToGrid w:val="0"/>
        <w:spacing w:before="0" w:beforeAutospacing="0" w:after="0" w:afterAutospacing="0"/>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五、</w:t>
      </w:r>
      <w:bookmarkStart w:id="31" w:name="_Hlk54167917"/>
      <w:r>
        <w:rPr>
          <w:rFonts w:hint="default" w:ascii="Times New Roman" w:hAnsi="Times New Roman" w:eastAsia="宋体" w:cs="Times New Roman"/>
          <w:b/>
          <w:bCs/>
          <w:snapToGrid w:val="0"/>
          <w:color w:val="auto"/>
          <w:sz w:val="30"/>
          <w:szCs w:val="30"/>
          <w:highlight w:val="none"/>
        </w:rPr>
        <w:t>环境保护措施监督检查清单</w:t>
      </w:r>
      <w:bookmarkEnd w:id="31"/>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495"/>
        <w:gridCol w:w="1515"/>
        <w:gridCol w:w="934"/>
        <w:gridCol w:w="1331"/>
        <w:gridCol w:w="24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060" w:type="dxa"/>
            <w:tcBorders>
              <w:tl2br w:val="single" w:color="auto" w:sz="4" w:space="0"/>
            </w:tcBorders>
            <w:noWrap w:val="0"/>
            <w:vAlign w:val="top"/>
          </w:tcPr>
          <w:p>
            <w:pPr>
              <w:adjustRightInd w:val="0"/>
              <w:snapToGrid w:val="0"/>
              <w:ind w:firstLine="422" w:firstLineChars="200"/>
              <w:rPr>
                <w:rFonts w:hint="eastAsia" w:ascii="宋体" w:hAnsi="宋体" w:cs="宋体"/>
                <w:b/>
                <w:bCs/>
                <w:color w:val="0C0C0C"/>
                <w:szCs w:val="21"/>
                <w:highlight w:val="none"/>
              </w:rPr>
            </w:pPr>
            <w:r>
              <w:rPr>
                <w:rFonts w:hint="eastAsia" w:ascii="宋体" w:hAnsi="宋体" w:cs="宋体"/>
                <w:b/>
                <w:bCs/>
                <w:color w:val="0C0C0C"/>
                <w:szCs w:val="21"/>
                <w:highlight w:val="none"/>
              </w:rPr>
              <w:t>内容</w:t>
            </w:r>
          </w:p>
          <w:p>
            <w:pPr>
              <w:adjustRightInd w:val="0"/>
              <w:snapToGrid w:val="0"/>
              <w:rPr>
                <w:rFonts w:hint="eastAsia" w:ascii="宋体" w:hAnsi="宋体" w:cs="宋体"/>
                <w:b/>
                <w:bCs/>
                <w:color w:val="0C0C0C"/>
                <w:szCs w:val="21"/>
                <w:highlight w:val="none"/>
              </w:rPr>
            </w:pPr>
            <w:r>
              <w:rPr>
                <w:rFonts w:hint="eastAsia" w:ascii="宋体" w:hAnsi="宋体" w:cs="宋体"/>
                <w:b/>
                <w:bCs/>
                <w:color w:val="0C0C0C"/>
                <w:szCs w:val="21"/>
                <w:highlight w:val="none"/>
              </w:rPr>
              <w:t>要素</w:t>
            </w:r>
          </w:p>
        </w:tc>
        <w:tc>
          <w:tcPr>
            <w:tcW w:w="1495" w:type="dxa"/>
            <w:noWrap w:val="0"/>
            <w:vAlign w:val="center"/>
          </w:tcPr>
          <w:p>
            <w:pPr>
              <w:adjustRightInd w:val="0"/>
              <w:snapToGrid w:val="0"/>
              <w:jc w:val="center"/>
              <w:rPr>
                <w:rFonts w:hint="eastAsia" w:ascii="宋体" w:hAnsi="宋体" w:cs="宋体"/>
                <w:b/>
                <w:bCs/>
                <w:color w:val="0C0C0C"/>
                <w:szCs w:val="21"/>
                <w:highlight w:val="none"/>
              </w:rPr>
            </w:pPr>
            <w:r>
              <w:rPr>
                <w:rFonts w:hint="eastAsia" w:ascii="宋体" w:hAnsi="宋体" w:cs="宋体"/>
                <w:b/>
                <w:bCs/>
                <w:color w:val="0C0C0C"/>
                <w:szCs w:val="21"/>
                <w:highlight w:val="none"/>
              </w:rPr>
              <w:t>排放口(编号、</w:t>
            </w:r>
          </w:p>
          <w:p>
            <w:pPr>
              <w:adjustRightInd w:val="0"/>
              <w:snapToGrid w:val="0"/>
              <w:jc w:val="center"/>
              <w:rPr>
                <w:rFonts w:hint="eastAsia" w:ascii="宋体" w:hAnsi="宋体" w:cs="宋体"/>
                <w:b/>
                <w:bCs/>
                <w:color w:val="0C0C0C"/>
                <w:szCs w:val="21"/>
                <w:highlight w:val="none"/>
              </w:rPr>
            </w:pPr>
            <w:r>
              <w:rPr>
                <w:rFonts w:hint="eastAsia" w:ascii="宋体" w:hAnsi="宋体" w:cs="宋体"/>
                <w:b/>
                <w:bCs/>
                <w:color w:val="0C0C0C"/>
                <w:szCs w:val="21"/>
                <w:highlight w:val="none"/>
              </w:rPr>
              <w:t>名称)/污染源</w:t>
            </w:r>
          </w:p>
        </w:tc>
        <w:tc>
          <w:tcPr>
            <w:tcW w:w="1515" w:type="dxa"/>
            <w:noWrap w:val="0"/>
            <w:vAlign w:val="center"/>
          </w:tcPr>
          <w:p>
            <w:pPr>
              <w:adjustRightInd w:val="0"/>
              <w:snapToGrid w:val="0"/>
              <w:jc w:val="center"/>
              <w:rPr>
                <w:rFonts w:hint="eastAsia" w:ascii="宋体" w:hAnsi="宋体" w:cs="宋体"/>
                <w:b/>
                <w:bCs/>
                <w:color w:val="0C0C0C"/>
                <w:szCs w:val="21"/>
                <w:highlight w:val="none"/>
              </w:rPr>
            </w:pPr>
            <w:r>
              <w:rPr>
                <w:rFonts w:hint="eastAsia" w:ascii="宋体" w:hAnsi="宋体" w:cs="宋体"/>
                <w:b/>
                <w:bCs/>
                <w:color w:val="0C0C0C"/>
                <w:szCs w:val="21"/>
                <w:highlight w:val="none"/>
              </w:rPr>
              <w:t>污染物</w:t>
            </w:r>
          </w:p>
          <w:p>
            <w:pPr>
              <w:adjustRightInd w:val="0"/>
              <w:snapToGrid w:val="0"/>
              <w:jc w:val="center"/>
              <w:rPr>
                <w:rFonts w:hint="eastAsia" w:ascii="宋体" w:hAnsi="宋体" w:cs="宋体"/>
                <w:b/>
                <w:bCs/>
                <w:color w:val="0C0C0C"/>
                <w:szCs w:val="21"/>
                <w:highlight w:val="none"/>
              </w:rPr>
            </w:pPr>
            <w:r>
              <w:rPr>
                <w:rFonts w:hint="eastAsia" w:ascii="宋体" w:hAnsi="宋体" w:cs="宋体"/>
                <w:b/>
                <w:bCs/>
                <w:color w:val="0C0C0C"/>
                <w:szCs w:val="21"/>
                <w:highlight w:val="none"/>
              </w:rPr>
              <w:t>项目</w:t>
            </w:r>
          </w:p>
        </w:tc>
        <w:tc>
          <w:tcPr>
            <w:tcW w:w="2265" w:type="dxa"/>
            <w:gridSpan w:val="2"/>
            <w:noWrap w:val="0"/>
            <w:vAlign w:val="center"/>
          </w:tcPr>
          <w:p>
            <w:pPr>
              <w:adjustRightInd w:val="0"/>
              <w:snapToGrid w:val="0"/>
              <w:jc w:val="center"/>
              <w:rPr>
                <w:rFonts w:hint="eastAsia" w:ascii="宋体" w:hAnsi="宋体" w:cs="宋体"/>
                <w:b/>
                <w:bCs/>
                <w:color w:val="0C0C0C"/>
                <w:szCs w:val="21"/>
                <w:highlight w:val="none"/>
              </w:rPr>
            </w:pPr>
            <w:r>
              <w:rPr>
                <w:rFonts w:hint="eastAsia" w:ascii="宋体" w:hAnsi="宋体" w:cs="宋体"/>
                <w:b/>
                <w:bCs/>
                <w:color w:val="0C0C0C"/>
                <w:szCs w:val="21"/>
                <w:highlight w:val="none"/>
              </w:rPr>
              <w:t>环境保护措施</w:t>
            </w:r>
          </w:p>
        </w:tc>
        <w:tc>
          <w:tcPr>
            <w:tcW w:w="2465" w:type="dxa"/>
            <w:noWrap w:val="0"/>
            <w:vAlign w:val="center"/>
          </w:tcPr>
          <w:p>
            <w:pPr>
              <w:adjustRightInd w:val="0"/>
              <w:snapToGrid w:val="0"/>
              <w:jc w:val="center"/>
              <w:rPr>
                <w:rFonts w:hint="eastAsia" w:ascii="宋体" w:hAnsi="宋体" w:cs="宋体"/>
                <w:b/>
                <w:bCs/>
                <w:color w:val="0C0C0C"/>
                <w:szCs w:val="21"/>
                <w:highlight w:val="none"/>
              </w:rPr>
            </w:pPr>
            <w:r>
              <w:rPr>
                <w:rFonts w:hint="eastAsia" w:ascii="宋体" w:hAnsi="宋体" w:cs="宋体"/>
                <w:b/>
                <w:bCs/>
                <w:color w:val="0C0C0C"/>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9" w:hRule="atLeast"/>
          <w:jc w:val="center"/>
        </w:trPr>
        <w:tc>
          <w:tcPr>
            <w:tcW w:w="1060" w:type="dxa"/>
            <w:vMerge w:val="restart"/>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大气环境</w:t>
            </w:r>
          </w:p>
        </w:tc>
        <w:tc>
          <w:tcPr>
            <w:tcW w:w="1495" w:type="dxa"/>
            <w:noWrap w:val="0"/>
            <w:vAlign w:val="center"/>
          </w:tcPr>
          <w:p>
            <w:pPr>
              <w:jc w:val="center"/>
              <w:rPr>
                <w:rFonts w:hint="default" w:eastAsia="宋体"/>
                <w:color w:val="0C0C0C"/>
                <w:szCs w:val="21"/>
                <w:highlight w:val="none"/>
                <w:lang w:val="en-US" w:eastAsia="zh-CN"/>
              </w:rPr>
            </w:pPr>
            <w:r>
              <w:rPr>
                <w:rFonts w:hint="eastAsia"/>
                <w:color w:val="0C0C0C"/>
                <w:szCs w:val="21"/>
                <w:highlight w:val="none"/>
                <w:lang w:eastAsia="zh-CN"/>
              </w:rPr>
              <w:t>注塑废气</w:t>
            </w:r>
          </w:p>
        </w:tc>
        <w:tc>
          <w:tcPr>
            <w:tcW w:w="1515" w:type="dxa"/>
            <w:noWrap w:val="0"/>
            <w:vAlign w:val="center"/>
          </w:tcPr>
          <w:p>
            <w:pPr>
              <w:adjustRightInd w:val="0"/>
              <w:snapToGrid w:val="0"/>
              <w:jc w:val="center"/>
              <w:rPr>
                <w:rFonts w:hint="eastAsia" w:eastAsia="宋体"/>
                <w:bCs/>
                <w:color w:val="0C0C0C"/>
                <w:szCs w:val="21"/>
                <w:highlight w:val="none"/>
                <w:lang w:eastAsia="zh-CN"/>
              </w:rPr>
            </w:pPr>
            <w:r>
              <w:rPr>
                <w:rFonts w:hint="eastAsia"/>
                <w:bCs/>
                <w:color w:val="0C0C0C"/>
                <w:szCs w:val="21"/>
                <w:highlight w:val="none"/>
                <w:lang w:eastAsia="zh-CN"/>
              </w:rPr>
              <w:t>非甲烷总烃</w:t>
            </w:r>
          </w:p>
        </w:tc>
        <w:tc>
          <w:tcPr>
            <w:tcW w:w="2265" w:type="dxa"/>
            <w:gridSpan w:val="2"/>
            <w:noWrap w:val="0"/>
            <w:vAlign w:val="center"/>
          </w:tcPr>
          <w:p>
            <w:pPr>
              <w:autoSpaceDE w:val="0"/>
              <w:autoSpaceDN w:val="0"/>
              <w:jc w:val="center"/>
              <w:textAlignment w:val="baseline"/>
              <w:rPr>
                <w:rFonts w:hint="eastAsia" w:ascii="宋体" w:hAnsi="宋体" w:cs="宋体"/>
                <w:bCs/>
                <w:color w:val="0C0C0C"/>
                <w:highlight w:val="none"/>
              </w:rPr>
            </w:pPr>
            <w:r>
              <w:rPr>
                <w:rFonts w:hint="eastAsia" w:ascii="宋体" w:hAnsi="宋体" w:cs="宋体"/>
                <w:bCs/>
                <w:color w:val="0C0C0C"/>
                <w:highlight w:val="none"/>
              </w:rPr>
              <w:t>焊接</w:t>
            </w:r>
            <w:r>
              <w:rPr>
                <w:rFonts w:hint="eastAsia" w:ascii="宋体" w:hAnsi="宋体" w:cs="宋体"/>
                <w:bCs/>
                <w:color w:val="0C0C0C"/>
                <w:highlight w:val="none"/>
                <w:lang w:eastAsia="zh-CN"/>
              </w:rPr>
              <w:t>废气</w:t>
            </w:r>
            <w:r>
              <w:rPr>
                <w:rFonts w:hint="eastAsia" w:ascii="宋体" w:hAnsi="宋体" w:cs="宋体"/>
                <w:bCs/>
                <w:color w:val="0C0C0C"/>
                <w:highlight w:val="none"/>
              </w:rPr>
              <w:t>经</w:t>
            </w:r>
            <w:r>
              <w:rPr>
                <w:rFonts w:hint="eastAsia" w:ascii="宋体" w:hAnsi="宋体" w:cs="宋体"/>
                <w:bCs/>
                <w:color w:val="0C0C0C"/>
                <w:highlight w:val="none"/>
                <w:lang w:eastAsia="zh-CN"/>
              </w:rPr>
              <w:t>水喷淋除尘器</w:t>
            </w:r>
            <w:r>
              <w:rPr>
                <w:rFonts w:hint="eastAsia" w:ascii="宋体" w:hAnsi="宋体" w:cs="宋体"/>
                <w:bCs/>
                <w:color w:val="0C0C0C"/>
                <w:highlight w:val="none"/>
              </w:rPr>
              <w:t>处理后与注塑废气合并</w:t>
            </w:r>
            <w:r>
              <w:rPr>
                <w:rFonts w:hint="eastAsia" w:ascii="宋体" w:hAnsi="宋体" w:cs="宋体"/>
                <w:bCs/>
                <w:color w:val="0C0C0C"/>
                <w:highlight w:val="none"/>
                <w:lang w:eastAsia="zh-CN"/>
              </w:rPr>
              <w:t>通过二级活性炭吸附装置</w:t>
            </w:r>
            <w:r>
              <w:rPr>
                <w:rFonts w:hint="eastAsia" w:ascii="宋体" w:hAnsi="宋体" w:cs="宋体"/>
                <w:bCs/>
                <w:color w:val="0C0C0C"/>
                <w:highlight w:val="none"/>
              </w:rPr>
              <w:t>处理，最终与注塑废气一起通过同一排气筒</w:t>
            </w:r>
            <w:r>
              <w:rPr>
                <w:rFonts w:hint="default" w:ascii="Times New Roman" w:hAnsi="Times New Roman" w:cs="Times New Roman"/>
                <w:bCs/>
                <w:color w:val="0C0C0C"/>
                <w:highlight w:val="none"/>
                <w:lang w:val="en-US" w:eastAsia="zh-CN"/>
              </w:rPr>
              <w:t>DA001</w:t>
            </w:r>
            <w:r>
              <w:rPr>
                <w:rFonts w:hint="eastAsia" w:ascii="宋体" w:hAnsi="宋体" w:cs="宋体"/>
                <w:bCs/>
                <w:color w:val="0C0C0C"/>
                <w:highlight w:val="none"/>
              </w:rPr>
              <w:t>排放</w:t>
            </w:r>
          </w:p>
        </w:tc>
        <w:tc>
          <w:tcPr>
            <w:tcW w:w="2465" w:type="dxa"/>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 w:val="21"/>
                <w:szCs w:val="21"/>
                <w:highlight w:val="none"/>
              </w:rPr>
              <w:t>《</w:t>
            </w:r>
            <w:r>
              <w:rPr>
                <w:rFonts w:hint="eastAsia" w:ascii="宋体" w:hAnsi="宋体" w:eastAsia="宋体" w:cs="宋体"/>
                <w:bCs/>
                <w:color w:val="0C0C0C"/>
                <w:highlight w:val="none"/>
              </w:rPr>
              <w:t>合成树脂工业污染物排放标准》</w:t>
            </w:r>
            <w:r>
              <w:rPr>
                <w:rFonts w:hint="default" w:ascii="Times New Roman" w:hAnsi="Times New Roman" w:eastAsia="宋体" w:cs="Times New Roman"/>
                <w:bCs/>
                <w:color w:val="0C0C0C"/>
                <w:highlight w:val="none"/>
              </w:rPr>
              <w:t>（GB31572-2015）</w:t>
            </w:r>
            <w:r>
              <w:rPr>
                <w:rFonts w:hint="eastAsia"/>
                <w:color w:val="0C0C0C"/>
                <w:szCs w:val="21"/>
                <w:highlight w:val="none"/>
                <w:lang w:eastAsia="zh-CN"/>
              </w:rPr>
              <w:t>及</w:t>
            </w:r>
            <w:r>
              <w:rPr>
                <w:rFonts w:hint="default" w:ascii="Times New Roman" w:hAnsi="Times New Roman" w:eastAsia="宋体" w:cs="Times New Roman"/>
                <w:b w:val="0"/>
                <w:bCs/>
                <w:color w:val="auto"/>
                <w:sz w:val="21"/>
                <w:szCs w:val="21"/>
                <w:highlight w:val="none"/>
                <w:lang w:val="en-US" w:eastAsia="zh-CN"/>
              </w:rPr>
              <w:t>《大气污染物排放限值》</w:t>
            </w:r>
            <w:r>
              <w:rPr>
                <w:rFonts w:hint="default" w:ascii="Times New Roman" w:hAnsi="Times New Roman" w:eastAsia="宋体" w:cs="Times New Roman"/>
                <w:b w:val="0"/>
                <w:bCs w:val="0"/>
                <w:color w:val="0C0C0C"/>
                <w:sz w:val="21"/>
                <w:szCs w:val="21"/>
                <w:highlight w:val="none"/>
                <w:lang w:val="en-US" w:eastAsia="zh-CN"/>
              </w:rPr>
              <w:t>（</w:t>
            </w:r>
            <w:r>
              <w:rPr>
                <w:rFonts w:hint="default" w:ascii="Times New Roman" w:hAnsi="Times New Roman" w:eastAsia="宋体" w:cs="Times New Roman"/>
                <w:b w:val="0"/>
                <w:bCs/>
                <w:color w:val="auto"/>
                <w:sz w:val="21"/>
                <w:szCs w:val="21"/>
                <w:highlight w:val="none"/>
                <w:lang w:val="en-US" w:eastAsia="zh-CN"/>
              </w:rPr>
              <w:t>DB44/27-2001</w:t>
            </w:r>
            <w:r>
              <w:rPr>
                <w:rFonts w:hint="default" w:ascii="Times New Roman" w:hAnsi="Times New Roman" w:eastAsia="宋体" w:cs="Times New Roman"/>
                <w:b w:val="0"/>
                <w:bCs w:val="0"/>
                <w:color w:val="0C0C0C"/>
                <w:sz w:val="21"/>
                <w:szCs w:val="21"/>
                <w:highlight w:val="none"/>
                <w:lang w:val="en-US" w:eastAsia="zh-CN"/>
              </w:rPr>
              <w:t>）</w:t>
            </w:r>
            <w:r>
              <w:rPr>
                <w:rFonts w:hint="eastAsia" w:ascii="Times New Roman" w:hAnsi="Times New Roman" w:eastAsia="宋体" w:cs="Times New Roman"/>
                <w:b w:val="0"/>
                <w:bCs w:val="0"/>
                <w:color w:val="0C0C0C"/>
                <w:sz w:val="21"/>
                <w:szCs w:val="21"/>
                <w:highlight w:val="none"/>
                <w:lang w:val="en-US" w:eastAsia="zh-CN"/>
              </w:rPr>
              <w:t>两者较严值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1060" w:type="dxa"/>
            <w:vMerge w:val="continue"/>
            <w:noWrap w:val="0"/>
            <w:vAlign w:val="center"/>
          </w:tcPr>
          <w:p>
            <w:pPr>
              <w:adjustRightInd w:val="0"/>
              <w:snapToGrid w:val="0"/>
              <w:jc w:val="center"/>
              <w:rPr>
                <w:rFonts w:hint="eastAsia" w:ascii="宋体" w:hAnsi="宋体" w:cs="宋体"/>
                <w:color w:val="0C0C0C"/>
                <w:szCs w:val="21"/>
                <w:highlight w:val="none"/>
              </w:rPr>
            </w:pPr>
          </w:p>
        </w:tc>
        <w:tc>
          <w:tcPr>
            <w:tcW w:w="1495" w:type="dxa"/>
            <w:noWrap w:val="0"/>
            <w:vAlign w:val="center"/>
          </w:tcPr>
          <w:p>
            <w:pPr>
              <w:jc w:val="center"/>
              <w:rPr>
                <w:rFonts w:hint="eastAsia" w:eastAsiaTheme="minorEastAsia"/>
                <w:color w:val="0C0C0C"/>
                <w:szCs w:val="21"/>
                <w:highlight w:val="none"/>
                <w:lang w:val="en-US" w:eastAsia="zh-CN"/>
              </w:rPr>
            </w:pPr>
            <w:r>
              <w:rPr>
                <w:rFonts w:hint="eastAsia"/>
                <w:color w:val="0C0C0C"/>
                <w:szCs w:val="21"/>
                <w:highlight w:val="none"/>
                <w:lang w:val="en-US" w:eastAsia="zh-CN"/>
              </w:rPr>
              <w:t>厂界</w:t>
            </w:r>
          </w:p>
        </w:tc>
        <w:tc>
          <w:tcPr>
            <w:tcW w:w="1515" w:type="dxa"/>
            <w:noWrap w:val="0"/>
            <w:vAlign w:val="center"/>
          </w:tcPr>
          <w:p>
            <w:pPr>
              <w:adjustRightInd w:val="0"/>
              <w:snapToGrid w:val="0"/>
              <w:jc w:val="center"/>
              <w:rPr>
                <w:bCs/>
                <w:color w:val="0C0C0C"/>
                <w:szCs w:val="21"/>
                <w:highlight w:val="none"/>
              </w:rPr>
            </w:pPr>
            <w:r>
              <w:rPr>
                <w:rFonts w:hint="eastAsia"/>
                <w:bCs/>
                <w:color w:val="0C0C0C"/>
                <w:sz w:val="21"/>
                <w:szCs w:val="21"/>
                <w:highlight w:val="none"/>
                <w:lang w:eastAsia="zh-CN"/>
              </w:rPr>
              <w:t>非甲烷总烃</w:t>
            </w:r>
          </w:p>
        </w:tc>
        <w:tc>
          <w:tcPr>
            <w:tcW w:w="2265" w:type="dxa"/>
            <w:gridSpan w:val="2"/>
            <w:noWrap w:val="0"/>
            <w:vAlign w:val="center"/>
          </w:tcPr>
          <w:p>
            <w:pPr>
              <w:adjustRightInd w:val="0"/>
              <w:snapToGrid w:val="0"/>
              <w:jc w:val="center"/>
              <w:rPr>
                <w:rFonts w:hint="eastAsia"/>
                <w:color w:val="0C0C0C"/>
                <w:szCs w:val="21"/>
                <w:highlight w:val="none"/>
                <w:lang w:bidi="ar"/>
              </w:rPr>
            </w:pPr>
            <w:r>
              <w:rPr>
                <w:rFonts w:hint="eastAsia" w:ascii="Times New Roman" w:hAnsi="Times New Roman"/>
                <w:color w:val="0C0C0C"/>
                <w:szCs w:val="21"/>
                <w:highlight w:val="none"/>
                <w:lang w:eastAsia="zh-CN" w:bidi="ar"/>
              </w:rPr>
              <w:t>加强通风</w:t>
            </w:r>
          </w:p>
        </w:tc>
        <w:tc>
          <w:tcPr>
            <w:tcW w:w="2465" w:type="dxa"/>
            <w:noWrap w:val="0"/>
            <w:vAlign w:val="center"/>
          </w:tcPr>
          <w:p>
            <w:pPr>
              <w:autoSpaceDE w:val="0"/>
              <w:autoSpaceDN w:val="0"/>
              <w:jc w:val="center"/>
              <w:textAlignment w:val="baseline"/>
              <w:rPr>
                <w:rFonts w:hint="eastAsia"/>
                <w:color w:val="0C0C0C"/>
                <w:szCs w:val="21"/>
                <w:highlight w:val="none"/>
              </w:rPr>
            </w:pPr>
            <w:r>
              <w:rPr>
                <w:rFonts w:hint="eastAsia"/>
                <w:color w:val="0C0C0C"/>
                <w:szCs w:val="21"/>
                <w:highlight w:val="none"/>
              </w:rPr>
              <w:t>《合成树脂工业污染物排放标准》（GB31572-2015）</w:t>
            </w:r>
            <w:r>
              <w:rPr>
                <w:rFonts w:hint="eastAsia" w:ascii="Times New Roman" w:hAnsi="Times New Roman" w:cs="Times New Roman"/>
                <w:color w:val="0C0C0C"/>
                <w:sz w:val="21"/>
                <w:szCs w:val="21"/>
                <w:highlight w:val="none"/>
                <w:lang w:eastAsia="zh-CN"/>
              </w:rPr>
              <w:t>及</w:t>
            </w:r>
            <w:r>
              <w:rPr>
                <w:rFonts w:hint="eastAsia" w:ascii="Times New Roman" w:hAnsi="Times New Roman" w:eastAsia="宋体" w:cs="Times New Roman"/>
                <w:b w:val="0"/>
                <w:bCs/>
                <w:color w:val="auto"/>
                <w:sz w:val="21"/>
                <w:szCs w:val="21"/>
                <w:highlight w:val="none"/>
                <w:lang w:val="en-US" w:eastAsia="zh-CN"/>
              </w:rPr>
              <w:t>《大气污染物排放限值》</w:t>
            </w:r>
            <w:r>
              <w:rPr>
                <w:rFonts w:hint="eastAsia"/>
                <w:b w:val="0"/>
                <w:bCs w:val="0"/>
                <w:color w:val="0C0C0C"/>
                <w:sz w:val="21"/>
                <w:szCs w:val="21"/>
                <w:highlight w:val="none"/>
                <w:lang w:val="en-US" w:eastAsia="zh-CN"/>
              </w:rPr>
              <w:t>（</w:t>
            </w:r>
            <w:r>
              <w:rPr>
                <w:rFonts w:hint="eastAsia" w:ascii="Times New Roman" w:hAnsi="Times New Roman" w:eastAsia="宋体" w:cs="Times New Roman"/>
                <w:b w:val="0"/>
                <w:bCs/>
                <w:color w:val="auto"/>
                <w:sz w:val="21"/>
                <w:szCs w:val="21"/>
                <w:highlight w:val="none"/>
                <w:lang w:val="en-US" w:eastAsia="zh-CN"/>
              </w:rPr>
              <w:t>DB44/27-2001</w:t>
            </w:r>
            <w:r>
              <w:rPr>
                <w:rFonts w:hint="eastAsia"/>
                <w:b w:val="0"/>
                <w:bCs w:val="0"/>
                <w:color w:val="0C0C0C"/>
                <w:sz w:val="21"/>
                <w:szCs w:val="21"/>
                <w:highlight w:val="none"/>
                <w:lang w:val="en-US" w:eastAsia="zh-CN"/>
              </w:rPr>
              <w:t>）两者较严值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60" w:type="dxa"/>
            <w:vMerge w:val="continue"/>
            <w:noWrap w:val="0"/>
            <w:vAlign w:val="center"/>
          </w:tcPr>
          <w:p>
            <w:pPr>
              <w:adjustRightInd w:val="0"/>
              <w:snapToGrid w:val="0"/>
              <w:jc w:val="center"/>
              <w:rPr>
                <w:rFonts w:hint="eastAsia" w:ascii="宋体" w:hAnsi="宋体" w:cs="宋体"/>
                <w:color w:val="0C0C0C"/>
                <w:szCs w:val="21"/>
                <w:highlight w:val="none"/>
              </w:rPr>
            </w:pPr>
          </w:p>
        </w:tc>
        <w:tc>
          <w:tcPr>
            <w:tcW w:w="1495" w:type="dxa"/>
            <w:noWrap w:val="0"/>
            <w:vAlign w:val="center"/>
          </w:tcPr>
          <w:p>
            <w:pPr>
              <w:jc w:val="center"/>
              <w:rPr>
                <w:rFonts w:hint="eastAsia"/>
                <w:color w:val="0C0C0C"/>
                <w:szCs w:val="21"/>
                <w:highlight w:val="none"/>
              </w:rPr>
            </w:pPr>
            <w:r>
              <w:rPr>
                <w:rFonts w:hint="eastAsia"/>
                <w:color w:val="0C0C0C"/>
                <w:szCs w:val="21"/>
                <w:highlight w:val="none"/>
                <w:lang w:val="en-US" w:eastAsia="zh-CN"/>
              </w:rPr>
              <w:t>厂区内</w:t>
            </w:r>
          </w:p>
        </w:tc>
        <w:tc>
          <w:tcPr>
            <w:tcW w:w="1515" w:type="dxa"/>
            <w:noWrap w:val="0"/>
            <w:vAlign w:val="center"/>
          </w:tcPr>
          <w:p>
            <w:pPr>
              <w:adjustRightInd w:val="0"/>
              <w:snapToGrid w:val="0"/>
              <w:jc w:val="center"/>
              <w:rPr>
                <w:bCs/>
                <w:color w:val="0C0C0C"/>
                <w:szCs w:val="21"/>
                <w:highlight w:val="none"/>
              </w:rPr>
            </w:pPr>
            <w:r>
              <w:rPr>
                <w:rFonts w:hint="eastAsia"/>
                <w:bCs/>
                <w:color w:val="0C0C0C"/>
                <w:szCs w:val="21"/>
                <w:highlight w:val="none"/>
                <w:lang w:eastAsia="zh-CN"/>
              </w:rPr>
              <w:t>非甲烷总烃</w:t>
            </w:r>
          </w:p>
        </w:tc>
        <w:tc>
          <w:tcPr>
            <w:tcW w:w="2265" w:type="dxa"/>
            <w:gridSpan w:val="2"/>
            <w:noWrap w:val="0"/>
            <w:vAlign w:val="center"/>
          </w:tcPr>
          <w:p>
            <w:pPr>
              <w:adjustRightInd w:val="0"/>
              <w:snapToGrid w:val="0"/>
              <w:jc w:val="center"/>
              <w:rPr>
                <w:rFonts w:hint="eastAsia"/>
                <w:color w:val="0C0C0C"/>
                <w:szCs w:val="21"/>
                <w:highlight w:val="none"/>
                <w:lang w:bidi="ar"/>
              </w:rPr>
            </w:pPr>
            <w:r>
              <w:rPr>
                <w:rFonts w:hint="eastAsia" w:ascii="Times New Roman" w:hAnsi="Times New Roman"/>
                <w:color w:val="0C0C0C"/>
                <w:szCs w:val="21"/>
                <w:highlight w:val="none"/>
                <w:lang w:eastAsia="zh-CN" w:bidi="ar"/>
              </w:rPr>
              <w:t>加强通风</w:t>
            </w:r>
          </w:p>
        </w:tc>
        <w:tc>
          <w:tcPr>
            <w:tcW w:w="2465" w:type="dxa"/>
            <w:noWrap w:val="0"/>
            <w:vAlign w:val="center"/>
          </w:tcPr>
          <w:p>
            <w:pPr>
              <w:autoSpaceDE w:val="0"/>
              <w:autoSpaceDN w:val="0"/>
              <w:jc w:val="center"/>
              <w:textAlignment w:val="baseline"/>
              <w:rPr>
                <w:rFonts w:hint="eastAsia"/>
                <w:color w:val="0C0C0C"/>
                <w:szCs w:val="21"/>
                <w:highlight w:val="none"/>
              </w:rPr>
            </w:pPr>
            <w:r>
              <w:rPr>
                <w:rFonts w:hint="eastAsia" w:ascii="Times New Roman" w:hAnsi="Times New Roman"/>
                <w:color w:val="0C0C0C"/>
                <w:szCs w:val="21"/>
                <w:highlight w:val="none"/>
                <w:lang w:val="en-US" w:eastAsia="zh-CN"/>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60" w:type="dxa"/>
            <w:noWrap w:val="0"/>
            <w:vAlign w:val="center"/>
          </w:tcPr>
          <w:p>
            <w:pPr>
              <w:adjustRightInd w:val="0"/>
              <w:snapToGrid w:val="0"/>
              <w:jc w:val="center"/>
              <w:rPr>
                <w:rFonts w:hint="eastAsia" w:ascii="宋体" w:hAnsi="宋体" w:cs="宋体"/>
                <w:i w:val="0"/>
                <w:iCs w:val="0"/>
                <w:color w:val="0C0C0C"/>
                <w:szCs w:val="21"/>
                <w:highlight w:val="none"/>
              </w:rPr>
            </w:pPr>
            <w:r>
              <w:rPr>
                <w:rFonts w:hint="eastAsia" w:ascii="宋体" w:hAnsi="宋体" w:cs="宋体"/>
                <w:i w:val="0"/>
                <w:iCs w:val="0"/>
                <w:color w:val="0C0C0C"/>
                <w:szCs w:val="21"/>
                <w:highlight w:val="none"/>
              </w:rPr>
              <w:t>地表水</w:t>
            </w:r>
          </w:p>
          <w:p>
            <w:pPr>
              <w:adjustRightInd w:val="0"/>
              <w:snapToGrid w:val="0"/>
              <w:jc w:val="center"/>
              <w:rPr>
                <w:rFonts w:hint="eastAsia" w:ascii="宋体" w:hAnsi="宋体" w:cs="宋体"/>
                <w:i w:val="0"/>
                <w:iCs w:val="0"/>
                <w:color w:val="0C0C0C"/>
                <w:szCs w:val="21"/>
                <w:highlight w:val="none"/>
              </w:rPr>
            </w:pPr>
            <w:r>
              <w:rPr>
                <w:rFonts w:hint="eastAsia" w:ascii="宋体" w:hAnsi="宋体" w:cs="宋体"/>
                <w:i w:val="0"/>
                <w:iCs w:val="0"/>
                <w:color w:val="0C0C0C"/>
                <w:szCs w:val="21"/>
                <w:highlight w:val="none"/>
              </w:rPr>
              <w:t>环境</w:t>
            </w:r>
          </w:p>
        </w:tc>
        <w:tc>
          <w:tcPr>
            <w:tcW w:w="1495" w:type="dxa"/>
            <w:noWrap w:val="0"/>
            <w:vAlign w:val="center"/>
          </w:tcPr>
          <w:p>
            <w:pPr>
              <w:adjustRightInd w:val="0"/>
              <w:snapToGrid w:val="0"/>
              <w:jc w:val="center"/>
              <w:rPr>
                <w:rStyle w:val="29"/>
                <w:rFonts w:hint="eastAsia" w:ascii="Times New Roman" w:hAnsi="Times New Roman"/>
                <w:color w:val="0C0C0C"/>
                <w:szCs w:val="22"/>
                <w:highlight w:val="none"/>
                <w:lang w:eastAsia="zh-CN"/>
              </w:rPr>
            </w:pPr>
            <w:r>
              <w:rPr>
                <w:rStyle w:val="29"/>
                <w:rFonts w:hint="eastAsia" w:ascii="Times New Roman" w:hAnsi="Times New Roman"/>
                <w:color w:val="0C0C0C"/>
                <w:szCs w:val="22"/>
                <w:highlight w:val="none"/>
                <w:lang w:eastAsia="zh-CN"/>
              </w:rPr>
              <w:t>生活污水</w:t>
            </w:r>
          </w:p>
        </w:tc>
        <w:tc>
          <w:tcPr>
            <w:tcW w:w="1515" w:type="dxa"/>
            <w:noWrap w:val="0"/>
            <w:vAlign w:val="center"/>
          </w:tcPr>
          <w:p>
            <w:pPr>
              <w:adjustRightInd w:val="0"/>
              <w:snapToGrid w:val="0"/>
              <w:jc w:val="center"/>
              <w:rPr>
                <w:rFonts w:hint="eastAsia" w:ascii="Times New Roman" w:hAnsi="Times New Roman" w:eastAsia="宋体" w:cs="Times New Roman"/>
                <w:i w:val="0"/>
                <w:iCs w:val="0"/>
                <w:color w:val="auto"/>
                <w:szCs w:val="21"/>
                <w:highlight w:val="none"/>
                <w:lang w:eastAsia="zh-CN"/>
              </w:rPr>
            </w:pPr>
            <w:r>
              <w:rPr>
                <w:rFonts w:hint="default" w:ascii="Times New Roman" w:hAnsi="Times New Roman" w:eastAsia="宋体" w:cs="Times New Roman"/>
                <w:color w:val="auto"/>
                <w:sz w:val="21"/>
                <w:szCs w:val="21"/>
                <w:highlight w:val="none"/>
              </w:rPr>
              <w:t>CODcr、BOD</w:t>
            </w:r>
            <w:r>
              <w:rPr>
                <w:rFonts w:hint="default" w:ascii="Times New Roman" w:hAnsi="Times New Roman" w:eastAsia="宋体" w:cs="Times New Roman"/>
                <w:color w:val="auto"/>
                <w:sz w:val="21"/>
                <w:szCs w:val="21"/>
                <w:highlight w:val="none"/>
                <w:vertAlign w:val="subscript"/>
              </w:rPr>
              <w:t>5</w:t>
            </w:r>
            <w:r>
              <w:rPr>
                <w:rFonts w:hint="default" w:ascii="Times New Roman" w:hAnsi="Times New Roman" w:eastAsia="宋体" w:cs="Times New Roman"/>
                <w:color w:val="auto"/>
                <w:sz w:val="21"/>
                <w:szCs w:val="21"/>
                <w:highlight w:val="none"/>
              </w:rPr>
              <w:t>、SS、NH</w:t>
            </w:r>
            <w:r>
              <w:rPr>
                <w:rFonts w:hint="default" w:ascii="Times New Roman" w:hAnsi="Times New Roman" w:eastAsia="宋体" w:cs="Times New Roman"/>
                <w:color w:val="auto"/>
                <w:sz w:val="21"/>
                <w:szCs w:val="21"/>
                <w:highlight w:val="none"/>
                <w:vertAlign w:val="subscript"/>
              </w:rPr>
              <w:t>3</w:t>
            </w:r>
            <w:r>
              <w:rPr>
                <w:rFonts w:hint="default" w:ascii="Times New Roman" w:hAnsi="Times New Roman" w:eastAsia="宋体" w:cs="Times New Roman"/>
                <w:color w:val="auto"/>
                <w:sz w:val="21"/>
                <w:szCs w:val="21"/>
                <w:highlight w:val="none"/>
              </w:rPr>
              <w:t>-N、总磷</w:t>
            </w:r>
            <w:r>
              <w:rPr>
                <w:rFonts w:hint="eastAsia" w:ascii="Times New Roman" w:hAnsi="Times New Roman" w:eastAsia="宋体" w:cs="Times New Roman"/>
                <w:color w:val="auto"/>
                <w:sz w:val="21"/>
                <w:szCs w:val="21"/>
                <w:highlight w:val="none"/>
                <w:lang w:eastAsia="zh-CN"/>
              </w:rPr>
              <w:t>等</w:t>
            </w:r>
          </w:p>
        </w:tc>
        <w:tc>
          <w:tcPr>
            <w:tcW w:w="2265" w:type="dxa"/>
            <w:gridSpan w:val="2"/>
            <w:noWrap w:val="0"/>
            <w:vAlign w:val="center"/>
          </w:tcPr>
          <w:p>
            <w:pPr>
              <w:adjustRightInd w:val="0"/>
              <w:snapToGrid w:val="0"/>
              <w:jc w:val="center"/>
              <w:rPr>
                <w:rFonts w:hint="default"/>
                <w:bCs/>
                <w:color w:val="0C0C0C"/>
                <w:szCs w:val="21"/>
                <w:highlight w:val="none"/>
                <w:lang w:val="en-US" w:eastAsia="zh-CN"/>
              </w:rPr>
            </w:pPr>
            <w:r>
              <w:rPr>
                <w:rFonts w:hint="eastAsia"/>
                <w:bCs/>
                <w:color w:val="0C0C0C"/>
                <w:szCs w:val="21"/>
                <w:highlight w:val="none"/>
                <w:lang w:eastAsia="zh-CN"/>
              </w:rPr>
              <w:t>三级化粪池预处理后接入市政管网</w:t>
            </w:r>
          </w:p>
        </w:tc>
        <w:tc>
          <w:tcPr>
            <w:tcW w:w="2465" w:type="dxa"/>
            <w:noWrap w:val="0"/>
            <w:vAlign w:val="center"/>
          </w:tcPr>
          <w:p>
            <w:pPr>
              <w:adjustRightInd w:val="0"/>
              <w:snapToGrid w:val="0"/>
              <w:jc w:val="center"/>
              <w:rPr>
                <w:rFonts w:hint="eastAsia" w:ascii="宋体" w:hAnsi="宋体" w:cs="宋体"/>
                <w:i w:val="0"/>
                <w:iCs w:val="0"/>
                <w:color w:val="auto"/>
                <w:szCs w:val="21"/>
                <w:highlight w:val="none"/>
                <w:lang w:eastAsia="zh-CN"/>
              </w:rPr>
            </w:pPr>
            <w:r>
              <w:rPr>
                <w:rFonts w:hint="default" w:ascii="Times New Roman" w:hAnsi="Times New Roman" w:eastAsia="宋体" w:cs="Times New Roman"/>
                <w:color w:val="auto"/>
                <w:sz w:val="21"/>
                <w:szCs w:val="21"/>
                <w:highlight w:val="none"/>
                <w:lang w:val="en-US" w:eastAsia="zh-CN"/>
              </w:rPr>
              <w:t>广东省</w:t>
            </w:r>
            <w:r>
              <w:rPr>
                <w:rFonts w:hint="default" w:ascii="Times New Roman" w:hAnsi="Times New Roman" w:eastAsia="宋体" w:cs="Times New Roman"/>
                <w:color w:val="auto"/>
                <w:sz w:val="21"/>
                <w:szCs w:val="21"/>
                <w:highlight w:val="none"/>
              </w:rPr>
              <w:t>《水污染物排放限值》（DB44/26-2001）第二时段三级标准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60" w:type="dxa"/>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声环境</w:t>
            </w:r>
          </w:p>
        </w:tc>
        <w:tc>
          <w:tcPr>
            <w:tcW w:w="1495" w:type="dxa"/>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生产设备</w:t>
            </w:r>
          </w:p>
        </w:tc>
        <w:tc>
          <w:tcPr>
            <w:tcW w:w="1515" w:type="dxa"/>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噪声</w:t>
            </w:r>
          </w:p>
        </w:tc>
        <w:tc>
          <w:tcPr>
            <w:tcW w:w="2265" w:type="dxa"/>
            <w:gridSpan w:val="2"/>
            <w:noWrap w:val="0"/>
            <w:vAlign w:val="center"/>
          </w:tcPr>
          <w:p>
            <w:pPr>
              <w:adjustRightInd w:val="0"/>
              <w:snapToGrid w:val="0"/>
              <w:jc w:val="left"/>
              <w:rPr>
                <w:rFonts w:hint="eastAsia"/>
                <w:bCs/>
                <w:color w:val="0C0C0C"/>
                <w:spacing w:val="-10"/>
                <w:szCs w:val="21"/>
                <w:highlight w:val="none"/>
              </w:rPr>
            </w:pPr>
            <w:r>
              <w:rPr>
                <w:rFonts w:hint="eastAsia"/>
                <w:bCs/>
                <w:color w:val="0C0C0C"/>
                <w:spacing w:val="-10"/>
                <w:szCs w:val="21"/>
                <w:highlight w:val="none"/>
              </w:rPr>
              <w:t>1、</w:t>
            </w:r>
            <w:r>
              <w:rPr>
                <w:color w:val="0C0C0C"/>
                <w:szCs w:val="21"/>
                <w:highlight w:val="none"/>
              </w:rPr>
              <w:t>加强员工管理，文明作业</w:t>
            </w:r>
            <w:r>
              <w:rPr>
                <w:rFonts w:hint="eastAsia"/>
                <w:color w:val="0C0C0C"/>
                <w:szCs w:val="21"/>
                <w:highlight w:val="none"/>
              </w:rPr>
              <w:t>。</w:t>
            </w:r>
          </w:p>
          <w:p>
            <w:pPr>
              <w:adjustRightInd w:val="0"/>
              <w:snapToGrid w:val="0"/>
              <w:jc w:val="left"/>
              <w:rPr>
                <w:rFonts w:hint="eastAsia"/>
                <w:bCs/>
                <w:color w:val="0C0C0C"/>
                <w:spacing w:val="-10"/>
                <w:szCs w:val="21"/>
                <w:highlight w:val="none"/>
              </w:rPr>
            </w:pPr>
            <w:r>
              <w:rPr>
                <w:rFonts w:hint="eastAsia"/>
                <w:bCs/>
                <w:color w:val="0C0C0C"/>
                <w:spacing w:val="-10"/>
                <w:szCs w:val="21"/>
                <w:highlight w:val="none"/>
              </w:rPr>
              <w:t>2、合理布局，重视总平面布置。</w:t>
            </w:r>
          </w:p>
          <w:p>
            <w:pPr>
              <w:adjustRightInd w:val="0"/>
              <w:snapToGrid w:val="0"/>
              <w:jc w:val="left"/>
              <w:rPr>
                <w:rFonts w:hint="eastAsia"/>
                <w:bCs/>
                <w:color w:val="0C0C0C"/>
                <w:spacing w:val="-10"/>
                <w:szCs w:val="21"/>
                <w:highlight w:val="none"/>
              </w:rPr>
            </w:pPr>
            <w:r>
              <w:rPr>
                <w:rFonts w:hint="eastAsia"/>
                <w:bCs/>
                <w:color w:val="0C0C0C"/>
                <w:spacing w:val="-10"/>
                <w:szCs w:val="21"/>
                <w:highlight w:val="none"/>
              </w:rPr>
              <w:t>3、选用精度高、装配质量好、噪声低的设备；</w:t>
            </w:r>
          </w:p>
          <w:p>
            <w:pPr>
              <w:adjustRightInd w:val="0"/>
              <w:snapToGrid w:val="0"/>
              <w:jc w:val="left"/>
              <w:rPr>
                <w:rFonts w:hint="eastAsia"/>
                <w:bCs/>
                <w:color w:val="0C0C0C"/>
                <w:spacing w:val="-10"/>
                <w:szCs w:val="21"/>
                <w:highlight w:val="none"/>
              </w:rPr>
            </w:pPr>
            <w:r>
              <w:rPr>
                <w:rFonts w:hint="eastAsia"/>
                <w:bCs/>
                <w:color w:val="0C0C0C"/>
                <w:spacing w:val="-10"/>
                <w:szCs w:val="21"/>
                <w:highlight w:val="none"/>
              </w:rPr>
              <w:t>4、重视厂房的使用状况，尽量采用密闭形式，少设门窗或设隔声玻璃门窗。</w:t>
            </w:r>
          </w:p>
          <w:p>
            <w:pPr>
              <w:adjustRightInd w:val="0"/>
              <w:snapToGrid w:val="0"/>
              <w:jc w:val="left"/>
              <w:rPr>
                <w:rFonts w:hint="eastAsia" w:ascii="宋体" w:hAnsi="宋体" w:cs="宋体"/>
                <w:color w:val="0C0C0C"/>
                <w:szCs w:val="21"/>
                <w:highlight w:val="none"/>
              </w:rPr>
            </w:pPr>
            <w:r>
              <w:rPr>
                <w:rFonts w:hint="eastAsia"/>
                <w:bCs/>
                <w:color w:val="0C0C0C"/>
                <w:spacing w:val="-10"/>
                <w:szCs w:val="21"/>
                <w:highlight w:val="none"/>
              </w:rPr>
              <w:t>5、</w:t>
            </w:r>
            <w:r>
              <w:rPr>
                <w:color w:val="0C0C0C"/>
                <w:szCs w:val="21"/>
                <w:highlight w:val="none"/>
              </w:rPr>
              <w:t>设备定期维护、保养的管理制度</w:t>
            </w:r>
            <w:r>
              <w:rPr>
                <w:rFonts w:hint="eastAsia"/>
                <w:color w:val="0C0C0C"/>
                <w:szCs w:val="21"/>
                <w:highlight w:val="none"/>
              </w:rPr>
              <w:t>。</w:t>
            </w:r>
          </w:p>
        </w:tc>
        <w:tc>
          <w:tcPr>
            <w:tcW w:w="2465" w:type="dxa"/>
            <w:noWrap w:val="0"/>
            <w:vAlign w:val="center"/>
          </w:tcPr>
          <w:p>
            <w:pPr>
              <w:adjustRightInd w:val="0"/>
              <w:snapToGrid w:val="0"/>
              <w:jc w:val="center"/>
              <w:rPr>
                <w:rFonts w:hint="eastAsia" w:ascii="宋体" w:hAnsi="宋体" w:cs="宋体"/>
                <w:color w:val="0C0C0C"/>
                <w:szCs w:val="21"/>
                <w:highlight w:val="none"/>
              </w:rPr>
            </w:pPr>
            <w:r>
              <w:rPr>
                <w:color w:val="0C0C0C"/>
                <w:szCs w:val="21"/>
                <w:highlight w:val="none"/>
              </w:rPr>
              <w:t>《工业企业厂界环境噪声排放标准》（GB12348-2008）中的2类标准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060" w:type="dxa"/>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电磁辐射</w:t>
            </w:r>
          </w:p>
        </w:tc>
        <w:tc>
          <w:tcPr>
            <w:tcW w:w="7740" w:type="dxa"/>
            <w:gridSpan w:val="5"/>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60" w:type="dxa"/>
            <w:vMerge w:val="restart"/>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固体废物</w:t>
            </w:r>
          </w:p>
        </w:tc>
        <w:tc>
          <w:tcPr>
            <w:tcW w:w="1495" w:type="dxa"/>
            <w:noWrap w:val="0"/>
            <w:vAlign w:val="center"/>
          </w:tcPr>
          <w:p>
            <w:pPr>
              <w:pStyle w:val="2"/>
              <w:jc w:val="center"/>
              <w:rPr>
                <w:rStyle w:val="29"/>
                <w:rFonts w:hint="eastAsia" w:ascii="Times New Roman" w:hAnsi="Times New Roman"/>
                <w:color w:val="0C0C0C"/>
                <w:highlight w:val="none"/>
                <w:lang w:eastAsia="zh-CN"/>
              </w:rPr>
            </w:pPr>
            <w:r>
              <w:rPr>
                <w:rStyle w:val="29"/>
                <w:rFonts w:hint="eastAsia" w:ascii="Times New Roman" w:hAnsi="Times New Roman"/>
                <w:color w:val="0C0C0C"/>
                <w:highlight w:val="none"/>
                <w:lang w:eastAsia="zh-CN"/>
              </w:rPr>
              <w:t>生活垃圾</w:t>
            </w:r>
          </w:p>
        </w:tc>
        <w:tc>
          <w:tcPr>
            <w:tcW w:w="2449" w:type="dxa"/>
            <w:gridSpan w:val="2"/>
            <w:noWrap w:val="0"/>
            <w:vAlign w:val="center"/>
          </w:tcPr>
          <w:p>
            <w:pPr>
              <w:pStyle w:val="2"/>
              <w:jc w:val="center"/>
              <w:rPr>
                <w:rFonts w:hint="eastAsia"/>
                <w:color w:val="0C0C0C"/>
                <w:sz w:val="21"/>
                <w:szCs w:val="21"/>
                <w:highlight w:val="none"/>
                <w:lang w:eastAsia="zh-CN"/>
              </w:rPr>
            </w:pPr>
            <w:r>
              <w:rPr>
                <w:rFonts w:hint="eastAsia"/>
                <w:color w:val="0C0C0C"/>
                <w:sz w:val="21"/>
                <w:szCs w:val="21"/>
                <w:highlight w:val="none"/>
                <w:lang w:eastAsia="zh-CN"/>
              </w:rPr>
              <w:t>交环卫部门统一清运</w:t>
            </w:r>
          </w:p>
        </w:tc>
        <w:tc>
          <w:tcPr>
            <w:tcW w:w="3796" w:type="dxa"/>
            <w:gridSpan w:val="2"/>
            <w:vMerge w:val="restart"/>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《中华人民共和国固体废物污染环境防治法</w:t>
            </w:r>
            <w:r>
              <w:rPr>
                <w:color w:val="0C0C0C"/>
                <w:szCs w:val="21"/>
                <w:highlight w:val="none"/>
              </w:rPr>
              <w:t>》（2020年修改）、《广东省固体废物污染环境防治条例》（2018年修订）、</w:t>
            </w:r>
            <w:r>
              <w:rPr>
                <w:color w:val="0C0C0C"/>
                <w:sz w:val="21"/>
                <w:szCs w:val="21"/>
                <w:highlight w:val="none"/>
              </w:rPr>
              <w:t>《一</w:t>
            </w:r>
            <w:r>
              <w:rPr>
                <w:rFonts w:hint="eastAsia"/>
                <w:color w:val="0C0C0C"/>
                <w:sz w:val="21"/>
                <w:szCs w:val="21"/>
                <w:highlight w:val="none"/>
              </w:rPr>
              <w:t>般工业固体废物贮存贮存和填埋污染物控制标准》</w:t>
            </w:r>
            <w:r>
              <w:rPr>
                <w:color w:val="0C0C0C"/>
                <w:sz w:val="21"/>
                <w:szCs w:val="21"/>
                <w:highlight w:val="none"/>
              </w:rPr>
              <w:t>》（GB18599-20</w:t>
            </w:r>
            <w:r>
              <w:rPr>
                <w:rFonts w:hint="eastAsia"/>
                <w:color w:val="0C0C0C"/>
                <w:sz w:val="21"/>
                <w:szCs w:val="21"/>
                <w:highlight w:val="none"/>
                <w:lang w:val="en-US" w:eastAsia="zh-CN"/>
              </w:rPr>
              <w:t>10</w:t>
            </w:r>
            <w:r>
              <w:rPr>
                <w:color w:val="0C0C0C"/>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60" w:type="dxa"/>
            <w:vMerge w:val="continue"/>
            <w:noWrap w:val="0"/>
            <w:vAlign w:val="center"/>
          </w:tcPr>
          <w:p>
            <w:pPr>
              <w:adjustRightInd w:val="0"/>
              <w:snapToGrid w:val="0"/>
              <w:jc w:val="center"/>
              <w:rPr>
                <w:rFonts w:hint="eastAsia" w:ascii="宋体" w:hAnsi="宋体" w:cs="宋体"/>
                <w:color w:val="0C0C0C"/>
                <w:szCs w:val="21"/>
                <w:highlight w:val="none"/>
              </w:rPr>
            </w:pPr>
          </w:p>
        </w:tc>
        <w:tc>
          <w:tcPr>
            <w:tcW w:w="1495" w:type="dxa"/>
            <w:noWrap w:val="0"/>
            <w:vAlign w:val="center"/>
          </w:tcPr>
          <w:p>
            <w:pPr>
              <w:pStyle w:val="19"/>
              <w:adjustRightInd w:val="0"/>
              <w:snapToGrid w:val="0"/>
              <w:spacing w:after="0" w:line="240" w:lineRule="auto"/>
              <w:ind w:left="0" w:leftChars="0"/>
              <w:jc w:val="center"/>
              <w:rPr>
                <w:rFonts w:hAnsi="宋体" w:cs="宋体"/>
                <w:color w:val="0C0C0C"/>
                <w:sz w:val="21"/>
                <w:szCs w:val="21"/>
                <w:highlight w:val="none"/>
              </w:rPr>
            </w:pPr>
            <w:r>
              <w:rPr>
                <w:rStyle w:val="29"/>
                <w:rFonts w:hint="eastAsia" w:ascii="Times New Roman" w:hAnsi="Times New Roman"/>
                <w:color w:val="0C0C0C"/>
                <w:highlight w:val="none"/>
              </w:rPr>
              <w:t>废包装材料</w:t>
            </w:r>
          </w:p>
        </w:tc>
        <w:tc>
          <w:tcPr>
            <w:tcW w:w="2449" w:type="dxa"/>
            <w:gridSpan w:val="2"/>
            <w:noWrap w:val="0"/>
            <w:vAlign w:val="center"/>
          </w:tcPr>
          <w:p>
            <w:pPr>
              <w:pStyle w:val="2"/>
              <w:jc w:val="center"/>
              <w:rPr>
                <w:rFonts w:hAnsi="宋体" w:cs="宋体"/>
                <w:color w:val="0C0C0C"/>
                <w:sz w:val="21"/>
                <w:szCs w:val="21"/>
                <w:highlight w:val="none"/>
              </w:rPr>
            </w:pPr>
            <w:r>
              <w:rPr>
                <w:rFonts w:hAnsi="宋体" w:cs="宋体"/>
                <w:color w:val="0C0C0C"/>
                <w:sz w:val="21"/>
                <w:szCs w:val="21"/>
                <w:highlight w:val="none"/>
              </w:rPr>
              <w:t>交给专业回收公司处理</w:t>
            </w:r>
          </w:p>
        </w:tc>
        <w:tc>
          <w:tcPr>
            <w:tcW w:w="3796" w:type="dxa"/>
            <w:gridSpan w:val="2"/>
            <w:vMerge w:val="continue"/>
            <w:noWrap w:val="0"/>
            <w:vAlign w:val="center"/>
          </w:tcPr>
          <w:p>
            <w:pPr>
              <w:adjustRightInd w:val="0"/>
              <w:snapToGrid w:val="0"/>
              <w:jc w:val="center"/>
              <w:rPr>
                <w:rFonts w:hint="eastAsia" w:ascii="宋体" w:hAnsi="宋体" w:cs="宋体"/>
                <w:color w:val="0C0C0C"/>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1060" w:type="dxa"/>
            <w:vMerge w:val="continue"/>
            <w:noWrap w:val="0"/>
            <w:vAlign w:val="center"/>
          </w:tcPr>
          <w:p>
            <w:pPr>
              <w:adjustRightInd w:val="0"/>
              <w:snapToGrid w:val="0"/>
              <w:jc w:val="center"/>
              <w:rPr>
                <w:rFonts w:hint="eastAsia" w:ascii="宋体" w:hAnsi="宋体" w:cs="宋体"/>
                <w:color w:val="0C0C0C"/>
                <w:szCs w:val="21"/>
                <w:highlight w:val="none"/>
              </w:rPr>
            </w:pPr>
          </w:p>
        </w:tc>
        <w:tc>
          <w:tcPr>
            <w:tcW w:w="1495" w:type="dxa"/>
            <w:noWrap w:val="0"/>
            <w:vAlign w:val="center"/>
          </w:tcPr>
          <w:p>
            <w:pPr>
              <w:adjustRightInd w:val="0"/>
              <w:snapToGrid w:val="0"/>
              <w:jc w:val="center"/>
              <w:rPr>
                <w:rFonts w:hint="eastAsia" w:eastAsia="宋体"/>
                <w:color w:val="0C0C0C"/>
                <w:kern w:val="2"/>
                <w:sz w:val="21"/>
                <w:szCs w:val="21"/>
                <w:highlight w:val="none"/>
                <w:lang w:val="en-US" w:eastAsia="zh-CN" w:bidi="ar-SA"/>
              </w:rPr>
            </w:pPr>
            <w:r>
              <w:rPr>
                <w:rFonts w:hint="eastAsia"/>
                <w:color w:val="0C0C0C"/>
                <w:szCs w:val="21"/>
                <w:highlight w:val="none"/>
                <w:lang w:eastAsia="zh-CN"/>
              </w:rPr>
              <w:t>废活性炭</w:t>
            </w:r>
          </w:p>
        </w:tc>
        <w:tc>
          <w:tcPr>
            <w:tcW w:w="2449" w:type="dxa"/>
            <w:gridSpan w:val="2"/>
            <w:vMerge w:val="restart"/>
            <w:noWrap w:val="0"/>
            <w:vAlign w:val="center"/>
          </w:tcPr>
          <w:p>
            <w:pPr>
              <w:adjustRightInd w:val="0"/>
              <w:snapToGrid w:val="0"/>
              <w:jc w:val="center"/>
              <w:rPr>
                <w:rFonts w:hint="eastAsia" w:ascii="宋体" w:hAnsi="宋体" w:cs="宋体"/>
                <w:color w:val="0C0C0C"/>
                <w:szCs w:val="21"/>
                <w:highlight w:val="none"/>
              </w:rPr>
            </w:pPr>
            <w:r>
              <w:rPr>
                <w:rFonts w:hint="eastAsia"/>
                <w:color w:val="0C0C0C"/>
                <w:szCs w:val="21"/>
                <w:highlight w:val="none"/>
              </w:rPr>
              <w:t>交由有危险废物处理资质的单位处理</w:t>
            </w:r>
          </w:p>
        </w:tc>
        <w:tc>
          <w:tcPr>
            <w:tcW w:w="3796" w:type="dxa"/>
            <w:gridSpan w:val="2"/>
            <w:vMerge w:val="restart"/>
            <w:noWrap w:val="0"/>
            <w:vAlign w:val="center"/>
          </w:tcPr>
          <w:p>
            <w:pPr>
              <w:adjustRightInd w:val="0"/>
              <w:snapToGrid w:val="0"/>
              <w:jc w:val="center"/>
              <w:rPr>
                <w:rFonts w:hint="eastAsia" w:ascii="宋体" w:hAnsi="宋体" w:cs="宋体"/>
                <w:color w:val="0C0C0C"/>
                <w:szCs w:val="21"/>
                <w:highlight w:val="none"/>
              </w:rPr>
            </w:pPr>
            <w:r>
              <w:rPr>
                <w:rFonts w:hint="eastAsia"/>
                <w:color w:val="0C0C0C"/>
                <w:szCs w:val="21"/>
                <w:highlight w:val="none"/>
              </w:rPr>
              <w:t>《危险废物贮存污染控制标准》（GB18597-2001）及2013年修改单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060" w:type="dxa"/>
            <w:vMerge w:val="continue"/>
            <w:noWrap w:val="0"/>
            <w:vAlign w:val="center"/>
          </w:tcPr>
          <w:p>
            <w:pPr>
              <w:adjustRightInd w:val="0"/>
              <w:snapToGrid w:val="0"/>
              <w:jc w:val="center"/>
              <w:rPr>
                <w:rFonts w:hint="eastAsia" w:ascii="宋体" w:hAnsi="宋体" w:cs="宋体"/>
                <w:color w:val="0C0C0C"/>
                <w:szCs w:val="21"/>
                <w:highlight w:val="none"/>
              </w:rPr>
            </w:pPr>
          </w:p>
        </w:tc>
        <w:tc>
          <w:tcPr>
            <w:tcW w:w="1495" w:type="dxa"/>
            <w:noWrap w:val="0"/>
            <w:vAlign w:val="center"/>
          </w:tcPr>
          <w:p>
            <w:pPr>
              <w:adjustRightInd w:val="0"/>
              <w:snapToGrid w:val="0"/>
              <w:jc w:val="center"/>
              <w:rPr>
                <w:rFonts w:hint="eastAsia" w:eastAsia="宋体"/>
                <w:color w:val="0C0C0C"/>
                <w:kern w:val="2"/>
                <w:sz w:val="21"/>
                <w:szCs w:val="21"/>
                <w:highlight w:val="none"/>
                <w:lang w:val="en-US" w:eastAsia="zh-CN" w:bidi="ar-SA"/>
              </w:rPr>
            </w:pPr>
            <w:r>
              <w:rPr>
                <w:rFonts w:hint="eastAsia"/>
                <w:color w:val="0C0C0C"/>
                <w:szCs w:val="21"/>
                <w:highlight w:val="none"/>
                <w:lang w:eastAsia="zh-CN"/>
              </w:rPr>
              <w:t>废机油</w:t>
            </w:r>
          </w:p>
        </w:tc>
        <w:tc>
          <w:tcPr>
            <w:tcW w:w="2449" w:type="dxa"/>
            <w:gridSpan w:val="2"/>
            <w:vMerge w:val="continue"/>
            <w:noWrap w:val="0"/>
            <w:vAlign w:val="center"/>
          </w:tcPr>
          <w:p>
            <w:pPr>
              <w:adjustRightInd w:val="0"/>
              <w:snapToGrid w:val="0"/>
              <w:jc w:val="center"/>
              <w:rPr>
                <w:rFonts w:hint="eastAsia" w:ascii="宋体" w:hAnsi="宋体" w:cs="宋体"/>
                <w:color w:val="0C0C0C"/>
                <w:szCs w:val="21"/>
                <w:highlight w:val="none"/>
              </w:rPr>
            </w:pPr>
          </w:p>
        </w:tc>
        <w:tc>
          <w:tcPr>
            <w:tcW w:w="3796" w:type="dxa"/>
            <w:gridSpan w:val="2"/>
            <w:vMerge w:val="continue"/>
            <w:noWrap w:val="0"/>
            <w:vAlign w:val="center"/>
          </w:tcPr>
          <w:p>
            <w:pPr>
              <w:adjustRightInd w:val="0"/>
              <w:snapToGrid w:val="0"/>
              <w:jc w:val="center"/>
              <w:rPr>
                <w:rFonts w:hint="eastAsia" w:ascii="宋体" w:hAnsi="宋体" w:cs="宋体"/>
                <w:color w:val="0C0C0C"/>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060" w:type="dxa"/>
            <w:vMerge w:val="continue"/>
            <w:noWrap w:val="0"/>
            <w:vAlign w:val="center"/>
          </w:tcPr>
          <w:p>
            <w:pPr>
              <w:adjustRightInd w:val="0"/>
              <w:snapToGrid w:val="0"/>
              <w:jc w:val="center"/>
              <w:rPr>
                <w:rFonts w:hint="eastAsia" w:ascii="宋体" w:hAnsi="宋体" w:cs="宋体"/>
                <w:color w:val="0C0C0C"/>
                <w:szCs w:val="21"/>
                <w:highlight w:val="none"/>
              </w:rPr>
            </w:pPr>
          </w:p>
        </w:tc>
        <w:tc>
          <w:tcPr>
            <w:tcW w:w="1495" w:type="dxa"/>
            <w:noWrap w:val="0"/>
            <w:vAlign w:val="center"/>
          </w:tcPr>
          <w:p>
            <w:pPr>
              <w:adjustRightInd w:val="0"/>
              <w:snapToGrid w:val="0"/>
              <w:jc w:val="center"/>
              <w:rPr>
                <w:rFonts w:hint="eastAsia" w:eastAsia="宋体"/>
                <w:color w:val="0C0C0C"/>
                <w:kern w:val="2"/>
                <w:sz w:val="21"/>
                <w:szCs w:val="21"/>
                <w:highlight w:val="none"/>
                <w:lang w:val="en-US" w:eastAsia="zh-CN" w:bidi="ar-SA"/>
              </w:rPr>
            </w:pPr>
            <w:r>
              <w:rPr>
                <w:rFonts w:hint="eastAsia"/>
                <w:color w:val="0C0C0C"/>
                <w:szCs w:val="21"/>
                <w:highlight w:val="none"/>
                <w:lang w:eastAsia="zh-CN"/>
              </w:rPr>
              <w:t>废包装桶</w:t>
            </w:r>
          </w:p>
        </w:tc>
        <w:tc>
          <w:tcPr>
            <w:tcW w:w="2449" w:type="dxa"/>
            <w:gridSpan w:val="2"/>
            <w:vMerge w:val="continue"/>
            <w:noWrap w:val="0"/>
            <w:vAlign w:val="center"/>
          </w:tcPr>
          <w:p>
            <w:pPr>
              <w:adjustRightInd w:val="0"/>
              <w:snapToGrid w:val="0"/>
              <w:jc w:val="center"/>
              <w:rPr>
                <w:rFonts w:hint="eastAsia" w:ascii="宋体" w:hAnsi="宋体" w:cs="宋体"/>
                <w:color w:val="0C0C0C"/>
                <w:szCs w:val="21"/>
                <w:highlight w:val="none"/>
              </w:rPr>
            </w:pPr>
          </w:p>
        </w:tc>
        <w:tc>
          <w:tcPr>
            <w:tcW w:w="3796" w:type="dxa"/>
            <w:gridSpan w:val="2"/>
            <w:vMerge w:val="continue"/>
            <w:noWrap w:val="0"/>
            <w:vAlign w:val="center"/>
          </w:tcPr>
          <w:p>
            <w:pPr>
              <w:adjustRightInd w:val="0"/>
              <w:snapToGrid w:val="0"/>
              <w:jc w:val="center"/>
              <w:rPr>
                <w:rFonts w:hint="eastAsia" w:ascii="宋体" w:hAnsi="宋体" w:cs="宋体"/>
                <w:color w:val="0C0C0C"/>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vMerge w:val="continue"/>
            <w:noWrap w:val="0"/>
            <w:vAlign w:val="center"/>
          </w:tcPr>
          <w:p>
            <w:pPr>
              <w:adjustRightInd w:val="0"/>
              <w:snapToGrid w:val="0"/>
              <w:jc w:val="center"/>
              <w:rPr>
                <w:rFonts w:hint="eastAsia" w:ascii="宋体" w:hAnsi="宋体" w:cs="宋体"/>
                <w:color w:val="0C0C0C"/>
                <w:szCs w:val="21"/>
                <w:highlight w:val="none"/>
              </w:rPr>
            </w:pPr>
          </w:p>
        </w:tc>
        <w:tc>
          <w:tcPr>
            <w:tcW w:w="1495" w:type="dxa"/>
            <w:noWrap w:val="0"/>
            <w:vAlign w:val="center"/>
          </w:tcPr>
          <w:p>
            <w:pPr>
              <w:adjustRightInd w:val="0"/>
              <w:snapToGrid w:val="0"/>
              <w:jc w:val="center"/>
              <w:rPr>
                <w:rFonts w:hint="eastAsia" w:eastAsia="宋体"/>
                <w:color w:val="0C0C0C"/>
                <w:kern w:val="2"/>
                <w:sz w:val="21"/>
                <w:szCs w:val="21"/>
                <w:highlight w:val="none"/>
                <w:lang w:val="en-US" w:eastAsia="zh-CN" w:bidi="ar-SA"/>
              </w:rPr>
            </w:pPr>
            <w:r>
              <w:rPr>
                <w:rFonts w:hint="eastAsia"/>
                <w:color w:val="0C0C0C"/>
                <w:szCs w:val="21"/>
                <w:highlight w:val="none"/>
                <w:lang w:eastAsia="zh-CN"/>
              </w:rPr>
              <w:t>含油</w:t>
            </w:r>
            <w:r>
              <w:rPr>
                <w:rFonts w:hint="eastAsia"/>
                <w:bCs/>
                <w:color w:val="0C0C0C"/>
                <w:szCs w:val="21"/>
                <w:highlight w:val="none"/>
              </w:rPr>
              <w:t>手套及废抹布</w:t>
            </w:r>
          </w:p>
        </w:tc>
        <w:tc>
          <w:tcPr>
            <w:tcW w:w="2449" w:type="dxa"/>
            <w:gridSpan w:val="2"/>
            <w:vMerge w:val="continue"/>
            <w:noWrap w:val="0"/>
            <w:vAlign w:val="center"/>
          </w:tcPr>
          <w:p>
            <w:pPr>
              <w:adjustRightInd w:val="0"/>
              <w:snapToGrid w:val="0"/>
              <w:jc w:val="center"/>
              <w:rPr>
                <w:rFonts w:hint="eastAsia" w:ascii="宋体" w:hAnsi="宋体" w:cs="宋体"/>
                <w:color w:val="0C0C0C"/>
                <w:szCs w:val="21"/>
                <w:highlight w:val="none"/>
              </w:rPr>
            </w:pPr>
          </w:p>
        </w:tc>
        <w:tc>
          <w:tcPr>
            <w:tcW w:w="3796" w:type="dxa"/>
            <w:gridSpan w:val="2"/>
            <w:vMerge w:val="continue"/>
            <w:noWrap w:val="0"/>
            <w:vAlign w:val="center"/>
          </w:tcPr>
          <w:p>
            <w:pPr>
              <w:adjustRightInd w:val="0"/>
              <w:snapToGrid w:val="0"/>
              <w:jc w:val="center"/>
              <w:rPr>
                <w:rFonts w:hint="eastAsia" w:ascii="宋体" w:hAnsi="宋体" w:cs="宋体"/>
                <w:color w:val="0C0C0C"/>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1060" w:type="dxa"/>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土壤及地下水污染防治措施</w:t>
            </w:r>
          </w:p>
        </w:tc>
        <w:tc>
          <w:tcPr>
            <w:tcW w:w="7740" w:type="dxa"/>
            <w:gridSpan w:val="5"/>
            <w:noWrap w:val="0"/>
            <w:vAlign w:val="center"/>
          </w:tcPr>
          <w:p>
            <w:pPr>
              <w:adjustRightInd w:val="0"/>
              <w:snapToGrid w:val="0"/>
              <w:rPr>
                <w:rFonts w:ascii="宋体" w:hAnsi="宋体" w:cs="宋体"/>
                <w:color w:val="0C0C0C"/>
                <w:szCs w:val="21"/>
                <w:highlight w:val="none"/>
              </w:rPr>
            </w:pPr>
            <w:r>
              <w:rPr>
                <w:rFonts w:hint="eastAsia"/>
                <w:bCs/>
                <w:color w:val="0C0C0C"/>
                <w:spacing w:val="20"/>
                <w:szCs w:val="21"/>
                <w:highlight w:val="none"/>
              </w:rPr>
              <w:t>采取的分区防控措施：</w:t>
            </w:r>
            <w:r>
              <w:rPr>
                <w:color w:val="0C0C0C"/>
                <w:szCs w:val="21"/>
                <w:highlight w:val="none"/>
              </w:rPr>
              <w:t>危险废物暂存</w:t>
            </w:r>
            <w:r>
              <w:rPr>
                <w:rFonts w:hint="eastAsia"/>
                <w:color w:val="0C0C0C"/>
                <w:szCs w:val="21"/>
                <w:highlight w:val="none"/>
              </w:rPr>
              <w:t>间</w:t>
            </w:r>
            <w:r>
              <w:rPr>
                <w:rFonts w:hint="eastAsia"/>
                <w:color w:val="0C0C0C"/>
                <w:szCs w:val="21"/>
                <w:highlight w:val="none"/>
                <w:lang w:eastAsia="zh-CN"/>
              </w:rPr>
              <w:t>需</w:t>
            </w:r>
            <w:r>
              <w:rPr>
                <w:color w:val="0C0C0C"/>
                <w:szCs w:val="21"/>
                <w:highlight w:val="none"/>
              </w:rPr>
              <w:t>设置防渗地坪</w:t>
            </w:r>
            <w:r>
              <w:rPr>
                <w:rFonts w:hint="eastAsia"/>
                <w:color w:val="0C0C0C"/>
                <w:szCs w:val="21"/>
                <w:highlight w:val="none"/>
              </w:rPr>
              <w:t>，该防渗地坪的具体情况为“等效黏土防渗层</w:t>
            </w:r>
            <w:r>
              <w:rPr>
                <w:bCs/>
                <w:color w:val="0C0C0C"/>
                <w:spacing w:val="20"/>
                <w:szCs w:val="21"/>
                <w:highlight w:val="none"/>
              </w:rPr>
              <w:t>Mb</w:t>
            </w:r>
            <w:r>
              <w:rPr>
                <w:rFonts w:hint="eastAsia"/>
                <w:bCs/>
                <w:color w:val="0C0C0C"/>
                <w:spacing w:val="20"/>
                <w:szCs w:val="21"/>
                <w:highlight w:val="none"/>
              </w:rPr>
              <w:t>为6.0</w:t>
            </w:r>
            <w:r>
              <w:rPr>
                <w:bCs/>
                <w:color w:val="0C0C0C"/>
                <w:spacing w:val="20"/>
                <w:szCs w:val="21"/>
                <w:highlight w:val="none"/>
              </w:rPr>
              <w:t>m，</w:t>
            </w:r>
            <w:r>
              <w:rPr>
                <w:bCs/>
                <w:color w:val="0C0C0C"/>
                <w:szCs w:val="21"/>
                <w:highlight w:val="none"/>
              </w:rPr>
              <w:t>渗透系数</w:t>
            </w:r>
            <w:r>
              <w:rPr>
                <w:rFonts w:hint="eastAsia"/>
                <w:bCs/>
                <w:color w:val="0C0C0C"/>
                <w:szCs w:val="21"/>
                <w:highlight w:val="none"/>
              </w:rPr>
              <w:t>约为</w:t>
            </w:r>
            <w:r>
              <w:rPr>
                <w:bCs/>
                <w:color w:val="0C0C0C"/>
                <w:szCs w:val="21"/>
                <w:highlight w:val="none"/>
              </w:rPr>
              <w:t xml:space="preserve">10 </w:t>
            </w:r>
            <w:r>
              <w:rPr>
                <w:bCs/>
                <w:color w:val="0C0C0C"/>
                <w:szCs w:val="21"/>
                <w:highlight w:val="none"/>
                <w:vertAlign w:val="superscript"/>
              </w:rPr>
              <w:t>-</w:t>
            </w:r>
            <w:r>
              <w:rPr>
                <w:rFonts w:hint="eastAsia"/>
                <w:bCs/>
                <w:color w:val="0C0C0C"/>
                <w:szCs w:val="21"/>
                <w:highlight w:val="none"/>
                <w:vertAlign w:val="superscript"/>
              </w:rPr>
              <w:t>8</w:t>
            </w:r>
            <w:r>
              <w:rPr>
                <w:bCs/>
                <w:color w:val="0C0C0C"/>
                <w:szCs w:val="21"/>
                <w:highlight w:val="none"/>
                <w:vertAlign w:val="superscript"/>
              </w:rPr>
              <w:t xml:space="preserve"> </w:t>
            </w:r>
            <w:r>
              <w:rPr>
                <w:bCs/>
                <w:color w:val="0C0C0C"/>
                <w:szCs w:val="21"/>
                <w:highlight w:val="none"/>
              </w:rPr>
              <w:t>cm/s</w:t>
            </w:r>
            <w:r>
              <w:rPr>
                <w:rFonts w:hint="eastAsia"/>
                <w:color w:val="0C0C0C"/>
                <w:szCs w:val="21"/>
                <w:highlight w:val="none"/>
              </w:rPr>
              <w:t>”。</w:t>
            </w:r>
            <w:r>
              <w:rPr>
                <w:color w:val="0C0C0C"/>
                <w:szCs w:val="21"/>
                <w:highlight w:val="none"/>
              </w:rPr>
              <w:t>生产车间</w:t>
            </w:r>
            <w:r>
              <w:rPr>
                <w:rFonts w:hint="eastAsia"/>
                <w:color w:val="0C0C0C"/>
                <w:szCs w:val="21"/>
                <w:highlight w:val="none"/>
              </w:rPr>
              <w:t>、仓库</w:t>
            </w:r>
            <w:r>
              <w:rPr>
                <w:color w:val="0C0C0C"/>
                <w:szCs w:val="21"/>
                <w:highlight w:val="none"/>
              </w:rPr>
              <w:t>的地面采取粘土铺底，</w:t>
            </w:r>
            <w:r>
              <w:rPr>
                <w:rFonts w:hint="eastAsia"/>
                <w:color w:val="0C0C0C"/>
                <w:szCs w:val="21"/>
                <w:highlight w:val="none"/>
              </w:rPr>
              <w:t>且</w:t>
            </w:r>
            <w:r>
              <w:rPr>
                <w:color w:val="0C0C0C"/>
                <w:szCs w:val="21"/>
                <w:highlight w:val="none"/>
              </w:rPr>
              <w:t>在上层铺设</w:t>
            </w:r>
            <w:r>
              <w:rPr>
                <w:rFonts w:hint="eastAsia"/>
                <w:color w:val="0C0C0C"/>
                <w:szCs w:val="21"/>
                <w:highlight w:val="none"/>
              </w:rPr>
              <w:t>12</w:t>
            </w:r>
            <w:r>
              <w:rPr>
                <w:color w:val="0C0C0C"/>
                <w:szCs w:val="21"/>
                <w:highlight w:val="none"/>
              </w:rPr>
              <w:t>cm的水泥进行硬化</w:t>
            </w:r>
            <w:r>
              <w:rPr>
                <w:rFonts w:hint="eastAsia"/>
                <w:color w:val="0C0C0C"/>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1060" w:type="dxa"/>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生态保护措施</w:t>
            </w:r>
          </w:p>
        </w:tc>
        <w:tc>
          <w:tcPr>
            <w:tcW w:w="7740" w:type="dxa"/>
            <w:gridSpan w:val="5"/>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1060" w:type="dxa"/>
            <w:noWrap w:val="0"/>
            <w:vAlign w:val="center"/>
          </w:tcPr>
          <w:p>
            <w:pPr>
              <w:adjustRightInd w:val="0"/>
              <w:snapToGrid w:val="0"/>
              <w:rPr>
                <w:rFonts w:hint="default" w:ascii="Times New Roman" w:hAnsi="Times New Roman" w:eastAsia="宋体" w:cs="Times New Roman"/>
                <w:color w:val="0C0C0C"/>
                <w:szCs w:val="21"/>
                <w:highlight w:val="none"/>
              </w:rPr>
            </w:pPr>
            <w:r>
              <w:rPr>
                <w:rFonts w:hint="default" w:ascii="Times New Roman" w:hAnsi="Times New Roman" w:eastAsia="宋体" w:cs="Times New Roman"/>
                <w:color w:val="0C0C0C"/>
                <w:szCs w:val="21"/>
                <w:highlight w:val="none"/>
              </w:rPr>
              <w:t>环境风险</w:t>
            </w:r>
          </w:p>
          <w:p>
            <w:pPr>
              <w:adjustRightInd w:val="0"/>
              <w:snapToGrid w:val="0"/>
              <w:rPr>
                <w:rFonts w:hint="default" w:ascii="Times New Roman" w:hAnsi="Times New Roman" w:eastAsia="宋体" w:cs="Times New Roman"/>
                <w:color w:val="0C0C0C"/>
                <w:szCs w:val="21"/>
                <w:highlight w:val="none"/>
              </w:rPr>
            </w:pPr>
            <w:r>
              <w:rPr>
                <w:rFonts w:hint="default" w:ascii="Times New Roman" w:hAnsi="Times New Roman" w:eastAsia="宋体" w:cs="Times New Roman"/>
                <w:color w:val="0C0C0C"/>
                <w:szCs w:val="21"/>
                <w:highlight w:val="none"/>
              </w:rPr>
              <w:t>防范措施</w:t>
            </w:r>
          </w:p>
        </w:tc>
        <w:tc>
          <w:tcPr>
            <w:tcW w:w="7740" w:type="dxa"/>
            <w:gridSpan w:val="5"/>
            <w:noWrap w:val="0"/>
            <w:vAlign w:val="center"/>
          </w:tcPr>
          <w:p>
            <w:pPr>
              <w:adjustRightInd w:val="0"/>
              <w:snapToGrid w:val="0"/>
              <w:jc w:val="center"/>
              <w:rPr>
                <w:rFonts w:hint="default" w:ascii="Times New Roman" w:hAnsi="Times New Roman" w:eastAsia="宋体" w:cs="Times New Roman"/>
                <w:color w:val="0C0C0C"/>
                <w:szCs w:val="21"/>
                <w:highlight w:val="none"/>
              </w:rPr>
            </w:pPr>
            <w:r>
              <w:rPr>
                <w:rFonts w:hint="default" w:ascii="Times New Roman" w:hAnsi="Times New Roman" w:eastAsia="宋体" w:cs="Times New Roman"/>
                <w:color w:val="0C0C0C"/>
                <w:szCs w:val="21"/>
                <w:highlight w:val="none"/>
              </w:rPr>
              <w:t>建立台账管理制度，确保治理设施正常稳定运行。加强用火管理，厂区内严禁烟火，配备一定数量的灭火器，并定期检查确保其可正常使用，加强电气设备及线路检查，防止线路和设备老化造成的引发事故；制定严格的生产操作规程，加强作业工人的安全教育，杜绝工作失误造成的事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060" w:type="dxa"/>
            <w:noWrap w:val="0"/>
            <w:vAlign w:val="center"/>
          </w:tcPr>
          <w:p>
            <w:pPr>
              <w:adjustRightInd w:val="0"/>
              <w:snapToGrid w:val="0"/>
              <w:jc w:val="center"/>
              <w:rPr>
                <w:rFonts w:ascii="宋体" w:hAnsi="宋体" w:cs="宋体"/>
                <w:color w:val="0C0C0C"/>
                <w:spacing w:val="-8"/>
                <w:szCs w:val="21"/>
                <w:highlight w:val="none"/>
              </w:rPr>
            </w:pPr>
            <w:r>
              <w:rPr>
                <w:rFonts w:hint="eastAsia" w:ascii="宋体" w:hAnsi="宋体" w:cs="宋体"/>
                <w:color w:val="0C0C0C"/>
                <w:spacing w:val="-8"/>
                <w:szCs w:val="21"/>
                <w:highlight w:val="none"/>
              </w:rPr>
              <w:t>其他环境</w:t>
            </w:r>
          </w:p>
          <w:p>
            <w:pPr>
              <w:adjustRightInd w:val="0"/>
              <w:snapToGrid w:val="0"/>
              <w:jc w:val="center"/>
              <w:rPr>
                <w:rFonts w:hint="eastAsia" w:ascii="宋体" w:hAnsi="宋体" w:cs="宋体"/>
                <w:color w:val="0C0C0C"/>
                <w:spacing w:val="-8"/>
                <w:szCs w:val="21"/>
                <w:highlight w:val="none"/>
              </w:rPr>
            </w:pPr>
            <w:r>
              <w:rPr>
                <w:rFonts w:hint="eastAsia" w:ascii="宋体" w:hAnsi="宋体" w:cs="宋体"/>
                <w:color w:val="0C0C0C"/>
                <w:spacing w:val="-8"/>
                <w:szCs w:val="21"/>
                <w:highlight w:val="none"/>
              </w:rPr>
              <w:t>管理要求</w:t>
            </w:r>
          </w:p>
        </w:tc>
        <w:tc>
          <w:tcPr>
            <w:tcW w:w="7740" w:type="dxa"/>
            <w:gridSpan w:val="5"/>
            <w:noWrap w:val="0"/>
            <w:vAlign w:val="center"/>
          </w:tcPr>
          <w:p>
            <w:pPr>
              <w:adjustRightInd w:val="0"/>
              <w:snapToGrid w:val="0"/>
              <w:jc w:val="center"/>
              <w:rPr>
                <w:rFonts w:hint="eastAsia" w:ascii="宋体" w:hAnsi="宋体" w:cs="宋体"/>
                <w:color w:val="0C0C0C"/>
                <w:szCs w:val="21"/>
                <w:highlight w:val="none"/>
              </w:rPr>
            </w:pPr>
            <w:r>
              <w:rPr>
                <w:rFonts w:hint="eastAsia" w:ascii="宋体" w:hAnsi="宋体" w:cs="宋体"/>
                <w:color w:val="0C0C0C"/>
                <w:szCs w:val="21"/>
                <w:highlight w:val="none"/>
              </w:rPr>
              <w:t>/</w:t>
            </w:r>
          </w:p>
        </w:tc>
      </w:tr>
    </w:tbl>
    <w:p>
      <w:pPr>
        <w:pStyle w:val="23"/>
        <w:adjustRightInd w:val="0"/>
        <w:snapToGrid w:val="0"/>
        <w:spacing w:before="0" w:beforeAutospacing="0" w:after="0" w:afterAutospacing="0"/>
        <w:jc w:val="both"/>
        <w:outlineLvl w:val="0"/>
        <w:rPr>
          <w:rFonts w:hint="default" w:ascii="Times New Roman" w:hAnsi="Times New Roman" w:eastAsia="黑体" w:cs="Times New Roman"/>
          <w:snapToGrid w:val="0"/>
          <w:color w:val="auto"/>
          <w:sz w:val="30"/>
          <w:szCs w:val="30"/>
          <w:highlight w:val="none"/>
        </w:rPr>
        <w:sectPr>
          <w:pgSz w:w="11906" w:h="16838"/>
          <w:pgMar w:top="1701" w:right="1531" w:bottom="1701" w:left="1531" w:header="851" w:footer="851" w:gutter="0"/>
          <w:pgNumType w:fmt="decimal"/>
          <w:cols w:space="720" w:num="1"/>
          <w:docGrid w:linePitch="312" w:charSpace="0"/>
        </w:sectPr>
      </w:pPr>
    </w:p>
    <w:p>
      <w:pPr>
        <w:pStyle w:val="23"/>
        <w:adjustRightInd w:val="0"/>
        <w:snapToGrid w:val="0"/>
        <w:spacing w:before="0" w:beforeAutospacing="0" w:after="0" w:afterAutospacing="0"/>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8865" w:type="dxa"/>
            <w:noWrap w:val="0"/>
            <w:vAlign w:val="center"/>
          </w:tcPr>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本项目建设符合“三线一单”管理及相关环保规划要求，项目按建设项目“三</w:t>
            </w:r>
          </w:p>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同时”制度要求，逐一落实本报告提出的污染治理项目，并在运营过程中加强环保</w:t>
            </w:r>
          </w:p>
          <w:p>
            <w:pPr>
              <w:adjustRightInd w:val="0"/>
              <w:snapToGrid w:val="0"/>
              <w:spacing w:line="360" w:lineRule="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设施管理，保证各项污染物达标排放，则项目对周围环境影响不明显。因此，从环境保护角度考虑，本项目的建设是合理、可行的。</w:t>
            </w: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p>
            <w:pPr>
              <w:adjustRightInd w:val="0"/>
              <w:snapToGrid w:val="0"/>
              <w:spacing w:line="360" w:lineRule="auto"/>
              <w:rPr>
                <w:rFonts w:hint="default" w:ascii="Times New Roman" w:hAnsi="Times New Roman" w:cs="Times New Roman"/>
                <w:color w:val="auto"/>
                <w:sz w:val="24"/>
                <w:highlight w:val="none"/>
              </w:rPr>
            </w:pPr>
          </w:p>
        </w:tc>
      </w:tr>
    </w:tbl>
    <w:p>
      <w:pPr>
        <w:pStyle w:val="2"/>
        <w:rPr>
          <w:rFonts w:hint="default"/>
        </w:rPr>
        <w:sectPr>
          <w:pgSz w:w="11906" w:h="16838"/>
          <w:pgMar w:top="1701" w:right="1531" w:bottom="1701" w:left="1531" w:header="851" w:footer="851" w:gutter="0"/>
          <w:pgNumType w:fmt="decimal"/>
          <w:cols w:space="720" w:num="1"/>
          <w:docGrid w:linePitch="312" w:charSpace="0"/>
        </w:sectPr>
      </w:pPr>
    </w:p>
    <w:p>
      <w:pPr>
        <w:pStyle w:val="23"/>
        <w:adjustRightInd w:val="0"/>
        <w:snapToGrid w:val="0"/>
        <w:spacing w:before="0" w:beforeAutospacing="0" w:after="0" w:afterAutospacing="0"/>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pPr>
        <w:pStyle w:val="23"/>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auto"/>
          <w:sz w:val="38"/>
          <w:szCs w:val="38"/>
          <w:highlight w:val="none"/>
        </w:rPr>
      </w:pPr>
      <w:r>
        <w:rPr>
          <w:rFonts w:hint="default" w:ascii="Times New Roman" w:hAnsi="Times New Roman" w:eastAsia="方正小标宋_GBK" w:cs="Times New Roman"/>
          <w:snapToGrid w:val="0"/>
          <w:color w:val="auto"/>
          <w:sz w:val="38"/>
          <w:szCs w:val="38"/>
          <w:highlight w:val="none"/>
        </w:rPr>
        <w:t>建设项目污染物排放量汇总表</w:t>
      </w:r>
    </w:p>
    <w:tbl>
      <w:tblPr>
        <w:tblStyle w:val="24"/>
        <w:tblW w:w="1407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997"/>
        <w:gridCol w:w="1844"/>
        <w:gridCol w:w="1178"/>
        <w:gridCol w:w="1737"/>
        <w:gridCol w:w="1592"/>
        <w:gridCol w:w="1370"/>
        <w:gridCol w:w="1692"/>
        <w:gridCol w:w="15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1087" w:type="dxa"/>
            <w:tcBorders>
              <w:tl2br w:val="single" w:color="auto" w:sz="4" w:space="0"/>
            </w:tcBorders>
            <w:noWrap w:val="0"/>
            <w:tcMar>
              <w:left w:w="28" w:type="dxa"/>
              <w:right w:w="28" w:type="dxa"/>
            </w:tcMar>
            <w:vAlign w:val="center"/>
          </w:tcPr>
          <w:p>
            <w:pPr>
              <w:pStyle w:val="44"/>
              <w:spacing w:beforeLines="0" w:afterLines="0" w:line="240" w:lineRule="auto"/>
              <w:rPr>
                <w:rFonts w:hint="eastAsia" w:ascii="黑体" w:hAnsi="黑体" w:eastAsia="黑体" w:cs="宋体"/>
                <w:snapToGrid w:val="0"/>
                <w:color w:val="0C0C0C"/>
                <w:spacing w:val="-6"/>
                <w:kern w:val="21"/>
                <w:szCs w:val="21"/>
                <w:highlight w:val="none"/>
              </w:rPr>
            </w:pPr>
            <w:r>
              <w:rPr>
                <w:rFonts w:hint="eastAsia" w:ascii="黑体" w:hAnsi="黑体" w:eastAsia="黑体" w:cs="宋体"/>
                <w:snapToGrid w:val="0"/>
                <w:color w:val="0C0C0C"/>
                <w:spacing w:val="-6"/>
                <w:kern w:val="21"/>
                <w:szCs w:val="21"/>
                <w:highlight w:val="none"/>
              </w:rPr>
              <w:t>项目</w:t>
            </w:r>
          </w:p>
          <w:p>
            <w:pPr>
              <w:pStyle w:val="44"/>
              <w:spacing w:beforeLines="0" w:afterLines="0" w:line="240" w:lineRule="auto"/>
              <w:jc w:val="left"/>
              <w:rPr>
                <w:rFonts w:hint="eastAsia" w:ascii="黑体" w:hAnsi="黑体" w:eastAsia="黑体" w:cs="宋体"/>
                <w:snapToGrid w:val="0"/>
                <w:color w:val="0C0C0C"/>
                <w:spacing w:val="-6"/>
                <w:kern w:val="21"/>
                <w:szCs w:val="21"/>
                <w:highlight w:val="none"/>
              </w:rPr>
            </w:pPr>
            <w:r>
              <w:rPr>
                <w:rFonts w:hint="eastAsia" w:ascii="黑体" w:hAnsi="黑体" w:eastAsia="黑体" w:cs="宋体"/>
                <w:snapToGrid w:val="0"/>
                <w:color w:val="0C0C0C"/>
                <w:spacing w:val="-6"/>
                <w:kern w:val="21"/>
                <w:szCs w:val="21"/>
                <w:highlight w:val="none"/>
              </w:rPr>
              <w:t>分类</w:t>
            </w:r>
          </w:p>
        </w:tc>
        <w:tc>
          <w:tcPr>
            <w:tcW w:w="1997" w:type="dxa"/>
            <w:noWrap w:val="0"/>
            <w:tcMar>
              <w:left w:w="28" w:type="dxa"/>
              <w:right w:w="28" w:type="dxa"/>
            </w:tcMar>
            <w:vAlign w:val="center"/>
          </w:tcPr>
          <w:p>
            <w:pPr>
              <w:pStyle w:val="44"/>
              <w:spacing w:beforeLines="0" w:afterLines="0" w:line="240" w:lineRule="auto"/>
              <w:rPr>
                <w:rFonts w:hint="eastAsia" w:ascii="黑体" w:hAnsi="黑体" w:eastAsia="黑体" w:cs="宋体"/>
                <w:snapToGrid w:val="0"/>
                <w:color w:val="0C0C0C"/>
                <w:spacing w:val="-6"/>
                <w:kern w:val="21"/>
                <w:szCs w:val="21"/>
                <w:highlight w:val="none"/>
              </w:rPr>
            </w:pPr>
            <w:r>
              <w:rPr>
                <w:rFonts w:hint="eastAsia" w:ascii="黑体" w:hAnsi="黑体" w:eastAsia="黑体" w:cs="宋体"/>
                <w:snapToGrid w:val="0"/>
                <w:color w:val="0C0C0C"/>
                <w:spacing w:val="-6"/>
                <w:kern w:val="21"/>
                <w:szCs w:val="21"/>
                <w:highlight w:val="none"/>
              </w:rPr>
              <w:t>污染物名称</w:t>
            </w:r>
          </w:p>
        </w:tc>
        <w:tc>
          <w:tcPr>
            <w:tcW w:w="1844" w:type="dxa"/>
            <w:noWrap w:val="0"/>
            <w:tcMar>
              <w:left w:w="28" w:type="dxa"/>
              <w:right w:w="28" w:type="dxa"/>
            </w:tcMar>
            <w:vAlign w:val="center"/>
          </w:tcPr>
          <w:p>
            <w:pPr>
              <w:pStyle w:val="44"/>
              <w:spacing w:beforeLines="0" w:afterLines="0" w:line="240" w:lineRule="auto"/>
              <w:rPr>
                <w:rFonts w:hint="eastAsia"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t>现有工程</w:t>
            </w:r>
          </w:p>
          <w:p>
            <w:pPr>
              <w:pStyle w:val="44"/>
              <w:spacing w:beforeLines="0" w:afterLines="0" w:line="240" w:lineRule="auto"/>
              <w:rPr>
                <w:rFonts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t>排放量（固</w:t>
            </w:r>
            <w:r>
              <w:rPr>
                <w:rFonts w:hint="eastAsia" w:ascii="黑体" w:hAnsi="黑体" w:eastAsia="黑体"/>
                <w:snapToGrid w:val="0"/>
                <w:color w:val="0C0C0C"/>
                <w:spacing w:val="-6"/>
                <w:kern w:val="21"/>
                <w:szCs w:val="21"/>
                <w:highlight w:val="none"/>
              </w:rPr>
              <w:t>体</w:t>
            </w:r>
            <w:r>
              <w:rPr>
                <w:rFonts w:ascii="黑体" w:hAnsi="黑体" w:eastAsia="黑体"/>
                <w:snapToGrid w:val="0"/>
                <w:color w:val="0C0C0C"/>
                <w:spacing w:val="-6"/>
                <w:kern w:val="21"/>
                <w:szCs w:val="21"/>
                <w:highlight w:val="none"/>
              </w:rPr>
              <w:t>废</w:t>
            </w:r>
            <w:r>
              <w:rPr>
                <w:rFonts w:hint="eastAsia" w:ascii="黑体" w:hAnsi="黑体" w:eastAsia="黑体"/>
                <w:snapToGrid w:val="0"/>
                <w:color w:val="0C0C0C"/>
                <w:spacing w:val="-6"/>
                <w:kern w:val="21"/>
                <w:szCs w:val="21"/>
                <w:highlight w:val="none"/>
              </w:rPr>
              <w:t>物</w:t>
            </w:r>
            <w:r>
              <w:rPr>
                <w:rFonts w:ascii="黑体" w:hAnsi="黑体" w:eastAsia="黑体"/>
                <w:snapToGrid w:val="0"/>
                <w:color w:val="0C0C0C"/>
                <w:spacing w:val="-6"/>
                <w:kern w:val="21"/>
                <w:szCs w:val="21"/>
                <w:highlight w:val="none"/>
              </w:rPr>
              <w:t>产生量）</w:t>
            </w:r>
            <w:r>
              <w:rPr>
                <w:rFonts w:ascii="黑体" w:hAnsi="黑体" w:eastAsia="黑体"/>
                <w:snapToGrid w:val="0"/>
                <w:color w:val="0C0C0C"/>
                <w:spacing w:val="-6"/>
                <w:kern w:val="21"/>
                <w:szCs w:val="21"/>
                <w:highlight w:val="none"/>
              </w:rPr>
              <w:fldChar w:fldCharType="begin"/>
            </w:r>
            <w:r>
              <w:rPr>
                <w:rFonts w:ascii="黑体" w:hAnsi="黑体" w:eastAsia="黑体"/>
                <w:snapToGrid w:val="0"/>
                <w:color w:val="0C0C0C"/>
                <w:spacing w:val="-6"/>
                <w:kern w:val="21"/>
                <w:szCs w:val="21"/>
                <w:highlight w:val="none"/>
              </w:rPr>
              <w:instrText xml:space="preserve"> = 1 \* GB3 \* MERGEFORMAT </w:instrText>
            </w:r>
            <w:r>
              <w:rPr>
                <w:rFonts w:ascii="黑体" w:hAnsi="黑体" w:eastAsia="黑体"/>
                <w:snapToGrid w:val="0"/>
                <w:color w:val="0C0C0C"/>
                <w:spacing w:val="-6"/>
                <w:kern w:val="21"/>
                <w:szCs w:val="21"/>
                <w:highlight w:val="none"/>
              </w:rPr>
              <w:fldChar w:fldCharType="separate"/>
            </w:r>
            <w:r>
              <w:rPr>
                <w:rFonts w:hint="eastAsia" w:ascii="黑体" w:hAnsi="黑体" w:eastAsia="黑体" w:cs="宋体"/>
                <w:color w:val="0C0C0C"/>
                <w:kern w:val="2"/>
                <w:szCs w:val="21"/>
                <w:highlight w:val="none"/>
              </w:rPr>
              <w:t>①</w:t>
            </w:r>
            <w:r>
              <w:rPr>
                <w:rFonts w:ascii="黑体" w:hAnsi="黑体" w:eastAsia="黑体"/>
                <w:snapToGrid w:val="0"/>
                <w:color w:val="0C0C0C"/>
                <w:spacing w:val="-6"/>
                <w:kern w:val="21"/>
                <w:szCs w:val="21"/>
                <w:highlight w:val="none"/>
              </w:rPr>
              <w:fldChar w:fldCharType="end"/>
            </w:r>
          </w:p>
        </w:tc>
        <w:tc>
          <w:tcPr>
            <w:tcW w:w="1178" w:type="dxa"/>
            <w:noWrap w:val="0"/>
            <w:tcMar>
              <w:left w:w="28" w:type="dxa"/>
              <w:right w:w="28" w:type="dxa"/>
            </w:tcMar>
            <w:vAlign w:val="center"/>
          </w:tcPr>
          <w:p>
            <w:pPr>
              <w:pStyle w:val="44"/>
              <w:spacing w:beforeLines="0" w:afterLines="0" w:line="240" w:lineRule="auto"/>
              <w:rPr>
                <w:rFonts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t>现有工程</w:t>
            </w:r>
          </w:p>
          <w:p>
            <w:pPr>
              <w:pStyle w:val="44"/>
              <w:spacing w:beforeLines="0" w:afterLines="0" w:line="240" w:lineRule="auto"/>
              <w:rPr>
                <w:rFonts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t>许可排放量</w:t>
            </w:r>
          </w:p>
          <w:p>
            <w:pPr>
              <w:pStyle w:val="44"/>
              <w:spacing w:beforeLines="0" w:afterLines="0"/>
              <w:rPr>
                <w:rFonts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fldChar w:fldCharType="begin"/>
            </w:r>
            <w:r>
              <w:rPr>
                <w:rFonts w:ascii="黑体" w:hAnsi="黑体" w:eastAsia="黑体"/>
                <w:snapToGrid w:val="0"/>
                <w:color w:val="0C0C0C"/>
                <w:spacing w:val="-6"/>
                <w:kern w:val="21"/>
                <w:szCs w:val="21"/>
                <w:highlight w:val="none"/>
              </w:rPr>
              <w:instrText xml:space="preserve"> = 2 \* GB3 \* MERGEFORMAT </w:instrText>
            </w:r>
            <w:r>
              <w:rPr>
                <w:rFonts w:ascii="黑体" w:hAnsi="黑体" w:eastAsia="黑体"/>
                <w:snapToGrid w:val="0"/>
                <w:color w:val="0C0C0C"/>
                <w:spacing w:val="-6"/>
                <w:kern w:val="21"/>
                <w:szCs w:val="21"/>
                <w:highlight w:val="none"/>
              </w:rPr>
              <w:fldChar w:fldCharType="separate"/>
            </w:r>
            <w:r>
              <w:rPr>
                <w:rFonts w:hint="eastAsia" w:ascii="黑体" w:hAnsi="黑体" w:eastAsia="黑体" w:cs="宋体"/>
                <w:snapToGrid w:val="0"/>
                <w:color w:val="0C0C0C"/>
                <w:spacing w:val="-6"/>
                <w:kern w:val="21"/>
                <w:szCs w:val="21"/>
                <w:highlight w:val="none"/>
              </w:rPr>
              <w:t>②</w:t>
            </w:r>
            <w:r>
              <w:rPr>
                <w:rFonts w:ascii="黑体" w:hAnsi="黑体" w:eastAsia="黑体"/>
                <w:snapToGrid w:val="0"/>
                <w:color w:val="0C0C0C"/>
                <w:spacing w:val="-6"/>
                <w:kern w:val="21"/>
                <w:szCs w:val="21"/>
                <w:highlight w:val="none"/>
              </w:rPr>
              <w:fldChar w:fldCharType="end"/>
            </w:r>
          </w:p>
        </w:tc>
        <w:tc>
          <w:tcPr>
            <w:tcW w:w="1737" w:type="dxa"/>
            <w:noWrap w:val="0"/>
            <w:tcMar>
              <w:left w:w="28" w:type="dxa"/>
              <w:right w:w="28" w:type="dxa"/>
            </w:tcMar>
            <w:vAlign w:val="center"/>
          </w:tcPr>
          <w:p>
            <w:pPr>
              <w:pStyle w:val="44"/>
              <w:spacing w:beforeLines="0" w:afterLines="0" w:line="240" w:lineRule="auto"/>
              <w:rPr>
                <w:rFonts w:hint="eastAsia"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t>在建工程</w:t>
            </w:r>
          </w:p>
          <w:p>
            <w:pPr>
              <w:pStyle w:val="44"/>
              <w:spacing w:beforeLines="0" w:afterLines="0" w:line="240" w:lineRule="auto"/>
              <w:rPr>
                <w:rFonts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t>排放量（固</w:t>
            </w:r>
            <w:r>
              <w:rPr>
                <w:rFonts w:hint="eastAsia" w:ascii="黑体" w:hAnsi="黑体" w:eastAsia="黑体"/>
                <w:snapToGrid w:val="0"/>
                <w:color w:val="0C0C0C"/>
                <w:spacing w:val="-6"/>
                <w:kern w:val="21"/>
                <w:szCs w:val="21"/>
                <w:highlight w:val="none"/>
              </w:rPr>
              <w:t>体</w:t>
            </w:r>
            <w:r>
              <w:rPr>
                <w:rFonts w:ascii="黑体" w:hAnsi="黑体" w:eastAsia="黑体"/>
                <w:snapToGrid w:val="0"/>
                <w:color w:val="0C0C0C"/>
                <w:spacing w:val="-6"/>
                <w:kern w:val="21"/>
                <w:szCs w:val="21"/>
                <w:highlight w:val="none"/>
              </w:rPr>
              <w:t>废</w:t>
            </w:r>
            <w:r>
              <w:rPr>
                <w:rFonts w:hint="eastAsia" w:ascii="黑体" w:hAnsi="黑体" w:eastAsia="黑体"/>
                <w:snapToGrid w:val="0"/>
                <w:color w:val="0C0C0C"/>
                <w:spacing w:val="-6"/>
                <w:kern w:val="21"/>
                <w:szCs w:val="21"/>
                <w:highlight w:val="none"/>
              </w:rPr>
              <w:t>物</w:t>
            </w:r>
            <w:r>
              <w:rPr>
                <w:rFonts w:ascii="黑体" w:hAnsi="黑体" w:eastAsia="黑体"/>
                <w:snapToGrid w:val="0"/>
                <w:color w:val="0C0C0C"/>
                <w:spacing w:val="-6"/>
                <w:kern w:val="21"/>
                <w:szCs w:val="21"/>
                <w:highlight w:val="none"/>
              </w:rPr>
              <w:t>产生量）</w:t>
            </w:r>
            <w:r>
              <w:rPr>
                <w:rFonts w:ascii="黑体" w:hAnsi="黑体" w:eastAsia="黑体"/>
                <w:snapToGrid w:val="0"/>
                <w:color w:val="0C0C0C"/>
                <w:spacing w:val="-6"/>
                <w:kern w:val="21"/>
                <w:szCs w:val="21"/>
                <w:highlight w:val="none"/>
              </w:rPr>
              <w:fldChar w:fldCharType="begin"/>
            </w:r>
            <w:r>
              <w:rPr>
                <w:rFonts w:ascii="黑体" w:hAnsi="黑体" w:eastAsia="黑体"/>
                <w:snapToGrid w:val="0"/>
                <w:color w:val="0C0C0C"/>
                <w:spacing w:val="-6"/>
                <w:kern w:val="21"/>
                <w:szCs w:val="21"/>
                <w:highlight w:val="none"/>
              </w:rPr>
              <w:instrText xml:space="preserve"> = 3 \* GB3 \* MERGEFORMAT </w:instrText>
            </w:r>
            <w:r>
              <w:rPr>
                <w:rFonts w:ascii="黑体" w:hAnsi="黑体" w:eastAsia="黑体"/>
                <w:snapToGrid w:val="0"/>
                <w:color w:val="0C0C0C"/>
                <w:spacing w:val="-6"/>
                <w:kern w:val="21"/>
                <w:szCs w:val="21"/>
                <w:highlight w:val="none"/>
              </w:rPr>
              <w:fldChar w:fldCharType="separate"/>
            </w:r>
            <w:r>
              <w:rPr>
                <w:rFonts w:hint="eastAsia" w:ascii="黑体" w:hAnsi="黑体" w:eastAsia="黑体" w:cs="宋体"/>
                <w:color w:val="0C0C0C"/>
                <w:kern w:val="2"/>
                <w:szCs w:val="21"/>
                <w:highlight w:val="none"/>
              </w:rPr>
              <w:t>③</w:t>
            </w:r>
            <w:r>
              <w:rPr>
                <w:rFonts w:ascii="黑体" w:hAnsi="黑体" w:eastAsia="黑体"/>
                <w:snapToGrid w:val="0"/>
                <w:color w:val="0C0C0C"/>
                <w:spacing w:val="-6"/>
                <w:kern w:val="21"/>
                <w:szCs w:val="21"/>
                <w:highlight w:val="none"/>
              </w:rPr>
              <w:fldChar w:fldCharType="end"/>
            </w:r>
          </w:p>
        </w:tc>
        <w:tc>
          <w:tcPr>
            <w:tcW w:w="1592" w:type="dxa"/>
            <w:noWrap w:val="0"/>
            <w:tcMar>
              <w:left w:w="28" w:type="dxa"/>
              <w:right w:w="28" w:type="dxa"/>
            </w:tcMar>
            <w:vAlign w:val="center"/>
          </w:tcPr>
          <w:p>
            <w:pPr>
              <w:pStyle w:val="44"/>
              <w:spacing w:beforeLines="0" w:afterLines="0" w:line="240" w:lineRule="auto"/>
              <w:rPr>
                <w:rFonts w:hint="eastAsia" w:ascii="黑体" w:hAnsi="黑体" w:eastAsia="黑体"/>
                <w:snapToGrid w:val="0"/>
                <w:color w:val="0C0C0C"/>
                <w:spacing w:val="-6"/>
                <w:kern w:val="21"/>
                <w:szCs w:val="21"/>
                <w:highlight w:val="none"/>
              </w:rPr>
            </w:pPr>
            <w:r>
              <w:rPr>
                <w:rFonts w:hint="eastAsia" w:ascii="黑体" w:hAnsi="黑体" w:eastAsia="黑体"/>
                <w:snapToGrid w:val="0"/>
                <w:color w:val="0C0C0C"/>
                <w:spacing w:val="-6"/>
                <w:kern w:val="21"/>
                <w:szCs w:val="21"/>
                <w:highlight w:val="none"/>
              </w:rPr>
              <w:t>本扩建项目</w:t>
            </w:r>
          </w:p>
          <w:p>
            <w:pPr>
              <w:pStyle w:val="44"/>
              <w:spacing w:beforeLines="0" w:afterLines="0" w:line="240" w:lineRule="auto"/>
              <w:rPr>
                <w:rFonts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t>排放量（固</w:t>
            </w:r>
            <w:r>
              <w:rPr>
                <w:rFonts w:hint="eastAsia" w:ascii="黑体" w:hAnsi="黑体" w:eastAsia="黑体"/>
                <w:snapToGrid w:val="0"/>
                <w:color w:val="0C0C0C"/>
                <w:spacing w:val="-6"/>
                <w:kern w:val="21"/>
                <w:szCs w:val="21"/>
                <w:highlight w:val="none"/>
              </w:rPr>
              <w:t>体</w:t>
            </w:r>
            <w:r>
              <w:rPr>
                <w:rFonts w:ascii="黑体" w:hAnsi="黑体" w:eastAsia="黑体"/>
                <w:snapToGrid w:val="0"/>
                <w:color w:val="0C0C0C"/>
                <w:spacing w:val="-6"/>
                <w:kern w:val="21"/>
                <w:szCs w:val="21"/>
                <w:highlight w:val="none"/>
              </w:rPr>
              <w:t>废</w:t>
            </w:r>
            <w:r>
              <w:rPr>
                <w:rFonts w:hint="eastAsia" w:ascii="黑体" w:hAnsi="黑体" w:eastAsia="黑体"/>
                <w:snapToGrid w:val="0"/>
                <w:color w:val="0C0C0C"/>
                <w:spacing w:val="-6"/>
                <w:kern w:val="21"/>
                <w:szCs w:val="21"/>
                <w:highlight w:val="none"/>
              </w:rPr>
              <w:t>物</w:t>
            </w:r>
            <w:r>
              <w:rPr>
                <w:rFonts w:ascii="黑体" w:hAnsi="黑体" w:eastAsia="黑体"/>
                <w:snapToGrid w:val="0"/>
                <w:color w:val="0C0C0C"/>
                <w:spacing w:val="-6"/>
                <w:kern w:val="21"/>
                <w:szCs w:val="21"/>
                <w:highlight w:val="none"/>
              </w:rPr>
              <w:t>产生量）</w:t>
            </w:r>
            <w:r>
              <w:rPr>
                <w:rFonts w:ascii="黑体" w:hAnsi="黑体" w:eastAsia="黑体"/>
                <w:snapToGrid w:val="0"/>
                <w:color w:val="0C0C0C"/>
                <w:spacing w:val="-6"/>
                <w:kern w:val="21"/>
                <w:szCs w:val="21"/>
                <w:highlight w:val="none"/>
              </w:rPr>
              <w:fldChar w:fldCharType="begin"/>
            </w:r>
            <w:r>
              <w:rPr>
                <w:rFonts w:ascii="黑体" w:hAnsi="黑体" w:eastAsia="黑体"/>
                <w:snapToGrid w:val="0"/>
                <w:color w:val="0C0C0C"/>
                <w:spacing w:val="-6"/>
                <w:kern w:val="21"/>
                <w:szCs w:val="21"/>
                <w:highlight w:val="none"/>
              </w:rPr>
              <w:instrText xml:space="preserve"> = 4 \* GB3 \* MERGEFORMAT </w:instrText>
            </w:r>
            <w:r>
              <w:rPr>
                <w:rFonts w:ascii="黑体" w:hAnsi="黑体" w:eastAsia="黑体"/>
                <w:snapToGrid w:val="0"/>
                <w:color w:val="0C0C0C"/>
                <w:spacing w:val="-6"/>
                <w:kern w:val="21"/>
                <w:szCs w:val="21"/>
                <w:highlight w:val="none"/>
              </w:rPr>
              <w:fldChar w:fldCharType="separate"/>
            </w:r>
            <w:r>
              <w:rPr>
                <w:rFonts w:hint="eastAsia" w:ascii="黑体" w:hAnsi="黑体" w:eastAsia="黑体" w:cs="宋体"/>
                <w:color w:val="0C0C0C"/>
                <w:kern w:val="2"/>
                <w:szCs w:val="21"/>
                <w:highlight w:val="none"/>
              </w:rPr>
              <w:t>④</w:t>
            </w:r>
            <w:r>
              <w:rPr>
                <w:rFonts w:ascii="黑体" w:hAnsi="黑体" w:eastAsia="黑体"/>
                <w:snapToGrid w:val="0"/>
                <w:color w:val="0C0C0C"/>
                <w:spacing w:val="-6"/>
                <w:kern w:val="21"/>
                <w:szCs w:val="21"/>
                <w:highlight w:val="none"/>
              </w:rPr>
              <w:fldChar w:fldCharType="end"/>
            </w:r>
          </w:p>
        </w:tc>
        <w:tc>
          <w:tcPr>
            <w:tcW w:w="1370" w:type="dxa"/>
            <w:noWrap w:val="0"/>
            <w:tcMar>
              <w:left w:w="28" w:type="dxa"/>
              <w:right w:w="28" w:type="dxa"/>
            </w:tcMar>
            <w:vAlign w:val="center"/>
          </w:tcPr>
          <w:p>
            <w:pPr>
              <w:pStyle w:val="44"/>
              <w:spacing w:beforeLines="0" w:afterLines="0" w:line="240" w:lineRule="auto"/>
              <w:rPr>
                <w:rFonts w:hint="eastAsia" w:ascii="黑体" w:hAnsi="黑体" w:eastAsia="黑体"/>
                <w:snapToGrid w:val="0"/>
                <w:color w:val="0C0C0C"/>
                <w:spacing w:val="-16"/>
                <w:kern w:val="21"/>
                <w:szCs w:val="21"/>
                <w:highlight w:val="none"/>
              </w:rPr>
            </w:pPr>
            <w:r>
              <w:rPr>
                <w:rFonts w:ascii="黑体" w:hAnsi="黑体" w:eastAsia="黑体"/>
                <w:snapToGrid w:val="0"/>
                <w:color w:val="0C0C0C"/>
                <w:spacing w:val="-16"/>
                <w:kern w:val="21"/>
                <w:szCs w:val="21"/>
                <w:highlight w:val="none"/>
              </w:rPr>
              <w:t>以新带老削减量</w:t>
            </w:r>
          </w:p>
          <w:p>
            <w:pPr>
              <w:pStyle w:val="44"/>
              <w:spacing w:beforeLines="0" w:afterLines="0" w:line="240" w:lineRule="auto"/>
              <w:rPr>
                <w:rFonts w:ascii="黑体" w:hAnsi="黑体" w:eastAsia="黑体"/>
                <w:snapToGrid w:val="0"/>
                <w:color w:val="0C0C0C"/>
                <w:spacing w:val="-16"/>
                <w:kern w:val="21"/>
                <w:szCs w:val="21"/>
                <w:highlight w:val="none"/>
              </w:rPr>
            </w:pPr>
            <w:r>
              <w:rPr>
                <w:rFonts w:ascii="黑体" w:hAnsi="黑体" w:eastAsia="黑体"/>
                <w:snapToGrid w:val="0"/>
                <w:color w:val="0C0C0C"/>
                <w:spacing w:val="-16"/>
                <w:kern w:val="21"/>
                <w:szCs w:val="21"/>
                <w:highlight w:val="none"/>
              </w:rPr>
              <w:t>（新建项目不填）</w:t>
            </w:r>
            <w:r>
              <w:rPr>
                <w:rFonts w:ascii="黑体" w:hAnsi="黑体" w:eastAsia="黑体"/>
                <w:snapToGrid w:val="0"/>
                <w:color w:val="0C0C0C"/>
                <w:spacing w:val="-16"/>
                <w:kern w:val="21"/>
                <w:szCs w:val="21"/>
                <w:highlight w:val="none"/>
              </w:rPr>
              <w:fldChar w:fldCharType="begin"/>
            </w:r>
            <w:r>
              <w:rPr>
                <w:rFonts w:ascii="黑体" w:hAnsi="黑体" w:eastAsia="黑体"/>
                <w:snapToGrid w:val="0"/>
                <w:color w:val="0C0C0C"/>
                <w:spacing w:val="-16"/>
                <w:kern w:val="21"/>
                <w:szCs w:val="21"/>
                <w:highlight w:val="none"/>
              </w:rPr>
              <w:instrText xml:space="preserve"> = 5 \* GB3 \* MERGEFORMAT </w:instrText>
            </w:r>
            <w:r>
              <w:rPr>
                <w:rFonts w:ascii="黑体" w:hAnsi="黑体" w:eastAsia="黑体"/>
                <w:snapToGrid w:val="0"/>
                <w:color w:val="0C0C0C"/>
                <w:spacing w:val="-16"/>
                <w:kern w:val="21"/>
                <w:szCs w:val="21"/>
                <w:highlight w:val="none"/>
              </w:rPr>
              <w:fldChar w:fldCharType="separate"/>
            </w:r>
            <w:r>
              <w:rPr>
                <w:rFonts w:hint="eastAsia" w:ascii="黑体" w:hAnsi="黑体" w:eastAsia="黑体" w:cs="宋体"/>
                <w:color w:val="0C0C0C"/>
                <w:kern w:val="2"/>
                <w:szCs w:val="21"/>
                <w:highlight w:val="none"/>
              </w:rPr>
              <w:t>⑤</w:t>
            </w:r>
            <w:r>
              <w:rPr>
                <w:rFonts w:ascii="黑体" w:hAnsi="黑体" w:eastAsia="黑体"/>
                <w:snapToGrid w:val="0"/>
                <w:color w:val="0C0C0C"/>
                <w:spacing w:val="-16"/>
                <w:kern w:val="21"/>
                <w:szCs w:val="21"/>
                <w:highlight w:val="none"/>
              </w:rPr>
              <w:fldChar w:fldCharType="end"/>
            </w:r>
          </w:p>
        </w:tc>
        <w:tc>
          <w:tcPr>
            <w:tcW w:w="1692" w:type="dxa"/>
            <w:noWrap w:val="0"/>
            <w:tcMar>
              <w:left w:w="28" w:type="dxa"/>
              <w:right w:w="28" w:type="dxa"/>
            </w:tcMar>
            <w:vAlign w:val="center"/>
          </w:tcPr>
          <w:p>
            <w:pPr>
              <w:pStyle w:val="44"/>
              <w:spacing w:beforeLines="0" w:afterLines="0" w:line="240" w:lineRule="auto"/>
              <w:rPr>
                <w:rFonts w:hint="eastAsia" w:ascii="黑体" w:hAnsi="黑体" w:eastAsia="黑体"/>
                <w:snapToGrid w:val="0"/>
                <w:color w:val="0C0C0C"/>
                <w:spacing w:val="-16"/>
                <w:kern w:val="21"/>
                <w:szCs w:val="21"/>
                <w:highlight w:val="none"/>
              </w:rPr>
            </w:pPr>
            <w:r>
              <w:rPr>
                <w:rFonts w:hint="eastAsia" w:ascii="黑体" w:hAnsi="黑体" w:eastAsia="黑体"/>
                <w:snapToGrid w:val="0"/>
                <w:color w:val="0C0C0C"/>
                <w:spacing w:val="-16"/>
                <w:kern w:val="21"/>
                <w:szCs w:val="21"/>
                <w:highlight w:val="none"/>
              </w:rPr>
              <w:t>本扩建项目</w:t>
            </w:r>
            <w:r>
              <w:rPr>
                <w:rFonts w:ascii="黑体" w:hAnsi="黑体" w:eastAsia="黑体"/>
                <w:snapToGrid w:val="0"/>
                <w:color w:val="0C0C0C"/>
                <w:spacing w:val="-16"/>
                <w:kern w:val="21"/>
                <w:szCs w:val="21"/>
                <w:highlight w:val="none"/>
              </w:rPr>
              <w:t>建成后</w:t>
            </w:r>
          </w:p>
          <w:p>
            <w:pPr>
              <w:pStyle w:val="44"/>
              <w:spacing w:beforeLines="0" w:afterLines="0" w:line="240" w:lineRule="auto"/>
              <w:rPr>
                <w:rFonts w:ascii="黑体" w:hAnsi="黑体" w:eastAsia="黑体"/>
                <w:snapToGrid w:val="0"/>
                <w:color w:val="0C0C0C"/>
                <w:spacing w:val="-16"/>
                <w:kern w:val="21"/>
                <w:szCs w:val="21"/>
                <w:highlight w:val="none"/>
              </w:rPr>
            </w:pPr>
            <w:r>
              <w:rPr>
                <w:rFonts w:hint="eastAsia" w:ascii="黑体" w:hAnsi="黑体" w:eastAsia="黑体"/>
                <w:snapToGrid w:val="0"/>
                <w:color w:val="0C0C0C"/>
                <w:spacing w:val="-16"/>
                <w:kern w:val="21"/>
                <w:szCs w:val="21"/>
                <w:highlight w:val="none"/>
              </w:rPr>
              <w:t>全厂</w:t>
            </w:r>
            <w:r>
              <w:rPr>
                <w:rFonts w:ascii="黑体" w:hAnsi="黑体" w:eastAsia="黑体"/>
                <w:snapToGrid w:val="0"/>
                <w:color w:val="0C0C0C"/>
                <w:spacing w:val="-16"/>
                <w:kern w:val="21"/>
                <w:szCs w:val="21"/>
                <w:highlight w:val="none"/>
              </w:rPr>
              <w:t>排放量（固</w:t>
            </w:r>
            <w:r>
              <w:rPr>
                <w:rFonts w:hint="eastAsia" w:ascii="黑体" w:hAnsi="黑体" w:eastAsia="黑体"/>
                <w:snapToGrid w:val="0"/>
                <w:color w:val="0C0C0C"/>
                <w:spacing w:val="-16"/>
                <w:kern w:val="21"/>
                <w:szCs w:val="21"/>
                <w:highlight w:val="none"/>
              </w:rPr>
              <w:t>体</w:t>
            </w:r>
            <w:r>
              <w:rPr>
                <w:rFonts w:ascii="黑体" w:hAnsi="黑体" w:eastAsia="黑体"/>
                <w:snapToGrid w:val="0"/>
                <w:color w:val="0C0C0C"/>
                <w:spacing w:val="-16"/>
                <w:kern w:val="21"/>
                <w:szCs w:val="21"/>
                <w:highlight w:val="none"/>
              </w:rPr>
              <w:t>废</w:t>
            </w:r>
            <w:r>
              <w:rPr>
                <w:rFonts w:hint="eastAsia" w:ascii="黑体" w:hAnsi="黑体" w:eastAsia="黑体"/>
                <w:snapToGrid w:val="0"/>
                <w:color w:val="0C0C0C"/>
                <w:spacing w:val="-16"/>
                <w:kern w:val="21"/>
                <w:szCs w:val="21"/>
                <w:highlight w:val="none"/>
              </w:rPr>
              <w:t>物</w:t>
            </w:r>
            <w:r>
              <w:rPr>
                <w:rFonts w:ascii="黑体" w:hAnsi="黑体" w:eastAsia="黑体"/>
                <w:snapToGrid w:val="0"/>
                <w:color w:val="0C0C0C"/>
                <w:spacing w:val="-16"/>
                <w:kern w:val="21"/>
                <w:szCs w:val="21"/>
                <w:highlight w:val="none"/>
              </w:rPr>
              <w:t>产生量）</w:t>
            </w:r>
            <w:r>
              <w:rPr>
                <w:rFonts w:ascii="黑体" w:hAnsi="黑体" w:eastAsia="黑体"/>
                <w:snapToGrid w:val="0"/>
                <w:color w:val="0C0C0C"/>
                <w:spacing w:val="-16"/>
                <w:kern w:val="21"/>
                <w:szCs w:val="21"/>
                <w:highlight w:val="none"/>
              </w:rPr>
              <w:fldChar w:fldCharType="begin"/>
            </w:r>
            <w:r>
              <w:rPr>
                <w:rFonts w:ascii="黑体" w:hAnsi="黑体" w:eastAsia="黑体"/>
                <w:snapToGrid w:val="0"/>
                <w:color w:val="0C0C0C"/>
                <w:spacing w:val="-16"/>
                <w:kern w:val="21"/>
                <w:szCs w:val="21"/>
                <w:highlight w:val="none"/>
              </w:rPr>
              <w:instrText xml:space="preserve"> = 6 \* GB3 \* MERGEFORMAT </w:instrText>
            </w:r>
            <w:r>
              <w:rPr>
                <w:rFonts w:ascii="黑体" w:hAnsi="黑体" w:eastAsia="黑体"/>
                <w:snapToGrid w:val="0"/>
                <w:color w:val="0C0C0C"/>
                <w:spacing w:val="-16"/>
                <w:kern w:val="21"/>
                <w:szCs w:val="21"/>
                <w:highlight w:val="none"/>
              </w:rPr>
              <w:fldChar w:fldCharType="separate"/>
            </w:r>
            <w:r>
              <w:rPr>
                <w:rFonts w:hint="eastAsia" w:ascii="黑体" w:hAnsi="黑体" w:eastAsia="黑体" w:cs="宋体"/>
                <w:color w:val="0C0C0C"/>
                <w:kern w:val="2"/>
                <w:szCs w:val="21"/>
                <w:highlight w:val="none"/>
              </w:rPr>
              <w:t>⑥</w:t>
            </w:r>
            <w:r>
              <w:rPr>
                <w:rFonts w:ascii="黑体" w:hAnsi="黑体" w:eastAsia="黑体"/>
                <w:snapToGrid w:val="0"/>
                <w:color w:val="0C0C0C"/>
                <w:spacing w:val="-16"/>
                <w:kern w:val="21"/>
                <w:szCs w:val="21"/>
                <w:highlight w:val="none"/>
              </w:rPr>
              <w:fldChar w:fldCharType="end"/>
            </w:r>
          </w:p>
        </w:tc>
        <w:tc>
          <w:tcPr>
            <w:tcW w:w="1579" w:type="dxa"/>
            <w:noWrap w:val="0"/>
            <w:tcMar>
              <w:left w:w="28" w:type="dxa"/>
              <w:right w:w="28" w:type="dxa"/>
            </w:tcMar>
            <w:vAlign w:val="center"/>
          </w:tcPr>
          <w:p>
            <w:pPr>
              <w:pStyle w:val="44"/>
              <w:spacing w:beforeLines="0" w:afterLines="0" w:line="240" w:lineRule="auto"/>
              <w:rPr>
                <w:rFonts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t>变化量</w:t>
            </w:r>
          </w:p>
          <w:p>
            <w:pPr>
              <w:pStyle w:val="44"/>
              <w:spacing w:beforeLines="0" w:afterLines="0" w:line="240" w:lineRule="auto"/>
              <w:rPr>
                <w:rFonts w:ascii="黑体" w:hAnsi="黑体" w:eastAsia="黑体"/>
                <w:snapToGrid w:val="0"/>
                <w:color w:val="0C0C0C"/>
                <w:spacing w:val="-6"/>
                <w:kern w:val="21"/>
                <w:szCs w:val="21"/>
                <w:highlight w:val="none"/>
              </w:rPr>
            </w:pPr>
            <w:r>
              <w:rPr>
                <w:rFonts w:ascii="黑体" w:hAnsi="黑体" w:eastAsia="黑体"/>
                <w:snapToGrid w:val="0"/>
                <w:color w:val="0C0C0C"/>
                <w:spacing w:val="-6"/>
                <w:kern w:val="21"/>
                <w:szCs w:val="21"/>
                <w:highlight w:val="none"/>
              </w:rPr>
              <w:fldChar w:fldCharType="begin"/>
            </w:r>
            <w:r>
              <w:rPr>
                <w:rFonts w:ascii="黑体" w:hAnsi="黑体" w:eastAsia="黑体"/>
                <w:snapToGrid w:val="0"/>
                <w:color w:val="0C0C0C"/>
                <w:spacing w:val="-6"/>
                <w:kern w:val="21"/>
                <w:szCs w:val="21"/>
                <w:highlight w:val="none"/>
              </w:rPr>
              <w:instrText xml:space="preserve"> = 7 \* GB3 \* MERGEFORMAT </w:instrText>
            </w:r>
            <w:r>
              <w:rPr>
                <w:rFonts w:ascii="黑体" w:hAnsi="黑体" w:eastAsia="黑体"/>
                <w:snapToGrid w:val="0"/>
                <w:color w:val="0C0C0C"/>
                <w:spacing w:val="-6"/>
                <w:kern w:val="21"/>
                <w:szCs w:val="21"/>
                <w:highlight w:val="none"/>
              </w:rPr>
              <w:fldChar w:fldCharType="separate"/>
            </w:r>
            <w:r>
              <w:rPr>
                <w:rFonts w:hint="eastAsia" w:ascii="黑体" w:hAnsi="黑体" w:eastAsia="黑体" w:cs="宋体"/>
                <w:color w:val="0C0C0C"/>
                <w:kern w:val="2"/>
                <w:szCs w:val="21"/>
                <w:highlight w:val="none"/>
              </w:rPr>
              <w:t>⑦</w:t>
            </w:r>
            <w:r>
              <w:rPr>
                <w:rFonts w:ascii="黑体" w:hAnsi="黑体" w:eastAsia="黑体"/>
                <w:snapToGrid w:val="0"/>
                <w:color w:val="0C0C0C"/>
                <w:spacing w:val="-6"/>
                <w:kern w:val="21"/>
                <w:szCs w:val="21"/>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1087" w:type="dxa"/>
            <w:noWrap w:val="0"/>
            <w:vAlign w:val="center"/>
          </w:tcPr>
          <w:p>
            <w:pPr>
              <w:pStyle w:val="44"/>
              <w:spacing w:beforeLines="0" w:afterLines="0" w:line="240" w:lineRule="auto"/>
              <w:rPr>
                <w:rFonts w:hint="eastAsia" w:hAnsi="宋体" w:cs="宋体" w:eastAsiaTheme="minorEastAsia"/>
                <w:snapToGrid w:val="0"/>
                <w:color w:val="0C0C0C"/>
                <w:kern w:val="21"/>
                <w:szCs w:val="21"/>
                <w:highlight w:val="none"/>
                <w:lang w:val="en-US" w:eastAsia="zh-CN"/>
              </w:rPr>
            </w:pPr>
            <w:r>
              <w:rPr>
                <w:rFonts w:hint="eastAsia" w:hAnsi="宋体" w:cs="宋体"/>
                <w:snapToGrid w:val="0"/>
                <w:color w:val="0C0C0C"/>
                <w:kern w:val="21"/>
                <w:szCs w:val="21"/>
                <w:highlight w:val="none"/>
                <w:lang w:val="en-US" w:eastAsia="zh-CN"/>
              </w:rPr>
              <w:t>废气</w:t>
            </w:r>
          </w:p>
        </w:tc>
        <w:tc>
          <w:tcPr>
            <w:tcW w:w="1997" w:type="dxa"/>
            <w:noWrap w:val="0"/>
            <w:vAlign w:val="center"/>
          </w:tcPr>
          <w:p>
            <w:pPr>
              <w:pStyle w:val="44"/>
              <w:spacing w:beforeLines="0" w:afterLines="0" w:line="240" w:lineRule="auto"/>
              <w:rPr>
                <w:rFonts w:hint="eastAsia" w:ascii="Times New Roman"/>
                <w:snapToGrid w:val="0"/>
                <w:color w:val="0C0C0C"/>
                <w:kern w:val="21"/>
                <w:szCs w:val="21"/>
                <w:highlight w:val="none"/>
              </w:rPr>
            </w:pPr>
            <w:r>
              <w:rPr>
                <w:rFonts w:hint="eastAsia" w:ascii="Times New Roman"/>
                <w:snapToGrid w:val="0"/>
                <w:color w:val="0C0C0C"/>
                <w:kern w:val="21"/>
                <w:szCs w:val="21"/>
                <w:highlight w:val="none"/>
              </w:rPr>
              <w:t>非甲烷总烃</w:t>
            </w:r>
          </w:p>
        </w:tc>
        <w:tc>
          <w:tcPr>
            <w:tcW w:w="1844" w:type="dxa"/>
            <w:noWrap w:val="0"/>
            <w:vAlign w:val="center"/>
          </w:tcPr>
          <w:p>
            <w:pPr>
              <w:jc w:val="center"/>
              <w:rPr>
                <w:rFonts w:hint="default" w:eastAsia="宋体"/>
                <w:snapToGrid w:val="0"/>
                <w:color w:val="0C0C0C"/>
                <w:kern w:val="21"/>
                <w:szCs w:val="21"/>
                <w:highlight w:val="none"/>
                <w:lang w:val="en-US" w:eastAsia="zh-CN"/>
              </w:rPr>
            </w:pPr>
            <w:r>
              <w:rPr>
                <w:rFonts w:hint="eastAsia"/>
                <w:snapToGrid w:val="0"/>
                <w:color w:val="0C0C0C"/>
                <w:kern w:val="21"/>
                <w:szCs w:val="21"/>
                <w:highlight w:val="none"/>
              </w:rPr>
              <w:t>0</w:t>
            </w:r>
          </w:p>
        </w:tc>
        <w:tc>
          <w:tcPr>
            <w:tcW w:w="1178"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737"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592" w:type="dxa"/>
            <w:noWrap w:val="0"/>
            <w:vAlign w:val="center"/>
          </w:tcPr>
          <w:p>
            <w:pPr>
              <w:pStyle w:val="44"/>
              <w:spacing w:beforeLines="0" w:afterLines="0" w:line="240" w:lineRule="auto"/>
              <w:rPr>
                <w:rFonts w:hint="eastAsia" w:ascii="Times New Roman"/>
                <w:snapToGrid w:val="0"/>
                <w:color w:val="0C0C0C"/>
                <w:kern w:val="21"/>
                <w:szCs w:val="21"/>
                <w:highlight w:val="none"/>
              </w:rPr>
            </w:pPr>
            <w:r>
              <w:rPr>
                <w:rFonts w:hint="eastAsia" w:ascii="Times New Roman"/>
                <w:snapToGrid w:val="0"/>
                <w:color w:val="0C0C0C"/>
                <w:kern w:val="21"/>
                <w:szCs w:val="21"/>
                <w:highlight w:val="none"/>
              </w:rPr>
              <w:t>t/a</w:t>
            </w:r>
          </w:p>
        </w:tc>
        <w:tc>
          <w:tcPr>
            <w:tcW w:w="1370" w:type="dxa"/>
            <w:noWrap w:val="0"/>
            <w:vAlign w:val="center"/>
          </w:tcPr>
          <w:p>
            <w:pPr>
              <w:jc w:val="center"/>
              <w:rPr>
                <w:rFonts w:hint="eastAsia" w:eastAsia="宋体"/>
                <w:snapToGrid w:val="0"/>
                <w:color w:val="0C0C0C"/>
                <w:kern w:val="21"/>
                <w:szCs w:val="21"/>
                <w:highlight w:val="none"/>
                <w:lang w:val="en-US" w:eastAsia="zh-CN"/>
              </w:rPr>
            </w:pPr>
            <w:r>
              <w:rPr>
                <w:rFonts w:hint="eastAsia"/>
                <w:snapToGrid w:val="0"/>
                <w:color w:val="0C0C0C"/>
                <w:kern w:val="21"/>
                <w:szCs w:val="21"/>
                <w:highlight w:val="none"/>
              </w:rPr>
              <w:t>0</w:t>
            </w:r>
          </w:p>
        </w:tc>
        <w:tc>
          <w:tcPr>
            <w:tcW w:w="1692" w:type="dxa"/>
            <w:noWrap w:val="0"/>
            <w:vAlign w:val="center"/>
          </w:tcPr>
          <w:p>
            <w:pPr>
              <w:pStyle w:val="44"/>
              <w:spacing w:beforeLines="0" w:afterLines="0" w:line="240" w:lineRule="auto"/>
              <w:rPr>
                <w:rFonts w:hint="eastAsia"/>
                <w:snapToGrid w:val="0"/>
                <w:color w:val="0C0C0C"/>
                <w:kern w:val="21"/>
                <w:szCs w:val="21"/>
                <w:highlight w:val="none"/>
              </w:rPr>
            </w:pPr>
            <w:r>
              <w:rPr>
                <w:rFonts w:hint="eastAsia" w:ascii="Times New Roman"/>
                <w:snapToGrid w:val="0"/>
                <w:color w:val="0C0C0C"/>
                <w:kern w:val="21"/>
                <w:szCs w:val="21"/>
                <w:highlight w:val="none"/>
                <w:lang w:val="en-US" w:eastAsia="zh-CN"/>
              </w:rPr>
              <w:t>0.282</w:t>
            </w:r>
            <w:r>
              <w:rPr>
                <w:rFonts w:hint="eastAsia" w:ascii="Times New Roman"/>
                <w:snapToGrid w:val="0"/>
                <w:color w:val="0C0C0C"/>
                <w:kern w:val="21"/>
                <w:szCs w:val="21"/>
                <w:highlight w:val="none"/>
              </w:rPr>
              <w:t>t/a</w:t>
            </w:r>
          </w:p>
        </w:tc>
        <w:tc>
          <w:tcPr>
            <w:tcW w:w="1579" w:type="dxa"/>
            <w:noWrap w:val="0"/>
            <w:vAlign w:val="center"/>
          </w:tcPr>
          <w:p>
            <w:pPr>
              <w:pStyle w:val="44"/>
              <w:spacing w:beforeLines="0" w:afterLines="0" w:line="240" w:lineRule="auto"/>
              <w:rPr>
                <w:rFonts w:hint="eastAsia"/>
                <w:snapToGrid w:val="0"/>
                <w:color w:val="0C0C0C"/>
                <w:kern w:val="21"/>
                <w:szCs w:val="21"/>
                <w:highlight w:val="none"/>
              </w:rPr>
            </w:pPr>
            <w:r>
              <w:rPr>
                <w:rFonts w:hint="eastAsia" w:ascii="Times New Roman"/>
                <w:snapToGrid w:val="0"/>
                <w:color w:val="0C0C0C"/>
                <w:kern w:val="21"/>
                <w:szCs w:val="21"/>
                <w:highlight w:val="none"/>
                <w:lang w:val="en-US" w:eastAsia="zh-CN"/>
              </w:rPr>
              <w:t>0.282</w:t>
            </w:r>
            <w:r>
              <w:rPr>
                <w:rFonts w:hint="eastAsia" w:ascii="Times New Roman"/>
                <w:snapToGrid w:val="0"/>
                <w:color w:val="0C0C0C"/>
                <w:kern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7" w:type="dxa"/>
            <w:vMerge w:val="restart"/>
            <w:noWrap w:val="0"/>
            <w:vAlign w:val="center"/>
          </w:tcPr>
          <w:p>
            <w:pPr>
              <w:pStyle w:val="44"/>
              <w:spacing w:beforeLines="0" w:afterLines="0" w:line="240" w:lineRule="auto"/>
              <w:rPr>
                <w:rFonts w:hint="eastAsia" w:hAnsi="宋体" w:cs="宋体"/>
                <w:snapToGrid w:val="0"/>
                <w:color w:val="0C0C0C"/>
                <w:kern w:val="21"/>
                <w:szCs w:val="21"/>
                <w:highlight w:val="none"/>
              </w:rPr>
            </w:pPr>
            <w:r>
              <w:rPr>
                <w:rFonts w:hint="eastAsia" w:hAnsi="宋体" w:cs="宋体"/>
                <w:snapToGrid w:val="0"/>
                <w:color w:val="0C0C0C"/>
                <w:kern w:val="21"/>
                <w:szCs w:val="21"/>
                <w:highlight w:val="none"/>
              </w:rPr>
              <w:t>废水</w:t>
            </w:r>
          </w:p>
        </w:tc>
        <w:tc>
          <w:tcPr>
            <w:tcW w:w="1997" w:type="dxa"/>
            <w:noWrap w:val="0"/>
            <w:vAlign w:val="center"/>
          </w:tcPr>
          <w:p>
            <w:pPr>
              <w:adjustRightInd w:val="0"/>
              <w:snapToGrid w:val="0"/>
              <w:jc w:val="center"/>
              <w:rPr>
                <w:snapToGrid w:val="0"/>
                <w:color w:val="0C0C0C"/>
                <w:kern w:val="21"/>
                <w:szCs w:val="21"/>
                <w:highlight w:val="none"/>
              </w:rPr>
            </w:pPr>
            <w:r>
              <w:rPr>
                <w:rFonts w:hint="eastAsia"/>
                <w:snapToGrid w:val="0"/>
                <w:color w:val="0C0C0C"/>
                <w:kern w:val="21"/>
                <w:szCs w:val="21"/>
                <w:highlight w:val="none"/>
              </w:rPr>
              <w:t>CODcr</w:t>
            </w:r>
          </w:p>
        </w:tc>
        <w:tc>
          <w:tcPr>
            <w:tcW w:w="1844"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178" w:type="dxa"/>
            <w:noWrap w:val="0"/>
            <w:vAlign w:val="center"/>
          </w:tcPr>
          <w:p>
            <w:pPr>
              <w:jc w:val="center"/>
              <w:rPr>
                <w:snapToGrid w:val="0"/>
                <w:color w:val="0C0C0C"/>
                <w:kern w:val="21"/>
                <w:szCs w:val="21"/>
                <w:highlight w:val="none"/>
              </w:rPr>
            </w:pPr>
            <w:r>
              <w:rPr>
                <w:rFonts w:hint="eastAsia"/>
                <w:snapToGrid w:val="0"/>
                <w:color w:val="0C0C0C"/>
                <w:kern w:val="21"/>
                <w:szCs w:val="21"/>
                <w:highlight w:val="none"/>
              </w:rPr>
              <w:t>0</w:t>
            </w:r>
          </w:p>
        </w:tc>
        <w:tc>
          <w:tcPr>
            <w:tcW w:w="1737"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592" w:type="dxa"/>
            <w:noWrap w:val="0"/>
            <w:vAlign w:val="center"/>
          </w:tcPr>
          <w:p>
            <w:pPr>
              <w:adjustRightInd w:val="0"/>
              <w:snapToGrid w:val="0"/>
              <w:jc w:val="center"/>
              <w:rPr>
                <w:rFonts w:hint="default" w:eastAsia="宋体"/>
                <w:snapToGrid w:val="0"/>
                <w:color w:val="0C0C0C"/>
                <w:kern w:val="21"/>
                <w:szCs w:val="21"/>
                <w:highlight w:val="none"/>
                <w:lang w:val="en-US" w:eastAsia="zh-CN"/>
              </w:rPr>
            </w:pPr>
            <w:r>
              <w:rPr>
                <w:rFonts w:hint="eastAsia"/>
                <w:snapToGrid w:val="0"/>
                <w:color w:val="0C0C0C"/>
                <w:kern w:val="21"/>
                <w:szCs w:val="21"/>
                <w:highlight w:val="none"/>
              </w:rPr>
              <w:t>0</w:t>
            </w:r>
            <w:r>
              <w:rPr>
                <w:rFonts w:hint="eastAsia"/>
                <w:snapToGrid w:val="0"/>
                <w:color w:val="0C0C0C"/>
                <w:kern w:val="21"/>
                <w:szCs w:val="21"/>
                <w:highlight w:val="none"/>
                <w:lang w:val="en-US" w:eastAsia="zh-CN"/>
              </w:rPr>
              <w:t>.036</w:t>
            </w:r>
            <w:r>
              <w:rPr>
                <w:rFonts w:hint="eastAsia" w:ascii="Times New Roman"/>
                <w:snapToGrid w:val="0"/>
                <w:color w:val="0C0C0C"/>
                <w:kern w:val="21"/>
                <w:szCs w:val="21"/>
                <w:highlight w:val="none"/>
              </w:rPr>
              <w:t>t/a</w:t>
            </w:r>
          </w:p>
        </w:tc>
        <w:tc>
          <w:tcPr>
            <w:tcW w:w="1370" w:type="dxa"/>
            <w:noWrap w:val="0"/>
            <w:vAlign w:val="center"/>
          </w:tcPr>
          <w:p>
            <w:pPr>
              <w:jc w:val="center"/>
              <w:rPr>
                <w:snapToGrid w:val="0"/>
                <w:color w:val="0C0C0C"/>
                <w:kern w:val="21"/>
                <w:szCs w:val="21"/>
                <w:highlight w:val="none"/>
              </w:rPr>
            </w:pPr>
            <w:r>
              <w:rPr>
                <w:rFonts w:hint="eastAsia"/>
                <w:snapToGrid w:val="0"/>
                <w:color w:val="0C0C0C"/>
                <w:kern w:val="21"/>
                <w:szCs w:val="21"/>
                <w:highlight w:val="none"/>
              </w:rPr>
              <w:t>0</w:t>
            </w:r>
          </w:p>
        </w:tc>
        <w:tc>
          <w:tcPr>
            <w:tcW w:w="1692" w:type="dxa"/>
            <w:noWrap w:val="0"/>
            <w:vAlign w:val="center"/>
          </w:tcPr>
          <w:p>
            <w:pPr>
              <w:adjustRightInd w:val="0"/>
              <w:snapToGrid w:val="0"/>
              <w:jc w:val="center"/>
              <w:rPr>
                <w:rFonts w:hint="eastAsia"/>
                <w:snapToGrid w:val="0"/>
                <w:color w:val="0C0C0C"/>
                <w:kern w:val="21"/>
                <w:szCs w:val="21"/>
                <w:highlight w:val="none"/>
              </w:rPr>
            </w:pPr>
            <w:r>
              <w:rPr>
                <w:rFonts w:hint="eastAsia"/>
                <w:snapToGrid w:val="0"/>
                <w:color w:val="0C0C0C"/>
                <w:kern w:val="21"/>
                <w:szCs w:val="21"/>
                <w:highlight w:val="none"/>
              </w:rPr>
              <w:t>0</w:t>
            </w:r>
            <w:r>
              <w:rPr>
                <w:rFonts w:hint="eastAsia"/>
                <w:snapToGrid w:val="0"/>
                <w:color w:val="0C0C0C"/>
                <w:kern w:val="21"/>
                <w:szCs w:val="21"/>
                <w:highlight w:val="none"/>
                <w:lang w:val="en-US" w:eastAsia="zh-CN"/>
              </w:rPr>
              <w:t>.036</w:t>
            </w:r>
            <w:r>
              <w:rPr>
                <w:rFonts w:hint="eastAsia" w:ascii="Times New Roman"/>
                <w:snapToGrid w:val="0"/>
                <w:color w:val="0C0C0C"/>
                <w:kern w:val="21"/>
                <w:szCs w:val="21"/>
                <w:highlight w:val="none"/>
              </w:rPr>
              <w:t>t/a</w:t>
            </w:r>
          </w:p>
        </w:tc>
        <w:tc>
          <w:tcPr>
            <w:tcW w:w="1579" w:type="dxa"/>
            <w:noWrap w:val="0"/>
            <w:vAlign w:val="center"/>
          </w:tcPr>
          <w:p>
            <w:pPr>
              <w:adjustRightInd w:val="0"/>
              <w:snapToGrid w:val="0"/>
              <w:jc w:val="center"/>
              <w:rPr>
                <w:rFonts w:hint="eastAsia"/>
                <w:snapToGrid w:val="0"/>
                <w:color w:val="0C0C0C"/>
                <w:kern w:val="21"/>
                <w:szCs w:val="21"/>
                <w:highlight w:val="none"/>
              </w:rPr>
            </w:pPr>
            <w:r>
              <w:rPr>
                <w:rFonts w:hint="eastAsia"/>
                <w:snapToGrid w:val="0"/>
                <w:color w:val="0C0C0C"/>
                <w:kern w:val="21"/>
                <w:szCs w:val="21"/>
                <w:highlight w:val="none"/>
              </w:rPr>
              <w:t>0</w:t>
            </w:r>
            <w:r>
              <w:rPr>
                <w:rFonts w:hint="eastAsia"/>
                <w:snapToGrid w:val="0"/>
                <w:color w:val="0C0C0C"/>
                <w:kern w:val="21"/>
                <w:szCs w:val="21"/>
                <w:highlight w:val="none"/>
                <w:lang w:val="en-US" w:eastAsia="zh-CN"/>
              </w:rPr>
              <w:t>.036</w:t>
            </w:r>
            <w:r>
              <w:rPr>
                <w:rFonts w:hint="eastAsia" w:ascii="Times New Roman"/>
                <w:snapToGrid w:val="0"/>
                <w:color w:val="0C0C0C"/>
                <w:kern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87" w:type="dxa"/>
            <w:vMerge w:val="continue"/>
            <w:noWrap w:val="0"/>
            <w:vAlign w:val="center"/>
          </w:tcPr>
          <w:p>
            <w:pPr>
              <w:pStyle w:val="44"/>
              <w:spacing w:beforeLines="0" w:afterLines="0" w:line="240" w:lineRule="auto"/>
              <w:rPr>
                <w:rFonts w:hint="eastAsia" w:hAnsi="宋体" w:cs="宋体"/>
                <w:snapToGrid w:val="0"/>
                <w:color w:val="0C0C0C"/>
                <w:kern w:val="21"/>
                <w:szCs w:val="21"/>
                <w:highlight w:val="none"/>
              </w:rPr>
            </w:pPr>
          </w:p>
        </w:tc>
        <w:tc>
          <w:tcPr>
            <w:tcW w:w="1997" w:type="dxa"/>
            <w:noWrap w:val="0"/>
            <w:vAlign w:val="center"/>
          </w:tcPr>
          <w:p>
            <w:pPr>
              <w:adjustRightInd w:val="0"/>
              <w:snapToGrid w:val="0"/>
              <w:jc w:val="center"/>
              <w:rPr>
                <w:rFonts w:hint="eastAsia"/>
                <w:snapToGrid w:val="0"/>
                <w:color w:val="0C0C0C"/>
                <w:kern w:val="21"/>
                <w:szCs w:val="21"/>
                <w:highlight w:val="none"/>
              </w:rPr>
            </w:pPr>
            <w:r>
              <w:rPr>
                <w:rFonts w:hint="eastAsia"/>
                <w:snapToGrid w:val="0"/>
                <w:color w:val="0C0C0C"/>
                <w:kern w:val="21"/>
                <w:szCs w:val="21"/>
                <w:highlight w:val="none"/>
              </w:rPr>
              <w:t>氨氮</w:t>
            </w:r>
          </w:p>
        </w:tc>
        <w:tc>
          <w:tcPr>
            <w:tcW w:w="1844"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178" w:type="dxa"/>
            <w:noWrap w:val="0"/>
            <w:vAlign w:val="center"/>
          </w:tcPr>
          <w:p>
            <w:pPr>
              <w:jc w:val="center"/>
              <w:rPr>
                <w:snapToGrid w:val="0"/>
                <w:color w:val="0C0C0C"/>
                <w:kern w:val="21"/>
                <w:szCs w:val="21"/>
                <w:highlight w:val="none"/>
              </w:rPr>
            </w:pPr>
            <w:r>
              <w:rPr>
                <w:rFonts w:hint="eastAsia"/>
                <w:snapToGrid w:val="0"/>
                <w:color w:val="0C0C0C"/>
                <w:kern w:val="21"/>
                <w:szCs w:val="21"/>
                <w:highlight w:val="none"/>
              </w:rPr>
              <w:t>0</w:t>
            </w:r>
          </w:p>
        </w:tc>
        <w:tc>
          <w:tcPr>
            <w:tcW w:w="1737" w:type="dxa"/>
            <w:noWrap w:val="0"/>
            <w:vAlign w:val="center"/>
          </w:tcPr>
          <w:p>
            <w:pPr>
              <w:jc w:val="center"/>
              <w:rPr>
                <w:snapToGrid w:val="0"/>
                <w:color w:val="0C0C0C"/>
                <w:kern w:val="21"/>
                <w:szCs w:val="21"/>
                <w:highlight w:val="none"/>
              </w:rPr>
            </w:pPr>
            <w:r>
              <w:rPr>
                <w:rFonts w:hint="eastAsia"/>
                <w:snapToGrid w:val="0"/>
                <w:color w:val="0C0C0C"/>
                <w:kern w:val="21"/>
                <w:szCs w:val="21"/>
                <w:highlight w:val="none"/>
              </w:rPr>
              <w:t>0</w:t>
            </w:r>
          </w:p>
        </w:tc>
        <w:tc>
          <w:tcPr>
            <w:tcW w:w="1592" w:type="dxa"/>
            <w:noWrap w:val="0"/>
            <w:vAlign w:val="center"/>
          </w:tcPr>
          <w:p>
            <w:pPr>
              <w:adjustRightInd w:val="0"/>
              <w:snapToGrid w:val="0"/>
              <w:jc w:val="center"/>
              <w:rPr>
                <w:rFonts w:hint="default" w:eastAsia="宋体"/>
                <w:snapToGrid w:val="0"/>
                <w:color w:val="0C0C0C"/>
                <w:kern w:val="21"/>
                <w:szCs w:val="21"/>
                <w:highlight w:val="none"/>
                <w:lang w:val="en-US" w:eastAsia="zh-CN"/>
              </w:rPr>
            </w:pPr>
            <w:r>
              <w:rPr>
                <w:rFonts w:hint="eastAsia"/>
                <w:snapToGrid w:val="0"/>
                <w:color w:val="0C0C0C"/>
                <w:kern w:val="21"/>
                <w:szCs w:val="21"/>
                <w:highlight w:val="none"/>
                <w:lang w:val="en-US" w:eastAsia="zh-CN"/>
              </w:rPr>
              <w:t>0.002</w:t>
            </w:r>
            <w:r>
              <w:rPr>
                <w:rFonts w:hint="eastAsia" w:ascii="Times New Roman"/>
                <w:snapToGrid w:val="0"/>
                <w:color w:val="0C0C0C"/>
                <w:kern w:val="21"/>
                <w:szCs w:val="21"/>
                <w:highlight w:val="none"/>
              </w:rPr>
              <w:t>t/a</w:t>
            </w:r>
          </w:p>
        </w:tc>
        <w:tc>
          <w:tcPr>
            <w:tcW w:w="1370" w:type="dxa"/>
            <w:noWrap w:val="0"/>
            <w:vAlign w:val="center"/>
          </w:tcPr>
          <w:p>
            <w:pPr>
              <w:jc w:val="center"/>
              <w:rPr>
                <w:snapToGrid w:val="0"/>
                <w:color w:val="0C0C0C"/>
                <w:kern w:val="21"/>
                <w:szCs w:val="21"/>
                <w:highlight w:val="none"/>
              </w:rPr>
            </w:pPr>
            <w:r>
              <w:rPr>
                <w:rFonts w:hint="eastAsia"/>
                <w:snapToGrid w:val="0"/>
                <w:color w:val="0C0C0C"/>
                <w:kern w:val="21"/>
                <w:szCs w:val="21"/>
                <w:highlight w:val="none"/>
              </w:rPr>
              <w:t>0</w:t>
            </w:r>
          </w:p>
        </w:tc>
        <w:tc>
          <w:tcPr>
            <w:tcW w:w="1692" w:type="dxa"/>
            <w:noWrap w:val="0"/>
            <w:vAlign w:val="center"/>
          </w:tcPr>
          <w:p>
            <w:pPr>
              <w:adjustRightInd w:val="0"/>
              <w:snapToGrid w:val="0"/>
              <w:jc w:val="center"/>
              <w:rPr>
                <w:rFonts w:hint="eastAsia"/>
                <w:snapToGrid w:val="0"/>
                <w:color w:val="0C0C0C"/>
                <w:kern w:val="21"/>
                <w:szCs w:val="21"/>
                <w:highlight w:val="none"/>
              </w:rPr>
            </w:pPr>
            <w:r>
              <w:rPr>
                <w:rFonts w:hint="eastAsia"/>
                <w:snapToGrid w:val="0"/>
                <w:color w:val="0C0C0C"/>
                <w:kern w:val="21"/>
                <w:szCs w:val="21"/>
                <w:highlight w:val="none"/>
                <w:lang w:val="en-US" w:eastAsia="zh-CN"/>
              </w:rPr>
              <w:t>0.002</w:t>
            </w:r>
            <w:r>
              <w:rPr>
                <w:rFonts w:hint="eastAsia" w:ascii="Times New Roman"/>
                <w:snapToGrid w:val="0"/>
                <w:color w:val="0C0C0C"/>
                <w:kern w:val="21"/>
                <w:szCs w:val="21"/>
                <w:highlight w:val="none"/>
              </w:rPr>
              <w:t>t/a</w:t>
            </w:r>
          </w:p>
        </w:tc>
        <w:tc>
          <w:tcPr>
            <w:tcW w:w="1579" w:type="dxa"/>
            <w:noWrap w:val="0"/>
            <w:vAlign w:val="center"/>
          </w:tcPr>
          <w:p>
            <w:pPr>
              <w:adjustRightInd w:val="0"/>
              <w:snapToGrid w:val="0"/>
              <w:jc w:val="center"/>
              <w:rPr>
                <w:rFonts w:hint="eastAsia"/>
                <w:snapToGrid w:val="0"/>
                <w:color w:val="0C0C0C"/>
                <w:kern w:val="21"/>
                <w:szCs w:val="21"/>
                <w:highlight w:val="none"/>
              </w:rPr>
            </w:pPr>
            <w:r>
              <w:rPr>
                <w:rFonts w:hint="eastAsia"/>
                <w:snapToGrid w:val="0"/>
                <w:color w:val="0C0C0C"/>
                <w:kern w:val="21"/>
                <w:szCs w:val="21"/>
                <w:highlight w:val="none"/>
                <w:lang w:val="en-US" w:eastAsia="zh-CN"/>
              </w:rPr>
              <w:t>0.002</w:t>
            </w:r>
            <w:r>
              <w:rPr>
                <w:rFonts w:hint="eastAsia" w:ascii="Times New Roman"/>
                <w:snapToGrid w:val="0"/>
                <w:color w:val="0C0C0C"/>
                <w:kern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1087" w:type="dxa"/>
            <w:noWrap w:val="0"/>
            <w:vAlign w:val="center"/>
          </w:tcPr>
          <w:p>
            <w:pPr>
              <w:pStyle w:val="44"/>
              <w:spacing w:beforeLines="0" w:afterLines="0" w:line="240" w:lineRule="auto"/>
              <w:rPr>
                <w:rFonts w:hAnsi="宋体" w:cs="宋体"/>
                <w:snapToGrid w:val="0"/>
                <w:color w:val="0C0C0C"/>
                <w:kern w:val="21"/>
                <w:szCs w:val="21"/>
                <w:highlight w:val="none"/>
              </w:rPr>
            </w:pPr>
            <w:r>
              <w:rPr>
                <w:rFonts w:hint="eastAsia" w:hAnsi="宋体" w:cs="宋体"/>
                <w:snapToGrid w:val="0"/>
                <w:color w:val="0C0C0C"/>
                <w:kern w:val="21"/>
                <w:szCs w:val="21"/>
                <w:highlight w:val="none"/>
              </w:rPr>
              <w:t>一般工业</w:t>
            </w:r>
          </w:p>
          <w:p>
            <w:pPr>
              <w:pStyle w:val="44"/>
              <w:spacing w:beforeLines="0" w:afterLines="0" w:line="240" w:lineRule="auto"/>
              <w:rPr>
                <w:rFonts w:hint="eastAsia" w:hAnsi="宋体" w:cs="宋体"/>
                <w:snapToGrid w:val="0"/>
                <w:color w:val="0C0C0C"/>
                <w:kern w:val="21"/>
                <w:szCs w:val="21"/>
                <w:highlight w:val="none"/>
              </w:rPr>
            </w:pPr>
            <w:r>
              <w:rPr>
                <w:rFonts w:hint="eastAsia" w:hAnsi="宋体" w:cs="宋体"/>
                <w:snapToGrid w:val="0"/>
                <w:color w:val="0C0C0C"/>
                <w:kern w:val="21"/>
                <w:szCs w:val="21"/>
                <w:highlight w:val="none"/>
              </w:rPr>
              <w:t>固体废物</w:t>
            </w:r>
          </w:p>
        </w:tc>
        <w:tc>
          <w:tcPr>
            <w:tcW w:w="1997" w:type="dxa"/>
            <w:noWrap w:val="0"/>
            <w:vAlign w:val="center"/>
          </w:tcPr>
          <w:p>
            <w:pPr>
              <w:pStyle w:val="19"/>
              <w:adjustRightInd w:val="0"/>
              <w:snapToGrid w:val="0"/>
              <w:spacing w:after="0" w:line="240" w:lineRule="auto"/>
              <w:ind w:left="0" w:leftChars="0"/>
              <w:jc w:val="center"/>
              <w:rPr>
                <w:rFonts w:hint="default" w:ascii="Times New Roman"/>
                <w:snapToGrid w:val="0"/>
                <w:color w:val="0C0C0C"/>
                <w:kern w:val="21"/>
                <w:sz w:val="21"/>
                <w:szCs w:val="21"/>
                <w:highlight w:val="none"/>
              </w:rPr>
            </w:pPr>
            <w:r>
              <w:rPr>
                <w:rStyle w:val="29"/>
                <w:rFonts w:hint="eastAsia" w:ascii="Times New Roman" w:hAnsi="Times New Roman"/>
                <w:color w:val="0C0C0C"/>
                <w:highlight w:val="none"/>
              </w:rPr>
              <w:t>废包装材料</w:t>
            </w:r>
          </w:p>
        </w:tc>
        <w:tc>
          <w:tcPr>
            <w:tcW w:w="1844" w:type="dxa"/>
            <w:noWrap w:val="0"/>
            <w:vAlign w:val="center"/>
          </w:tcPr>
          <w:p>
            <w:pPr>
              <w:jc w:val="center"/>
              <w:rPr>
                <w:snapToGrid w:val="0"/>
                <w:color w:val="0C0C0C"/>
                <w:kern w:val="21"/>
                <w:szCs w:val="21"/>
                <w:highlight w:val="none"/>
              </w:rPr>
            </w:pPr>
            <w:r>
              <w:rPr>
                <w:rFonts w:hint="eastAsia"/>
                <w:snapToGrid w:val="0"/>
                <w:color w:val="0C0C0C"/>
                <w:kern w:val="21"/>
                <w:szCs w:val="21"/>
                <w:highlight w:val="none"/>
              </w:rPr>
              <w:t>0</w:t>
            </w:r>
          </w:p>
        </w:tc>
        <w:tc>
          <w:tcPr>
            <w:tcW w:w="1178"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737"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592" w:type="dxa"/>
            <w:noWrap w:val="0"/>
            <w:vAlign w:val="center"/>
          </w:tcPr>
          <w:p>
            <w:pPr>
              <w:pStyle w:val="2"/>
              <w:jc w:val="center"/>
              <w:rPr>
                <w:rFonts w:hint="default" w:ascii="Times New Roman" w:hAnsi="Calibri"/>
                <w:snapToGrid w:val="0"/>
                <w:color w:val="0C0C0C"/>
                <w:kern w:val="21"/>
                <w:sz w:val="21"/>
                <w:szCs w:val="21"/>
                <w:highlight w:val="none"/>
                <w:lang w:bidi="ar-SA"/>
              </w:rPr>
            </w:pPr>
            <w:r>
              <w:rPr>
                <w:rFonts w:hint="eastAsia" w:ascii="Times New Roman" w:hAnsi="Calibri"/>
                <w:snapToGrid w:val="0"/>
                <w:color w:val="0C0C0C"/>
                <w:kern w:val="21"/>
                <w:sz w:val="21"/>
                <w:szCs w:val="21"/>
                <w:highlight w:val="none"/>
                <w:lang w:val="en-US" w:eastAsia="zh-CN" w:bidi="ar-SA"/>
              </w:rPr>
              <w:t>0.01</w:t>
            </w:r>
            <w:r>
              <w:rPr>
                <w:rFonts w:ascii="Times New Roman" w:hAnsi="Calibri"/>
                <w:snapToGrid w:val="0"/>
                <w:color w:val="0C0C0C"/>
                <w:kern w:val="21"/>
                <w:sz w:val="21"/>
                <w:szCs w:val="21"/>
                <w:highlight w:val="none"/>
                <w:lang w:bidi="ar-SA"/>
              </w:rPr>
              <w:t>t/a</w:t>
            </w:r>
          </w:p>
        </w:tc>
        <w:tc>
          <w:tcPr>
            <w:tcW w:w="1370"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692" w:type="dxa"/>
            <w:noWrap w:val="0"/>
            <w:vAlign w:val="center"/>
          </w:tcPr>
          <w:p>
            <w:pPr>
              <w:pStyle w:val="2"/>
              <w:ind w:left="0" w:leftChars="0" w:right="0" w:rightChars="0"/>
              <w:jc w:val="center"/>
              <w:rPr>
                <w:snapToGrid w:val="0"/>
                <w:color w:val="0C0C0C"/>
                <w:kern w:val="21"/>
                <w:szCs w:val="21"/>
                <w:highlight w:val="none"/>
              </w:rPr>
            </w:pPr>
            <w:r>
              <w:rPr>
                <w:rFonts w:hint="eastAsia" w:ascii="Times New Roman" w:hAnsi="Calibri"/>
                <w:snapToGrid w:val="0"/>
                <w:color w:val="0C0C0C"/>
                <w:kern w:val="21"/>
                <w:sz w:val="21"/>
                <w:szCs w:val="21"/>
                <w:highlight w:val="none"/>
                <w:lang w:val="en-US" w:eastAsia="zh-CN" w:bidi="ar-SA"/>
              </w:rPr>
              <w:t>0.01</w:t>
            </w:r>
            <w:r>
              <w:rPr>
                <w:rFonts w:ascii="Times New Roman" w:hAnsi="Calibri"/>
                <w:snapToGrid w:val="0"/>
                <w:color w:val="0C0C0C"/>
                <w:kern w:val="21"/>
                <w:sz w:val="21"/>
                <w:szCs w:val="21"/>
                <w:highlight w:val="none"/>
                <w:lang w:bidi="ar-SA"/>
              </w:rPr>
              <w:t>t/a</w:t>
            </w:r>
          </w:p>
        </w:tc>
        <w:tc>
          <w:tcPr>
            <w:tcW w:w="1579" w:type="dxa"/>
            <w:noWrap w:val="0"/>
            <w:vAlign w:val="center"/>
          </w:tcPr>
          <w:p>
            <w:pPr>
              <w:pStyle w:val="2"/>
              <w:ind w:left="0" w:leftChars="0" w:right="0" w:rightChars="0"/>
              <w:jc w:val="center"/>
              <w:rPr>
                <w:rFonts w:hint="default" w:ascii="Times New Roman"/>
                <w:snapToGrid w:val="0"/>
                <w:color w:val="0C0C0C"/>
                <w:kern w:val="21"/>
                <w:sz w:val="21"/>
                <w:szCs w:val="21"/>
                <w:highlight w:val="none"/>
                <w:lang w:bidi="ar-SA"/>
              </w:rPr>
            </w:pPr>
            <w:r>
              <w:rPr>
                <w:rFonts w:hint="eastAsia" w:ascii="Times New Roman" w:hAnsi="Calibri"/>
                <w:snapToGrid w:val="0"/>
                <w:color w:val="0C0C0C"/>
                <w:kern w:val="21"/>
                <w:sz w:val="21"/>
                <w:szCs w:val="21"/>
                <w:highlight w:val="none"/>
                <w:lang w:val="en-US" w:eastAsia="zh-CN" w:bidi="ar-SA"/>
              </w:rPr>
              <w:t>0.01</w:t>
            </w:r>
            <w:r>
              <w:rPr>
                <w:rFonts w:ascii="Times New Roman" w:hAnsi="Calibri"/>
                <w:snapToGrid w:val="0"/>
                <w:color w:val="0C0C0C"/>
                <w:kern w:val="21"/>
                <w:sz w:val="21"/>
                <w:szCs w:val="21"/>
                <w:highlight w:val="none"/>
                <w:lang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87" w:type="dxa"/>
            <w:vMerge w:val="restart"/>
            <w:noWrap w:val="0"/>
            <w:vAlign w:val="center"/>
          </w:tcPr>
          <w:p>
            <w:pPr>
              <w:pStyle w:val="44"/>
              <w:spacing w:beforeLines="0" w:afterLines="0" w:line="240" w:lineRule="auto"/>
              <w:rPr>
                <w:rFonts w:hint="eastAsia" w:hAnsi="宋体" w:cs="宋体"/>
                <w:snapToGrid w:val="0"/>
                <w:color w:val="0C0C0C"/>
                <w:kern w:val="21"/>
                <w:szCs w:val="21"/>
                <w:highlight w:val="none"/>
              </w:rPr>
            </w:pPr>
            <w:r>
              <w:rPr>
                <w:rFonts w:hint="eastAsia" w:hAnsi="宋体" w:cs="宋体"/>
                <w:snapToGrid w:val="0"/>
                <w:color w:val="0C0C0C"/>
                <w:kern w:val="21"/>
                <w:szCs w:val="21"/>
                <w:highlight w:val="none"/>
              </w:rPr>
              <w:t>危险废物</w:t>
            </w:r>
          </w:p>
        </w:tc>
        <w:tc>
          <w:tcPr>
            <w:tcW w:w="1997" w:type="dxa"/>
            <w:noWrap w:val="0"/>
            <w:vAlign w:val="center"/>
          </w:tcPr>
          <w:p>
            <w:pPr>
              <w:adjustRightInd w:val="0"/>
              <w:snapToGrid w:val="0"/>
              <w:jc w:val="center"/>
              <w:rPr>
                <w:rFonts w:hint="eastAsia" w:eastAsia="宋体"/>
                <w:color w:val="0C0C0C"/>
                <w:kern w:val="2"/>
                <w:sz w:val="21"/>
                <w:szCs w:val="21"/>
                <w:highlight w:val="none"/>
                <w:lang w:val="en-US" w:eastAsia="zh-CN" w:bidi="ar-SA"/>
              </w:rPr>
            </w:pPr>
            <w:r>
              <w:rPr>
                <w:rFonts w:hint="eastAsia"/>
                <w:color w:val="0C0C0C"/>
                <w:szCs w:val="21"/>
                <w:highlight w:val="none"/>
                <w:lang w:eastAsia="zh-CN"/>
              </w:rPr>
              <w:t>废活性炭</w:t>
            </w:r>
          </w:p>
        </w:tc>
        <w:tc>
          <w:tcPr>
            <w:tcW w:w="1844"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178"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737"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592" w:type="dxa"/>
            <w:noWrap w:val="0"/>
            <w:vAlign w:val="center"/>
          </w:tcPr>
          <w:p>
            <w:pPr>
              <w:topLinePunct/>
              <w:adjustRightInd w:val="0"/>
              <w:snapToGrid w:val="0"/>
              <w:jc w:val="center"/>
              <w:rPr>
                <w:rFonts w:hint="eastAsia" w:hAnsi="Calibri"/>
                <w:snapToGrid w:val="0"/>
                <w:color w:val="0C0C0C"/>
                <w:kern w:val="21"/>
                <w:szCs w:val="21"/>
                <w:highlight w:val="none"/>
              </w:rPr>
            </w:pPr>
            <w:r>
              <w:rPr>
                <w:rFonts w:hint="eastAsia" w:hAnsi="Calibri"/>
                <w:snapToGrid w:val="0"/>
                <w:color w:val="0C0C0C"/>
                <w:kern w:val="21"/>
                <w:szCs w:val="21"/>
                <w:highlight w:val="none"/>
                <w:lang w:val="en-US" w:eastAsia="zh-CN"/>
              </w:rPr>
              <w:t>1.728</w:t>
            </w:r>
            <w:r>
              <w:rPr>
                <w:rFonts w:hint="eastAsia" w:hAnsi="Calibri"/>
                <w:snapToGrid w:val="0"/>
                <w:color w:val="0C0C0C"/>
                <w:kern w:val="21"/>
                <w:szCs w:val="21"/>
                <w:highlight w:val="none"/>
              </w:rPr>
              <w:t>t/a</w:t>
            </w:r>
          </w:p>
        </w:tc>
        <w:tc>
          <w:tcPr>
            <w:tcW w:w="1370"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692" w:type="dxa"/>
            <w:noWrap w:val="0"/>
            <w:vAlign w:val="center"/>
          </w:tcPr>
          <w:p>
            <w:pPr>
              <w:topLinePunct/>
              <w:adjustRightInd w:val="0"/>
              <w:snapToGrid w:val="0"/>
              <w:jc w:val="center"/>
              <w:rPr>
                <w:rFonts w:hint="eastAsia"/>
                <w:snapToGrid w:val="0"/>
                <w:color w:val="0C0C0C"/>
                <w:kern w:val="21"/>
                <w:szCs w:val="21"/>
                <w:highlight w:val="none"/>
              </w:rPr>
            </w:pPr>
            <w:r>
              <w:rPr>
                <w:rFonts w:hint="eastAsia" w:hAnsi="Calibri"/>
                <w:snapToGrid w:val="0"/>
                <w:color w:val="0C0C0C"/>
                <w:kern w:val="21"/>
                <w:szCs w:val="21"/>
                <w:highlight w:val="none"/>
                <w:lang w:val="en-US" w:eastAsia="zh-CN"/>
              </w:rPr>
              <w:t>1.728</w:t>
            </w:r>
            <w:r>
              <w:rPr>
                <w:rFonts w:hint="eastAsia" w:hAnsi="Calibri"/>
                <w:snapToGrid w:val="0"/>
                <w:color w:val="0C0C0C"/>
                <w:kern w:val="21"/>
                <w:szCs w:val="21"/>
                <w:highlight w:val="none"/>
              </w:rPr>
              <w:t>t/a</w:t>
            </w:r>
          </w:p>
        </w:tc>
        <w:tc>
          <w:tcPr>
            <w:tcW w:w="1579" w:type="dxa"/>
            <w:noWrap w:val="0"/>
            <w:vAlign w:val="center"/>
          </w:tcPr>
          <w:p>
            <w:pPr>
              <w:topLinePunct/>
              <w:adjustRightInd w:val="0"/>
              <w:snapToGrid w:val="0"/>
              <w:jc w:val="center"/>
              <w:rPr>
                <w:rFonts w:hint="eastAsia"/>
                <w:snapToGrid w:val="0"/>
                <w:color w:val="0C0C0C"/>
                <w:kern w:val="21"/>
                <w:szCs w:val="21"/>
                <w:highlight w:val="none"/>
              </w:rPr>
            </w:pPr>
            <w:r>
              <w:rPr>
                <w:rFonts w:hint="eastAsia" w:hAnsi="Calibri"/>
                <w:snapToGrid w:val="0"/>
                <w:color w:val="0C0C0C"/>
                <w:kern w:val="21"/>
                <w:szCs w:val="21"/>
                <w:highlight w:val="none"/>
                <w:lang w:val="en-US" w:eastAsia="zh-CN"/>
              </w:rPr>
              <w:t>1.728</w:t>
            </w:r>
            <w:r>
              <w:rPr>
                <w:rFonts w:hint="eastAsia" w:hAnsi="Calibri"/>
                <w:snapToGrid w:val="0"/>
                <w:color w:val="0C0C0C"/>
                <w:kern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87" w:type="dxa"/>
            <w:vMerge w:val="continue"/>
            <w:noWrap w:val="0"/>
            <w:vAlign w:val="center"/>
          </w:tcPr>
          <w:p>
            <w:pPr>
              <w:pStyle w:val="44"/>
              <w:spacing w:beforeLines="0" w:afterLines="0" w:line="240" w:lineRule="auto"/>
              <w:rPr>
                <w:rFonts w:hAnsi="宋体" w:cs="宋体"/>
                <w:snapToGrid w:val="0"/>
                <w:color w:val="0C0C0C"/>
                <w:kern w:val="21"/>
                <w:szCs w:val="21"/>
                <w:highlight w:val="none"/>
              </w:rPr>
            </w:pPr>
          </w:p>
        </w:tc>
        <w:tc>
          <w:tcPr>
            <w:tcW w:w="1997" w:type="dxa"/>
            <w:noWrap w:val="0"/>
            <w:vAlign w:val="center"/>
          </w:tcPr>
          <w:p>
            <w:pPr>
              <w:adjustRightInd w:val="0"/>
              <w:snapToGrid w:val="0"/>
              <w:jc w:val="center"/>
              <w:rPr>
                <w:rFonts w:hint="eastAsia" w:eastAsia="宋体"/>
                <w:color w:val="0C0C0C"/>
                <w:kern w:val="2"/>
                <w:sz w:val="21"/>
                <w:szCs w:val="21"/>
                <w:highlight w:val="none"/>
                <w:lang w:val="en-US" w:eastAsia="zh-CN" w:bidi="ar-SA"/>
              </w:rPr>
            </w:pPr>
            <w:r>
              <w:rPr>
                <w:rFonts w:hint="eastAsia"/>
                <w:color w:val="0C0C0C"/>
                <w:szCs w:val="21"/>
                <w:highlight w:val="none"/>
                <w:lang w:eastAsia="zh-CN"/>
              </w:rPr>
              <w:t>废机油</w:t>
            </w:r>
          </w:p>
        </w:tc>
        <w:tc>
          <w:tcPr>
            <w:tcW w:w="1844" w:type="dxa"/>
            <w:noWrap w:val="0"/>
            <w:vAlign w:val="center"/>
          </w:tcPr>
          <w:p>
            <w:pPr>
              <w:pStyle w:val="44"/>
              <w:spacing w:beforeLines="0" w:afterLines="0" w:line="240" w:lineRule="auto"/>
              <w:rPr>
                <w:rFonts w:hint="eastAsia"/>
                <w:snapToGrid w:val="0"/>
                <w:color w:val="0C0C0C"/>
                <w:kern w:val="21"/>
                <w:szCs w:val="21"/>
                <w:highlight w:val="none"/>
              </w:rPr>
            </w:pPr>
            <w:r>
              <w:rPr>
                <w:rFonts w:hint="eastAsia" w:ascii="Times New Roman"/>
                <w:snapToGrid w:val="0"/>
                <w:color w:val="0C0C0C"/>
                <w:kern w:val="21"/>
                <w:szCs w:val="21"/>
                <w:highlight w:val="none"/>
              </w:rPr>
              <w:t>0</w:t>
            </w:r>
          </w:p>
        </w:tc>
        <w:tc>
          <w:tcPr>
            <w:tcW w:w="1178"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737"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592" w:type="dxa"/>
            <w:noWrap w:val="0"/>
            <w:vAlign w:val="center"/>
          </w:tcPr>
          <w:p>
            <w:pPr>
              <w:topLinePunct/>
              <w:adjustRightInd w:val="0"/>
              <w:snapToGrid w:val="0"/>
              <w:jc w:val="center"/>
              <w:rPr>
                <w:rFonts w:hint="eastAsia" w:hAnsi="Calibri"/>
                <w:snapToGrid w:val="0"/>
                <w:color w:val="0C0C0C"/>
                <w:kern w:val="21"/>
                <w:szCs w:val="21"/>
                <w:highlight w:val="none"/>
              </w:rPr>
            </w:pPr>
            <w:r>
              <w:rPr>
                <w:rFonts w:hint="eastAsia" w:hAnsi="Calibri"/>
                <w:snapToGrid w:val="0"/>
                <w:color w:val="0C0C0C"/>
                <w:kern w:val="21"/>
                <w:szCs w:val="21"/>
                <w:highlight w:val="none"/>
              </w:rPr>
              <w:t>0.02t/a</w:t>
            </w:r>
          </w:p>
        </w:tc>
        <w:tc>
          <w:tcPr>
            <w:tcW w:w="1370"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692" w:type="dxa"/>
            <w:noWrap w:val="0"/>
            <w:vAlign w:val="center"/>
          </w:tcPr>
          <w:p>
            <w:pPr>
              <w:topLinePunct/>
              <w:adjustRightInd w:val="0"/>
              <w:snapToGrid w:val="0"/>
              <w:jc w:val="center"/>
              <w:rPr>
                <w:rFonts w:hint="eastAsia"/>
                <w:snapToGrid w:val="0"/>
                <w:color w:val="0C0C0C"/>
                <w:kern w:val="21"/>
                <w:szCs w:val="21"/>
                <w:highlight w:val="none"/>
              </w:rPr>
            </w:pPr>
            <w:r>
              <w:rPr>
                <w:rFonts w:hint="eastAsia" w:hAnsi="Calibri"/>
                <w:snapToGrid w:val="0"/>
                <w:color w:val="0C0C0C"/>
                <w:kern w:val="21"/>
                <w:szCs w:val="21"/>
                <w:highlight w:val="none"/>
              </w:rPr>
              <w:t>0.02t/a</w:t>
            </w:r>
          </w:p>
        </w:tc>
        <w:tc>
          <w:tcPr>
            <w:tcW w:w="1579" w:type="dxa"/>
            <w:noWrap w:val="0"/>
            <w:vAlign w:val="center"/>
          </w:tcPr>
          <w:p>
            <w:pPr>
              <w:topLinePunct/>
              <w:adjustRightInd w:val="0"/>
              <w:snapToGrid w:val="0"/>
              <w:jc w:val="center"/>
              <w:rPr>
                <w:rFonts w:hint="eastAsia"/>
                <w:snapToGrid w:val="0"/>
                <w:color w:val="0C0C0C"/>
                <w:kern w:val="21"/>
                <w:szCs w:val="21"/>
                <w:highlight w:val="none"/>
              </w:rPr>
            </w:pPr>
            <w:r>
              <w:rPr>
                <w:rFonts w:hint="eastAsia" w:hAnsi="Calibri"/>
                <w:snapToGrid w:val="0"/>
                <w:color w:val="0C0C0C"/>
                <w:kern w:val="21"/>
                <w:szCs w:val="21"/>
                <w:highlight w:val="none"/>
              </w:rPr>
              <w:t>0.02t/a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1087" w:type="dxa"/>
            <w:vMerge w:val="continue"/>
            <w:noWrap w:val="0"/>
            <w:vAlign w:val="center"/>
          </w:tcPr>
          <w:p>
            <w:pPr>
              <w:pStyle w:val="44"/>
              <w:spacing w:beforeLines="0" w:afterLines="0" w:line="240" w:lineRule="auto"/>
              <w:rPr>
                <w:rFonts w:hAnsi="宋体" w:cs="宋体"/>
                <w:snapToGrid w:val="0"/>
                <w:color w:val="0C0C0C"/>
                <w:kern w:val="21"/>
                <w:szCs w:val="21"/>
                <w:highlight w:val="none"/>
              </w:rPr>
            </w:pPr>
          </w:p>
        </w:tc>
        <w:tc>
          <w:tcPr>
            <w:tcW w:w="1997" w:type="dxa"/>
            <w:noWrap w:val="0"/>
            <w:vAlign w:val="center"/>
          </w:tcPr>
          <w:p>
            <w:pPr>
              <w:adjustRightInd w:val="0"/>
              <w:snapToGrid w:val="0"/>
              <w:jc w:val="center"/>
              <w:rPr>
                <w:rFonts w:hint="eastAsia" w:eastAsia="宋体"/>
                <w:color w:val="0C0C0C"/>
                <w:kern w:val="2"/>
                <w:sz w:val="21"/>
                <w:szCs w:val="21"/>
                <w:highlight w:val="none"/>
                <w:lang w:val="en-US" w:eastAsia="zh-CN" w:bidi="ar-SA"/>
              </w:rPr>
            </w:pPr>
            <w:r>
              <w:rPr>
                <w:rFonts w:hint="eastAsia"/>
                <w:color w:val="0C0C0C"/>
                <w:szCs w:val="21"/>
                <w:highlight w:val="none"/>
                <w:lang w:eastAsia="zh-CN"/>
              </w:rPr>
              <w:t>废包装桶</w:t>
            </w:r>
          </w:p>
        </w:tc>
        <w:tc>
          <w:tcPr>
            <w:tcW w:w="1844"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178"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737"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592" w:type="dxa"/>
            <w:noWrap w:val="0"/>
            <w:vAlign w:val="center"/>
          </w:tcPr>
          <w:p>
            <w:pPr>
              <w:topLinePunct/>
              <w:adjustRightInd w:val="0"/>
              <w:snapToGrid w:val="0"/>
              <w:jc w:val="center"/>
              <w:rPr>
                <w:rFonts w:hint="eastAsia" w:hAnsi="Calibri"/>
                <w:snapToGrid w:val="0"/>
                <w:color w:val="0C0C0C"/>
                <w:kern w:val="21"/>
                <w:szCs w:val="21"/>
                <w:highlight w:val="none"/>
              </w:rPr>
            </w:pPr>
            <w:r>
              <w:rPr>
                <w:rFonts w:hint="eastAsia" w:hAnsi="Calibri"/>
                <w:snapToGrid w:val="0"/>
                <w:color w:val="0C0C0C"/>
                <w:kern w:val="21"/>
                <w:szCs w:val="21"/>
                <w:highlight w:val="none"/>
                <w:lang w:val="en-US" w:eastAsia="zh-CN"/>
              </w:rPr>
              <w:t>0.1</w:t>
            </w:r>
            <w:r>
              <w:rPr>
                <w:rFonts w:hint="eastAsia" w:hAnsi="Calibri"/>
                <w:snapToGrid w:val="0"/>
                <w:color w:val="0C0C0C"/>
                <w:kern w:val="21"/>
                <w:szCs w:val="21"/>
                <w:highlight w:val="none"/>
              </w:rPr>
              <w:t>t/a</w:t>
            </w:r>
          </w:p>
        </w:tc>
        <w:tc>
          <w:tcPr>
            <w:tcW w:w="1370"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692" w:type="dxa"/>
            <w:noWrap w:val="0"/>
            <w:vAlign w:val="center"/>
          </w:tcPr>
          <w:p>
            <w:pPr>
              <w:topLinePunct/>
              <w:adjustRightInd w:val="0"/>
              <w:snapToGrid w:val="0"/>
              <w:jc w:val="center"/>
              <w:rPr>
                <w:rFonts w:hint="eastAsia"/>
                <w:snapToGrid w:val="0"/>
                <w:color w:val="0C0C0C"/>
                <w:kern w:val="21"/>
                <w:szCs w:val="21"/>
                <w:highlight w:val="none"/>
              </w:rPr>
            </w:pPr>
            <w:r>
              <w:rPr>
                <w:rFonts w:hint="eastAsia" w:hAnsi="Calibri"/>
                <w:snapToGrid w:val="0"/>
                <w:color w:val="0C0C0C"/>
                <w:kern w:val="21"/>
                <w:szCs w:val="21"/>
                <w:highlight w:val="none"/>
                <w:lang w:val="en-US" w:eastAsia="zh-CN"/>
              </w:rPr>
              <w:t>0.1</w:t>
            </w:r>
            <w:r>
              <w:rPr>
                <w:rFonts w:hint="eastAsia" w:hAnsi="Calibri"/>
                <w:snapToGrid w:val="0"/>
                <w:color w:val="0C0C0C"/>
                <w:kern w:val="21"/>
                <w:szCs w:val="21"/>
                <w:highlight w:val="none"/>
              </w:rPr>
              <w:t>t/a</w:t>
            </w:r>
          </w:p>
        </w:tc>
        <w:tc>
          <w:tcPr>
            <w:tcW w:w="1579" w:type="dxa"/>
            <w:noWrap w:val="0"/>
            <w:vAlign w:val="center"/>
          </w:tcPr>
          <w:p>
            <w:pPr>
              <w:topLinePunct/>
              <w:adjustRightInd w:val="0"/>
              <w:snapToGrid w:val="0"/>
              <w:jc w:val="center"/>
              <w:rPr>
                <w:rFonts w:hint="eastAsia"/>
                <w:snapToGrid w:val="0"/>
                <w:color w:val="0C0C0C"/>
                <w:kern w:val="21"/>
                <w:szCs w:val="21"/>
                <w:highlight w:val="none"/>
              </w:rPr>
            </w:pPr>
            <w:r>
              <w:rPr>
                <w:rFonts w:hint="eastAsia" w:hAnsi="Calibri"/>
                <w:snapToGrid w:val="0"/>
                <w:color w:val="0C0C0C"/>
                <w:kern w:val="21"/>
                <w:szCs w:val="21"/>
                <w:highlight w:val="none"/>
                <w:lang w:val="en-US" w:eastAsia="zh-CN"/>
              </w:rPr>
              <w:t>0.1</w:t>
            </w:r>
            <w:r>
              <w:rPr>
                <w:rFonts w:hint="eastAsia" w:hAnsi="Calibri"/>
                <w:snapToGrid w:val="0"/>
                <w:color w:val="0C0C0C"/>
                <w:kern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087" w:type="dxa"/>
            <w:vMerge w:val="continue"/>
            <w:noWrap w:val="0"/>
            <w:vAlign w:val="center"/>
          </w:tcPr>
          <w:p>
            <w:pPr>
              <w:pStyle w:val="44"/>
              <w:spacing w:beforeLines="0" w:afterLines="0" w:line="240" w:lineRule="auto"/>
              <w:rPr>
                <w:rFonts w:hAnsi="宋体" w:cs="宋体"/>
                <w:snapToGrid w:val="0"/>
                <w:color w:val="0C0C0C"/>
                <w:kern w:val="21"/>
                <w:szCs w:val="21"/>
                <w:highlight w:val="none"/>
              </w:rPr>
            </w:pPr>
          </w:p>
        </w:tc>
        <w:tc>
          <w:tcPr>
            <w:tcW w:w="1997" w:type="dxa"/>
            <w:noWrap w:val="0"/>
            <w:vAlign w:val="center"/>
          </w:tcPr>
          <w:p>
            <w:pPr>
              <w:adjustRightInd w:val="0"/>
              <w:snapToGrid w:val="0"/>
              <w:jc w:val="center"/>
              <w:rPr>
                <w:rFonts w:hint="eastAsia" w:eastAsia="宋体"/>
                <w:color w:val="0C0C0C"/>
                <w:kern w:val="2"/>
                <w:sz w:val="21"/>
                <w:szCs w:val="21"/>
                <w:highlight w:val="none"/>
                <w:lang w:val="en-US" w:eastAsia="zh-CN" w:bidi="ar-SA"/>
              </w:rPr>
            </w:pPr>
            <w:r>
              <w:rPr>
                <w:rFonts w:hint="eastAsia"/>
                <w:color w:val="0C0C0C"/>
                <w:szCs w:val="21"/>
                <w:highlight w:val="none"/>
                <w:lang w:eastAsia="zh-CN"/>
              </w:rPr>
              <w:t>含油</w:t>
            </w:r>
            <w:r>
              <w:rPr>
                <w:rFonts w:hint="eastAsia"/>
                <w:bCs/>
                <w:color w:val="0C0C0C"/>
                <w:szCs w:val="21"/>
                <w:highlight w:val="none"/>
              </w:rPr>
              <w:t>手套及废抹布</w:t>
            </w:r>
          </w:p>
        </w:tc>
        <w:tc>
          <w:tcPr>
            <w:tcW w:w="1844" w:type="dxa"/>
            <w:noWrap w:val="0"/>
            <w:vAlign w:val="center"/>
          </w:tcPr>
          <w:p>
            <w:pPr>
              <w:jc w:val="center"/>
              <w:rPr>
                <w:snapToGrid w:val="0"/>
                <w:color w:val="0C0C0C"/>
                <w:kern w:val="21"/>
                <w:szCs w:val="21"/>
                <w:highlight w:val="none"/>
              </w:rPr>
            </w:pPr>
            <w:r>
              <w:rPr>
                <w:rFonts w:hint="eastAsia"/>
                <w:snapToGrid w:val="0"/>
                <w:color w:val="0C0C0C"/>
                <w:kern w:val="21"/>
                <w:szCs w:val="21"/>
                <w:highlight w:val="none"/>
              </w:rPr>
              <w:t>0</w:t>
            </w:r>
          </w:p>
        </w:tc>
        <w:tc>
          <w:tcPr>
            <w:tcW w:w="1178"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737"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592" w:type="dxa"/>
            <w:noWrap w:val="0"/>
            <w:vAlign w:val="center"/>
          </w:tcPr>
          <w:p>
            <w:pPr>
              <w:topLinePunct/>
              <w:adjustRightInd w:val="0"/>
              <w:snapToGrid w:val="0"/>
              <w:jc w:val="center"/>
              <w:rPr>
                <w:rFonts w:hint="eastAsia" w:hAnsi="Calibri"/>
                <w:snapToGrid w:val="0"/>
                <w:color w:val="0C0C0C"/>
                <w:kern w:val="21"/>
                <w:szCs w:val="21"/>
                <w:highlight w:val="none"/>
              </w:rPr>
            </w:pPr>
            <w:r>
              <w:rPr>
                <w:rFonts w:hint="eastAsia" w:hAnsi="Calibri"/>
                <w:snapToGrid w:val="0"/>
                <w:color w:val="0C0C0C"/>
                <w:kern w:val="21"/>
                <w:szCs w:val="21"/>
                <w:highlight w:val="none"/>
                <w:lang w:val="en-US" w:eastAsia="zh-CN"/>
              </w:rPr>
              <w:t>0.01</w:t>
            </w:r>
            <w:r>
              <w:rPr>
                <w:rFonts w:hint="eastAsia" w:hAnsi="Calibri"/>
                <w:snapToGrid w:val="0"/>
                <w:color w:val="0C0C0C"/>
                <w:kern w:val="21"/>
                <w:szCs w:val="21"/>
                <w:highlight w:val="none"/>
              </w:rPr>
              <w:t>t/a</w:t>
            </w:r>
          </w:p>
        </w:tc>
        <w:tc>
          <w:tcPr>
            <w:tcW w:w="1370"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692" w:type="dxa"/>
            <w:noWrap w:val="0"/>
            <w:vAlign w:val="center"/>
          </w:tcPr>
          <w:p>
            <w:pPr>
              <w:topLinePunct/>
              <w:adjustRightInd w:val="0"/>
              <w:snapToGrid w:val="0"/>
              <w:jc w:val="center"/>
              <w:rPr>
                <w:rFonts w:hint="eastAsia"/>
                <w:snapToGrid w:val="0"/>
                <w:color w:val="0C0C0C"/>
                <w:kern w:val="21"/>
                <w:szCs w:val="21"/>
                <w:highlight w:val="none"/>
              </w:rPr>
            </w:pPr>
            <w:r>
              <w:rPr>
                <w:rFonts w:hint="eastAsia" w:hAnsi="Calibri"/>
                <w:snapToGrid w:val="0"/>
                <w:color w:val="0C0C0C"/>
                <w:kern w:val="21"/>
                <w:szCs w:val="21"/>
                <w:highlight w:val="none"/>
                <w:lang w:val="en-US" w:eastAsia="zh-CN"/>
              </w:rPr>
              <w:t>0.01</w:t>
            </w:r>
            <w:r>
              <w:rPr>
                <w:rFonts w:hint="eastAsia" w:hAnsi="Calibri"/>
                <w:snapToGrid w:val="0"/>
                <w:color w:val="0C0C0C"/>
                <w:kern w:val="21"/>
                <w:szCs w:val="21"/>
                <w:highlight w:val="none"/>
              </w:rPr>
              <w:t>t/a</w:t>
            </w:r>
          </w:p>
        </w:tc>
        <w:tc>
          <w:tcPr>
            <w:tcW w:w="1579" w:type="dxa"/>
            <w:noWrap w:val="0"/>
            <w:vAlign w:val="center"/>
          </w:tcPr>
          <w:p>
            <w:pPr>
              <w:topLinePunct/>
              <w:adjustRightInd w:val="0"/>
              <w:snapToGrid w:val="0"/>
              <w:jc w:val="center"/>
              <w:rPr>
                <w:rFonts w:hint="eastAsia"/>
                <w:snapToGrid w:val="0"/>
                <w:color w:val="0C0C0C"/>
                <w:kern w:val="21"/>
                <w:szCs w:val="21"/>
                <w:highlight w:val="none"/>
              </w:rPr>
            </w:pPr>
            <w:r>
              <w:rPr>
                <w:rFonts w:hint="eastAsia" w:hAnsi="Calibri"/>
                <w:snapToGrid w:val="0"/>
                <w:color w:val="0C0C0C"/>
                <w:kern w:val="21"/>
                <w:szCs w:val="21"/>
                <w:highlight w:val="none"/>
                <w:lang w:val="en-US" w:eastAsia="zh-CN"/>
              </w:rPr>
              <w:t>0.01</w:t>
            </w:r>
            <w:r>
              <w:rPr>
                <w:rFonts w:hint="eastAsia" w:hAnsi="Calibri"/>
                <w:snapToGrid w:val="0"/>
                <w:color w:val="0C0C0C"/>
                <w:kern w:val="21"/>
                <w:szCs w:val="21"/>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087" w:type="dxa"/>
            <w:noWrap w:val="0"/>
            <w:vAlign w:val="center"/>
          </w:tcPr>
          <w:p>
            <w:pPr>
              <w:pStyle w:val="44"/>
              <w:spacing w:beforeLines="0" w:afterLines="0" w:line="240" w:lineRule="auto"/>
              <w:rPr>
                <w:rFonts w:hAnsi="宋体" w:cs="宋体"/>
                <w:snapToGrid w:val="0"/>
                <w:color w:val="0C0C0C"/>
                <w:kern w:val="21"/>
                <w:szCs w:val="21"/>
                <w:highlight w:val="none"/>
              </w:rPr>
            </w:pPr>
            <w:r>
              <w:rPr>
                <w:rFonts w:hint="eastAsia" w:hAnsi="宋体" w:cs="宋体"/>
                <w:snapToGrid w:val="0"/>
                <w:color w:val="0C0C0C"/>
                <w:kern w:val="21"/>
                <w:szCs w:val="21"/>
                <w:highlight w:val="none"/>
              </w:rPr>
              <w:t xml:space="preserve">生活垃圾                </w:t>
            </w:r>
          </w:p>
        </w:tc>
        <w:tc>
          <w:tcPr>
            <w:tcW w:w="1997" w:type="dxa"/>
            <w:noWrap w:val="0"/>
            <w:vAlign w:val="center"/>
          </w:tcPr>
          <w:p>
            <w:pPr>
              <w:topLinePunct/>
              <w:adjustRightInd w:val="0"/>
              <w:snapToGrid w:val="0"/>
              <w:jc w:val="center"/>
              <w:rPr>
                <w:rFonts w:hint="eastAsia"/>
                <w:color w:val="0C0C0C"/>
                <w:szCs w:val="21"/>
                <w:highlight w:val="none"/>
              </w:rPr>
            </w:pPr>
            <w:r>
              <w:rPr>
                <w:rFonts w:hint="eastAsia"/>
                <w:color w:val="0C0C0C"/>
                <w:szCs w:val="21"/>
                <w:highlight w:val="none"/>
              </w:rPr>
              <w:t>生活垃圾</w:t>
            </w:r>
          </w:p>
        </w:tc>
        <w:tc>
          <w:tcPr>
            <w:tcW w:w="1844" w:type="dxa"/>
            <w:noWrap w:val="0"/>
            <w:vAlign w:val="center"/>
          </w:tcPr>
          <w:p>
            <w:pPr>
              <w:jc w:val="center"/>
              <w:rPr>
                <w:snapToGrid w:val="0"/>
                <w:color w:val="0C0C0C"/>
                <w:kern w:val="21"/>
                <w:szCs w:val="21"/>
                <w:highlight w:val="none"/>
              </w:rPr>
            </w:pPr>
            <w:r>
              <w:rPr>
                <w:rFonts w:hint="eastAsia"/>
                <w:snapToGrid w:val="0"/>
                <w:color w:val="0C0C0C"/>
                <w:kern w:val="21"/>
                <w:szCs w:val="21"/>
                <w:highlight w:val="none"/>
              </w:rPr>
              <w:t>0</w:t>
            </w:r>
          </w:p>
        </w:tc>
        <w:tc>
          <w:tcPr>
            <w:tcW w:w="1178"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737"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592" w:type="dxa"/>
            <w:noWrap w:val="0"/>
            <w:vAlign w:val="center"/>
          </w:tcPr>
          <w:p>
            <w:pPr>
              <w:jc w:val="center"/>
              <w:rPr>
                <w:rFonts w:hint="default" w:hAnsi="Calibri" w:eastAsia="宋体"/>
                <w:snapToGrid w:val="0"/>
                <w:color w:val="0C0C0C"/>
                <w:kern w:val="21"/>
                <w:szCs w:val="21"/>
                <w:highlight w:val="none"/>
                <w:lang w:val="en-US" w:eastAsia="zh-CN"/>
              </w:rPr>
            </w:pPr>
            <w:r>
              <w:rPr>
                <w:rFonts w:hint="eastAsia"/>
                <w:snapToGrid w:val="0"/>
                <w:color w:val="0C0C0C"/>
                <w:kern w:val="21"/>
                <w:szCs w:val="21"/>
                <w:highlight w:val="none"/>
                <w:lang w:val="en-US" w:eastAsia="zh-CN"/>
              </w:rPr>
              <w:t>15</w:t>
            </w:r>
            <w:r>
              <w:rPr>
                <w:rFonts w:hint="eastAsia" w:hAnsi="Calibri"/>
                <w:snapToGrid w:val="0"/>
                <w:color w:val="0C0C0C"/>
                <w:kern w:val="21"/>
                <w:szCs w:val="21"/>
                <w:highlight w:val="none"/>
              </w:rPr>
              <w:t>t/a</w:t>
            </w:r>
          </w:p>
        </w:tc>
        <w:tc>
          <w:tcPr>
            <w:tcW w:w="1370"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rPr>
              <w:t>0</w:t>
            </w:r>
          </w:p>
        </w:tc>
        <w:tc>
          <w:tcPr>
            <w:tcW w:w="1692"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lang w:val="en-US" w:eastAsia="zh-CN"/>
              </w:rPr>
              <w:t>15</w:t>
            </w:r>
            <w:r>
              <w:rPr>
                <w:rFonts w:hint="eastAsia" w:hAnsi="Calibri"/>
                <w:snapToGrid w:val="0"/>
                <w:color w:val="0C0C0C"/>
                <w:kern w:val="21"/>
                <w:szCs w:val="21"/>
                <w:highlight w:val="none"/>
              </w:rPr>
              <w:t>t/a</w:t>
            </w:r>
          </w:p>
        </w:tc>
        <w:tc>
          <w:tcPr>
            <w:tcW w:w="1579" w:type="dxa"/>
            <w:noWrap w:val="0"/>
            <w:vAlign w:val="center"/>
          </w:tcPr>
          <w:p>
            <w:pPr>
              <w:jc w:val="center"/>
              <w:rPr>
                <w:rFonts w:hint="eastAsia"/>
                <w:snapToGrid w:val="0"/>
                <w:color w:val="0C0C0C"/>
                <w:kern w:val="21"/>
                <w:szCs w:val="21"/>
                <w:highlight w:val="none"/>
              </w:rPr>
            </w:pPr>
            <w:r>
              <w:rPr>
                <w:rFonts w:hint="eastAsia"/>
                <w:snapToGrid w:val="0"/>
                <w:color w:val="0C0C0C"/>
                <w:kern w:val="21"/>
                <w:szCs w:val="21"/>
                <w:highlight w:val="none"/>
                <w:lang w:val="en-US" w:eastAsia="zh-CN"/>
              </w:rPr>
              <w:t>15</w:t>
            </w:r>
            <w:r>
              <w:rPr>
                <w:rFonts w:hint="eastAsia" w:hAnsi="Calibri"/>
                <w:snapToGrid w:val="0"/>
                <w:color w:val="0C0C0C"/>
                <w:kern w:val="21"/>
                <w:szCs w:val="21"/>
                <w:highlight w:val="none"/>
              </w:rPr>
              <w:t>t/a</w:t>
            </w:r>
          </w:p>
        </w:tc>
      </w:tr>
    </w:tbl>
    <w:p>
      <w:pPr>
        <w:rPr>
          <w:color w:val="auto"/>
          <w:highlight w:val="none"/>
        </w:rPr>
        <w:sectPr>
          <w:footerReference r:id="rId4" w:type="default"/>
          <w:pgSz w:w="16838" w:h="11906" w:orient="landscape"/>
          <w:pgMar w:top="1587" w:right="1417" w:bottom="1587" w:left="1417" w:header="851" w:footer="1077" w:gutter="0"/>
          <w:pgNumType w:fmt="decimal"/>
          <w:cols w:space="720" w:num="1"/>
          <w:docGrid w:linePitch="312" w:charSpace="0"/>
        </w:sect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p>
    <w:p>
      <w:pPr>
        <w:pStyle w:val="2"/>
      </w:pPr>
    </w:p>
    <w:p>
      <w:pPr>
        <w:pStyle w:val="4"/>
      </w:pPr>
    </w:p>
    <w:p>
      <w:pPr>
        <w:rPr>
          <w:rFonts w:hint="eastAsia"/>
          <w:b/>
          <w:bCs/>
          <w:lang w:val="en-US" w:eastAsia="zh-CN"/>
        </w:rPr>
      </w:pPr>
      <w:r>
        <w:rPr>
          <w:rFonts w:hint="eastAsia"/>
          <w:b/>
          <w:bCs/>
          <w:lang w:val="en-US" w:eastAsia="zh-CN"/>
        </w:rPr>
        <w:t>附件1 营业执照</w:t>
      </w:r>
    </w:p>
    <w:p>
      <w:pPr>
        <w:pStyle w:val="2"/>
        <w:rPr>
          <w:rFonts w:hint="eastAsia"/>
          <w:lang w:val="en-US" w:eastAsia="zh-CN"/>
        </w:rPr>
      </w:pP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附件2 法人身份证复印件</w:t>
      </w:r>
    </w:p>
    <w:p>
      <w:pPr>
        <w:rPr>
          <w:rFonts w:hint="eastAsia"/>
          <w:lang w:val="en-US" w:eastAsia="zh-CN"/>
        </w:rPr>
      </w:pPr>
    </w:p>
    <w:p>
      <w:pPr>
        <w:rPr>
          <w:rFonts w:hint="eastAsia"/>
          <w:b/>
          <w:bCs/>
          <w:lang w:val="en-US" w:eastAsia="zh-CN"/>
        </w:rPr>
      </w:pPr>
      <w:r>
        <w:rPr>
          <w:rFonts w:hint="eastAsia"/>
          <w:b/>
          <w:bCs/>
          <w:lang w:val="en-US" w:eastAsia="zh-CN"/>
        </w:rPr>
        <w:t>附件3 厂房租赁合同</w:t>
      </w:r>
    </w:p>
    <w:p>
      <w:pPr>
        <w:rPr>
          <w:rFonts w:hint="eastAsia"/>
          <w:lang w:val="en-US" w:eastAsia="zh-CN"/>
        </w:rPr>
      </w:pPr>
    </w:p>
    <w:p>
      <w:pPr>
        <w:rPr>
          <w:rFonts w:hint="eastAsia"/>
          <w:lang w:val="en-US" w:eastAsia="zh-CN"/>
        </w:rPr>
      </w:pPr>
    </w:p>
    <w:p>
      <w:pPr>
        <w:rPr>
          <w:rFonts w:hint="eastAsia"/>
          <w:b/>
          <w:bCs/>
          <w:lang w:val="en-US" w:eastAsia="zh-CN"/>
        </w:rPr>
      </w:pPr>
      <w:r>
        <w:rPr>
          <w:rFonts w:hint="eastAsia"/>
          <w:b/>
          <w:bCs/>
          <w:lang w:val="en-US" w:eastAsia="zh-CN"/>
        </w:rPr>
        <w:t>附件4 用地证明</w:t>
      </w:r>
    </w:p>
    <w:p>
      <w:pPr>
        <w:pStyle w:val="2"/>
        <w:rPr>
          <w:rFonts w:hint="default"/>
          <w:lang w:val="en-US" w:eastAsia="zh-CN"/>
        </w:rPr>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pPr>
                          <w:r>
                            <w:fldChar w:fldCharType="begin"/>
                          </w:r>
                          <w:r>
                            <w:instrText xml:space="preserve"> PAGE  \* MERGEFORMAT </w:instrText>
                          </w:r>
                          <w:r>
                            <w:fldChar w:fldCharType="separate"/>
                          </w:r>
                          <w:r>
                            <w:t>40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nvsskBAACbAwAADgAAAGRycy9lMm9Eb2MueG1srVPNjtMwEL6vxDtY&#10;vlNnK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e+yyQEAAJsDAAAOAAAAAAAAAAEAIAAAAB4BAABkcnMvZTJvRG9j&#10;LnhtbFBLBQYAAAAABgAGAFkBAABZBQAAAAA=&#10;">
              <v:fill on="f" focussize="0,0"/>
              <v:stroke on="f"/>
              <v:imagedata o:title=""/>
              <o:lock v:ext="edit" aspectratio="f"/>
              <v:textbox inset="0mm,0mm,0mm,0mm" style="mso-fit-shape-to-text:t;">
                <w:txbxContent>
                  <w:p>
                    <w:pPr>
                      <w:pStyle w:val="20"/>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C085A0"/>
    <w:multiLevelType w:val="singleLevel"/>
    <w:tmpl w:val="CFC085A0"/>
    <w:lvl w:ilvl="0" w:tentative="0">
      <w:start w:val="1"/>
      <w:numFmt w:val="decimal"/>
      <w:suff w:val="nothing"/>
      <w:lvlText w:val="%1、"/>
      <w:lvlJc w:val="left"/>
    </w:lvl>
  </w:abstractNum>
  <w:abstractNum w:abstractNumId="1">
    <w:nsid w:val="34E8C3C4"/>
    <w:multiLevelType w:val="singleLevel"/>
    <w:tmpl w:val="34E8C3C4"/>
    <w:lvl w:ilvl="0" w:tentative="0">
      <w:start w:val="2"/>
      <w:numFmt w:val="decimal"/>
      <w:suff w:val="nothing"/>
      <w:lvlText w:val="（%1）"/>
      <w:lvlJc w:val="left"/>
      <w:pPr>
        <w:ind w:left="-60"/>
      </w:pPr>
    </w:lvl>
  </w:abstractNum>
  <w:abstractNum w:abstractNumId="2">
    <w:nsid w:val="47F24E88"/>
    <w:multiLevelType w:val="singleLevel"/>
    <w:tmpl w:val="47F24E88"/>
    <w:lvl w:ilvl="0" w:tentative="0">
      <w:start w:val="1"/>
      <w:numFmt w:val="bullet"/>
      <w:pStyle w:val="10"/>
      <w:lvlText w:val=""/>
      <w:lvlJc w:val="left"/>
      <w:pPr>
        <w:tabs>
          <w:tab w:val="left" w:pos="780"/>
        </w:tabs>
        <w:ind w:left="780" w:hanging="360"/>
      </w:pPr>
      <w:rPr>
        <w:rFonts w:hint="default" w:ascii="Wingdings" w:hAnsi="Wingdings"/>
      </w:rPr>
    </w:lvl>
  </w:abstractNum>
  <w:abstractNum w:abstractNumId="3">
    <w:nsid w:val="49C11F94"/>
    <w:multiLevelType w:val="singleLevel"/>
    <w:tmpl w:val="49C11F94"/>
    <w:lvl w:ilvl="0" w:tentative="0">
      <w:start w:val="1"/>
      <w:numFmt w:val="decimal"/>
      <w:lvlText w:val="%1)"/>
      <w:lvlJc w:val="left"/>
      <w:pPr>
        <w:tabs>
          <w:tab w:val="left" w:pos="312"/>
        </w:tabs>
      </w:pPr>
    </w:lvl>
  </w:abstractNum>
  <w:abstractNum w:abstractNumId="4">
    <w:nsid w:val="7DE47142"/>
    <w:multiLevelType w:val="singleLevel"/>
    <w:tmpl w:val="7DE47142"/>
    <w:lvl w:ilvl="0" w:tentative="0">
      <w:start w:val="1"/>
      <w:numFmt w:val="decimal"/>
      <w:lvlText w:val="%1."/>
      <w:lvlJc w:val="left"/>
      <w:pPr>
        <w:tabs>
          <w:tab w:val="left" w:pos="312"/>
        </w:tabs>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4YTI5YTAwYzQ0YWNhYjI4MDg4M2UwYTJlZTQxMjkifQ=="/>
  </w:docVars>
  <w:rsids>
    <w:rsidRoot w:val="33184BFC"/>
    <w:rsid w:val="099468AB"/>
    <w:rsid w:val="1BFC2ACA"/>
    <w:rsid w:val="1CB85104"/>
    <w:rsid w:val="24E740F6"/>
    <w:rsid w:val="254D5931"/>
    <w:rsid w:val="2F2C5125"/>
    <w:rsid w:val="33184BFC"/>
    <w:rsid w:val="37D360E9"/>
    <w:rsid w:val="3C0705DA"/>
    <w:rsid w:val="49CD779C"/>
    <w:rsid w:val="51FA7C93"/>
    <w:rsid w:val="6F1268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customStyle="1" w:styleId="2">
    <w:name w:val="Default"/>
    <w:basedOn w:val="3"/>
    <w:next w:val="4"/>
    <w:qFormat/>
    <w:uiPriority w:val="0"/>
    <w:pPr>
      <w:autoSpaceDE w:val="0"/>
      <w:autoSpaceDN w:val="0"/>
      <w:jc w:val="left"/>
    </w:pPr>
    <w:rPr>
      <w:rFonts w:hint="eastAsia" w:hAnsi="Times New Roman" w:eastAsia="宋体" w:cs="Times New Roman"/>
      <w:color w:val="000000"/>
      <w:kern w:val="0"/>
      <w:sz w:val="24"/>
      <w:szCs w:val="20"/>
    </w:rPr>
  </w:style>
  <w:style w:type="paragraph" w:customStyle="1" w:styleId="3">
    <w:name w:val="纯文本1"/>
    <w:basedOn w:val="1"/>
    <w:next w:val="1"/>
    <w:qFormat/>
    <w:uiPriority w:val="0"/>
    <w:pPr>
      <w:adjustRightInd w:val="0"/>
      <w:textAlignment w:val="baseline"/>
    </w:pPr>
    <w:rPr>
      <w:rFonts w:ascii="宋体" w:hAnsi="Courier New"/>
    </w:rPr>
  </w:style>
  <w:style w:type="paragraph" w:styleId="4">
    <w:name w:val="List 3"/>
    <w:basedOn w:val="1"/>
    <w:next w:val="1"/>
    <w:qFormat/>
    <w:uiPriority w:val="0"/>
    <w:pPr>
      <w:ind w:left="100" w:leftChars="400" w:hanging="200" w:hangingChars="200"/>
    </w:pPr>
    <w:rPr>
      <w:rFonts w:ascii="Times New Roman" w:hAnsi="Times New Roman"/>
      <w:szCs w:val="20"/>
    </w:rPr>
  </w:style>
  <w:style w:type="paragraph" w:styleId="6">
    <w:name w:val="E-mail Signature"/>
    <w:basedOn w:val="1"/>
    <w:next w:val="7"/>
    <w:unhideWhenUsed/>
    <w:qFormat/>
    <w:uiPriority w:val="99"/>
    <w:pPr>
      <w:widowControl w:val="0"/>
      <w:spacing w:line="460" w:lineRule="exact"/>
      <w:ind w:firstLine="200"/>
      <w:jc w:val="both"/>
    </w:pPr>
    <w:rPr>
      <w:rFonts w:ascii="Calibri" w:hAnsi="Calibri" w:eastAsia="宋体" w:cs="Times New Roman"/>
      <w:kern w:val="2"/>
      <w:sz w:val="21"/>
      <w:szCs w:val="22"/>
      <w:lang w:val="en-US" w:eastAsia="zh-CN" w:bidi="ar-SA"/>
    </w:rPr>
  </w:style>
  <w:style w:type="paragraph" w:customStyle="1" w:styleId="7">
    <w:name w:val="文章"/>
    <w:basedOn w:val="8"/>
    <w:next w:val="9"/>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8">
    <w:name w:val="Body Text Indent"/>
    <w:basedOn w:val="1"/>
    <w:next w:val="1"/>
    <w:qFormat/>
    <w:uiPriority w:val="0"/>
    <w:pPr>
      <w:spacing w:after="120"/>
      <w:ind w:left="420" w:leftChars="200"/>
    </w:pPr>
    <w:rPr>
      <w:kern w:val="0"/>
      <w:sz w:val="24"/>
      <w:szCs w:val="20"/>
    </w:rPr>
  </w:style>
  <w:style w:type="paragraph" w:styleId="9">
    <w:name w:val="List"/>
    <w:basedOn w:val="1"/>
    <w:next w:val="10"/>
    <w:qFormat/>
    <w:uiPriority w:val="0"/>
    <w:pPr>
      <w:ind w:left="200" w:hanging="200" w:hangingChars="200"/>
    </w:pPr>
    <w:rPr>
      <w:szCs w:val="21"/>
    </w:rPr>
  </w:style>
  <w:style w:type="paragraph" w:styleId="10">
    <w:name w:val="List Bullet 2"/>
    <w:basedOn w:val="1"/>
    <w:next w:val="11"/>
    <w:qFormat/>
    <w:uiPriority w:val="0"/>
    <w:pPr>
      <w:numPr>
        <w:ilvl w:val="0"/>
        <w:numId w:val="1"/>
      </w:numPr>
    </w:pPr>
  </w:style>
  <w:style w:type="paragraph" w:customStyle="1" w:styleId="11">
    <w:name w:val="xl70"/>
    <w:next w:val="12"/>
    <w:qFormat/>
    <w:uiPriority w:val="0"/>
    <w:pPr>
      <w:spacing w:before="280" w:after="280"/>
      <w:jc w:val="both"/>
    </w:pPr>
    <w:rPr>
      <w:rFonts w:ascii="宋体" w:hAnsi="Calibri" w:eastAsia="宋体" w:cs="Times New Roman"/>
      <w:kern w:val="2"/>
      <w:sz w:val="21"/>
      <w:szCs w:val="21"/>
      <w:lang w:val="en-US" w:eastAsia="zh-CN" w:bidi="ar-SA"/>
    </w:rPr>
  </w:style>
  <w:style w:type="paragraph" w:customStyle="1" w:styleId="12">
    <w:name w:val="正文缩进1"/>
    <w:next w:val="13"/>
    <w:qFormat/>
    <w:uiPriority w:val="0"/>
    <w:pPr>
      <w:widowControl w:val="0"/>
      <w:ind w:firstLine="420"/>
      <w:jc w:val="both"/>
    </w:pPr>
    <w:rPr>
      <w:rFonts w:ascii="Calibri" w:hAnsi="Calibri" w:eastAsia="宋体" w:cs="Times New Roman"/>
      <w:kern w:val="2"/>
      <w:sz w:val="28"/>
      <w:lang w:val="en-US" w:eastAsia="zh-CN" w:bidi="ar-SA"/>
    </w:rPr>
  </w:style>
  <w:style w:type="paragraph" w:customStyle="1" w:styleId="13">
    <w:name w:val="td1"/>
    <w:next w:val="1"/>
    <w:qFormat/>
    <w:uiPriority w:val="0"/>
    <w:pPr>
      <w:spacing w:before="280" w:after="280" w:line="300" w:lineRule="atLeast"/>
      <w:ind w:firstLine="200"/>
      <w:jc w:val="both"/>
    </w:pPr>
    <w:rPr>
      <w:rFonts w:ascii="Calibri" w:hAnsi="Calibri" w:eastAsia="宋体" w:cs="Times New Roman"/>
      <w:color w:val="000000"/>
      <w:kern w:val="2"/>
      <w:sz w:val="18"/>
      <w:szCs w:val="21"/>
      <w:lang w:val="en-US" w:eastAsia="zh-CN" w:bidi="ar-SA"/>
    </w:rPr>
  </w:style>
  <w:style w:type="paragraph" w:styleId="14">
    <w:name w:val="Normal Indent"/>
    <w:basedOn w:val="1"/>
    <w:next w:val="1"/>
    <w:qFormat/>
    <w:uiPriority w:val="0"/>
    <w:pPr>
      <w:ind w:firstLine="420" w:firstLineChars="200"/>
    </w:pPr>
    <w:rPr>
      <w:sz w:val="24"/>
      <w:szCs w:val="20"/>
    </w:rPr>
  </w:style>
  <w:style w:type="paragraph" w:styleId="15">
    <w:name w:val="Body Text"/>
    <w:basedOn w:val="1"/>
    <w:next w:val="16"/>
    <w:qFormat/>
    <w:uiPriority w:val="0"/>
    <w:pPr>
      <w:widowControl/>
      <w:snapToGrid w:val="0"/>
      <w:spacing w:before="60" w:after="160" w:line="259" w:lineRule="auto"/>
      <w:ind w:right="113"/>
    </w:pPr>
    <w:rPr>
      <w:kern w:val="0"/>
      <w:sz w:val="18"/>
      <w:szCs w:val="20"/>
    </w:rPr>
  </w:style>
  <w:style w:type="paragraph" w:styleId="16">
    <w:name w:val="Body Text First Indent 2"/>
    <w:basedOn w:val="8"/>
    <w:unhideWhenUsed/>
    <w:qFormat/>
    <w:uiPriority w:val="99"/>
    <w:pPr>
      <w:spacing w:after="120"/>
      <w:ind w:left="420" w:firstLine="210"/>
      <w:jc w:val="both"/>
    </w:pPr>
    <w:rPr>
      <w:rFonts w:ascii="Times New Roman" w:hAnsi="Calibri" w:eastAsia="宋体" w:cs="Times New Roman"/>
      <w:sz w:val="28"/>
      <w:szCs w:val="21"/>
      <w:lang w:val="en-US" w:eastAsia="zh-CN" w:bidi="ar-SA"/>
    </w:rPr>
  </w:style>
  <w:style w:type="paragraph" w:styleId="17">
    <w:name w:val="Plain Text"/>
    <w:basedOn w:val="1"/>
    <w:next w:val="18"/>
    <w:qFormat/>
    <w:uiPriority w:val="0"/>
    <w:rPr>
      <w:rFonts w:ascii="宋体" w:hAnsi="Courier New"/>
    </w:rPr>
  </w:style>
  <w:style w:type="paragraph" w:styleId="18">
    <w:name w:val="toc 1"/>
    <w:basedOn w:val="1"/>
    <w:next w:val="1"/>
    <w:qFormat/>
    <w:uiPriority w:val="0"/>
  </w:style>
  <w:style w:type="paragraph" w:styleId="19">
    <w:name w:val="Body Text Indent 2"/>
    <w:basedOn w:val="1"/>
    <w:qFormat/>
    <w:uiPriority w:val="0"/>
    <w:pPr>
      <w:widowControl/>
      <w:spacing w:after="120" w:line="480" w:lineRule="auto"/>
      <w:ind w:left="420" w:leftChars="200"/>
      <w:jc w:val="left"/>
    </w:pPr>
    <w:rPr>
      <w:rFonts w:ascii="Calibri" w:hAnsi="Calibri"/>
      <w:szCs w:val="24"/>
    </w:rPr>
  </w:style>
  <w:style w:type="paragraph" w:styleId="20">
    <w:name w:val="footer"/>
    <w:basedOn w:val="1"/>
    <w:qFormat/>
    <w:uiPriority w:val="0"/>
    <w:pPr>
      <w:tabs>
        <w:tab w:val="center" w:pos="4153"/>
        <w:tab w:val="right" w:pos="8306"/>
      </w:tabs>
      <w:snapToGrid w:val="0"/>
      <w:jc w:val="left"/>
    </w:pPr>
    <w:rPr>
      <w:sz w:val="18"/>
    </w:rPr>
  </w:style>
  <w:style w:type="paragraph" w:styleId="2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2">
    <w:name w:val="toc 2"/>
    <w:basedOn w:val="1"/>
    <w:next w:val="6"/>
    <w:qFormat/>
    <w:uiPriority w:val="0"/>
    <w:pPr>
      <w:tabs>
        <w:tab w:val="right" w:leader="dot" w:pos="9060"/>
      </w:tabs>
      <w:ind w:left="420" w:leftChars="200" w:firstLine="425"/>
    </w:pPr>
    <w:rPr>
      <w:rFonts w:ascii="Calibri" w:hAnsi="Calibri" w:eastAsia="宋体" w:cs="Times New Roman"/>
      <w:szCs w:val="21"/>
    </w:r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27">
    <w:name w:val="Strong"/>
    <w:qFormat/>
    <w:uiPriority w:val="0"/>
    <w:rPr>
      <w:b/>
      <w:bCs/>
    </w:rPr>
  </w:style>
  <w:style w:type="character" w:styleId="28">
    <w:name w:val="Hyperlink"/>
    <w:basedOn w:val="26"/>
    <w:qFormat/>
    <w:uiPriority w:val="0"/>
    <w:rPr>
      <w:color w:val="0000FF"/>
      <w:u w:val="single"/>
    </w:rPr>
  </w:style>
  <w:style w:type="character" w:styleId="29">
    <w:name w:val="annotation reference"/>
    <w:semiHidden/>
    <w:qFormat/>
    <w:uiPriority w:val="0"/>
    <w:rPr>
      <w:sz w:val="21"/>
    </w:rPr>
  </w:style>
  <w:style w:type="paragraph" w:customStyle="1" w:styleId="30">
    <w:name w:val="样式35"/>
    <w:basedOn w:val="31"/>
    <w:next w:val="32"/>
    <w:qFormat/>
    <w:uiPriority w:val="0"/>
    <w:pPr>
      <w:spacing w:line="312" w:lineRule="auto"/>
      <w:ind w:firstLine="567"/>
      <w:jc w:val="both"/>
    </w:pPr>
    <w:rPr>
      <w:rFonts w:ascii="宋体" w:hAnsi="Times New Roman" w:eastAsia="宋体" w:cs="Times New Roman"/>
      <w:kern w:val="2"/>
      <w:sz w:val="21"/>
      <w:szCs w:val="22"/>
    </w:rPr>
  </w:style>
  <w:style w:type="paragraph" w:customStyle="1" w:styleId="31">
    <w:name w:val="表 内容"/>
    <w:basedOn w:val="1"/>
    <w:qFormat/>
    <w:uiPriority w:val="0"/>
    <w:pPr>
      <w:adjustRightInd w:val="0"/>
      <w:snapToGrid w:val="0"/>
      <w:spacing w:beforeLines="15"/>
      <w:jc w:val="center"/>
    </w:pPr>
    <w:rPr>
      <w:kern w:val="0"/>
      <w:sz w:val="20"/>
      <w:szCs w:val="21"/>
    </w:rPr>
  </w:style>
  <w:style w:type="paragraph" w:customStyle="1" w:styleId="32">
    <w:name w:val="font6"/>
    <w:next w:val="22"/>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customStyle="1" w:styleId="33">
    <w:name w:val="正文表"/>
    <w:basedOn w:val="1"/>
    <w:qFormat/>
    <w:uiPriority w:val="0"/>
    <w:pPr>
      <w:jc w:val="center"/>
    </w:pPr>
    <w:rPr>
      <w:rFonts w:ascii="Times New Roman" w:hAnsi="Times New Roman" w:eastAsia="宋体" w:cs="Times New Roman"/>
      <w:color w:val="000000"/>
      <w:kern w:val="44"/>
      <w:szCs w:val="44"/>
    </w:rPr>
  </w:style>
  <w:style w:type="paragraph" w:customStyle="1" w:styleId="34">
    <w:name w:val="Table Paragraph"/>
    <w:basedOn w:val="1"/>
    <w:qFormat/>
    <w:uiPriority w:val="1"/>
    <w:pPr>
      <w:autoSpaceDE w:val="0"/>
      <w:autoSpaceDN w:val="0"/>
      <w:spacing w:before="69"/>
      <w:ind w:left="35"/>
      <w:jc w:val="left"/>
    </w:pPr>
    <w:rPr>
      <w:rFonts w:ascii="Arial Unicode MS" w:hAnsi="Arial Unicode MS" w:eastAsia="Arial Unicode MS" w:cs="Arial Unicode MS"/>
      <w:kern w:val="0"/>
      <w:sz w:val="22"/>
      <w:lang w:eastAsia="en-US"/>
    </w:rPr>
  </w:style>
  <w:style w:type="paragraph" w:customStyle="1" w:styleId="35">
    <w:name w:val="粗正文"/>
    <w:basedOn w:val="1"/>
    <w:next w:val="36"/>
    <w:qFormat/>
    <w:uiPriority w:val="0"/>
    <w:pPr>
      <w:widowControl/>
      <w:spacing w:line="360" w:lineRule="auto"/>
      <w:ind w:firstLine="1440" w:firstLineChars="200"/>
    </w:pPr>
    <w:rPr>
      <w:rFonts w:hint="eastAsia" w:ascii="Times New Roman" w:hAnsi="Times New Roman" w:eastAsia="宋体" w:cs="Times New Roman"/>
      <w:b/>
      <w:color w:val="000000"/>
      <w:kern w:val="44"/>
      <w:sz w:val="24"/>
      <w:szCs w:val="44"/>
    </w:rPr>
  </w:style>
  <w:style w:type="paragraph" w:customStyle="1" w:styleId="36">
    <w:name w:val="环评正文"/>
    <w:basedOn w:val="1"/>
    <w:qFormat/>
    <w:uiPriority w:val="0"/>
    <w:pPr>
      <w:widowControl/>
      <w:spacing w:line="360" w:lineRule="auto"/>
      <w:ind w:firstLine="1440" w:firstLineChars="200"/>
    </w:pPr>
    <w:rPr>
      <w:rFonts w:hint="eastAsia" w:ascii="Times New Roman" w:hAnsi="Times New Roman" w:eastAsia="宋体" w:cs="Times New Roman"/>
      <w:color w:val="000000"/>
      <w:kern w:val="44"/>
      <w:sz w:val="24"/>
      <w:szCs w:val="44"/>
    </w:rPr>
  </w:style>
  <w:style w:type="paragraph" w:customStyle="1" w:styleId="37">
    <w:name w:val="报告表  段"/>
    <w:basedOn w:val="1"/>
    <w:qFormat/>
    <w:uiPriority w:val="0"/>
    <w:pPr>
      <w:adjustRightInd w:val="0"/>
      <w:spacing w:line="360" w:lineRule="auto"/>
      <w:ind w:firstLine="505" w:firstLineChars="200"/>
      <w:textAlignment w:val="baseline"/>
    </w:pPr>
    <w:rPr>
      <w:rFonts w:ascii="宋体"/>
    </w:rPr>
  </w:style>
  <w:style w:type="paragraph" w:customStyle="1" w:styleId="38">
    <w:name w:val="正文内容"/>
    <w:qFormat/>
    <w:uiPriority w:val="0"/>
    <w:pPr>
      <w:widowControl w:val="0"/>
      <w:spacing w:line="360" w:lineRule="auto"/>
      <w:ind w:firstLine="200" w:firstLineChars="200"/>
    </w:pPr>
    <w:rPr>
      <w:rFonts w:ascii="Calibri" w:hAnsi="Calibri" w:eastAsia="宋体" w:cs="Times New Roman"/>
      <w:kern w:val="2"/>
      <w:sz w:val="24"/>
      <w:szCs w:val="24"/>
      <w:lang w:val="en-US" w:eastAsia="zh-CN" w:bidi="ar-SA"/>
    </w:rPr>
  </w:style>
  <w:style w:type="paragraph" w:customStyle="1" w:styleId="39">
    <w:name w:val="表标题"/>
    <w:next w:val="36"/>
    <w:qFormat/>
    <w:uiPriority w:val="0"/>
    <w:pPr>
      <w:widowControl w:val="0"/>
      <w:adjustRightInd w:val="0"/>
      <w:spacing w:line="394" w:lineRule="atLeast"/>
      <w:ind w:firstLine="510" w:firstLineChars="200"/>
      <w:jc w:val="center"/>
      <w:textAlignment w:val="baseline"/>
    </w:pPr>
    <w:rPr>
      <w:rFonts w:ascii="宋体" w:hAnsi="Calibri" w:eastAsia="宋体" w:cs="Times New Roman"/>
      <w:b/>
      <w:sz w:val="28"/>
      <w:lang w:val="en-US" w:eastAsia="zh-CN" w:bidi="ar-SA"/>
    </w:rPr>
  </w:style>
  <w:style w:type="paragraph" w:customStyle="1" w:styleId="40">
    <w:name w:val="Huo 注释"/>
    <w:basedOn w:val="1"/>
    <w:next w:val="1"/>
    <w:qFormat/>
    <w:uiPriority w:val="0"/>
    <w:pPr>
      <w:widowControl/>
      <w:spacing w:line="360" w:lineRule="auto"/>
      <w:ind w:firstLine="200" w:firstLineChars="200"/>
    </w:pPr>
    <w:rPr>
      <w:rFonts w:eastAsia="楷体_GB2312" w:cs="仿宋_GB2312"/>
      <w:kern w:val="0"/>
    </w:rPr>
  </w:style>
  <w:style w:type="paragraph" w:styleId="41">
    <w:name w:val="No Spacing"/>
    <w:qFormat/>
    <w:uiPriority w:val="99"/>
    <w:pPr>
      <w:widowControl w:val="0"/>
      <w:spacing w:line="312" w:lineRule="auto"/>
      <w:jc w:val="center"/>
    </w:pPr>
    <w:rPr>
      <w:rFonts w:ascii="Times New Roman" w:hAnsi="Times New Roman" w:eastAsia="宋体" w:cs="Times New Roman"/>
      <w:color w:val="000000"/>
      <w:kern w:val="2"/>
      <w:sz w:val="21"/>
      <w:szCs w:val="24"/>
      <w:lang w:val="en-US" w:eastAsia="zh-CN" w:bidi="ar-SA"/>
    </w:rPr>
  </w:style>
  <w:style w:type="paragraph" w:customStyle="1" w:styleId="42">
    <w:name w:val="ENFI正文"/>
    <w:basedOn w:val="1"/>
    <w:qFormat/>
    <w:uiPriority w:val="0"/>
    <w:pPr>
      <w:spacing w:line="500" w:lineRule="exact"/>
      <w:ind w:firstLine="482"/>
    </w:pPr>
    <w:rPr>
      <w:color w:val="000000"/>
      <w:kern w:val="0"/>
      <w:sz w:val="28"/>
    </w:rPr>
  </w:style>
  <w:style w:type="paragraph" w:customStyle="1" w:styleId="43">
    <w:name w:val="列出段落2"/>
    <w:qFormat/>
    <w:uiPriority w:val="34"/>
    <w:pPr>
      <w:widowControl w:val="0"/>
      <w:ind w:firstLine="420" w:firstLineChars="200"/>
      <w:jc w:val="both"/>
    </w:pPr>
    <w:rPr>
      <w:rFonts w:ascii="Calibri" w:hAnsi="Calibri" w:eastAsia="宋体" w:cs="Times New Roman"/>
      <w:kern w:val="2"/>
      <w:sz w:val="21"/>
      <w:szCs w:val="21"/>
      <w:lang w:val="en-US" w:eastAsia="zh-CN" w:bidi="ar-SA"/>
    </w:rPr>
  </w:style>
  <w:style w:type="paragraph" w:customStyle="1" w:styleId="44">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styleId="45">
    <w:name w:val="List Paragraph"/>
    <w:basedOn w:val="1"/>
    <w:qFormat/>
    <w:uiPriority w:val="1"/>
    <w:pPr>
      <w:ind w:left="1199" w:firstLine="480"/>
    </w:pPr>
    <w:rPr>
      <w:rFonts w:ascii="宋体" w:hAnsi="宋体" w:eastAsia="宋体" w:cs="宋体"/>
      <w:lang w:val="zh-CN" w:eastAsia="zh-CN" w:bidi="zh-CN"/>
    </w:rPr>
  </w:style>
  <w:style w:type="table" w:customStyle="1" w:styleId="4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png"/><Relationship Id="rId15" Type="http://schemas.openxmlformats.org/officeDocument/2006/relationships/image" Target="media/image8.wmf"/><Relationship Id="rId14" Type="http://schemas.openxmlformats.org/officeDocument/2006/relationships/oleObject" Target="embeddings/oleObject1.bin"/><Relationship Id="rId13" Type="http://schemas.openxmlformats.org/officeDocument/2006/relationships/image" Target="media/image7.png"/><Relationship Id="rId12" Type="http://schemas.openxmlformats.org/officeDocument/2006/relationships/image" Target="media/image6.wmf"/><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27615</Words>
  <Characters>32296</Characters>
  <Lines>0</Lines>
  <Paragraphs>0</Paragraphs>
  <TotalTime>5</TotalTime>
  <ScaleCrop>false</ScaleCrop>
  <LinksUpToDate>false</LinksUpToDate>
  <CharactersWithSpaces>32504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2023-03-27T01:39:00Z</dcterms:created>
  <dc:creator>B</dc:creator>
  <cp:lastModifiedBy>B</cp:lastModifiedBy>
  <cp:lastPrinted>2023-03-31T08:41:00Z</cp:lastPrinted>
  <dcterms:modified xsi:type="dcterms:W3CDTF">2023-04-03T09:32:27Z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D8462E94C9AA4A0EBFF71EC81FAD7817</vt:lpwstr>
  </property>
</Properties>
</file>