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0DD" w:rsidRDefault="002B3715">
      <w:r>
        <w:pict>
          <v:shape id="_x0000_s1026" style="position:absolute;left:0;text-align:left;margin-left:2.25pt;margin-top:-5.95pt;width:458pt;height:910.5pt;z-index:251657216;mso-position-horizontal-relative:margin;mso-position-vertical-relative:margin" coordsize="21600,21600" o:spt="100" adj="0,,0" path="" filled="f" stroked="f">
            <v:stroke joinstyle="round"/>
            <v:formulas/>
            <v:path o:connecttype="segments"/>
            <v:textbox>
              <w:txbxContent>
                <w:p w:rsidR="000470DD" w:rsidRDefault="00E33904">
                  <w:r>
                    <w:rPr>
                      <w:sz w:val="31"/>
                    </w:rPr>
                    <w:t>附件</w:t>
                  </w:r>
                  <w:r>
                    <w:rPr>
                      <w:sz w:val="31"/>
                    </w:rPr>
                    <w:t>1</w:t>
                  </w:r>
                  <w:r>
                    <w:rPr>
                      <w:sz w:val="31"/>
                    </w:rPr>
                    <w:t>：</w:t>
                  </w:r>
                </w:p>
                <w:p w:rsidR="000470DD" w:rsidRDefault="00E33904">
                  <w:pPr>
                    <w:spacing w:before="240"/>
                    <w:ind w:firstLine="30"/>
                  </w:pPr>
                  <w:r>
                    <w:rPr>
                      <w:sz w:val="37"/>
                    </w:rPr>
                    <w:t>生活饮用水用聚氯化铝</w:t>
                  </w:r>
                  <w:r>
                    <w:rPr>
                      <w:sz w:val="37"/>
                    </w:rPr>
                    <w:t>(</w:t>
                  </w:r>
                  <w:r>
                    <w:rPr>
                      <w:sz w:val="37"/>
                    </w:rPr>
                    <w:t>液态</w:t>
                  </w:r>
                  <w:r>
                    <w:rPr>
                      <w:sz w:val="37"/>
                    </w:rPr>
                    <w:t>)</w:t>
                  </w:r>
                  <w:r>
                    <w:rPr>
                      <w:sz w:val="37"/>
                    </w:rPr>
                    <w:t>招标质量要求及规格：</w:t>
                  </w:r>
                </w:p>
                <w:p w:rsidR="000470DD" w:rsidRDefault="00E33904">
                  <w:pPr>
                    <w:spacing w:before="9090"/>
                    <w:ind w:firstLine="735"/>
                  </w:pPr>
                  <w:r>
                    <w:rPr>
                      <w:sz w:val="31"/>
                    </w:rPr>
                    <w:t>同时还需满足以下要求：</w:t>
                  </w:r>
                </w:p>
                <w:p w:rsidR="000470DD" w:rsidRDefault="00E33904" w:rsidP="00DB1277">
                  <w:pPr>
                    <w:spacing w:before="135"/>
                    <w:ind w:firstLineChars="100" w:firstLine="290"/>
                  </w:pPr>
                  <w:r>
                    <w:rPr>
                      <w:position w:val="18"/>
                      <w:sz w:val="29"/>
                    </w:rPr>
                    <w:t>1</w:t>
                  </w:r>
                  <w:r>
                    <w:rPr>
                      <w:position w:val="18"/>
                      <w:sz w:val="29"/>
                    </w:rPr>
                    <w:t>、每批出厂的聚氯化铝产品都应附有质量检验报告及质量合格证。</w:t>
                  </w:r>
                </w:p>
                <w:p w:rsidR="000470DD" w:rsidRDefault="00E33904" w:rsidP="00DB1277">
                  <w:pPr>
                    <w:spacing w:before="105"/>
                    <w:ind w:firstLineChars="100" w:firstLine="290"/>
                  </w:pPr>
                  <w:r>
                    <w:rPr>
                      <w:position w:val="13"/>
                      <w:sz w:val="29"/>
                    </w:rPr>
                    <w:t>2</w:t>
                  </w:r>
                  <w:r>
                    <w:rPr>
                      <w:position w:val="13"/>
                      <w:sz w:val="29"/>
                    </w:rPr>
                    <w:t>、聚氯化铝</w:t>
                  </w:r>
                  <w:r>
                    <w:rPr>
                      <w:position w:val="13"/>
                      <w:sz w:val="29"/>
                    </w:rPr>
                    <w:t>(</w:t>
                  </w:r>
                  <w:r>
                    <w:rPr>
                      <w:position w:val="13"/>
                      <w:sz w:val="29"/>
                    </w:rPr>
                    <w:t>液体</w:t>
                  </w:r>
                  <w:r>
                    <w:rPr>
                      <w:position w:val="13"/>
                      <w:sz w:val="29"/>
                    </w:rPr>
                    <w:t>)</w:t>
                  </w:r>
                  <w:r>
                    <w:rPr>
                      <w:position w:val="13"/>
                      <w:sz w:val="29"/>
                    </w:rPr>
                    <w:t>采用聚乙烯塑料桶包装，送货时用贮罐装运。</w:t>
                  </w:r>
                </w:p>
                <w:p w:rsidR="00DB1277" w:rsidRDefault="00E33904" w:rsidP="00DB1277">
                  <w:pPr>
                    <w:spacing w:before="165"/>
                    <w:ind w:firstLineChars="100" w:firstLine="290"/>
                  </w:pPr>
                  <w:r>
                    <w:rPr>
                      <w:position w:val="13"/>
                      <w:sz w:val="29"/>
                    </w:rPr>
                    <w:t>3</w:t>
                  </w:r>
                  <w:r>
                    <w:rPr>
                      <w:position w:val="13"/>
                      <w:sz w:val="29"/>
                    </w:rPr>
                    <w:t>、其余标准均参照：中华人民共和国国家标准</w:t>
                  </w:r>
                  <w:r>
                    <w:rPr>
                      <w:position w:val="13"/>
                      <w:sz w:val="29"/>
                    </w:rPr>
                    <w:t>(</w:t>
                  </w:r>
                  <w:r>
                    <w:rPr>
                      <w:position w:val="13"/>
                      <w:sz w:val="29"/>
                    </w:rPr>
                    <w:t>生活饮用水用聚氯化铝</w:t>
                  </w:r>
                  <w:r>
                    <w:rPr>
                      <w:position w:val="13"/>
                      <w:sz w:val="29"/>
                    </w:rPr>
                    <w:t>)GB15892-2020</w:t>
                  </w:r>
                </w:p>
                <w:p w:rsidR="000470DD" w:rsidRDefault="00E33904" w:rsidP="00DB1277">
                  <w:pPr>
                    <w:spacing w:before="165"/>
                    <w:ind w:firstLineChars="1900" w:firstLine="5890"/>
                  </w:pPr>
                  <w:r>
                    <w:rPr>
                      <w:sz w:val="31"/>
                    </w:rPr>
                    <w:t>博罗石湾自来水公司</w:t>
                  </w:r>
                </w:p>
                <w:p w:rsidR="000470DD" w:rsidRDefault="00E33904" w:rsidP="00DB1277">
                  <w:pPr>
                    <w:spacing w:before="90"/>
                    <w:ind w:firstLineChars="2001" w:firstLine="6203"/>
                  </w:pPr>
                  <w:r>
                    <w:rPr>
                      <w:sz w:val="31"/>
                    </w:rPr>
                    <w:t>2024</w:t>
                  </w:r>
                  <w:r>
                    <w:rPr>
                      <w:sz w:val="31"/>
                    </w:rPr>
                    <w:t>年</w:t>
                  </w:r>
                  <w:r w:rsidR="005774B1">
                    <w:rPr>
                      <w:sz w:val="31"/>
                    </w:rPr>
                    <w:t>10</w:t>
                  </w:r>
                  <w:r>
                    <w:rPr>
                      <w:sz w:val="31"/>
                    </w:rPr>
                    <w:t>月</w:t>
                  </w:r>
                  <w:r w:rsidR="005774B1">
                    <w:rPr>
                      <w:sz w:val="31"/>
                    </w:rPr>
                    <w:t>29</w:t>
                  </w:r>
                  <w:r>
                    <w:rPr>
                      <w:sz w:val="31"/>
                    </w:rPr>
                    <w:t>日</w:t>
                  </w:r>
                </w:p>
              </w:txbxContent>
            </v:textbox>
            <w10:wrap anchorx="margin" anchory="margin"/>
          </v:shape>
        </w:pict>
      </w:r>
    </w:p>
    <w:p w:rsidR="000470DD" w:rsidRDefault="000470DD"/>
    <w:tbl>
      <w:tblPr>
        <w:tblpPr w:tblpY="1260"/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416"/>
        <w:gridCol w:w="3931"/>
      </w:tblGrid>
      <w:tr w:rsidR="000470DD">
        <w:trPr>
          <w:trHeight w:hRule="exact" w:val="689"/>
        </w:trPr>
        <w:tc>
          <w:tcPr>
            <w:tcW w:w="5416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指标名称</w:t>
            </w:r>
          </w:p>
        </w:tc>
        <w:tc>
          <w:tcPr>
            <w:tcW w:w="3931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指标值</w:t>
            </w:r>
          </w:p>
        </w:tc>
      </w:tr>
      <w:tr w:rsidR="000470DD">
        <w:trPr>
          <w:trHeight w:hRule="exact" w:val="675"/>
        </w:trPr>
        <w:tc>
          <w:tcPr>
            <w:tcW w:w="5416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性状及外观</w:t>
            </w:r>
          </w:p>
        </w:tc>
        <w:tc>
          <w:tcPr>
            <w:tcW w:w="3931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无色至淡黄色透明液体</w:t>
            </w:r>
          </w:p>
        </w:tc>
      </w:tr>
      <w:tr w:rsidR="000470DD">
        <w:trPr>
          <w:trHeight w:hRule="exact" w:val="495"/>
        </w:trPr>
        <w:tc>
          <w:tcPr>
            <w:tcW w:w="5416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氧化铝</w:t>
            </w:r>
            <w:r>
              <w:rPr>
                <w:sz w:val="24"/>
                <w:szCs w:val="32"/>
              </w:rPr>
              <w:t>(Al</w:t>
            </w:r>
            <w:r w:rsidRPr="00D14E4D">
              <w:rPr>
                <w:sz w:val="20"/>
                <w:szCs w:val="32"/>
                <w:vertAlign w:val="subscript"/>
              </w:rPr>
              <w:t>2</w:t>
            </w:r>
            <w:r>
              <w:rPr>
                <w:sz w:val="24"/>
                <w:szCs w:val="32"/>
              </w:rPr>
              <w:t>0</w:t>
            </w:r>
            <w:r w:rsidRPr="00D14E4D">
              <w:rPr>
                <w:szCs w:val="32"/>
                <w:vertAlign w:val="subscript"/>
              </w:rPr>
              <w:t>3</w:t>
            </w:r>
            <w:r>
              <w:rPr>
                <w:sz w:val="24"/>
                <w:szCs w:val="32"/>
              </w:rPr>
              <w:t>)</w:t>
            </w:r>
            <w:r>
              <w:rPr>
                <w:sz w:val="24"/>
                <w:szCs w:val="32"/>
              </w:rPr>
              <w:t>的质量分数</w:t>
            </w:r>
            <w:r>
              <w:rPr>
                <w:sz w:val="24"/>
                <w:szCs w:val="32"/>
              </w:rPr>
              <w:t>/%</w:t>
            </w:r>
          </w:p>
        </w:tc>
        <w:tc>
          <w:tcPr>
            <w:tcW w:w="3931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≥10.0</w:t>
            </w:r>
          </w:p>
        </w:tc>
      </w:tr>
      <w:tr w:rsidR="000470DD">
        <w:trPr>
          <w:trHeight w:hRule="exact" w:val="675"/>
        </w:trPr>
        <w:tc>
          <w:tcPr>
            <w:tcW w:w="5416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盐基度</w:t>
            </w:r>
            <w:r>
              <w:rPr>
                <w:sz w:val="24"/>
                <w:szCs w:val="32"/>
              </w:rPr>
              <w:t>/%</w:t>
            </w:r>
          </w:p>
        </w:tc>
        <w:tc>
          <w:tcPr>
            <w:tcW w:w="3931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45.0~90.0</w:t>
            </w:r>
          </w:p>
        </w:tc>
      </w:tr>
      <w:tr w:rsidR="000470DD">
        <w:trPr>
          <w:trHeight w:hRule="exact" w:val="554"/>
        </w:trPr>
        <w:tc>
          <w:tcPr>
            <w:tcW w:w="5416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密度</w:t>
            </w:r>
            <w:r>
              <w:rPr>
                <w:sz w:val="24"/>
                <w:szCs w:val="32"/>
              </w:rPr>
              <w:t>(20℃)/(g/cm³)</w:t>
            </w:r>
          </w:p>
        </w:tc>
        <w:tc>
          <w:tcPr>
            <w:tcW w:w="3931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≥1.12</w:t>
            </w:r>
          </w:p>
        </w:tc>
      </w:tr>
      <w:tr w:rsidR="000470DD">
        <w:trPr>
          <w:trHeight w:hRule="exact" w:val="525"/>
        </w:trPr>
        <w:tc>
          <w:tcPr>
            <w:tcW w:w="5416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不溶物的质量分数</w:t>
            </w:r>
            <w:r>
              <w:rPr>
                <w:sz w:val="24"/>
                <w:szCs w:val="32"/>
              </w:rPr>
              <w:t>/%</w:t>
            </w:r>
          </w:p>
        </w:tc>
        <w:tc>
          <w:tcPr>
            <w:tcW w:w="3931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≤0.1</w:t>
            </w:r>
          </w:p>
        </w:tc>
      </w:tr>
      <w:tr w:rsidR="000470DD">
        <w:trPr>
          <w:trHeight w:hRule="exact" w:val="675"/>
        </w:trPr>
        <w:tc>
          <w:tcPr>
            <w:tcW w:w="5416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pH</w:t>
            </w:r>
            <w:r>
              <w:rPr>
                <w:sz w:val="24"/>
                <w:szCs w:val="32"/>
              </w:rPr>
              <w:t>值</w:t>
            </w:r>
            <w:r>
              <w:rPr>
                <w:sz w:val="24"/>
                <w:szCs w:val="32"/>
              </w:rPr>
              <w:t>(10g/L</w:t>
            </w:r>
            <w:r>
              <w:rPr>
                <w:sz w:val="24"/>
                <w:szCs w:val="32"/>
              </w:rPr>
              <w:t>水溶液</w:t>
            </w:r>
            <w:r>
              <w:rPr>
                <w:sz w:val="24"/>
                <w:szCs w:val="32"/>
              </w:rPr>
              <w:t>)</w:t>
            </w:r>
          </w:p>
        </w:tc>
        <w:tc>
          <w:tcPr>
            <w:tcW w:w="3931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3.5~5.0</w:t>
            </w:r>
          </w:p>
        </w:tc>
      </w:tr>
      <w:tr w:rsidR="000470DD">
        <w:trPr>
          <w:trHeight w:hRule="exact" w:val="509"/>
        </w:trPr>
        <w:tc>
          <w:tcPr>
            <w:tcW w:w="5416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铁</w:t>
            </w:r>
            <w:r>
              <w:rPr>
                <w:sz w:val="24"/>
                <w:szCs w:val="32"/>
              </w:rPr>
              <w:t>(Fe)</w:t>
            </w:r>
            <w:r>
              <w:rPr>
                <w:sz w:val="24"/>
                <w:szCs w:val="32"/>
              </w:rPr>
              <w:t>的质量分数</w:t>
            </w:r>
            <w:r>
              <w:rPr>
                <w:sz w:val="24"/>
                <w:szCs w:val="32"/>
              </w:rPr>
              <w:t>/%</w:t>
            </w:r>
          </w:p>
        </w:tc>
        <w:tc>
          <w:tcPr>
            <w:tcW w:w="3931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≤0.2</w:t>
            </w:r>
          </w:p>
        </w:tc>
      </w:tr>
      <w:tr w:rsidR="000470DD">
        <w:trPr>
          <w:trHeight w:hRule="exact" w:val="509"/>
        </w:trPr>
        <w:tc>
          <w:tcPr>
            <w:tcW w:w="5416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砷</w:t>
            </w:r>
            <w:r>
              <w:rPr>
                <w:sz w:val="24"/>
                <w:szCs w:val="32"/>
              </w:rPr>
              <w:t>(As)</w:t>
            </w:r>
            <w:r>
              <w:rPr>
                <w:sz w:val="24"/>
                <w:szCs w:val="32"/>
              </w:rPr>
              <w:t>的质量分数</w:t>
            </w:r>
            <w:r>
              <w:rPr>
                <w:sz w:val="24"/>
                <w:szCs w:val="32"/>
              </w:rPr>
              <w:t>/%</w:t>
            </w:r>
          </w:p>
        </w:tc>
        <w:tc>
          <w:tcPr>
            <w:tcW w:w="3931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≤0.0001</w:t>
            </w:r>
          </w:p>
        </w:tc>
      </w:tr>
      <w:tr w:rsidR="000470DD">
        <w:trPr>
          <w:trHeight w:hRule="exact" w:val="495"/>
        </w:trPr>
        <w:tc>
          <w:tcPr>
            <w:tcW w:w="5416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铅</w:t>
            </w:r>
            <w:r>
              <w:rPr>
                <w:sz w:val="24"/>
                <w:szCs w:val="32"/>
              </w:rPr>
              <w:t>(</w:t>
            </w:r>
            <w:proofErr w:type="spellStart"/>
            <w:r>
              <w:rPr>
                <w:sz w:val="24"/>
                <w:szCs w:val="32"/>
              </w:rPr>
              <w:t>Pb</w:t>
            </w:r>
            <w:proofErr w:type="spellEnd"/>
            <w:r>
              <w:rPr>
                <w:sz w:val="24"/>
                <w:szCs w:val="32"/>
              </w:rPr>
              <w:t>)</w:t>
            </w:r>
            <w:r>
              <w:rPr>
                <w:sz w:val="24"/>
                <w:szCs w:val="32"/>
              </w:rPr>
              <w:t>的质量分数</w:t>
            </w:r>
            <w:r>
              <w:rPr>
                <w:sz w:val="24"/>
                <w:szCs w:val="32"/>
              </w:rPr>
              <w:t>/%</w:t>
            </w:r>
          </w:p>
        </w:tc>
        <w:tc>
          <w:tcPr>
            <w:tcW w:w="3931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≤0.0005</w:t>
            </w:r>
          </w:p>
        </w:tc>
      </w:tr>
      <w:tr w:rsidR="000470DD">
        <w:trPr>
          <w:trHeight w:hRule="exact" w:val="509"/>
        </w:trPr>
        <w:tc>
          <w:tcPr>
            <w:tcW w:w="5416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镉</w:t>
            </w:r>
            <w:r>
              <w:rPr>
                <w:sz w:val="24"/>
                <w:szCs w:val="32"/>
              </w:rPr>
              <w:t>(</w:t>
            </w:r>
            <w:proofErr w:type="spellStart"/>
            <w:r>
              <w:rPr>
                <w:sz w:val="24"/>
                <w:szCs w:val="32"/>
              </w:rPr>
              <w:t>Cd</w:t>
            </w:r>
            <w:proofErr w:type="spellEnd"/>
            <w:r>
              <w:rPr>
                <w:sz w:val="24"/>
                <w:szCs w:val="32"/>
              </w:rPr>
              <w:t>)</w:t>
            </w:r>
            <w:r>
              <w:rPr>
                <w:sz w:val="24"/>
                <w:szCs w:val="32"/>
              </w:rPr>
              <w:t>的质量分数</w:t>
            </w:r>
            <w:r>
              <w:rPr>
                <w:sz w:val="24"/>
                <w:szCs w:val="32"/>
              </w:rPr>
              <w:t>/%</w:t>
            </w:r>
          </w:p>
        </w:tc>
        <w:tc>
          <w:tcPr>
            <w:tcW w:w="3931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≤0.0001</w:t>
            </w:r>
          </w:p>
        </w:tc>
      </w:tr>
      <w:tr w:rsidR="000470DD">
        <w:trPr>
          <w:trHeight w:hRule="exact" w:val="509"/>
        </w:trPr>
        <w:tc>
          <w:tcPr>
            <w:tcW w:w="5416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汞</w:t>
            </w:r>
            <w:r>
              <w:rPr>
                <w:sz w:val="24"/>
                <w:szCs w:val="32"/>
              </w:rPr>
              <w:t>(Hg)</w:t>
            </w:r>
            <w:r>
              <w:rPr>
                <w:sz w:val="24"/>
                <w:szCs w:val="32"/>
              </w:rPr>
              <w:t>的质量分数</w:t>
            </w:r>
            <w:r>
              <w:rPr>
                <w:sz w:val="24"/>
                <w:szCs w:val="32"/>
              </w:rPr>
              <w:t>/%</w:t>
            </w:r>
          </w:p>
        </w:tc>
        <w:tc>
          <w:tcPr>
            <w:tcW w:w="3931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≤0.00001</w:t>
            </w:r>
          </w:p>
        </w:tc>
      </w:tr>
      <w:tr w:rsidR="000470DD">
        <w:trPr>
          <w:trHeight w:hRule="exact" w:val="509"/>
        </w:trPr>
        <w:tc>
          <w:tcPr>
            <w:tcW w:w="5416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铬</w:t>
            </w:r>
            <w:r>
              <w:rPr>
                <w:sz w:val="24"/>
                <w:szCs w:val="32"/>
              </w:rPr>
              <w:t>(Cr)</w:t>
            </w:r>
            <w:r>
              <w:rPr>
                <w:sz w:val="24"/>
                <w:szCs w:val="32"/>
              </w:rPr>
              <w:t>的质量分数</w:t>
            </w:r>
            <w:r>
              <w:rPr>
                <w:sz w:val="24"/>
                <w:szCs w:val="32"/>
              </w:rPr>
              <w:t>/%</w:t>
            </w:r>
          </w:p>
        </w:tc>
        <w:tc>
          <w:tcPr>
            <w:tcW w:w="3931" w:type="dxa"/>
            <w:vAlign w:val="center"/>
          </w:tcPr>
          <w:p w:rsidR="000470DD" w:rsidRDefault="00E33904">
            <w:pPr>
              <w:jc w:val="center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≤0.0005</w:t>
            </w:r>
          </w:p>
        </w:tc>
      </w:tr>
      <w:tr w:rsidR="000470DD">
        <w:trPr>
          <w:trHeight w:hRule="exact" w:val="1289"/>
        </w:trPr>
        <w:tc>
          <w:tcPr>
            <w:tcW w:w="9346" w:type="dxa"/>
            <w:gridSpan w:val="2"/>
          </w:tcPr>
          <w:p w:rsidR="000470DD" w:rsidRDefault="00E33904">
            <w:pPr>
              <w:jc w:val="left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表中所列产品的不溶物、铁、砷、铅、镉、汞、铬的质量分数均按</w:t>
            </w:r>
            <w:r>
              <w:rPr>
                <w:sz w:val="24"/>
                <w:szCs w:val="32"/>
              </w:rPr>
              <w:t>Al</w:t>
            </w:r>
            <w:r w:rsidR="00D14E4D" w:rsidRPr="00D14E4D">
              <w:rPr>
                <w:rFonts w:hint="eastAsia"/>
                <w:sz w:val="22"/>
                <w:szCs w:val="32"/>
                <w:vertAlign w:val="subscript"/>
              </w:rPr>
              <w:t>2</w:t>
            </w:r>
            <w:r>
              <w:rPr>
                <w:sz w:val="24"/>
                <w:szCs w:val="32"/>
              </w:rPr>
              <w:t>0</w:t>
            </w:r>
            <w:r w:rsidR="00D14E4D">
              <w:rPr>
                <w:rFonts w:hint="eastAsia"/>
                <w:sz w:val="24"/>
                <w:szCs w:val="32"/>
                <w:vertAlign w:val="subscript"/>
              </w:rPr>
              <w:t>3</w:t>
            </w:r>
            <w:r>
              <w:rPr>
                <w:sz w:val="24"/>
                <w:szCs w:val="32"/>
              </w:rPr>
              <w:t>含</w:t>
            </w:r>
          </w:p>
          <w:p w:rsidR="000470DD" w:rsidRDefault="00E33904">
            <w:pPr>
              <w:jc w:val="left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量为</w:t>
            </w:r>
            <w:r>
              <w:rPr>
                <w:sz w:val="24"/>
                <w:szCs w:val="32"/>
              </w:rPr>
              <w:t>10.0%</w:t>
            </w:r>
            <w:r>
              <w:rPr>
                <w:sz w:val="24"/>
                <w:szCs w:val="32"/>
              </w:rPr>
              <w:t>计，</w:t>
            </w:r>
            <w:r w:rsidR="00DB1277">
              <w:rPr>
                <w:sz w:val="24"/>
                <w:szCs w:val="32"/>
              </w:rPr>
              <w:t>Al</w:t>
            </w:r>
            <w:r w:rsidR="00DB1277">
              <w:rPr>
                <w:rFonts w:hint="eastAsia"/>
                <w:sz w:val="24"/>
                <w:szCs w:val="32"/>
                <w:vertAlign w:val="subscript"/>
              </w:rPr>
              <w:t>2</w:t>
            </w:r>
            <w:r w:rsidR="00DB1277">
              <w:rPr>
                <w:sz w:val="24"/>
                <w:szCs w:val="32"/>
              </w:rPr>
              <w:t>0</w:t>
            </w:r>
            <w:r w:rsidR="00DB1277">
              <w:rPr>
                <w:rFonts w:hint="eastAsia"/>
                <w:sz w:val="24"/>
                <w:szCs w:val="32"/>
                <w:vertAlign w:val="subscript"/>
              </w:rPr>
              <w:t>3</w:t>
            </w:r>
            <w:r>
              <w:rPr>
                <w:sz w:val="24"/>
                <w:szCs w:val="32"/>
              </w:rPr>
              <w:t>含量</w:t>
            </w:r>
            <w:r>
              <w:rPr>
                <w:sz w:val="24"/>
                <w:szCs w:val="32"/>
              </w:rPr>
              <w:t>&gt;10.0%</w:t>
            </w:r>
            <w:r>
              <w:rPr>
                <w:sz w:val="24"/>
                <w:szCs w:val="32"/>
              </w:rPr>
              <w:t>时，应按实际含量折算成</w:t>
            </w:r>
            <w:r>
              <w:rPr>
                <w:sz w:val="24"/>
                <w:szCs w:val="32"/>
              </w:rPr>
              <w:t>Al</w:t>
            </w:r>
            <w:r w:rsidR="00D14E4D">
              <w:rPr>
                <w:rFonts w:hint="eastAsia"/>
                <w:sz w:val="24"/>
                <w:szCs w:val="32"/>
                <w:vertAlign w:val="subscript"/>
              </w:rPr>
              <w:t>2</w:t>
            </w:r>
            <w:r>
              <w:rPr>
                <w:sz w:val="24"/>
                <w:szCs w:val="32"/>
              </w:rPr>
              <w:t>0</w:t>
            </w:r>
            <w:r w:rsidRPr="00DB1277">
              <w:rPr>
                <w:sz w:val="24"/>
                <w:szCs w:val="32"/>
                <w:vertAlign w:val="subscript"/>
              </w:rPr>
              <w:t>3</w:t>
            </w:r>
            <w:r>
              <w:rPr>
                <w:sz w:val="24"/>
                <w:szCs w:val="32"/>
              </w:rPr>
              <w:t>为</w:t>
            </w:r>
            <w:r>
              <w:rPr>
                <w:sz w:val="24"/>
                <w:szCs w:val="32"/>
              </w:rPr>
              <w:t>10.0%</w:t>
            </w:r>
            <w:r>
              <w:rPr>
                <w:sz w:val="24"/>
                <w:szCs w:val="32"/>
              </w:rPr>
              <w:t>产品比例</w:t>
            </w:r>
          </w:p>
          <w:p w:rsidR="000470DD" w:rsidRDefault="00E33904">
            <w:pPr>
              <w:jc w:val="left"/>
              <w:textAlignment w:val="top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>计算出相应的质量分数。本产品还应符合国家相关法律法规及强制性标准要求。</w:t>
            </w:r>
          </w:p>
        </w:tc>
      </w:tr>
    </w:tbl>
    <w:p w:rsidR="000470DD" w:rsidRDefault="002B3715">
      <w:bookmarkStart w:id="0" w:name="_GoBack"/>
      <w:bookmarkEnd w:id="0"/>
      <w:r>
        <w:pict>
          <v:shape id="_x0000_s1027" style="position:absolute;left:0;text-align:left;margin-left:298pt;margin-top:772.95pt;width:148pt;height:65.05pt;z-index:251658240;mso-position-horizontal-relative:margin;mso-position-vertical-relative:margin" coordsize="21600,21600" o:spt="100" adj="0,,0" path="" filled="f" stroked="f">
            <v:stroke joinstyle="round"/>
            <v:formulas/>
            <v:path o:connecttype="segments"/>
            <v:textbox>
              <w:txbxContent>
                <w:p w:rsidR="000470DD" w:rsidRDefault="000470DD"/>
              </w:txbxContent>
            </v:textbox>
            <w10:wrap anchorx="margin" anchory="margin"/>
          </v:shape>
        </w:pict>
      </w:r>
    </w:p>
    <w:sectPr w:rsidR="000470DD" w:rsidSect="000470DD">
      <w:pgSz w:w="12915" w:h="18045"/>
      <w:pgMar w:top="1589" w:right="1785" w:bottom="149" w:left="1785" w:header="1589" w:footer="14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splitPgBreakAndParaMark/>
  </w:compat>
  <w:docVars>
    <w:docVar w:name="commondata" w:val="eyJoZGlkIjoiYzZkNzQ4ZWFiZmQ4NTRhOWRkZTk3YTMwMjlmMmZhYmUifQ=="/>
  </w:docVars>
  <w:rsids>
    <w:rsidRoot w:val="000470DD"/>
    <w:rsid w:val="000470DD"/>
    <w:rsid w:val="002B3715"/>
    <w:rsid w:val="005774B1"/>
    <w:rsid w:val="00D14E4D"/>
    <w:rsid w:val="00DB1277"/>
    <w:rsid w:val="00E04C06"/>
    <w:rsid w:val="00E33904"/>
    <w:rsid w:val="19622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0DD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刘树洪</dc:creator>
  <cp:lastModifiedBy>admin</cp:lastModifiedBy>
  <cp:revision>3</cp:revision>
  <cp:lastPrinted>2024-05-28T08:40:00Z</cp:lastPrinted>
  <dcterms:created xsi:type="dcterms:W3CDTF">2024-05-25T04:07:00Z</dcterms:created>
  <dcterms:modified xsi:type="dcterms:W3CDTF">2024-10-28T09:16:00Z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2E4261F388D549A7A17D886B6FC9AD4F_12</vt:lpwstr>
  </property>
</Properties>
</file>