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21EE8">
      <w:pPr>
        <w:spacing w:after="312" w:afterLines="100"/>
        <w:jc w:val="left"/>
        <w:rPr>
          <w:rFonts w:eastAsia="黑体"/>
          <w:b/>
          <w:color w:val="auto"/>
          <w:sz w:val="36"/>
          <w:szCs w:val="36"/>
        </w:rPr>
      </w:pPr>
    </w:p>
    <w:p w14:paraId="6AEBCC44">
      <w:pPr>
        <w:spacing w:after="312" w:afterLines="100"/>
        <w:jc w:val="left"/>
        <w:rPr>
          <w:rFonts w:eastAsia="黑体"/>
          <w:b/>
          <w:color w:val="auto"/>
          <w:sz w:val="36"/>
          <w:szCs w:val="36"/>
        </w:rPr>
      </w:pPr>
    </w:p>
    <w:p w14:paraId="755CC279">
      <w:pPr>
        <w:spacing w:after="312" w:afterLines="100"/>
        <w:jc w:val="left"/>
        <w:rPr>
          <w:rFonts w:eastAsia="黑体"/>
          <w:b/>
          <w:color w:val="auto"/>
          <w:sz w:val="36"/>
          <w:szCs w:val="36"/>
        </w:rPr>
      </w:pPr>
    </w:p>
    <w:p w14:paraId="1BC53488">
      <w:pPr>
        <w:spacing w:after="312" w:afterLines="100"/>
        <w:jc w:val="left"/>
        <w:rPr>
          <w:rFonts w:eastAsia="黑体"/>
          <w:b/>
          <w:color w:val="auto"/>
          <w:sz w:val="36"/>
          <w:szCs w:val="36"/>
        </w:rPr>
      </w:pPr>
    </w:p>
    <w:p w14:paraId="60139956">
      <w:pPr>
        <w:spacing w:before="312" w:beforeLines="100" w:after="312" w:afterLines="100"/>
        <w:jc w:val="center"/>
        <w:rPr>
          <w:rFonts w:eastAsia="仿宋"/>
          <w:color w:val="auto"/>
          <w:sz w:val="32"/>
          <w:szCs w:val="32"/>
        </w:rPr>
      </w:pPr>
      <w:r>
        <w:rPr>
          <w:rFonts w:hint="eastAsia" w:eastAsia="黑体"/>
          <w:color w:val="auto"/>
          <w:sz w:val="44"/>
          <w:szCs w:val="44"/>
        </w:rPr>
        <w:t>博罗县20</w:t>
      </w:r>
      <w:r>
        <w:rPr>
          <w:rFonts w:eastAsia="黑体"/>
          <w:color w:val="auto"/>
          <w:sz w:val="44"/>
          <w:szCs w:val="44"/>
        </w:rPr>
        <w:t>2</w:t>
      </w:r>
      <w:r>
        <w:rPr>
          <w:rFonts w:hint="eastAsia" w:eastAsia="黑体"/>
          <w:color w:val="auto"/>
          <w:sz w:val="44"/>
          <w:szCs w:val="44"/>
          <w:lang w:val="en-US" w:eastAsia="zh-CN"/>
        </w:rPr>
        <w:t>5</w:t>
      </w:r>
      <w:r>
        <w:rPr>
          <w:rFonts w:hint="eastAsia" w:eastAsia="黑体"/>
          <w:color w:val="auto"/>
          <w:sz w:val="44"/>
          <w:szCs w:val="44"/>
        </w:rPr>
        <w:t>年度国有建设用地供应计划</w:t>
      </w:r>
    </w:p>
    <w:p w14:paraId="70D20C48">
      <w:pPr>
        <w:spacing w:after="312" w:afterLines="100"/>
        <w:jc w:val="center"/>
        <w:rPr>
          <w:rFonts w:eastAsia="仿宋"/>
          <w:b/>
          <w:color w:val="auto"/>
          <w:sz w:val="32"/>
          <w:szCs w:val="32"/>
        </w:rPr>
      </w:pPr>
    </w:p>
    <w:p w14:paraId="7966E560">
      <w:pPr>
        <w:spacing w:after="312" w:afterLines="100"/>
        <w:jc w:val="center"/>
        <w:rPr>
          <w:rFonts w:eastAsia="仿宋"/>
          <w:b/>
          <w:color w:val="auto"/>
          <w:sz w:val="32"/>
          <w:szCs w:val="32"/>
        </w:rPr>
      </w:pPr>
    </w:p>
    <w:p w14:paraId="548234D3">
      <w:pPr>
        <w:spacing w:after="312" w:afterLines="100"/>
        <w:jc w:val="center"/>
        <w:rPr>
          <w:rFonts w:eastAsia="仿宋"/>
          <w:b/>
          <w:color w:val="auto"/>
          <w:sz w:val="32"/>
          <w:szCs w:val="32"/>
        </w:rPr>
      </w:pPr>
    </w:p>
    <w:p w14:paraId="6B732149">
      <w:pPr>
        <w:spacing w:after="312" w:afterLines="100"/>
        <w:jc w:val="center"/>
        <w:rPr>
          <w:rFonts w:eastAsia="仿宋"/>
          <w:b/>
          <w:color w:val="auto"/>
          <w:sz w:val="32"/>
          <w:szCs w:val="32"/>
        </w:rPr>
      </w:pPr>
    </w:p>
    <w:p w14:paraId="104A8F2A">
      <w:pPr>
        <w:spacing w:after="312" w:afterLines="100"/>
        <w:jc w:val="center"/>
        <w:rPr>
          <w:rFonts w:eastAsia="仿宋"/>
          <w:b/>
          <w:color w:val="auto"/>
          <w:sz w:val="32"/>
          <w:szCs w:val="32"/>
        </w:rPr>
      </w:pPr>
    </w:p>
    <w:p w14:paraId="11A17A1F">
      <w:pPr>
        <w:spacing w:after="312" w:afterLines="100"/>
        <w:jc w:val="center"/>
        <w:rPr>
          <w:rFonts w:eastAsia="仿宋"/>
          <w:b/>
          <w:color w:val="auto"/>
          <w:sz w:val="32"/>
          <w:szCs w:val="32"/>
        </w:rPr>
      </w:pPr>
    </w:p>
    <w:p w14:paraId="5BAD3138">
      <w:pPr>
        <w:spacing w:after="312" w:afterLines="100"/>
        <w:jc w:val="center"/>
        <w:rPr>
          <w:rFonts w:eastAsia="仿宋"/>
          <w:b/>
          <w:color w:val="auto"/>
          <w:sz w:val="32"/>
          <w:szCs w:val="32"/>
        </w:rPr>
      </w:pPr>
    </w:p>
    <w:p w14:paraId="52488886">
      <w:pPr>
        <w:spacing w:after="312" w:afterLines="100"/>
        <w:jc w:val="center"/>
        <w:rPr>
          <w:rFonts w:eastAsia="仿宋"/>
          <w:b/>
          <w:color w:val="auto"/>
          <w:sz w:val="32"/>
          <w:szCs w:val="32"/>
        </w:rPr>
      </w:pPr>
    </w:p>
    <w:p w14:paraId="1234E9B8">
      <w:pPr>
        <w:spacing w:line="360" w:lineRule="auto"/>
        <w:jc w:val="center"/>
        <w:rPr>
          <w:rFonts w:eastAsia="黑体"/>
          <w:color w:val="auto"/>
          <w:sz w:val="28"/>
          <w:szCs w:val="28"/>
        </w:rPr>
      </w:pPr>
      <w:r>
        <w:rPr>
          <w:rFonts w:hint="eastAsia" w:eastAsia="黑体"/>
          <w:color w:val="auto"/>
          <w:sz w:val="28"/>
          <w:szCs w:val="28"/>
        </w:rPr>
        <w:t>博罗县自然资源局</w:t>
      </w:r>
    </w:p>
    <w:p w14:paraId="2FCEA397">
      <w:pPr>
        <w:spacing w:line="360" w:lineRule="auto"/>
        <w:jc w:val="center"/>
        <w:rPr>
          <w:rFonts w:eastAsia="黑体"/>
          <w:color w:val="auto"/>
          <w:sz w:val="28"/>
          <w:szCs w:val="28"/>
        </w:rPr>
        <w:sectPr>
          <w:footerReference r:id="rId5" w:type="first"/>
          <w:headerReference r:id="rId3" w:type="default"/>
          <w:footerReference r:id="rId4" w:type="default"/>
          <w:pgSz w:w="11906" w:h="16838"/>
          <w:pgMar w:top="1440" w:right="1588" w:bottom="1440" w:left="1588" w:header="851" w:footer="992" w:gutter="0"/>
          <w:pgBorders>
            <w:top w:val="none" w:sz="0" w:space="0"/>
            <w:left w:val="none" w:sz="0" w:space="0"/>
            <w:bottom w:val="none" w:sz="0" w:space="0"/>
            <w:right w:val="none" w:sz="0" w:space="0"/>
          </w:pgBorders>
          <w:pgNumType w:fmt="upperRoman" w:start="1"/>
          <w:cols w:space="425" w:num="1"/>
          <w:titlePg/>
          <w:docGrid w:type="lines" w:linePitch="312" w:charSpace="0"/>
        </w:sectPr>
      </w:pPr>
      <w:r>
        <w:rPr>
          <w:rFonts w:hint="eastAsia" w:eastAsia="黑体"/>
          <w:color w:val="auto"/>
          <w:sz w:val="28"/>
          <w:szCs w:val="28"/>
        </w:rPr>
        <w:t>二○二</w:t>
      </w:r>
      <w:r>
        <w:rPr>
          <w:rFonts w:hint="eastAsia" w:eastAsia="黑体"/>
          <w:color w:val="auto"/>
          <w:sz w:val="28"/>
          <w:szCs w:val="28"/>
          <w:lang w:val="en-US" w:eastAsia="zh-CN"/>
        </w:rPr>
        <w:t>五</w:t>
      </w:r>
      <w:r>
        <w:rPr>
          <w:rFonts w:hint="eastAsia" w:eastAsia="黑体"/>
          <w:color w:val="auto"/>
          <w:sz w:val="28"/>
          <w:szCs w:val="28"/>
        </w:rPr>
        <w:t>年</w:t>
      </w:r>
      <w:r>
        <w:rPr>
          <w:rFonts w:hint="eastAsia" w:eastAsia="黑体"/>
          <w:color w:val="auto"/>
          <w:sz w:val="28"/>
          <w:szCs w:val="28"/>
          <w:lang w:val="en-US" w:eastAsia="zh-CN"/>
        </w:rPr>
        <w:t>二</w:t>
      </w:r>
      <w:r>
        <w:rPr>
          <w:rFonts w:hint="eastAsia" w:eastAsia="黑体"/>
          <w:color w:val="auto"/>
          <w:sz w:val="28"/>
          <w:szCs w:val="28"/>
        </w:rPr>
        <w:t>月</w:t>
      </w:r>
    </w:p>
    <w:p w14:paraId="3CB6E358">
      <w:pPr>
        <w:spacing w:line="360" w:lineRule="auto"/>
        <w:ind w:firstLine="560" w:firstLineChars="200"/>
        <w:rPr>
          <w:rFonts w:eastAsia="仿宋_GB2312"/>
          <w:color w:val="auto"/>
          <w:sz w:val="28"/>
          <w:szCs w:val="28"/>
        </w:rPr>
      </w:pPr>
      <w:r>
        <w:rPr>
          <w:rFonts w:hint="eastAsia" w:eastAsia="仿宋_GB2312"/>
          <w:color w:val="auto"/>
          <w:sz w:val="28"/>
          <w:szCs w:val="28"/>
        </w:rPr>
        <w:t>为全面贯彻落实国家宏观调控政策，有效实施土地利用年度计划，以项目用地需求为导向，科学安排国有建设用地供应，加强土地供应统筹管理，保障博罗县城镇居民住房建设和重点服务业项目、重大工业项目用地需求，促进我县经济和社会平稳可持续发展，根据《国土资源部关于印发&lt;国有建设用地供应计划编制规范&gt;（试行）的通知》（国土资发〔2010〕117号）要求，参考历年年度国有建设用地供地情况和考虑本年度用地需求，制定本计划。</w:t>
      </w:r>
    </w:p>
    <w:p w14:paraId="2BC7CC66">
      <w:pPr>
        <w:pStyle w:val="36"/>
        <w:tabs>
          <w:tab w:val="left" w:pos="420"/>
          <w:tab w:val="clear" w:pos="2580"/>
        </w:tabs>
        <w:spacing w:before="156" w:beforeLines="50" w:after="156" w:afterLines="50"/>
        <w:ind w:left="0" w:firstLine="640" w:firstLineChars="200"/>
        <w:rPr>
          <w:rFonts w:eastAsia="黑体"/>
          <w:b w:val="0"/>
          <w:color w:val="auto"/>
          <w:sz w:val="32"/>
          <w:szCs w:val="32"/>
        </w:rPr>
      </w:pPr>
      <w:bookmarkStart w:id="0" w:name="_Toc288728438"/>
      <w:bookmarkStart w:id="1" w:name="_Toc3481961"/>
      <w:bookmarkStart w:id="2" w:name="_Toc3473596"/>
      <w:bookmarkStart w:id="3" w:name="_Toc352569445"/>
      <w:bookmarkStart w:id="4" w:name="_Toc353718215"/>
      <w:bookmarkStart w:id="5" w:name="_Toc66217036"/>
      <w:bookmarkStart w:id="6" w:name="_Toc294702653"/>
      <w:bookmarkStart w:id="7" w:name="_Toc287302143"/>
      <w:bookmarkStart w:id="8" w:name="_Toc351815300"/>
      <w:r>
        <w:rPr>
          <w:rFonts w:hint="eastAsia" w:eastAsia="黑体"/>
          <w:b w:val="0"/>
          <w:color w:val="auto"/>
          <w:sz w:val="32"/>
          <w:szCs w:val="32"/>
        </w:rPr>
        <w:t>编制目的和意义</w:t>
      </w:r>
      <w:bookmarkEnd w:id="0"/>
      <w:bookmarkEnd w:id="1"/>
      <w:bookmarkEnd w:id="2"/>
      <w:bookmarkEnd w:id="3"/>
      <w:bookmarkEnd w:id="4"/>
      <w:bookmarkEnd w:id="5"/>
      <w:bookmarkEnd w:id="6"/>
      <w:bookmarkEnd w:id="7"/>
      <w:bookmarkEnd w:id="8"/>
    </w:p>
    <w:p w14:paraId="71BB4215">
      <w:pPr>
        <w:spacing w:line="360" w:lineRule="auto"/>
        <w:ind w:firstLine="560" w:firstLineChars="200"/>
        <w:rPr>
          <w:rFonts w:eastAsia="仿宋_GB2312"/>
          <w:color w:val="auto"/>
          <w:sz w:val="28"/>
          <w:szCs w:val="28"/>
        </w:rPr>
      </w:pPr>
      <w:r>
        <w:rPr>
          <w:rFonts w:hint="eastAsia" w:eastAsia="仿宋_GB2312"/>
          <w:color w:val="auto"/>
          <w:sz w:val="28"/>
          <w:szCs w:val="28"/>
        </w:rPr>
        <w:t>本次国有建设用地供应计划的编制的目的为确保博罗县政府对国有建设用地的统一供应，合理配置土地资源，优化土地供应机制，维护土地市场的安全、稳定和健康运行，全力保障博罗县社会经济的用地需求，为完成博罗县国民经济和社会发展计划的各项宏观指标奠定基础。</w:t>
      </w:r>
    </w:p>
    <w:p w14:paraId="7B9DCF12">
      <w:pPr>
        <w:spacing w:line="360" w:lineRule="auto"/>
        <w:ind w:firstLine="560" w:firstLineChars="200"/>
        <w:rPr>
          <w:rFonts w:eastAsia="仿宋_GB2312"/>
          <w:color w:val="auto"/>
          <w:sz w:val="28"/>
          <w:szCs w:val="28"/>
        </w:rPr>
      </w:pPr>
      <w:r>
        <w:rPr>
          <w:rFonts w:hint="eastAsia" w:eastAsia="仿宋_GB2312"/>
          <w:color w:val="auto"/>
          <w:sz w:val="28"/>
          <w:szCs w:val="28"/>
        </w:rPr>
        <w:t>国有建设用地供应计划是对博罗县全域内202</w:t>
      </w:r>
      <w:r>
        <w:rPr>
          <w:rFonts w:hint="eastAsia" w:eastAsia="仿宋_GB2312"/>
          <w:color w:val="auto"/>
          <w:sz w:val="28"/>
          <w:szCs w:val="28"/>
          <w:lang w:val="en-US" w:eastAsia="zh-CN"/>
        </w:rPr>
        <w:t>5</w:t>
      </w:r>
      <w:r>
        <w:rPr>
          <w:rFonts w:hint="eastAsia" w:eastAsia="仿宋_GB2312"/>
          <w:color w:val="auto"/>
          <w:sz w:val="28"/>
          <w:szCs w:val="28"/>
        </w:rPr>
        <w:t>年国有建设用地供应的总量、结构、布局、时序和方式做出的科学安排。根据《中华人民共和国土地管理法》、自然资源部《关于印发国有建设用地供应计划编制规范（试行）的通知》（国土资发〔2010〕117号）和省自然资源厅</w:t>
      </w:r>
      <w:bookmarkStart w:id="9" w:name="OLE_LINK1"/>
      <w:r>
        <w:rPr>
          <w:rFonts w:hint="eastAsia" w:eastAsia="仿宋_GB2312"/>
          <w:color w:val="auto"/>
          <w:sz w:val="28"/>
          <w:szCs w:val="28"/>
          <w:lang w:eastAsia="zh-CN"/>
        </w:rPr>
        <w:t>《关于做好2025年土地储备计划与建设用地供应计划编制和发布的通知》（</w:t>
      </w:r>
      <w:r>
        <w:rPr>
          <w:rFonts w:hint="eastAsia" w:eastAsia="仿宋_GB2312"/>
          <w:color w:val="auto"/>
          <w:sz w:val="28"/>
          <w:szCs w:val="28"/>
          <w:lang w:val="en-US" w:eastAsia="zh-CN"/>
        </w:rPr>
        <w:t>粤自然资函〔2024〕1040 号</w:t>
      </w:r>
      <w:r>
        <w:rPr>
          <w:rFonts w:hint="eastAsia" w:eastAsia="仿宋_GB2312"/>
          <w:color w:val="auto"/>
          <w:sz w:val="28"/>
          <w:szCs w:val="28"/>
          <w:lang w:eastAsia="zh-CN"/>
        </w:rPr>
        <w:t>）</w:t>
      </w:r>
      <w:bookmarkEnd w:id="9"/>
      <w:r>
        <w:rPr>
          <w:rFonts w:hint="eastAsia" w:eastAsia="仿宋_GB2312"/>
          <w:color w:val="auto"/>
          <w:sz w:val="28"/>
          <w:szCs w:val="28"/>
        </w:rPr>
        <w:t>等法律法规规定和通知要求，结合博罗县国民经济和社会发展规划、国土空间规划和土地利用年度计划、城市规划、产业发展规划、交通发展规划等相关要求以及土地市场供需状况等，制定本计划。</w:t>
      </w:r>
    </w:p>
    <w:p w14:paraId="73DA1620">
      <w:pPr>
        <w:pStyle w:val="36"/>
        <w:tabs>
          <w:tab w:val="left" w:pos="420"/>
          <w:tab w:val="clear" w:pos="2580"/>
        </w:tabs>
        <w:spacing w:before="156" w:beforeLines="50" w:after="156" w:afterLines="50"/>
        <w:ind w:left="0" w:firstLine="640" w:firstLineChars="200"/>
        <w:rPr>
          <w:rFonts w:eastAsia="黑体"/>
          <w:b w:val="0"/>
          <w:color w:val="auto"/>
          <w:sz w:val="32"/>
          <w:szCs w:val="32"/>
        </w:rPr>
      </w:pPr>
      <w:bookmarkStart w:id="10" w:name="_Toc66217037"/>
      <w:bookmarkStart w:id="11" w:name="_Toc294702654"/>
      <w:bookmarkStart w:id="12" w:name="_Toc3473597"/>
      <w:bookmarkStart w:id="13" w:name="_Toc353718216"/>
      <w:bookmarkStart w:id="14" w:name="_Toc3481962"/>
      <w:bookmarkStart w:id="15" w:name="_Toc352569446"/>
      <w:bookmarkStart w:id="16" w:name="_Toc351815301"/>
      <w:bookmarkStart w:id="17" w:name="_Toc288728439"/>
      <w:r>
        <w:rPr>
          <w:rFonts w:hint="eastAsia" w:eastAsia="黑体"/>
          <w:b w:val="0"/>
          <w:color w:val="auto"/>
          <w:sz w:val="32"/>
          <w:szCs w:val="32"/>
        </w:rPr>
        <w:t>指导思想和原则</w:t>
      </w:r>
      <w:bookmarkEnd w:id="10"/>
      <w:bookmarkEnd w:id="11"/>
      <w:bookmarkEnd w:id="12"/>
      <w:bookmarkEnd w:id="13"/>
      <w:bookmarkEnd w:id="14"/>
      <w:bookmarkEnd w:id="15"/>
      <w:bookmarkEnd w:id="16"/>
      <w:bookmarkEnd w:id="17"/>
    </w:p>
    <w:p w14:paraId="04B840DD">
      <w:pPr>
        <w:pStyle w:val="4"/>
        <w:numPr>
          <w:ilvl w:val="0"/>
          <w:numId w:val="0"/>
        </w:numPr>
        <w:spacing w:before="156" w:beforeLines="50" w:after="156" w:afterLines="50" w:line="360" w:lineRule="auto"/>
        <w:ind w:left="600"/>
        <w:rPr>
          <w:rFonts w:ascii="Times New Roman" w:hAnsi="Times New Roman" w:eastAsia="黑体"/>
          <w:b w:val="0"/>
          <w:color w:val="auto"/>
        </w:rPr>
      </w:pPr>
      <w:bookmarkStart w:id="18" w:name="_Toc3473598"/>
      <w:bookmarkStart w:id="19" w:name="_Toc3481963"/>
      <w:bookmarkStart w:id="20" w:name="_Toc66217038"/>
      <w:r>
        <w:rPr>
          <w:rFonts w:hint="eastAsia" w:ascii="Times New Roman" w:hAnsi="Times New Roman" w:eastAsia="黑体"/>
          <w:b w:val="0"/>
          <w:color w:val="auto"/>
        </w:rPr>
        <w:t>（一）指导思想</w:t>
      </w:r>
      <w:bookmarkEnd w:id="18"/>
      <w:bookmarkEnd w:id="19"/>
      <w:bookmarkEnd w:id="20"/>
    </w:p>
    <w:p w14:paraId="1CCBA1F3">
      <w:pPr>
        <w:spacing w:line="360" w:lineRule="auto"/>
        <w:ind w:firstLine="560" w:firstLineChars="200"/>
        <w:rPr>
          <w:rFonts w:eastAsia="仿宋_GB2312"/>
          <w:color w:val="auto"/>
          <w:sz w:val="28"/>
          <w:szCs w:val="28"/>
        </w:rPr>
      </w:pPr>
      <w:r>
        <w:rPr>
          <w:rFonts w:hint="eastAsia" w:eastAsia="仿宋_GB2312"/>
          <w:color w:val="auto"/>
          <w:sz w:val="28"/>
          <w:szCs w:val="28"/>
        </w:rPr>
        <w:t>深入贯彻乡村振兴发展，落实加快构建以国内包括粤港澳大循环为主体、国内国际双循环相互促进的新发展格局战略部署，深化供给侧结构性改革，改革创新，推动高质量发展。</w:t>
      </w:r>
      <w:r>
        <w:rPr>
          <w:rFonts w:hint="eastAsia" w:eastAsia="仿宋_GB2312"/>
          <w:color w:val="auto"/>
          <w:sz w:val="28"/>
          <w:szCs w:val="28"/>
          <w:highlight w:val="none"/>
        </w:rPr>
        <w:t>20</w:t>
      </w:r>
      <w:r>
        <w:rPr>
          <w:rFonts w:hint="eastAsia" w:eastAsia="仿宋_GB2312"/>
          <w:color w:val="auto"/>
          <w:sz w:val="28"/>
          <w:szCs w:val="28"/>
          <w:highlight w:val="none"/>
          <w:lang w:val="en-US" w:eastAsia="zh-CN"/>
        </w:rPr>
        <w:t>25</w:t>
      </w:r>
      <w:r>
        <w:rPr>
          <w:rFonts w:hint="eastAsia" w:eastAsia="仿宋_GB2312"/>
          <w:color w:val="auto"/>
          <w:sz w:val="28"/>
          <w:szCs w:val="28"/>
          <w:highlight w:val="none"/>
        </w:rPr>
        <w:t>年</w:t>
      </w:r>
      <w:r>
        <w:rPr>
          <w:rFonts w:hint="eastAsia" w:eastAsia="仿宋_GB2312"/>
          <w:color w:val="auto"/>
          <w:sz w:val="28"/>
          <w:szCs w:val="28"/>
        </w:rPr>
        <w:t>我县将</w:t>
      </w:r>
      <w:r>
        <w:rPr>
          <w:rFonts w:hint="eastAsia" w:eastAsia="仿宋_GB2312"/>
          <w:color w:val="auto"/>
          <w:sz w:val="28"/>
          <w:szCs w:val="28"/>
          <w:lang w:val="en-US" w:eastAsia="zh-CN"/>
        </w:rPr>
        <w:t>继续</w:t>
      </w:r>
      <w:r>
        <w:rPr>
          <w:rFonts w:hint="eastAsia" w:eastAsia="仿宋_GB2312"/>
          <w:color w:val="auto"/>
          <w:sz w:val="28"/>
          <w:szCs w:val="28"/>
        </w:rPr>
        <w:t>认真贯彻落实</w:t>
      </w:r>
      <w:bookmarkStart w:id="191" w:name="_GoBack"/>
      <w:bookmarkEnd w:id="191"/>
      <w:r>
        <w:rPr>
          <w:rFonts w:hint="eastAsia" w:eastAsia="仿宋_GB2312"/>
          <w:color w:val="auto"/>
          <w:sz w:val="28"/>
          <w:szCs w:val="28"/>
          <w:lang w:eastAsia="zh-CN"/>
        </w:rPr>
        <w:t>党中央决策部署</w:t>
      </w:r>
      <w:r>
        <w:rPr>
          <w:rFonts w:hint="eastAsia" w:eastAsia="仿宋_GB2312"/>
          <w:color w:val="auto"/>
          <w:sz w:val="28"/>
          <w:szCs w:val="28"/>
        </w:rPr>
        <w:t>以及省委、市委工作要求，完整、准确、全面贯彻新发展理念，积极服务和融入新发展格局，着力推动高质量发展，更好统筹发展和安全，</w:t>
      </w:r>
      <w:r>
        <w:rPr>
          <w:rFonts w:hint="eastAsia" w:eastAsia="仿宋_GB2312"/>
          <w:color w:val="auto"/>
          <w:sz w:val="28"/>
          <w:szCs w:val="28"/>
          <w:lang w:val="en-US" w:eastAsia="zh-CN"/>
        </w:rPr>
        <w:t>实现县域经济实力的大幅跃升，以实施“链长制”为抓手，统筹新兴产业培育壮大和传统产业改造升级，又要下大力气改造提升传统产业，加强“链式改造”推广，大力推动产业集聚发展，加快打造更具竞争力的现代化产业体系。</w:t>
      </w:r>
      <w:r>
        <w:rPr>
          <w:rFonts w:hint="eastAsia" w:eastAsia="仿宋_GB2312"/>
          <w:color w:val="auto"/>
          <w:sz w:val="28"/>
          <w:szCs w:val="28"/>
        </w:rPr>
        <w:t>坚持实体经济为本，大力实施制造业当家战略，贯彻落实“百县千镇万村高质量发展工程”，实施“五大行动”，加快建设县强、民富、景美、人和的现代魅力强县，引领全省县域高质量发展。</w:t>
      </w:r>
    </w:p>
    <w:p w14:paraId="1FEF4EC2">
      <w:pPr>
        <w:pStyle w:val="4"/>
        <w:numPr>
          <w:ilvl w:val="0"/>
          <w:numId w:val="0"/>
        </w:numPr>
        <w:spacing w:before="156" w:beforeLines="50" w:after="156" w:afterLines="50" w:line="360" w:lineRule="auto"/>
        <w:ind w:left="600"/>
        <w:rPr>
          <w:rFonts w:ascii="Times New Roman" w:hAnsi="Times New Roman" w:eastAsia="黑体"/>
          <w:b w:val="0"/>
          <w:color w:val="auto"/>
        </w:rPr>
      </w:pPr>
      <w:bookmarkStart w:id="21" w:name="_Toc66217039"/>
      <w:bookmarkStart w:id="22" w:name="_Toc3481964"/>
      <w:bookmarkStart w:id="23" w:name="_Toc3473599"/>
      <w:bookmarkStart w:id="24" w:name="_Toc287302145"/>
      <w:r>
        <w:rPr>
          <w:rFonts w:hint="eastAsia" w:ascii="Times New Roman" w:hAnsi="Times New Roman" w:eastAsia="黑体"/>
          <w:b w:val="0"/>
          <w:color w:val="auto"/>
        </w:rPr>
        <w:t>（二）编制原则</w:t>
      </w:r>
      <w:bookmarkEnd w:id="21"/>
      <w:bookmarkEnd w:id="22"/>
      <w:bookmarkEnd w:id="23"/>
    </w:p>
    <w:p w14:paraId="365DB789">
      <w:pPr>
        <w:spacing w:line="360" w:lineRule="auto"/>
        <w:ind w:firstLine="560" w:firstLineChars="200"/>
        <w:rPr>
          <w:rFonts w:eastAsia="仿宋_GB2312"/>
          <w:color w:val="auto"/>
          <w:sz w:val="28"/>
          <w:szCs w:val="28"/>
        </w:rPr>
      </w:pPr>
      <w:bookmarkStart w:id="25" w:name="_Toc382299056"/>
      <w:bookmarkStart w:id="26" w:name="_Toc351899501"/>
      <w:r>
        <w:rPr>
          <w:rFonts w:hint="eastAsia" w:eastAsia="仿宋_GB2312"/>
          <w:color w:val="auto"/>
          <w:sz w:val="28"/>
          <w:szCs w:val="28"/>
        </w:rPr>
        <w:t>1、城乡统筹原则</w:t>
      </w:r>
      <w:bookmarkEnd w:id="25"/>
      <w:bookmarkEnd w:id="26"/>
    </w:p>
    <w:p w14:paraId="2D333BBE">
      <w:pPr>
        <w:spacing w:line="360" w:lineRule="auto"/>
        <w:ind w:firstLine="560" w:firstLineChars="200"/>
        <w:rPr>
          <w:rFonts w:eastAsia="仿宋_GB2312"/>
          <w:color w:val="auto"/>
          <w:sz w:val="28"/>
          <w:szCs w:val="28"/>
        </w:rPr>
      </w:pPr>
      <w:r>
        <w:rPr>
          <w:rFonts w:hint="eastAsia" w:eastAsia="仿宋_GB2312"/>
          <w:color w:val="auto"/>
          <w:sz w:val="28"/>
          <w:szCs w:val="28"/>
        </w:rPr>
        <w:t>对接新一轮国土空间规划，科学合理配置老城区、新城区土地资源，推进城乡基础设施和公共服务一体化。加强建设用地管理，充分发挥土地资源在促进社会发展中的宏观调控作用，促进城乡协调发展。</w:t>
      </w:r>
    </w:p>
    <w:p w14:paraId="35A62097">
      <w:pPr>
        <w:spacing w:line="360" w:lineRule="auto"/>
        <w:ind w:firstLine="560" w:firstLineChars="200"/>
        <w:rPr>
          <w:rFonts w:eastAsia="仿宋_GB2312"/>
          <w:color w:val="auto"/>
          <w:sz w:val="28"/>
          <w:szCs w:val="28"/>
        </w:rPr>
      </w:pPr>
      <w:bookmarkStart w:id="27" w:name="_Toc382299057"/>
      <w:bookmarkStart w:id="28" w:name="_Toc351899502"/>
      <w:r>
        <w:rPr>
          <w:rFonts w:hint="eastAsia" w:eastAsia="仿宋_GB2312"/>
          <w:color w:val="auto"/>
          <w:sz w:val="28"/>
          <w:szCs w:val="28"/>
        </w:rPr>
        <w:t>2、节约集约用地原则</w:t>
      </w:r>
      <w:bookmarkEnd w:id="27"/>
      <w:bookmarkEnd w:id="28"/>
    </w:p>
    <w:p w14:paraId="11292F8B">
      <w:pPr>
        <w:spacing w:line="360" w:lineRule="auto"/>
        <w:ind w:firstLine="560" w:firstLineChars="200"/>
        <w:rPr>
          <w:rFonts w:eastAsia="仿宋_GB2312"/>
          <w:color w:val="auto"/>
          <w:sz w:val="28"/>
          <w:szCs w:val="28"/>
        </w:rPr>
      </w:pPr>
      <w:r>
        <w:rPr>
          <w:rFonts w:hint="eastAsia" w:eastAsia="仿宋_GB2312"/>
          <w:color w:val="auto"/>
          <w:sz w:val="28"/>
          <w:szCs w:val="28"/>
        </w:rPr>
        <w:t>贯彻落实最严格的耕地保护制度，严守生态保护红线、永久基本农田、城镇开发边界三条控制线，控制新增建设用地总量，深度挖掘存量建设用地潜力，推进低效用地再开发。实现土地集约、产业集中、发展集聚，提高土地利用效率和集约化程度，促进经济社会可持续发展。把园区作为推动制造业当家和工业高质量发展的主战场，集中土地、资金、人才等资源进一步向园区和制造业汇聚，推动园区承载力和综合竞争力实现大提升，全力创建省级高新技术开发区。</w:t>
      </w:r>
      <w:bookmarkStart w:id="29" w:name="_Toc351899503"/>
      <w:bookmarkStart w:id="30" w:name="_Toc382299058"/>
    </w:p>
    <w:p w14:paraId="63776B66">
      <w:pPr>
        <w:spacing w:line="360" w:lineRule="auto"/>
        <w:ind w:firstLine="560" w:firstLineChars="200"/>
        <w:rPr>
          <w:rFonts w:eastAsia="仿宋_GB2312"/>
          <w:color w:val="auto"/>
          <w:sz w:val="28"/>
          <w:szCs w:val="28"/>
        </w:rPr>
      </w:pPr>
      <w:r>
        <w:rPr>
          <w:rFonts w:hint="eastAsia" w:eastAsia="仿宋_GB2312"/>
          <w:color w:val="auto"/>
          <w:sz w:val="28"/>
          <w:szCs w:val="28"/>
        </w:rPr>
        <w:t>3、供需平衡原则</w:t>
      </w:r>
      <w:bookmarkEnd w:id="29"/>
      <w:bookmarkEnd w:id="30"/>
    </w:p>
    <w:p w14:paraId="2089B567">
      <w:pPr>
        <w:spacing w:line="360" w:lineRule="auto"/>
        <w:ind w:firstLine="560" w:firstLineChars="200"/>
        <w:rPr>
          <w:rFonts w:eastAsia="仿宋_GB2312"/>
          <w:color w:val="auto"/>
          <w:sz w:val="28"/>
          <w:szCs w:val="28"/>
        </w:rPr>
      </w:pPr>
      <w:r>
        <w:rPr>
          <w:rFonts w:hint="eastAsia" w:eastAsia="仿宋_GB2312"/>
          <w:color w:val="auto"/>
          <w:sz w:val="28"/>
          <w:szCs w:val="28"/>
        </w:rPr>
        <w:t>促进国有建设用地供需基本平衡，根据农用地转用、存量土地盘活、城乡建设用地增减挂钩完成情况，充分考虑近几年博罗县的土地供应情况，结合土地收购、整理、储备计划，科学、合理地安排土地供应，形成与市场需求基本相适应、以土地供应引导消费的基本模式。</w:t>
      </w:r>
    </w:p>
    <w:p w14:paraId="5F5C1A81">
      <w:pPr>
        <w:spacing w:line="360" w:lineRule="auto"/>
        <w:ind w:firstLine="560" w:firstLineChars="200"/>
        <w:rPr>
          <w:rFonts w:eastAsia="仿宋_GB2312"/>
          <w:color w:val="auto"/>
          <w:sz w:val="28"/>
          <w:szCs w:val="28"/>
        </w:rPr>
      </w:pPr>
      <w:bookmarkStart w:id="31" w:name="_Toc415396196"/>
      <w:bookmarkStart w:id="32" w:name="_Toc318293180"/>
      <w:bookmarkStart w:id="33" w:name="_Toc351899518"/>
      <w:bookmarkStart w:id="34" w:name="_Toc382299071"/>
      <w:r>
        <w:rPr>
          <w:rFonts w:hint="eastAsia" w:eastAsia="仿宋_GB2312"/>
          <w:color w:val="auto"/>
          <w:sz w:val="28"/>
          <w:szCs w:val="28"/>
        </w:rPr>
        <w:t>4、有保有压</w:t>
      </w:r>
      <w:bookmarkEnd w:id="31"/>
      <w:bookmarkEnd w:id="32"/>
      <w:bookmarkEnd w:id="33"/>
      <w:bookmarkEnd w:id="34"/>
      <w:r>
        <w:rPr>
          <w:rFonts w:hint="eastAsia" w:eastAsia="仿宋_GB2312"/>
          <w:color w:val="auto"/>
          <w:sz w:val="28"/>
          <w:szCs w:val="28"/>
        </w:rPr>
        <w:t>原则</w:t>
      </w:r>
    </w:p>
    <w:p w14:paraId="5904F8E1">
      <w:pPr>
        <w:spacing w:line="360" w:lineRule="auto"/>
        <w:ind w:firstLine="560" w:firstLineChars="200"/>
        <w:rPr>
          <w:rFonts w:eastAsia="仿宋_GB2312"/>
          <w:color w:val="auto"/>
          <w:sz w:val="28"/>
          <w:szCs w:val="28"/>
        </w:rPr>
      </w:pPr>
      <w:r>
        <w:rPr>
          <w:rFonts w:hint="eastAsia" w:eastAsia="仿宋_GB2312"/>
          <w:color w:val="auto"/>
          <w:sz w:val="28"/>
          <w:szCs w:val="28"/>
        </w:rPr>
        <w:t>合理安排新增建设用地计划，优先保障基础设施、民生工程、重大产业项目、战略性新兴产业等用地，着力保障博罗县经济社会发展用地需求。提高中低价位、中小套型普通商品房供地保障力度，适当控制住宅商品房用地供应。优化产业结构，严格控制国家规定限制类和禁止类建设项目用地供应。</w:t>
      </w:r>
    </w:p>
    <w:p w14:paraId="7C7B2433">
      <w:pPr>
        <w:pStyle w:val="36"/>
        <w:tabs>
          <w:tab w:val="left" w:pos="420"/>
          <w:tab w:val="clear" w:pos="2580"/>
        </w:tabs>
        <w:spacing w:before="156" w:beforeLines="50" w:after="156" w:afterLines="50"/>
        <w:ind w:left="0" w:firstLine="640" w:firstLineChars="200"/>
        <w:rPr>
          <w:rFonts w:eastAsia="黑体"/>
          <w:b w:val="0"/>
          <w:color w:val="auto"/>
          <w:sz w:val="32"/>
          <w:szCs w:val="32"/>
        </w:rPr>
      </w:pPr>
      <w:bookmarkStart w:id="35" w:name="_Toc3481965"/>
      <w:bookmarkStart w:id="36" w:name="_Toc351815302"/>
      <w:bookmarkStart w:id="37" w:name="_Toc353718217"/>
      <w:bookmarkStart w:id="38" w:name="_Toc66217040"/>
      <w:bookmarkStart w:id="39" w:name="_Toc3473600"/>
      <w:bookmarkStart w:id="40" w:name="_Toc288728440"/>
      <w:bookmarkStart w:id="41" w:name="_Toc352569447"/>
      <w:bookmarkStart w:id="42" w:name="_Toc294702655"/>
      <w:r>
        <w:rPr>
          <w:rFonts w:hint="eastAsia" w:eastAsia="黑体"/>
          <w:b w:val="0"/>
          <w:color w:val="auto"/>
          <w:sz w:val="32"/>
          <w:szCs w:val="32"/>
        </w:rPr>
        <w:t>编制</w:t>
      </w:r>
      <w:bookmarkEnd w:id="24"/>
      <w:r>
        <w:rPr>
          <w:rFonts w:hint="eastAsia" w:eastAsia="黑体"/>
          <w:b w:val="0"/>
          <w:color w:val="auto"/>
          <w:sz w:val="32"/>
          <w:szCs w:val="32"/>
        </w:rPr>
        <w:t>依据和适用范围</w:t>
      </w:r>
      <w:bookmarkEnd w:id="35"/>
      <w:bookmarkEnd w:id="36"/>
      <w:bookmarkEnd w:id="37"/>
      <w:bookmarkEnd w:id="38"/>
      <w:bookmarkEnd w:id="39"/>
      <w:bookmarkEnd w:id="40"/>
      <w:bookmarkEnd w:id="41"/>
      <w:bookmarkEnd w:id="42"/>
    </w:p>
    <w:p w14:paraId="6C9CFBDB">
      <w:pPr>
        <w:pStyle w:val="4"/>
        <w:numPr>
          <w:ilvl w:val="0"/>
          <w:numId w:val="0"/>
        </w:numPr>
        <w:spacing w:before="156" w:beforeLines="50" w:after="156" w:afterLines="50" w:line="360" w:lineRule="auto"/>
        <w:ind w:left="600"/>
        <w:rPr>
          <w:rFonts w:ascii="Times New Roman" w:hAnsi="Times New Roman" w:eastAsia="黑体"/>
          <w:b w:val="0"/>
          <w:color w:val="auto"/>
        </w:rPr>
      </w:pPr>
      <w:bookmarkStart w:id="43" w:name="_Toc3481966"/>
      <w:bookmarkStart w:id="44" w:name="_Toc66217041"/>
      <w:bookmarkStart w:id="45" w:name="_Toc3473601"/>
      <w:r>
        <w:rPr>
          <w:rFonts w:hint="eastAsia" w:ascii="Times New Roman" w:hAnsi="Times New Roman" w:eastAsia="黑体"/>
          <w:b w:val="0"/>
          <w:color w:val="auto"/>
        </w:rPr>
        <w:t>（一）</w:t>
      </w:r>
      <w:bookmarkEnd w:id="43"/>
      <w:bookmarkEnd w:id="44"/>
      <w:bookmarkEnd w:id="45"/>
      <w:r>
        <w:rPr>
          <w:rFonts w:hint="eastAsia" w:ascii="Times New Roman" w:hAnsi="Times New Roman" w:eastAsia="黑体"/>
          <w:b w:val="0"/>
          <w:color w:val="auto"/>
        </w:rPr>
        <w:t>法律法规</w:t>
      </w:r>
    </w:p>
    <w:p w14:paraId="54D0561E">
      <w:pPr>
        <w:spacing w:line="360" w:lineRule="auto"/>
        <w:ind w:firstLine="560" w:firstLineChars="200"/>
        <w:rPr>
          <w:rFonts w:eastAsia="仿宋_GB2312"/>
          <w:color w:val="auto"/>
          <w:sz w:val="28"/>
          <w:szCs w:val="28"/>
        </w:rPr>
      </w:pPr>
      <w:r>
        <w:rPr>
          <w:rFonts w:hint="eastAsia" w:eastAsia="仿宋_GB2312"/>
          <w:color w:val="auto"/>
          <w:sz w:val="28"/>
          <w:szCs w:val="28"/>
        </w:rPr>
        <w:t>（1）《中华人民共和国土地管理法》（2019修正）；</w:t>
      </w:r>
    </w:p>
    <w:p w14:paraId="1384562E">
      <w:pPr>
        <w:spacing w:line="360" w:lineRule="auto"/>
        <w:ind w:firstLine="560" w:firstLineChars="200"/>
        <w:rPr>
          <w:rFonts w:eastAsia="仿宋_GB2312"/>
          <w:color w:val="auto"/>
          <w:sz w:val="28"/>
          <w:szCs w:val="28"/>
        </w:rPr>
      </w:pPr>
      <w:r>
        <w:rPr>
          <w:rFonts w:hint="eastAsia" w:eastAsia="仿宋_GB2312"/>
          <w:color w:val="auto"/>
          <w:sz w:val="28"/>
          <w:szCs w:val="28"/>
        </w:rPr>
        <w:t>（2）</w:t>
      </w:r>
      <w:r>
        <w:rPr>
          <w:rFonts w:eastAsia="仿宋_GB2312"/>
          <w:color w:val="auto"/>
          <w:sz w:val="28"/>
          <w:szCs w:val="28"/>
        </w:rPr>
        <w:t>《中华人民共和国城市房地产管理法》（2019年修正）；</w:t>
      </w:r>
    </w:p>
    <w:p w14:paraId="2A86374D">
      <w:pPr>
        <w:spacing w:line="360" w:lineRule="auto"/>
        <w:ind w:firstLine="560" w:firstLineChars="200"/>
        <w:rPr>
          <w:rFonts w:eastAsia="仿宋_GB2312"/>
          <w:color w:val="auto"/>
          <w:sz w:val="28"/>
          <w:szCs w:val="28"/>
        </w:rPr>
      </w:pPr>
      <w:r>
        <w:rPr>
          <w:rFonts w:hint="eastAsia" w:eastAsia="仿宋_GB2312"/>
          <w:color w:val="auto"/>
          <w:sz w:val="28"/>
          <w:szCs w:val="28"/>
        </w:rPr>
        <w:t>（3）</w:t>
      </w:r>
      <w:r>
        <w:rPr>
          <w:rFonts w:eastAsia="仿宋_GB2312"/>
          <w:color w:val="auto"/>
          <w:sz w:val="28"/>
          <w:szCs w:val="28"/>
        </w:rPr>
        <w:t>《中华人民共和国城乡规划法》（2019年修正）</w:t>
      </w:r>
      <w:r>
        <w:rPr>
          <w:rFonts w:hint="eastAsia" w:eastAsia="仿宋_GB2312"/>
          <w:color w:val="auto"/>
          <w:sz w:val="28"/>
          <w:szCs w:val="28"/>
        </w:rPr>
        <w:t>；</w:t>
      </w:r>
    </w:p>
    <w:p w14:paraId="56769D83">
      <w:pPr>
        <w:spacing w:line="360" w:lineRule="auto"/>
        <w:ind w:firstLine="560" w:firstLineChars="200"/>
        <w:rPr>
          <w:rFonts w:eastAsia="仿宋_GB2312"/>
          <w:color w:val="auto"/>
          <w:sz w:val="28"/>
          <w:szCs w:val="28"/>
        </w:rPr>
      </w:pPr>
      <w:r>
        <w:rPr>
          <w:rFonts w:hint="eastAsia" w:eastAsia="仿宋_GB2312"/>
          <w:color w:val="auto"/>
          <w:sz w:val="28"/>
          <w:szCs w:val="28"/>
        </w:rPr>
        <w:t>（</w:t>
      </w:r>
      <w:r>
        <w:rPr>
          <w:rFonts w:eastAsia="仿宋_GB2312"/>
          <w:color w:val="auto"/>
          <w:sz w:val="28"/>
          <w:szCs w:val="28"/>
        </w:rPr>
        <w:t>4</w:t>
      </w:r>
      <w:r>
        <w:rPr>
          <w:rFonts w:hint="eastAsia" w:eastAsia="仿宋_GB2312"/>
          <w:color w:val="auto"/>
          <w:sz w:val="28"/>
          <w:szCs w:val="28"/>
        </w:rPr>
        <w:t>）《划拨用地目录》（国土资源部令第9号）；</w:t>
      </w:r>
    </w:p>
    <w:p w14:paraId="054BA950">
      <w:pPr>
        <w:spacing w:line="360" w:lineRule="auto"/>
        <w:ind w:firstLine="560" w:firstLineChars="200"/>
        <w:rPr>
          <w:rFonts w:eastAsia="仿宋_GB2312"/>
          <w:color w:val="auto"/>
          <w:sz w:val="28"/>
          <w:szCs w:val="28"/>
        </w:rPr>
      </w:pPr>
      <w:r>
        <w:rPr>
          <w:rFonts w:hint="eastAsia" w:eastAsia="仿宋_GB2312"/>
          <w:color w:val="auto"/>
          <w:sz w:val="28"/>
          <w:szCs w:val="28"/>
        </w:rPr>
        <w:t>（</w:t>
      </w:r>
      <w:r>
        <w:rPr>
          <w:rFonts w:eastAsia="仿宋_GB2312"/>
          <w:color w:val="auto"/>
          <w:sz w:val="28"/>
          <w:szCs w:val="28"/>
        </w:rPr>
        <w:t>5</w:t>
      </w:r>
      <w:r>
        <w:rPr>
          <w:rFonts w:hint="eastAsia" w:eastAsia="仿宋_GB2312"/>
          <w:color w:val="auto"/>
          <w:sz w:val="28"/>
          <w:szCs w:val="28"/>
        </w:rPr>
        <w:t>）《协议出让国有土地使用权规定》（国土资源部第21号令）；</w:t>
      </w:r>
    </w:p>
    <w:p w14:paraId="19827D00">
      <w:pPr>
        <w:spacing w:line="360" w:lineRule="auto"/>
        <w:ind w:firstLine="560" w:firstLineChars="200"/>
        <w:rPr>
          <w:rFonts w:eastAsia="仿宋_GB2312"/>
          <w:color w:val="auto"/>
          <w:sz w:val="28"/>
          <w:szCs w:val="28"/>
        </w:rPr>
      </w:pPr>
      <w:r>
        <w:rPr>
          <w:rFonts w:hint="eastAsia" w:eastAsia="仿宋_GB2312"/>
          <w:color w:val="auto"/>
          <w:sz w:val="28"/>
          <w:szCs w:val="28"/>
        </w:rPr>
        <w:t>（</w:t>
      </w:r>
      <w:r>
        <w:rPr>
          <w:rFonts w:eastAsia="仿宋_GB2312"/>
          <w:color w:val="auto"/>
          <w:sz w:val="28"/>
          <w:szCs w:val="28"/>
        </w:rPr>
        <w:t>6</w:t>
      </w:r>
      <w:r>
        <w:rPr>
          <w:rFonts w:hint="eastAsia" w:eastAsia="仿宋_GB2312"/>
          <w:color w:val="auto"/>
          <w:sz w:val="28"/>
          <w:szCs w:val="28"/>
        </w:rPr>
        <w:t>）《招标拍卖挂牌出让国有土地使用权规定》（国土资源部第39号令）；</w:t>
      </w:r>
    </w:p>
    <w:p w14:paraId="303E9829">
      <w:pPr>
        <w:spacing w:line="360" w:lineRule="auto"/>
        <w:ind w:firstLine="560" w:firstLineChars="200"/>
        <w:rPr>
          <w:rFonts w:eastAsia="仿宋_GB2312"/>
          <w:color w:val="auto"/>
          <w:sz w:val="28"/>
          <w:szCs w:val="28"/>
        </w:rPr>
      </w:pPr>
      <w:r>
        <w:rPr>
          <w:rFonts w:hint="eastAsia" w:eastAsia="仿宋_GB2312"/>
          <w:color w:val="auto"/>
          <w:sz w:val="28"/>
          <w:szCs w:val="28"/>
        </w:rPr>
        <w:t>（7）《限制用地项目目录（2012年本）》和《禁止用地项目目录（2012年本）》；</w:t>
      </w:r>
    </w:p>
    <w:p w14:paraId="37675768">
      <w:pPr>
        <w:spacing w:line="360" w:lineRule="auto"/>
        <w:ind w:firstLine="560" w:firstLineChars="200"/>
        <w:rPr>
          <w:rFonts w:eastAsia="仿宋_GB2312"/>
          <w:color w:val="auto"/>
          <w:sz w:val="28"/>
          <w:szCs w:val="28"/>
        </w:rPr>
      </w:pPr>
      <w:r>
        <w:rPr>
          <w:rFonts w:hint="eastAsia" w:eastAsia="仿宋_GB2312"/>
          <w:color w:val="auto"/>
          <w:sz w:val="28"/>
          <w:szCs w:val="28"/>
        </w:rPr>
        <w:t>（</w:t>
      </w:r>
      <w:r>
        <w:rPr>
          <w:rFonts w:hint="eastAsia" w:eastAsia="仿宋_GB2312"/>
          <w:color w:val="auto"/>
          <w:sz w:val="28"/>
          <w:szCs w:val="28"/>
          <w:lang w:val="en-US" w:eastAsia="zh-CN"/>
        </w:rPr>
        <w:t>8</w:t>
      </w:r>
      <w:r>
        <w:rPr>
          <w:rFonts w:hint="eastAsia" w:eastAsia="仿宋_GB2312"/>
          <w:color w:val="auto"/>
          <w:sz w:val="28"/>
          <w:szCs w:val="28"/>
        </w:rPr>
        <w:t>）《印发&lt;惠州市公共租赁住房建设管理办法&gt;和&lt;惠州市区公共租赁住房租金补助实施办法&gt;的通知》（惠府办〔2012〕35号）；</w:t>
      </w:r>
    </w:p>
    <w:p w14:paraId="0460CA87">
      <w:pPr>
        <w:spacing w:line="360" w:lineRule="auto"/>
        <w:ind w:firstLine="560" w:firstLineChars="200"/>
        <w:rPr>
          <w:rFonts w:eastAsia="仿宋_GB2312"/>
          <w:color w:val="auto"/>
          <w:sz w:val="28"/>
          <w:szCs w:val="28"/>
        </w:rPr>
      </w:pPr>
      <w:r>
        <w:rPr>
          <w:rFonts w:hint="eastAsia" w:eastAsia="仿宋_GB2312"/>
          <w:color w:val="auto"/>
          <w:sz w:val="28"/>
          <w:szCs w:val="28"/>
        </w:rPr>
        <w:t>（</w:t>
      </w:r>
      <w:r>
        <w:rPr>
          <w:rFonts w:hint="eastAsia" w:eastAsia="仿宋_GB2312"/>
          <w:color w:val="auto"/>
          <w:sz w:val="28"/>
          <w:szCs w:val="28"/>
          <w:lang w:val="en-US" w:eastAsia="zh-CN"/>
        </w:rPr>
        <w:t>9</w:t>
      </w:r>
      <w:r>
        <w:rPr>
          <w:rFonts w:hint="eastAsia" w:eastAsia="仿宋_GB2312"/>
          <w:color w:val="auto"/>
          <w:sz w:val="28"/>
          <w:szCs w:val="28"/>
        </w:rPr>
        <w:t>）《国土资源部 财政部 中国人民银行 中国银行业监督管理委员会关于印发&lt;土地储备管理办法&gt;的通知》（国土资规〔2017〕17号）；</w:t>
      </w:r>
    </w:p>
    <w:p w14:paraId="0181EC84">
      <w:pPr>
        <w:spacing w:line="360" w:lineRule="auto"/>
        <w:ind w:firstLine="560" w:firstLineChars="200"/>
        <w:rPr>
          <w:rFonts w:eastAsia="仿宋_GB2312"/>
          <w:color w:val="auto"/>
          <w:sz w:val="28"/>
          <w:szCs w:val="28"/>
        </w:rPr>
      </w:pPr>
      <w:r>
        <w:rPr>
          <w:rFonts w:hint="eastAsia" w:eastAsia="仿宋_GB2312"/>
          <w:color w:val="auto"/>
          <w:sz w:val="28"/>
          <w:szCs w:val="28"/>
        </w:rPr>
        <w:t>（1</w:t>
      </w:r>
      <w:r>
        <w:rPr>
          <w:rFonts w:hint="eastAsia" w:eastAsia="仿宋_GB2312"/>
          <w:color w:val="auto"/>
          <w:sz w:val="28"/>
          <w:szCs w:val="28"/>
          <w:lang w:val="en-US" w:eastAsia="zh-CN"/>
        </w:rPr>
        <w:t>0</w:t>
      </w:r>
      <w:r>
        <w:rPr>
          <w:rFonts w:hint="eastAsia" w:eastAsia="仿宋_GB2312"/>
          <w:color w:val="auto"/>
          <w:sz w:val="28"/>
          <w:szCs w:val="28"/>
        </w:rPr>
        <w:t>）《住房城乡建设部 国土资源部关于加强近期住房及用地供应管理和调控有关工作的通知》（建房〔2017〕80号）；</w:t>
      </w:r>
    </w:p>
    <w:p w14:paraId="28289611">
      <w:pPr>
        <w:spacing w:line="360" w:lineRule="auto"/>
        <w:ind w:firstLine="560" w:firstLineChars="200"/>
        <w:rPr>
          <w:rFonts w:eastAsia="仿宋_GB2312"/>
          <w:color w:val="auto"/>
          <w:sz w:val="28"/>
          <w:szCs w:val="28"/>
        </w:rPr>
      </w:pPr>
      <w:r>
        <w:rPr>
          <w:rFonts w:hint="eastAsia" w:eastAsia="仿宋_GB2312"/>
          <w:color w:val="auto"/>
          <w:sz w:val="28"/>
          <w:szCs w:val="28"/>
        </w:rPr>
        <w:t>（1</w:t>
      </w:r>
      <w:r>
        <w:rPr>
          <w:rFonts w:hint="eastAsia" w:eastAsia="仿宋_GB2312"/>
          <w:color w:val="auto"/>
          <w:sz w:val="28"/>
          <w:szCs w:val="28"/>
          <w:lang w:val="en-US" w:eastAsia="zh-CN"/>
        </w:rPr>
        <w:t>1</w:t>
      </w:r>
      <w:r>
        <w:rPr>
          <w:rFonts w:hint="eastAsia" w:eastAsia="仿宋_GB2312"/>
          <w:color w:val="auto"/>
          <w:sz w:val="28"/>
          <w:szCs w:val="28"/>
        </w:rPr>
        <w:t>）《广东省人民政府关于印发广东省全面推进拆旧复垦促进美丽乡村建设工作方案（试行）的通知》（粤府函〔2018〕19号）；</w:t>
      </w:r>
    </w:p>
    <w:p w14:paraId="5D1E3BD6">
      <w:pPr>
        <w:spacing w:line="360" w:lineRule="auto"/>
        <w:ind w:firstLine="560" w:firstLineChars="200"/>
        <w:rPr>
          <w:rFonts w:eastAsia="仿宋_GB2312"/>
          <w:color w:val="auto"/>
          <w:sz w:val="28"/>
          <w:szCs w:val="28"/>
        </w:rPr>
      </w:pPr>
      <w:r>
        <w:rPr>
          <w:rFonts w:hint="eastAsia" w:eastAsia="仿宋_GB2312"/>
          <w:color w:val="auto"/>
          <w:sz w:val="28"/>
          <w:szCs w:val="28"/>
        </w:rPr>
        <w:t>（1</w:t>
      </w:r>
      <w:r>
        <w:rPr>
          <w:rFonts w:hint="eastAsia" w:eastAsia="仿宋_GB2312"/>
          <w:color w:val="auto"/>
          <w:sz w:val="28"/>
          <w:szCs w:val="28"/>
          <w:lang w:val="en-US" w:eastAsia="zh-CN"/>
        </w:rPr>
        <w:t>2</w:t>
      </w:r>
      <w:r>
        <w:rPr>
          <w:rFonts w:hint="eastAsia" w:eastAsia="仿宋_GB2312"/>
          <w:color w:val="auto"/>
          <w:sz w:val="28"/>
          <w:szCs w:val="28"/>
        </w:rPr>
        <w:t>）《住房城乡建设部关于进一步做好房地产市场调控工作有关问题的通知》（建房〔2018〕49号）。</w:t>
      </w:r>
    </w:p>
    <w:p w14:paraId="63A8465F">
      <w:pPr>
        <w:spacing w:line="360" w:lineRule="auto"/>
        <w:ind w:firstLine="560" w:firstLineChars="200"/>
        <w:rPr>
          <w:rFonts w:eastAsia="仿宋_GB2312"/>
          <w:color w:val="auto"/>
          <w:sz w:val="28"/>
          <w:szCs w:val="28"/>
        </w:rPr>
      </w:pPr>
      <w:r>
        <w:rPr>
          <w:rFonts w:hint="eastAsia" w:eastAsia="仿宋_GB2312"/>
          <w:color w:val="auto"/>
          <w:sz w:val="28"/>
          <w:szCs w:val="28"/>
        </w:rPr>
        <w:t>（1</w:t>
      </w:r>
      <w:r>
        <w:rPr>
          <w:rFonts w:hint="eastAsia" w:eastAsia="仿宋_GB2312"/>
          <w:color w:val="auto"/>
          <w:sz w:val="28"/>
          <w:szCs w:val="28"/>
          <w:lang w:val="en-US" w:eastAsia="zh-CN"/>
        </w:rPr>
        <w:t>3</w:t>
      </w:r>
      <w:r>
        <w:rPr>
          <w:rFonts w:hint="eastAsia" w:eastAsia="仿宋_GB2312"/>
          <w:color w:val="auto"/>
          <w:sz w:val="28"/>
          <w:szCs w:val="28"/>
        </w:rPr>
        <w:t>）《广东省人民政府办公厅印发广东省推进供给侧结构性改革2017年度工作方案的通知》（粤府办〔2017〕40号）；</w:t>
      </w:r>
    </w:p>
    <w:p w14:paraId="0319A84E">
      <w:pPr>
        <w:spacing w:line="360" w:lineRule="auto"/>
        <w:ind w:firstLine="560" w:firstLineChars="200"/>
        <w:rPr>
          <w:rFonts w:eastAsia="仿宋_GB2312"/>
          <w:color w:val="auto"/>
          <w:sz w:val="28"/>
          <w:szCs w:val="28"/>
        </w:rPr>
      </w:pPr>
      <w:r>
        <w:rPr>
          <w:rFonts w:hint="eastAsia" w:eastAsia="仿宋_GB2312"/>
          <w:color w:val="auto"/>
          <w:sz w:val="28"/>
          <w:szCs w:val="28"/>
        </w:rPr>
        <w:t>（1</w:t>
      </w:r>
      <w:r>
        <w:rPr>
          <w:rFonts w:hint="eastAsia" w:eastAsia="仿宋_GB2312"/>
          <w:color w:val="auto"/>
          <w:sz w:val="28"/>
          <w:szCs w:val="28"/>
          <w:lang w:val="en-US" w:eastAsia="zh-CN"/>
        </w:rPr>
        <w:t>4</w:t>
      </w:r>
      <w:r>
        <w:rPr>
          <w:rFonts w:hint="eastAsia" w:eastAsia="仿宋_GB2312"/>
          <w:color w:val="auto"/>
          <w:sz w:val="28"/>
          <w:szCs w:val="28"/>
        </w:rPr>
        <w:t>）《广东省自然资源厅关于做好202</w:t>
      </w:r>
      <w:r>
        <w:rPr>
          <w:rFonts w:hint="eastAsia" w:eastAsia="仿宋_GB2312"/>
          <w:color w:val="auto"/>
          <w:sz w:val="28"/>
          <w:szCs w:val="28"/>
          <w:lang w:val="en-US" w:eastAsia="zh-CN"/>
        </w:rPr>
        <w:t>5</w:t>
      </w:r>
      <w:r>
        <w:rPr>
          <w:rFonts w:hint="eastAsia" w:eastAsia="仿宋_GB2312"/>
          <w:color w:val="auto"/>
          <w:sz w:val="28"/>
          <w:szCs w:val="28"/>
        </w:rPr>
        <w:t>年</w:t>
      </w:r>
      <w:r>
        <w:rPr>
          <w:rFonts w:hint="eastAsia" w:eastAsia="仿宋_GB2312"/>
          <w:color w:val="auto"/>
          <w:sz w:val="28"/>
          <w:szCs w:val="28"/>
          <w:lang w:val="en-US" w:eastAsia="zh-CN"/>
        </w:rPr>
        <w:t>土地储备计划与</w:t>
      </w:r>
      <w:r>
        <w:rPr>
          <w:rFonts w:hint="eastAsia" w:eastAsia="仿宋_GB2312"/>
          <w:color w:val="auto"/>
          <w:sz w:val="28"/>
          <w:szCs w:val="28"/>
        </w:rPr>
        <w:t>建设用地供应计划编制和发布的通知》（粤自然资</w:t>
      </w:r>
      <w:r>
        <w:rPr>
          <w:rFonts w:hint="eastAsia" w:eastAsia="仿宋_GB2312"/>
          <w:color w:val="auto"/>
          <w:sz w:val="28"/>
          <w:szCs w:val="28"/>
          <w:lang w:val="en-US" w:eastAsia="zh-CN"/>
        </w:rPr>
        <w:t>函</w:t>
      </w:r>
      <w:r>
        <w:rPr>
          <w:rFonts w:hint="eastAsia" w:eastAsia="仿宋_GB2312"/>
          <w:color w:val="auto"/>
          <w:sz w:val="28"/>
          <w:szCs w:val="28"/>
        </w:rPr>
        <w:t>〔202</w:t>
      </w:r>
      <w:r>
        <w:rPr>
          <w:rFonts w:hint="eastAsia" w:eastAsia="仿宋_GB2312"/>
          <w:color w:val="auto"/>
          <w:sz w:val="28"/>
          <w:szCs w:val="28"/>
          <w:lang w:val="en-US" w:eastAsia="zh-CN"/>
        </w:rPr>
        <w:t>4</w:t>
      </w:r>
      <w:r>
        <w:rPr>
          <w:rFonts w:hint="eastAsia" w:eastAsia="仿宋_GB2312"/>
          <w:color w:val="auto"/>
          <w:sz w:val="28"/>
          <w:szCs w:val="28"/>
        </w:rPr>
        <w:t>〕</w:t>
      </w:r>
      <w:r>
        <w:rPr>
          <w:rFonts w:hint="eastAsia" w:eastAsia="仿宋_GB2312"/>
          <w:color w:val="auto"/>
          <w:sz w:val="28"/>
          <w:szCs w:val="28"/>
          <w:lang w:val="en-US" w:eastAsia="zh-CN"/>
        </w:rPr>
        <w:t>1040</w:t>
      </w:r>
      <w:r>
        <w:rPr>
          <w:rFonts w:hint="eastAsia" w:eastAsia="仿宋_GB2312"/>
          <w:color w:val="auto"/>
          <w:sz w:val="28"/>
          <w:szCs w:val="28"/>
        </w:rPr>
        <w:t>号）；</w:t>
      </w:r>
    </w:p>
    <w:p w14:paraId="2A559BFF">
      <w:pPr>
        <w:spacing w:line="360" w:lineRule="auto"/>
        <w:ind w:firstLine="560" w:firstLineChars="200"/>
        <w:rPr>
          <w:rFonts w:hint="eastAsia" w:eastAsia="仿宋_GB2312"/>
          <w:color w:val="auto"/>
          <w:sz w:val="28"/>
          <w:szCs w:val="28"/>
          <w:lang w:eastAsia="zh-CN"/>
        </w:rPr>
      </w:pPr>
      <w:r>
        <w:rPr>
          <w:rFonts w:hint="eastAsia" w:eastAsia="仿宋_GB2312"/>
          <w:color w:val="auto"/>
          <w:sz w:val="28"/>
          <w:szCs w:val="28"/>
        </w:rPr>
        <w:t>（1</w:t>
      </w:r>
      <w:r>
        <w:rPr>
          <w:rFonts w:hint="eastAsia" w:eastAsia="仿宋_GB2312"/>
          <w:color w:val="auto"/>
          <w:sz w:val="28"/>
          <w:szCs w:val="28"/>
          <w:lang w:val="en-US" w:eastAsia="zh-CN"/>
        </w:rPr>
        <w:t>5</w:t>
      </w:r>
      <w:r>
        <w:rPr>
          <w:rFonts w:hint="eastAsia" w:eastAsia="仿宋_GB2312"/>
          <w:color w:val="auto"/>
          <w:sz w:val="28"/>
          <w:szCs w:val="28"/>
        </w:rPr>
        <w:t>）《广东省人民政府办公厅关于加快发展保障性租赁住房的实施意见》（粤府办〔2021〕39号）</w:t>
      </w:r>
      <w:r>
        <w:rPr>
          <w:rFonts w:hint="eastAsia" w:eastAsia="仿宋_GB2312"/>
          <w:color w:val="auto"/>
          <w:sz w:val="28"/>
          <w:szCs w:val="28"/>
          <w:lang w:eastAsia="zh-CN"/>
        </w:rPr>
        <w:t>；</w:t>
      </w:r>
    </w:p>
    <w:p w14:paraId="22DF474B">
      <w:pPr>
        <w:spacing w:line="360" w:lineRule="auto"/>
        <w:ind w:firstLine="560" w:firstLineChars="200"/>
        <w:rPr>
          <w:rFonts w:hint="default" w:eastAsia="仿宋_GB2312"/>
          <w:color w:val="auto"/>
          <w:sz w:val="28"/>
          <w:szCs w:val="28"/>
          <w:lang w:val="en-US" w:eastAsia="zh-CN"/>
        </w:rPr>
      </w:pPr>
      <w:r>
        <w:rPr>
          <w:rFonts w:hint="eastAsia" w:eastAsia="仿宋_GB2312"/>
          <w:color w:val="auto"/>
          <w:sz w:val="28"/>
          <w:szCs w:val="28"/>
          <w:lang w:val="en-US" w:eastAsia="zh-CN"/>
        </w:rPr>
        <w:t>（16）《惠州市人民政府办公室关于印发惠州市加快发展保障性租赁住房 实施方案的通知》（惠府办〔2022〕19号）;</w:t>
      </w:r>
    </w:p>
    <w:p w14:paraId="3F9424E8">
      <w:pPr>
        <w:spacing w:line="360" w:lineRule="auto"/>
        <w:ind w:firstLine="560" w:firstLineChars="200"/>
        <w:rPr>
          <w:rFonts w:hint="default" w:eastAsia="仿宋_GB2312"/>
          <w:color w:val="auto"/>
          <w:sz w:val="28"/>
          <w:szCs w:val="28"/>
          <w:lang w:val="en-US" w:eastAsia="zh-CN"/>
        </w:rPr>
      </w:pPr>
      <w:r>
        <w:rPr>
          <w:rFonts w:hint="eastAsia" w:eastAsia="仿宋_GB2312"/>
          <w:color w:val="auto"/>
          <w:sz w:val="28"/>
          <w:szCs w:val="28"/>
          <w:lang w:val="en-US" w:eastAsia="zh-CN"/>
        </w:rPr>
        <w:t>（17）《惠州市人民政府关于印发惠州市规划建设保障性住房实施方案的通知》（惠府函〔2025〕11号）。</w:t>
      </w:r>
    </w:p>
    <w:p w14:paraId="43A77850">
      <w:pPr>
        <w:pStyle w:val="4"/>
        <w:numPr>
          <w:ilvl w:val="0"/>
          <w:numId w:val="0"/>
        </w:numPr>
        <w:spacing w:before="156" w:beforeLines="50" w:after="156" w:afterLines="50" w:line="360" w:lineRule="auto"/>
        <w:ind w:left="600"/>
        <w:rPr>
          <w:rFonts w:ascii="Times New Roman" w:hAnsi="Times New Roman" w:eastAsia="黑体"/>
          <w:b w:val="0"/>
          <w:color w:val="auto"/>
        </w:rPr>
      </w:pPr>
      <w:bookmarkStart w:id="46" w:name="_Toc3481967"/>
      <w:bookmarkStart w:id="47" w:name="_Toc66217042"/>
      <w:bookmarkStart w:id="48" w:name="_Toc3473602"/>
      <w:r>
        <w:rPr>
          <w:rFonts w:hint="eastAsia" w:ascii="Times New Roman" w:hAnsi="Times New Roman" w:eastAsia="黑体"/>
          <w:b w:val="0"/>
          <w:color w:val="auto"/>
        </w:rPr>
        <w:t>（二）技术依据</w:t>
      </w:r>
      <w:bookmarkEnd w:id="46"/>
      <w:bookmarkEnd w:id="47"/>
      <w:bookmarkEnd w:id="48"/>
    </w:p>
    <w:p w14:paraId="70E1EDC9">
      <w:pPr>
        <w:spacing w:line="360" w:lineRule="auto"/>
        <w:ind w:firstLine="560" w:firstLineChars="200"/>
        <w:rPr>
          <w:rFonts w:eastAsia="仿宋_GB2312"/>
          <w:color w:val="auto"/>
          <w:sz w:val="28"/>
          <w:szCs w:val="28"/>
        </w:rPr>
      </w:pPr>
      <w:r>
        <w:rPr>
          <w:rFonts w:hint="eastAsia" w:eastAsia="仿宋_GB2312"/>
          <w:color w:val="auto"/>
          <w:sz w:val="28"/>
          <w:szCs w:val="28"/>
        </w:rPr>
        <w:t>（1）《土地利用现状分类》（GB/T21010-2017）；</w:t>
      </w:r>
    </w:p>
    <w:p w14:paraId="001F5C8A">
      <w:pPr>
        <w:spacing w:line="360" w:lineRule="auto"/>
        <w:ind w:firstLine="560" w:firstLineChars="200"/>
        <w:rPr>
          <w:rFonts w:eastAsia="仿宋_GB2312"/>
          <w:color w:val="auto"/>
          <w:sz w:val="28"/>
          <w:szCs w:val="28"/>
        </w:rPr>
      </w:pPr>
      <w:r>
        <w:rPr>
          <w:rFonts w:hint="eastAsia" w:eastAsia="仿宋_GB2312"/>
          <w:color w:val="auto"/>
          <w:sz w:val="28"/>
          <w:szCs w:val="28"/>
        </w:rPr>
        <w:t>（2） 《城市用地分类与规划建设用地标准》（GB50137-2011）；</w:t>
      </w:r>
    </w:p>
    <w:p w14:paraId="039F0768">
      <w:pPr>
        <w:spacing w:line="360" w:lineRule="auto"/>
        <w:ind w:firstLine="560" w:firstLineChars="200"/>
        <w:rPr>
          <w:rFonts w:eastAsia="仿宋_GB2312"/>
          <w:color w:val="auto"/>
          <w:sz w:val="28"/>
          <w:szCs w:val="28"/>
        </w:rPr>
      </w:pPr>
      <w:r>
        <w:rPr>
          <w:rFonts w:hint="eastAsia" w:eastAsia="仿宋_GB2312"/>
          <w:color w:val="auto"/>
          <w:sz w:val="28"/>
          <w:szCs w:val="28"/>
        </w:rPr>
        <w:t>（3）《国土资源部关于印发&lt;国有建设用地供应计划编制规范&gt;（试行）的通知》（国土资发〔2010〕117号）。</w:t>
      </w:r>
    </w:p>
    <w:p w14:paraId="1DB59358">
      <w:pPr>
        <w:spacing w:before="62" w:beforeLines="20" w:after="62" w:afterLines="20" w:line="360" w:lineRule="auto"/>
        <w:ind w:firstLine="600" w:firstLineChars="200"/>
        <w:outlineLvl w:val="1"/>
        <w:rPr>
          <w:rFonts w:eastAsia="黑体"/>
          <w:color w:val="auto"/>
          <w:sz w:val="30"/>
          <w:szCs w:val="30"/>
        </w:rPr>
      </w:pPr>
      <w:bookmarkStart w:id="49" w:name="_Toc66217043"/>
      <w:bookmarkStart w:id="50" w:name="_Toc3473603"/>
      <w:bookmarkStart w:id="51" w:name="_Toc3481968"/>
      <w:r>
        <w:rPr>
          <w:rFonts w:hint="eastAsia" w:eastAsia="黑体"/>
          <w:color w:val="auto"/>
          <w:sz w:val="30"/>
          <w:szCs w:val="30"/>
        </w:rPr>
        <w:t>（三）其他相关规划、计划、文件依据</w:t>
      </w:r>
      <w:bookmarkEnd w:id="49"/>
      <w:bookmarkEnd w:id="50"/>
      <w:bookmarkEnd w:id="51"/>
    </w:p>
    <w:p w14:paraId="56F33035">
      <w:pPr>
        <w:numPr>
          <w:ilvl w:val="1"/>
          <w:numId w:val="1"/>
        </w:numPr>
        <w:tabs>
          <w:tab w:val="clear" w:pos="1500"/>
        </w:tabs>
        <w:ind w:left="0" w:firstLine="560" w:firstLineChars="200"/>
        <w:rPr>
          <w:rFonts w:eastAsia="仿宋_GB2312"/>
          <w:color w:val="auto"/>
          <w:sz w:val="28"/>
          <w:szCs w:val="28"/>
        </w:rPr>
      </w:pPr>
      <w:r>
        <w:rPr>
          <w:rFonts w:hint="eastAsia" w:eastAsia="仿宋_GB2312"/>
          <w:color w:val="auto"/>
          <w:sz w:val="28"/>
          <w:szCs w:val="28"/>
        </w:rPr>
        <w:t>《博罗县发展建设规划（2012-2030年）》；</w:t>
      </w:r>
    </w:p>
    <w:p w14:paraId="0A66B85D">
      <w:pPr>
        <w:numPr>
          <w:ilvl w:val="1"/>
          <w:numId w:val="1"/>
        </w:numPr>
        <w:tabs>
          <w:tab w:val="clear" w:pos="1500"/>
        </w:tabs>
        <w:ind w:left="0" w:firstLine="560" w:firstLineChars="200"/>
        <w:rPr>
          <w:rFonts w:eastAsia="仿宋_GB2312"/>
          <w:color w:val="auto"/>
          <w:sz w:val="28"/>
          <w:szCs w:val="28"/>
        </w:rPr>
      </w:pPr>
      <w:r>
        <w:rPr>
          <w:rFonts w:hint="eastAsia" w:eastAsia="仿宋_GB2312"/>
          <w:color w:val="auto"/>
          <w:sz w:val="28"/>
          <w:szCs w:val="28"/>
        </w:rPr>
        <w:t>历年土地供应、土地收储资料。</w:t>
      </w:r>
    </w:p>
    <w:p w14:paraId="38CD68F4">
      <w:pPr>
        <w:pStyle w:val="36"/>
        <w:tabs>
          <w:tab w:val="left" w:pos="420"/>
          <w:tab w:val="clear" w:pos="2580"/>
        </w:tabs>
        <w:spacing w:before="156" w:beforeLines="50" w:after="156" w:afterLines="50"/>
        <w:ind w:left="0" w:firstLine="640" w:firstLineChars="200"/>
        <w:rPr>
          <w:rFonts w:eastAsia="黑体"/>
          <w:b w:val="0"/>
          <w:color w:val="auto"/>
          <w:sz w:val="32"/>
          <w:szCs w:val="32"/>
        </w:rPr>
      </w:pPr>
      <w:bookmarkStart w:id="52" w:name="_Toc66217044"/>
      <w:bookmarkStart w:id="53" w:name="_Toc415396188"/>
      <w:bookmarkStart w:id="54" w:name="_Toc3481969"/>
      <w:bookmarkStart w:id="55" w:name="_Toc3473604"/>
      <w:r>
        <w:rPr>
          <w:rFonts w:hint="eastAsia" w:eastAsia="黑体"/>
          <w:b w:val="0"/>
          <w:color w:val="auto"/>
          <w:sz w:val="32"/>
          <w:szCs w:val="32"/>
        </w:rPr>
        <w:t>计划范围及计划期限</w:t>
      </w:r>
      <w:bookmarkEnd w:id="52"/>
      <w:bookmarkEnd w:id="53"/>
      <w:bookmarkEnd w:id="54"/>
      <w:bookmarkEnd w:id="55"/>
    </w:p>
    <w:p w14:paraId="73A6BC22">
      <w:pPr>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color w:val="auto"/>
          <w:sz w:val="28"/>
          <w:szCs w:val="28"/>
        </w:rPr>
      </w:pPr>
      <w:r>
        <w:rPr>
          <w:rFonts w:hint="eastAsia" w:eastAsia="仿宋_GB2312"/>
          <w:color w:val="auto"/>
          <w:sz w:val="28"/>
          <w:szCs w:val="28"/>
        </w:rPr>
        <w:t>本计划的范围是博罗县行政辖区内计划期供应的全部国有建设用地。国有建设用地供应计划的计划期为一年，本计划年度为20</w:t>
      </w:r>
      <w:r>
        <w:rPr>
          <w:rFonts w:eastAsia="仿宋_GB2312"/>
          <w:color w:val="auto"/>
          <w:sz w:val="28"/>
          <w:szCs w:val="28"/>
        </w:rPr>
        <w:t>2</w:t>
      </w:r>
      <w:r>
        <w:rPr>
          <w:rFonts w:hint="eastAsia" w:eastAsia="仿宋_GB2312"/>
          <w:color w:val="auto"/>
          <w:sz w:val="28"/>
          <w:szCs w:val="28"/>
          <w:lang w:val="en-US" w:eastAsia="zh-CN"/>
        </w:rPr>
        <w:t>5</w:t>
      </w:r>
      <w:r>
        <w:rPr>
          <w:rFonts w:hint="eastAsia" w:eastAsia="仿宋_GB2312"/>
          <w:color w:val="auto"/>
          <w:sz w:val="28"/>
          <w:szCs w:val="28"/>
        </w:rPr>
        <w:t>年1月1日至20</w:t>
      </w:r>
      <w:r>
        <w:rPr>
          <w:rFonts w:eastAsia="仿宋_GB2312"/>
          <w:color w:val="auto"/>
          <w:sz w:val="28"/>
          <w:szCs w:val="28"/>
        </w:rPr>
        <w:t>2</w:t>
      </w:r>
      <w:r>
        <w:rPr>
          <w:rFonts w:hint="eastAsia" w:eastAsia="仿宋_GB2312"/>
          <w:color w:val="auto"/>
          <w:sz w:val="28"/>
          <w:szCs w:val="28"/>
          <w:lang w:val="en-US" w:eastAsia="zh-CN"/>
        </w:rPr>
        <w:t>5</w:t>
      </w:r>
      <w:r>
        <w:rPr>
          <w:rFonts w:hint="eastAsia" w:eastAsia="仿宋_GB2312"/>
          <w:color w:val="auto"/>
          <w:sz w:val="28"/>
          <w:szCs w:val="28"/>
        </w:rPr>
        <w:t>年12月31日。</w:t>
      </w:r>
    </w:p>
    <w:p w14:paraId="3E798BCC">
      <w:pPr>
        <w:pStyle w:val="36"/>
        <w:pageBreakBefore w:val="0"/>
        <w:widowControl w:val="0"/>
        <w:tabs>
          <w:tab w:val="left" w:pos="420"/>
          <w:tab w:val="clear" w:pos="2580"/>
        </w:tabs>
        <w:kinsoku/>
        <w:wordWrap/>
        <w:overflowPunct/>
        <w:topLinePunct w:val="0"/>
        <w:autoSpaceDE/>
        <w:autoSpaceDN/>
        <w:bidi w:val="0"/>
        <w:adjustRightInd/>
        <w:snapToGrid/>
        <w:spacing w:before="156" w:beforeLines="50" w:after="156" w:afterLines="50" w:line="560" w:lineRule="exact"/>
        <w:ind w:left="0" w:firstLine="640" w:firstLineChars="200"/>
        <w:textAlignment w:val="auto"/>
        <w:rPr>
          <w:rFonts w:eastAsia="黑体"/>
          <w:b w:val="0"/>
          <w:color w:val="auto"/>
          <w:sz w:val="32"/>
          <w:szCs w:val="32"/>
        </w:rPr>
      </w:pPr>
      <w:bookmarkStart w:id="56" w:name="_Toc294702656"/>
      <w:bookmarkStart w:id="57" w:name="_Toc353718218"/>
      <w:bookmarkStart w:id="58" w:name="_Toc3473605"/>
      <w:bookmarkStart w:id="59" w:name="_Toc351815303"/>
      <w:bookmarkStart w:id="60" w:name="_Toc352569448"/>
      <w:bookmarkStart w:id="61" w:name="_Toc66217045"/>
      <w:bookmarkStart w:id="62" w:name="_Toc3481970"/>
      <w:r>
        <w:rPr>
          <w:rFonts w:hint="eastAsia" w:eastAsia="黑体"/>
          <w:b w:val="0"/>
          <w:color w:val="auto"/>
          <w:sz w:val="32"/>
          <w:szCs w:val="32"/>
        </w:rPr>
        <w:t>概念界定</w:t>
      </w:r>
      <w:bookmarkEnd w:id="56"/>
      <w:bookmarkEnd w:id="57"/>
      <w:bookmarkEnd w:id="58"/>
      <w:bookmarkEnd w:id="59"/>
      <w:bookmarkEnd w:id="60"/>
      <w:bookmarkEnd w:id="61"/>
      <w:bookmarkEnd w:id="62"/>
    </w:p>
    <w:p w14:paraId="7FFB29AC">
      <w:pPr>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color w:val="auto"/>
          <w:sz w:val="28"/>
          <w:szCs w:val="28"/>
          <w:highlight w:val="yellow"/>
        </w:rPr>
      </w:pPr>
      <w:bookmarkStart w:id="63" w:name="_Toc288728441"/>
      <w:r>
        <w:rPr>
          <w:rFonts w:hint="eastAsia" w:eastAsia="仿宋_GB2312"/>
          <w:color w:val="auto"/>
          <w:sz w:val="28"/>
          <w:szCs w:val="28"/>
        </w:rPr>
        <w:t>本土地供应计划中所指土地供应是指国有建设用地的供应，分为存量土地供给和增量土地供给。</w:t>
      </w:r>
    </w:p>
    <w:p w14:paraId="745CC491">
      <w:pPr>
        <w:pStyle w:val="36"/>
        <w:pageBreakBefore w:val="0"/>
        <w:widowControl w:val="0"/>
        <w:tabs>
          <w:tab w:val="left" w:pos="420"/>
          <w:tab w:val="clear" w:pos="2580"/>
        </w:tabs>
        <w:kinsoku/>
        <w:wordWrap/>
        <w:overflowPunct/>
        <w:topLinePunct w:val="0"/>
        <w:autoSpaceDE/>
        <w:autoSpaceDN/>
        <w:bidi w:val="0"/>
        <w:adjustRightInd/>
        <w:snapToGrid/>
        <w:spacing w:before="156" w:beforeLines="50" w:after="156" w:afterLines="50" w:line="560" w:lineRule="exact"/>
        <w:ind w:left="0" w:firstLine="640" w:firstLineChars="200"/>
        <w:textAlignment w:val="auto"/>
        <w:rPr>
          <w:rFonts w:eastAsia="黑体"/>
          <w:b w:val="0"/>
          <w:color w:val="auto"/>
          <w:sz w:val="32"/>
          <w:szCs w:val="32"/>
        </w:rPr>
      </w:pPr>
      <w:bookmarkStart w:id="64" w:name="_Toc353718219"/>
      <w:bookmarkStart w:id="65" w:name="_Toc352569449"/>
      <w:bookmarkStart w:id="66" w:name="_Toc3481971"/>
      <w:bookmarkStart w:id="67" w:name="_Toc3473606"/>
      <w:bookmarkStart w:id="68" w:name="_Toc351815304"/>
      <w:bookmarkStart w:id="69" w:name="_Toc66217046"/>
      <w:bookmarkStart w:id="70" w:name="_Toc294702657"/>
      <w:r>
        <w:rPr>
          <w:rFonts w:hint="eastAsia" w:eastAsia="黑体"/>
          <w:b w:val="0"/>
          <w:color w:val="auto"/>
          <w:sz w:val="32"/>
          <w:szCs w:val="32"/>
        </w:rPr>
        <w:t>计划指标</w:t>
      </w:r>
      <w:bookmarkEnd w:id="63"/>
      <w:bookmarkEnd w:id="64"/>
      <w:bookmarkEnd w:id="65"/>
      <w:bookmarkEnd w:id="66"/>
      <w:bookmarkEnd w:id="67"/>
      <w:bookmarkEnd w:id="68"/>
      <w:bookmarkEnd w:id="69"/>
      <w:bookmarkEnd w:id="70"/>
    </w:p>
    <w:p w14:paraId="64F32BBE">
      <w:pPr>
        <w:pStyle w:val="4"/>
        <w:pageBreakBefore w:val="0"/>
        <w:widowControl w:val="0"/>
        <w:numPr>
          <w:ilvl w:val="0"/>
          <w:numId w:val="3"/>
        </w:numPr>
        <w:kinsoku/>
        <w:wordWrap/>
        <w:overflowPunct/>
        <w:topLinePunct w:val="0"/>
        <w:autoSpaceDE/>
        <w:autoSpaceDN/>
        <w:bidi w:val="0"/>
        <w:adjustRightInd/>
        <w:snapToGrid/>
        <w:spacing w:before="156" w:beforeLines="50" w:after="156" w:afterLines="50" w:line="560" w:lineRule="exact"/>
        <w:ind w:left="0" w:firstLine="600" w:firstLineChars="200"/>
        <w:textAlignment w:val="auto"/>
        <w:rPr>
          <w:rFonts w:ascii="Times New Roman" w:hAnsi="Times New Roman" w:eastAsia="黑体"/>
          <w:b w:val="0"/>
          <w:color w:val="auto"/>
        </w:rPr>
      </w:pPr>
      <w:bookmarkStart w:id="71" w:name="_Toc3481972"/>
      <w:bookmarkStart w:id="72" w:name="_Toc351815305"/>
      <w:bookmarkStart w:id="73" w:name="_Toc3473607"/>
      <w:bookmarkStart w:id="74" w:name="_Toc288728442"/>
      <w:bookmarkStart w:id="75" w:name="_Toc353718220"/>
      <w:bookmarkStart w:id="76" w:name="_Toc352569450"/>
      <w:bookmarkStart w:id="77" w:name="_Toc294702658"/>
      <w:bookmarkStart w:id="78" w:name="_Toc66217047"/>
      <w:r>
        <w:rPr>
          <w:rFonts w:hint="eastAsia" w:ascii="Times New Roman" w:hAnsi="Times New Roman" w:eastAsia="黑体"/>
          <w:b w:val="0"/>
          <w:color w:val="auto"/>
        </w:rPr>
        <w:t>国有建设用地供应总量指标</w:t>
      </w:r>
      <w:bookmarkEnd w:id="71"/>
      <w:bookmarkEnd w:id="72"/>
      <w:bookmarkEnd w:id="73"/>
      <w:bookmarkEnd w:id="74"/>
      <w:bookmarkEnd w:id="75"/>
      <w:bookmarkEnd w:id="76"/>
      <w:bookmarkEnd w:id="77"/>
      <w:bookmarkEnd w:id="78"/>
    </w:p>
    <w:p w14:paraId="69E21926">
      <w:pPr>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color w:val="auto"/>
          <w:sz w:val="28"/>
          <w:szCs w:val="28"/>
        </w:rPr>
      </w:pPr>
      <w:r>
        <w:rPr>
          <w:rFonts w:hint="eastAsia" w:eastAsia="仿宋_GB2312"/>
          <w:color w:val="auto"/>
          <w:sz w:val="28"/>
          <w:szCs w:val="28"/>
        </w:rPr>
        <w:t>20</w:t>
      </w:r>
      <w:r>
        <w:rPr>
          <w:rFonts w:eastAsia="仿宋_GB2312"/>
          <w:color w:val="auto"/>
          <w:sz w:val="28"/>
          <w:szCs w:val="28"/>
        </w:rPr>
        <w:t>2</w:t>
      </w:r>
      <w:r>
        <w:rPr>
          <w:rFonts w:hint="eastAsia" w:eastAsia="仿宋_GB2312"/>
          <w:color w:val="auto"/>
          <w:sz w:val="28"/>
          <w:szCs w:val="28"/>
          <w:lang w:val="en-US" w:eastAsia="zh-CN"/>
        </w:rPr>
        <w:t>5</w:t>
      </w:r>
      <w:r>
        <w:rPr>
          <w:rFonts w:hint="eastAsia" w:eastAsia="仿宋_GB2312"/>
          <w:color w:val="auto"/>
          <w:sz w:val="28"/>
          <w:szCs w:val="28"/>
        </w:rPr>
        <w:t>年全县国有建设用地供应计划供应总量</w:t>
      </w:r>
      <w:r>
        <w:rPr>
          <w:rFonts w:hint="eastAsia" w:eastAsia="仿宋_GB2312"/>
          <w:color w:val="0000FF"/>
          <w:sz w:val="28"/>
          <w:szCs w:val="28"/>
          <w:lang w:val="en-US" w:eastAsia="zh-CN"/>
        </w:rPr>
        <w:t>466.4447</w:t>
      </w:r>
      <w:r>
        <w:rPr>
          <w:rFonts w:hint="eastAsia" w:eastAsia="仿宋_GB2312"/>
          <w:color w:val="auto"/>
          <w:sz w:val="28"/>
          <w:szCs w:val="28"/>
        </w:rPr>
        <w:t>公顷。</w:t>
      </w:r>
    </w:p>
    <w:p w14:paraId="1D79694B">
      <w:pPr>
        <w:pStyle w:val="4"/>
        <w:pageBreakBefore w:val="0"/>
        <w:widowControl w:val="0"/>
        <w:numPr>
          <w:ilvl w:val="0"/>
          <w:numId w:val="3"/>
        </w:numPr>
        <w:kinsoku/>
        <w:wordWrap/>
        <w:overflowPunct/>
        <w:topLinePunct w:val="0"/>
        <w:autoSpaceDE/>
        <w:autoSpaceDN/>
        <w:bidi w:val="0"/>
        <w:adjustRightInd/>
        <w:snapToGrid/>
        <w:spacing w:before="156" w:beforeLines="50" w:after="156" w:afterLines="50" w:line="560" w:lineRule="exact"/>
        <w:ind w:left="0" w:firstLine="600" w:firstLineChars="200"/>
        <w:textAlignment w:val="auto"/>
        <w:rPr>
          <w:rFonts w:ascii="Times New Roman" w:hAnsi="Times New Roman" w:eastAsia="黑体"/>
          <w:b w:val="0"/>
          <w:color w:val="auto"/>
        </w:rPr>
      </w:pPr>
      <w:bookmarkStart w:id="79" w:name="_Toc294702659"/>
      <w:bookmarkStart w:id="80" w:name="_Toc288728443"/>
      <w:bookmarkStart w:id="81" w:name="_Toc352569451"/>
      <w:bookmarkStart w:id="82" w:name="_Toc3473608"/>
      <w:bookmarkStart w:id="83" w:name="_Toc66217048"/>
      <w:bookmarkStart w:id="84" w:name="_Toc3481973"/>
      <w:bookmarkStart w:id="85" w:name="_Toc353718221"/>
      <w:bookmarkStart w:id="86" w:name="_Toc351815306"/>
      <w:r>
        <w:rPr>
          <w:rFonts w:hint="eastAsia" w:ascii="Times New Roman" w:hAnsi="Times New Roman" w:eastAsia="黑体"/>
          <w:b w:val="0"/>
          <w:color w:val="auto"/>
        </w:rPr>
        <w:t>国有建设用地供应结构</w:t>
      </w:r>
      <w:bookmarkEnd w:id="79"/>
      <w:bookmarkEnd w:id="80"/>
      <w:bookmarkEnd w:id="81"/>
      <w:bookmarkEnd w:id="82"/>
      <w:bookmarkEnd w:id="83"/>
      <w:bookmarkEnd w:id="84"/>
      <w:bookmarkEnd w:id="85"/>
      <w:bookmarkEnd w:id="86"/>
    </w:p>
    <w:p w14:paraId="46206606">
      <w:pPr>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color w:val="auto"/>
          <w:sz w:val="28"/>
          <w:szCs w:val="28"/>
        </w:rPr>
      </w:pPr>
      <w:r>
        <w:rPr>
          <w:rFonts w:hint="eastAsia" w:eastAsia="仿宋_GB2312"/>
          <w:color w:val="auto"/>
          <w:sz w:val="28"/>
          <w:szCs w:val="28"/>
        </w:rPr>
        <w:t>用地供应结构指标分配主要是考虑博罗县经济社会发展情况、城镇功能定位、经济结构调整和国家土地宏观调控政策等方面情况，做出的用地结构安排。博罗县20</w:t>
      </w:r>
      <w:r>
        <w:rPr>
          <w:rFonts w:eastAsia="仿宋_GB2312"/>
          <w:color w:val="auto"/>
          <w:sz w:val="28"/>
          <w:szCs w:val="28"/>
        </w:rPr>
        <w:t>2</w:t>
      </w:r>
      <w:r>
        <w:rPr>
          <w:rFonts w:hint="eastAsia" w:eastAsia="仿宋_GB2312"/>
          <w:color w:val="auto"/>
          <w:sz w:val="28"/>
          <w:szCs w:val="28"/>
          <w:lang w:val="en-US" w:eastAsia="zh-CN"/>
        </w:rPr>
        <w:t>5</w:t>
      </w:r>
      <w:r>
        <w:rPr>
          <w:rFonts w:hint="eastAsia" w:eastAsia="仿宋_GB2312"/>
          <w:color w:val="auto"/>
          <w:sz w:val="28"/>
          <w:szCs w:val="28"/>
        </w:rPr>
        <w:t>年度国有建设用地供应计划结构详见下表。</w:t>
      </w:r>
    </w:p>
    <w:p w14:paraId="30501DCB">
      <w:pPr>
        <w:pStyle w:val="7"/>
        <w:spacing w:line="360" w:lineRule="auto"/>
        <w:jc w:val="center"/>
        <w:rPr>
          <w:rFonts w:ascii="Times New Roman" w:hAnsi="Times New Roman" w:eastAsia="仿宋_GB2312"/>
          <w:color w:val="auto"/>
          <w:sz w:val="24"/>
          <w:szCs w:val="24"/>
        </w:rPr>
      </w:pPr>
      <w:r>
        <w:rPr>
          <w:rFonts w:hint="eastAsia" w:ascii="Times New Roman" w:hAnsi="Times New Roman" w:eastAsia="仿宋_GB2312"/>
          <w:color w:val="auto"/>
          <w:sz w:val="24"/>
          <w:szCs w:val="24"/>
        </w:rPr>
        <w:t xml:space="preserve">表 </w:t>
      </w:r>
      <w:r>
        <w:rPr>
          <w:rFonts w:hint="eastAsia" w:ascii="Times New Roman" w:hAnsi="Times New Roman" w:eastAsia="仿宋_GB2312"/>
          <w:color w:val="auto"/>
          <w:sz w:val="24"/>
          <w:szCs w:val="24"/>
        </w:rPr>
        <w:fldChar w:fldCharType="begin"/>
      </w:r>
      <w:r>
        <w:rPr>
          <w:rFonts w:hint="eastAsia" w:ascii="Times New Roman" w:hAnsi="Times New Roman" w:eastAsia="仿宋_GB2312"/>
          <w:color w:val="auto"/>
          <w:sz w:val="24"/>
          <w:szCs w:val="24"/>
        </w:rPr>
        <w:instrText xml:space="preserve"> SEQ 表 \* ARABIC </w:instrText>
      </w:r>
      <w:r>
        <w:rPr>
          <w:rFonts w:hint="eastAsia" w:ascii="Times New Roman" w:hAnsi="Times New Roman" w:eastAsia="仿宋_GB2312"/>
          <w:color w:val="auto"/>
          <w:sz w:val="24"/>
          <w:szCs w:val="24"/>
        </w:rPr>
        <w:fldChar w:fldCharType="separate"/>
      </w:r>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fldChar w:fldCharType="end"/>
      </w:r>
      <w:r>
        <w:rPr>
          <w:rFonts w:hint="eastAsia" w:ascii="Times New Roman" w:hAnsi="Times New Roman" w:eastAsia="仿宋_GB2312"/>
          <w:color w:val="auto"/>
          <w:sz w:val="24"/>
          <w:szCs w:val="24"/>
        </w:rPr>
        <w:t xml:space="preserve"> 博罗县20</w:t>
      </w:r>
      <w:r>
        <w:rPr>
          <w:rFonts w:ascii="Times New Roman" w:hAnsi="Times New Roman" w:eastAsia="仿宋_GB2312"/>
          <w:color w:val="auto"/>
          <w:sz w:val="24"/>
          <w:szCs w:val="24"/>
        </w:rPr>
        <w:t>2</w:t>
      </w:r>
      <w:r>
        <w:rPr>
          <w:rFonts w:hint="eastAsia" w:ascii="Times New Roman" w:hAnsi="Times New Roman" w:eastAsia="仿宋_GB2312"/>
          <w:color w:val="auto"/>
          <w:sz w:val="24"/>
          <w:szCs w:val="24"/>
          <w:lang w:val="en-US" w:eastAsia="zh-CN"/>
        </w:rPr>
        <w:t>5</w:t>
      </w:r>
      <w:r>
        <w:rPr>
          <w:rFonts w:hint="eastAsia" w:ascii="Times New Roman" w:hAnsi="Times New Roman" w:eastAsia="仿宋_GB2312"/>
          <w:color w:val="auto"/>
          <w:sz w:val="24"/>
          <w:szCs w:val="24"/>
        </w:rPr>
        <w:t>年度国有建设用地供应结构表</w:t>
      </w:r>
    </w:p>
    <w:p w14:paraId="5E19AEEE">
      <w:pPr>
        <w:spacing w:line="360" w:lineRule="auto"/>
        <w:ind w:firstLine="480" w:firstLineChars="200"/>
        <w:jc w:val="right"/>
        <w:rPr>
          <w:rFonts w:hint="eastAsia" w:eastAsia="仿宋_GB2312"/>
          <w:color w:val="auto"/>
          <w:sz w:val="24"/>
        </w:rPr>
      </w:pPr>
      <w:r>
        <w:rPr>
          <w:rFonts w:hint="eastAsia" w:eastAsia="仿宋_GB2312"/>
          <w:color w:val="auto"/>
          <w:sz w:val="24"/>
        </w:rPr>
        <w:t>单位：公顷</w:t>
      </w:r>
    </w:p>
    <w:p w14:paraId="057A442F">
      <w:pPr>
        <w:pStyle w:val="2"/>
        <w:rPr>
          <w:rFonts w:hint="eastAsia"/>
        </w:rPr>
      </w:pPr>
    </w:p>
    <w:tbl>
      <w:tblPr>
        <w:tblStyle w:val="25"/>
        <w:tblW w:w="6179" w:type="pct"/>
        <w:jc w:val="center"/>
        <w:tblLayout w:type="fixed"/>
        <w:tblCellMar>
          <w:top w:w="0" w:type="dxa"/>
          <w:left w:w="108" w:type="dxa"/>
          <w:bottom w:w="0" w:type="dxa"/>
          <w:right w:w="108" w:type="dxa"/>
        </w:tblCellMar>
      </w:tblPr>
      <w:tblGrid>
        <w:gridCol w:w="854"/>
        <w:gridCol w:w="929"/>
        <w:gridCol w:w="858"/>
        <w:gridCol w:w="991"/>
        <w:gridCol w:w="1203"/>
        <w:gridCol w:w="709"/>
        <w:gridCol w:w="855"/>
        <w:gridCol w:w="918"/>
        <w:gridCol w:w="991"/>
        <w:gridCol w:w="849"/>
        <w:gridCol w:w="931"/>
        <w:gridCol w:w="687"/>
      </w:tblGrid>
      <w:tr w14:paraId="7DB3C38E">
        <w:tblPrEx>
          <w:tblCellMar>
            <w:top w:w="0" w:type="dxa"/>
            <w:left w:w="108" w:type="dxa"/>
            <w:bottom w:w="0" w:type="dxa"/>
            <w:right w:w="108" w:type="dxa"/>
          </w:tblCellMar>
        </w:tblPrEx>
        <w:trPr>
          <w:trHeight w:val="340" w:hRule="atLeast"/>
          <w:jc w:val="center"/>
        </w:trPr>
        <w:tc>
          <w:tcPr>
            <w:tcW w:w="396" w:type="pct"/>
            <w:vMerge w:val="restart"/>
            <w:tcBorders>
              <w:top w:val="single" w:color="auto" w:sz="12" w:space="0"/>
              <w:left w:val="single" w:color="auto" w:sz="12" w:space="0"/>
              <w:bottom w:val="single" w:color="000000" w:sz="4" w:space="0"/>
              <w:right w:val="single" w:color="auto" w:sz="4" w:space="0"/>
              <w:tl2br w:val="single" w:color="auto" w:sz="4" w:space="0"/>
            </w:tcBorders>
            <w:shd w:val="clear" w:color="auto" w:fill="auto"/>
            <w:vAlign w:val="center"/>
          </w:tcPr>
          <w:p w14:paraId="69AD00A4">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用途</w:t>
            </w:r>
          </w:p>
          <w:p w14:paraId="60A90F3C">
            <w:pPr>
              <w:widowControl/>
              <w:spacing w:line="360" w:lineRule="exact"/>
              <w:jc w:val="center"/>
              <w:rPr>
                <w:rFonts w:eastAsia="仿宋_GB2312" w:cs="宋体"/>
                <w:b/>
                <w:color w:val="0000FF"/>
                <w:kern w:val="0"/>
                <w:szCs w:val="21"/>
              </w:rPr>
            </w:pPr>
          </w:p>
          <w:p w14:paraId="5A329A1B">
            <w:pPr>
              <w:widowControl/>
              <w:spacing w:line="360" w:lineRule="exact"/>
              <w:jc w:val="center"/>
              <w:rPr>
                <w:rFonts w:eastAsia="仿宋_GB2312" w:cs="宋体"/>
                <w:b/>
                <w:color w:val="0000FF"/>
                <w:kern w:val="0"/>
                <w:szCs w:val="21"/>
              </w:rPr>
            </w:pPr>
          </w:p>
          <w:p w14:paraId="3CF73BB4">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县</w:t>
            </w:r>
          </w:p>
        </w:tc>
        <w:tc>
          <w:tcPr>
            <w:tcW w:w="431" w:type="pct"/>
            <w:vMerge w:val="restart"/>
            <w:tcBorders>
              <w:top w:val="single" w:color="auto" w:sz="12" w:space="0"/>
              <w:left w:val="single" w:color="auto" w:sz="4" w:space="0"/>
              <w:bottom w:val="single" w:color="auto" w:sz="4" w:space="0"/>
              <w:right w:val="single" w:color="auto" w:sz="4" w:space="0"/>
            </w:tcBorders>
            <w:shd w:val="clear" w:color="auto" w:fill="auto"/>
            <w:vAlign w:val="center"/>
          </w:tcPr>
          <w:p w14:paraId="5C04A4CC">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合计</w:t>
            </w:r>
          </w:p>
        </w:tc>
        <w:tc>
          <w:tcPr>
            <w:tcW w:w="398" w:type="pct"/>
            <w:vMerge w:val="restart"/>
            <w:tcBorders>
              <w:top w:val="single" w:color="auto" w:sz="12" w:space="0"/>
              <w:left w:val="single" w:color="auto" w:sz="4" w:space="0"/>
              <w:bottom w:val="single" w:color="auto" w:sz="4" w:space="0"/>
              <w:right w:val="single" w:color="auto" w:sz="4" w:space="0"/>
            </w:tcBorders>
            <w:shd w:val="clear" w:color="auto" w:fill="auto"/>
            <w:vAlign w:val="center"/>
          </w:tcPr>
          <w:p w14:paraId="167D2682">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商服</w:t>
            </w:r>
          </w:p>
          <w:p w14:paraId="1FFFB7C0">
            <w:pPr>
              <w:spacing w:line="360" w:lineRule="exact"/>
              <w:jc w:val="center"/>
              <w:rPr>
                <w:rFonts w:eastAsia="仿宋_GB2312" w:cs="宋体"/>
                <w:b/>
                <w:color w:val="0000FF"/>
                <w:kern w:val="0"/>
                <w:szCs w:val="21"/>
              </w:rPr>
            </w:pPr>
            <w:r>
              <w:rPr>
                <w:rFonts w:hint="eastAsia" w:eastAsia="仿宋_GB2312" w:cs="宋体"/>
                <w:b/>
                <w:color w:val="0000FF"/>
                <w:kern w:val="0"/>
                <w:szCs w:val="21"/>
              </w:rPr>
              <w:t>用地</w:t>
            </w:r>
          </w:p>
        </w:tc>
        <w:tc>
          <w:tcPr>
            <w:tcW w:w="1744" w:type="pct"/>
            <w:gridSpan w:val="4"/>
            <w:tcBorders>
              <w:top w:val="single" w:color="auto" w:sz="12" w:space="0"/>
              <w:left w:val="nil"/>
              <w:bottom w:val="single" w:color="auto" w:sz="4" w:space="0"/>
              <w:right w:val="single" w:color="auto" w:sz="4" w:space="0"/>
            </w:tcBorders>
            <w:shd w:val="clear" w:color="auto" w:fill="auto"/>
            <w:vAlign w:val="center"/>
          </w:tcPr>
          <w:p w14:paraId="5777340E">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住宅用地</w:t>
            </w:r>
          </w:p>
        </w:tc>
        <w:tc>
          <w:tcPr>
            <w:tcW w:w="426" w:type="pct"/>
            <w:vMerge w:val="restart"/>
            <w:tcBorders>
              <w:top w:val="single" w:color="auto" w:sz="12" w:space="0"/>
              <w:left w:val="single" w:color="auto" w:sz="4" w:space="0"/>
              <w:bottom w:val="single" w:color="auto" w:sz="4" w:space="0"/>
              <w:right w:val="single" w:color="auto" w:sz="4" w:space="0"/>
            </w:tcBorders>
            <w:shd w:val="clear" w:color="auto" w:fill="auto"/>
            <w:vAlign w:val="center"/>
          </w:tcPr>
          <w:p w14:paraId="7F986C10">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工矿仓储用地</w:t>
            </w:r>
          </w:p>
        </w:tc>
        <w:tc>
          <w:tcPr>
            <w:tcW w:w="460" w:type="pct"/>
            <w:vMerge w:val="restart"/>
            <w:tcBorders>
              <w:top w:val="single" w:color="auto" w:sz="12" w:space="0"/>
              <w:left w:val="single" w:color="auto" w:sz="4" w:space="0"/>
              <w:bottom w:val="single" w:color="auto" w:sz="4" w:space="0"/>
              <w:right w:val="single" w:color="auto" w:sz="4" w:space="0"/>
            </w:tcBorders>
            <w:shd w:val="clear" w:color="auto" w:fill="auto"/>
            <w:vAlign w:val="center"/>
          </w:tcPr>
          <w:p w14:paraId="4F697651">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公共管理与公共服务用地</w:t>
            </w:r>
          </w:p>
        </w:tc>
        <w:tc>
          <w:tcPr>
            <w:tcW w:w="394" w:type="pct"/>
            <w:vMerge w:val="restart"/>
            <w:tcBorders>
              <w:top w:val="single" w:color="auto" w:sz="12" w:space="0"/>
              <w:left w:val="single" w:color="auto" w:sz="4" w:space="0"/>
              <w:bottom w:val="single" w:color="auto" w:sz="4" w:space="0"/>
              <w:right w:val="single" w:color="auto" w:sz="4" w:space="0"/>
            </w:tcBorders>
            <w:shd w:val="clear" w:color="auto" w:fill="auto"/>
            <w:vAlign w:val="center"/>
          </w:tcPr>
          <w:p w14:paraId="55B3BBFD">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交通运输用地</w:t>
            </w:r>
          </w:p>
        </w:tc>
        <w:tc>
          <w:tcPr>
            <w:tcW w:w="432" w:type="pct"/>
            <w:vMerge w:val="restart"/>
            <w:tcBorders>
              <w:top w:val="single" w:color="auto" w:sz="12" w:space="0"/>
              <w:left w:val="single" w:color="auto" w:sz="4" w:space="0"/>
              <w:bottom w:val="single" w:color="auto" w:sz="4" w:space="0"/>
              <w:right w:val="single" w:color="auto" w:sz="4" w:space="0"/>
            </w:tcBorders>
            <w:shd w:val="clear" w:color="auto" w:fill="auto"/>
            <w:vAlign w:val="center"/>
          </w:tcPr>
          <w:p w14:paraId="43370062">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水域及水利设施用地</w:t>
            </w:r>
          </w:p>
        </w:tc>
        <w:tc>
          <w:tcPr>
            <w:tcW w:w="319" w:type="pct"/>
            <w:vMerge w:val="restart"/>
            <w:tcBorders>
              <w:top w:val="single" w:color="auto" w:sz="12" w:space="0"/>
              <w:left w:val="single" w:color="auto" w:sz="4" w:space="0"/>
              <w:bottom w:val="single" w:color="auto" w:sz="4" w:space="0"/>
              <w:right w:val="single" w:color="auto" w:sz="12" w:space="0"/>
            </w:tcBorders>
            <w:shd w:val="clear" w:color="auto" w:fill="auto"/>
            <w:vAlign w:val="center"/>
          </w:tcPr>
          <w:p w14:paraId="39F7AC80">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特殊</w:t>
            </w:r>
          </w:p>
          <w:p w14:paraId="54B9A477">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用地</w:t>
            </w:r>
          </w:p>
        </w:tc>
      </w:tr>
      <w:tr w14:paraId="6699F5DF">
        <w:tblPrEx>
          <w:tblCellMar>
            <w:top w:w="0" w:type="dxa"/>
            <w:left w:w="108" w:type="dxa"/>
            <w:bottom w:w="0" w:type="dxa"/>
            <w:right w:w="108" w:type="dxa"/>
          </w:tblCellMar>
        </w:tblPrEx>
        <w:trPr>
          <w:trHeight w:val="340" w:hRule="atLeast"/>
          <w:jc w:val="center"/>
        </w:trPr>
        <w:tc>
          <w:tcPr>
            <w:tcW w:w="396" w:type="pct"/>
            <w:vMerge w:val="continue"/>
            <w:tcBorders>
              <w:top w:val="single" w:color="auto" w:sz="8" w:space="0"/>
              <w:left w:val="single" w:color="auto" w:sz="12" w:space="0"/>
              <w:bottom w:val="single" w:color="000000" w:sz="4" w:space="0"/>
              <w:right w:val="single" w:color="auto" w:sz="4" w:space="0"/>
            </w:tcBorders>
            <w:vAlign w:val="center"/>
          </w:tcPr>
          <w:p w14:paraId="0F887BAE">
            <w:pPr>
              <w:widowControl/>
              <w:spacing w:line="360" w:lineRule="exact"/>
              <w:jc w:val="center"/>
              <w:rPr>
                <w:rFonts w:eastAsia="仿宋_GB2312" w:cs="宋体"/>
                <w:color w:val="0000FF"/>
                <w:kern w:val="0"/>
                <w:szCs w:val="21"/>
              </w:rPr>
            </w:pPr>
          </w:p>
        </w:tc>
        <w:tc>
          <w:tcPr>
            <w:tcW w:w="431" w:type="pct"/>
            <w:vMerge w:val="continue"/>
            <w:tcBorders>
              <w:top w:val="single" w:color="auto" w:sz="8" w:space="0"/>
              <w:left w:val="single" w:color="auto" w:sz="4" w:space="0"/>
              <w:bottom w:val="single" w:color="auto" w:sz="4" w:space="0"/>
              <w:right w:val="single" w:color="auto" w:sz="4" w:space="0"/>
            </w:tcBorders>
            <w:vAlign w:val="center"/>
          </w:tcPr>
          <w:p w14:paraId="29F556AD">
            <w:pPr>
              <w:widowControl/>
              <w:spacing w:line="360" w:lineRule="exact"/>
              <w:jc w:val="center"/>
              <w:rPr>
                <w:rFonts w:eastAsia="仿宋_GB2312" w:cs="宋体"/>
                <w:color w:val="0000FF"/>
                <w:kern w:val="0"/>
                <w:szCs w:val="21"/>
              </w:rPr>
            </w:pPr>
          </w:p>
        </w:tc>
        <w:tc>
          <w:tcPr>
            <w:tcW w:w="398" w:type="pct"/>
            <w:vMerge w:val="continue"/>
            <w:tcBorders>
              <w:top w:val="single" w:color="auto" w:sz="8" w:space="0"/>
              <w:left w:val="single" w:color="auto" w:sz="4" w:space="0"/>
              <w:bottom w:val="single" w:color="auto" w:sz="4" w:space="0"/>
              <w:right w:val="single" w:color="auto" w:sz="4" w:space="0"/>
            </w:tcBorders>
            <w:vAlign w:val="center"/>
          </w:tcPr>
          <w:p w14:paraId="3020D739">
            <w:pPr>
              <w:widowControl/>
              <w:spacing w:line="360" w:lineRule="exact"/>
              <w:jc w:val="center"/>
              <w:rPr>
                <w:rFonts w:eastAsia="仿宋_GB2312" w:cs="宋体"/>
                <w:color w:val="0000FF"/>
                <w:kern w:val="0"/>
                <w:szCs w:val="21"/>
              </w:rPr>
            </w:pPr>
          </w:p>
        </w:tc>
        <w:tc>
          <w:tcPr>
            <w:tcW w:w="460" w:type="pct"/>
            <w:tcBorders>
              <w:top w:val="nil"/>
              <w:left w:val="nil"/>
              <w:bottom w:val="single" w:color="auto" w:sz="4" w:space="0"/>
              <w:right w:val="single" w:color="auto" w:sz="4" w:space="0"/>
            </w:tcBorders>
            <w:shd w:val="clear" w:color="auto" w:fill="auto"/>
            <w:vAlign w:val="center"/>
          </w:tcPr>
          <w:p w14:paraId="20CEDF91">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小计</w:t>
            </w:r>
          </w:p>
        </w:tc>
        <w:tc>
          <w:tcPr>
            <w:tcW w:w="558" w:type="pct"/>
            <w:tcBorders>
              <w:top w:val="nil"/>
              <w:left w:val="nil"/>
              <w:bottom w:val="single" w:color="auto" w:sz="4" w:space="0"/>
              <w:right w:val="single" w:color="auto" w:sz="4" w:space="0"/>
            </w:tcBorders>
            <w:shd w:val="clear" w:color="auto" w:fill="auto"/>
            <w:vAlign w:val="center"/>
          </w:tcPr>
          <w:p w14:paraId="12CBAC41">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商品房用地</w:t>
            </w:r>
          </w:p>
        </w:tc>
        <w:tc>
          <w:tcPr>
            <w:tcW w:w="329" w:type="pct"/>
            <w:tcBorders>
              <w:top w:val="nil"/>
              <w:left w:val="nil"/>
              <w:bottom w:val="single" w:color="auto" w:sz="4" w:space="0"/>
              <w:right w:val="single" w:color="auto" w:sz="4" w:space="0"/>
            </w:tcBorders>
            <w:shd w:val="clear" w:color="auto" w:fill="auto"/>
            <w:vAlign w:val="center"/>
          </w:tcPr>
          <w:p w14:paraId="004D4785">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保障性住房</w:t>
            </w:r>
          </w:p>
        </w:tc>
        <w:tc>
          <w:tcPr>
            <w:tcW w:w="397" w:type="pct"/>
            <w:tcBorders>
              <w:top w:val="nil"/>
              <w:left w:val="nil"/>
              <w:bottom w:val="single" w:color="auto" w:sz="4" w:space="0"/>
              <w:right w:val="single" w:color="auto" w:sz="4" w:space="0"/>
            </w:tcBorders>
            <w:shd w:val="clear" w:color="auto" w:fill="auto"/>
            <w:vAlign w:val="center"/>
          </w:tcPr>
          <w:p w14:paraId="577E1827">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其他</w:t>
            </w:r>
          </w:p>
          <w:p w14:paraId="53311752">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用地</w:t>
            </w:r>
          </w:p>
        </w:tc>
        <w:tc>
          <w:tcPr>
            <w:tcW w:w="426" w:type="pct"/>
            <w:vMerge w:val="continue"/>
            <w:tcBorders>
              <w:top w:val="single" w:color="auto" w:sz="8" w:space="0"/>
              <w:left w:val="single" w:color="auto" w:sz="4" w:space="0"/>
              <w:bottom w:val="single" w:color="auto" w:sz="4" w:space="0"/>
              <w:right w:val="single" w:color="auto" w:sz="4" w:space="0"/>
            </w:tcBorders>
            <w:vAlign w:val="center"/>
          </w:tcPr>
          <w:p w14:paraId="5FC781E6">
            <w:pPr>
              <w:widowControl/>
              <w:spacing w:line="360" w:lineRule="exact"/>
              <w:jc w:val="center"/>
              <w:rPr>
                <w:rFonts w:eastAsia="仿宋_GB2312" w:cs="宋体"/>
                <w:color w:val="0000FF"/>
                <w:kern w:val="0"/>
                <w:szCs w:val="21"/>
              </w:rPr>
            </w:pPr>
          </w:p>
        </w:tc>
        <w:tc>
          <w:tcPr>
            <w:tcW w:w="460" w:type="pct"/>
            <w:vMerge w:val="continue"/>
            <w:tcBorders>
              <w:top w:val="single" w:color="auto" w:sz="8" w:space="0"/>
              <w:left w:val="single" w:color="auto" w:sz="4" w:space="0"/>
              <w:bottom w:val="single" w:color="auto" w:sz="4" w:space="0"/>
              <w:right w:val="single" w:color="auto" w:sz="4" w:space="0"/>
            </w:tcBorders>
            <w:vAlign w:val="center"/>
          </w:tcPr>
          <w:p w14:paraId="751ACCB8">
            <w:pPr>
              <w:widowControl/>
              <w:spacing w:line="360" w:lineRule="exact"/>
              <w:jc w:val="center"/>
              <w:rPr>
                <w:rFonts w:eastAsia="仿宋_GB2312" w:cs="宋体"/>
                <w:color w:val="0000FF"/>
                <w:kern w:val="0"/>
                <w:szCs w:val="21"/>
              </w:rPr>
            </w:pPr>
          </w:p>
        </w:tc>
        <w:tc>
          <w:tcPr>
            <w:tcW w:w="394" w:type="pct"/>
            <w:vMerge w:val="continue"/>
            <w:tcBorders>
              <w:top w:val="single" w:color="auto" w:sz="8" w:space="0"/>
              <w:left w:val="single" w:color="auto" w:sz="4" w:space="0"/>
              <w:bottom w:val="single" w:color="auto" w:sz="4" w:space="0"/>
              <w:right w:val="single" w:color="auto" w:sz="4" w:space="0"/>
            </w:tcBorders>
            <w:vAlign w:val="center"/>
          </w:tcPr>
          <w:p w14:paraId="081B808A">
            <w:pPr>
              <w:widowControl/>
              <w:spacing w:line="360" w:lineRule="exact"/>
              <w:jc w:val="center"/>
              <w:rPr>
                <w:rFonts w:eastAsia="仿宋_GB2312" w:cs="宋体"/>
                <w:color w:val="0000FF"/>
                <w:kern w:val="0"/>
                <w:szCs w:val="21"/>
              </w:rPr>
            </w:pPr>
          </w:p>
        </w:tc>
        <w:tc>
          <w:tcPr>
            <w:tcW w:w="432" w:type="pct"/>
            <w:vMerge w:val="continue"/>
            <w:tcBorders>
              <w:top w:val="single" w:color="auto" w:sz="8" w:space="0"/>
              <w:left w:val="single" w:color="auto" w:sz="4" w:space="0"/>
              <w:bottom w:val="single" w:color="auto" w:sz="4" w:space="0"/>
              <w:right w:val="single" w:color="auto" w:sz="4" w:space="0"/>
            </w:tcBorders>
            <w:vAlign w:val="center"/>
          </w:tcPr>
          <w:p w14:paraId="044BA305">
            <w:pPr>
              <w:widowControl/>
              <w:spacing w:line="360" w:lineRule="exact"/>
              <w:jc w:val="center"/>
              <w:rPr>
                <w:rFonts w:eastAsia="仿宋_GB2312" w:cs="宋体"/>
                <w:color w:val="0000FF"/>
                <w:kern w:val="0"/>
                <w:szCs w:val="21"/>
              </w:rPr>
            </w:pPr>
          </w:p>
        </w:tc>
        <w:tc>
          <w:tcPr>
            <w:tcW w:w="319" w:type="pct"/>
            <w:vMerge w:val="continue"/>
            <w:tcBorders>
              <w:top w:val="single" w:color="auto" w:sz="8" w:space="0"/>
              <w:left w:val="single" w:color="auto" w:sz="4" w:space="0"/>
              <w:bottom w:val="single" w:color="auto" w:sz="4" w:space="0"/>
              <w:right w:val="single" w:color="auto" w:sz="12" w:space="0"/>
            </w:tcBorders>
            <w:vAlign w:val="center"/>
          </w:tcPr>
          <w:p w14:paraId="53DCBD17">
            <w:pPr>
              <w:widowControl/>
              <w:spacing w:line="360" w:lineRule="exact"/>
              <w:jc w:val="center"/>
              <w:rPr>
                <w:rFonts w:eastAsia="仿宋_GB2312" w:cs="宋体"/>
                <w:color w:val="0000FF"/>
                <w:kern w:val="0"/>
                <w:szCs w:val="21"/>
              </w:rPr>
            </w:pPr>
          </w:p>
        </w:tc>
      </w:tr>
      <w:tr w14:paraId="174D8433">
        <w:tblPrEx>
          <w:tblCellMar>
            <w:top w:w="0" w:type="dxa"/>
            <w:left w:w="108" w:type="dxa"/>
            <w:bottom w:w="0" w:type="dxa"/>
            <w:right w:w="108" w:type="dxa"/>
          </w:tblCellMar>
        </w:tblPrEx>
        <w:trPr>
          <w:trHeight w:val="340" w:hRule="atLeast"/>
          <w:jc w:val="center"/>
        </w:trPr>
        <w:tc>
          <w:tcPr>
            <w:tcW w:w="396" w:type="pct"/>
            <w:tcBorders>
              <w:top w:val="nil"/>
              <w:left w:val="single" w:color="auto" w:sz="12" w:space="0"/>
              <w:bottom w:val="single" w:color="auto" w:sz="12" w:space="0"/>
              <w:right w:val="single" w:color="auto" w:sz="4" w:space="0"/>
            </w:tcBorders>
            <w:shd w:val="clear" w:color="auto" w:fill="auto"/>
            <w:noWrap/>
            <w:vAlign w:val="center"/>
          </w:tcPr>
          <w:p w14:paraId="3C437AEE">
            <w:pPr>
              <w:widowControl/>
              <w:spacing w:line="360" w:lineRule="exact"/>
              <w:jc w:val="center"/>
              <w:rPr>
                <w:rFonts w:eastAsia="仿宋_GB2312" w:cs="宋体"/>
                <w:b/>
                <w:color w:val="0000FF"/>
                <w:kern w:val="0"/>
                <w:szCs w:val="21"/>
              </w:rPr>
            </w:pPr>
            <w:r>
              <w:rPr>
                <w:rFonts w:hint="eastAsia" w:eastAsia="仿宋_GB2312" w:cs="宋体"/>
                <w:b/>
                <w:color w:val="0000FF"/>
                <w:kern w:val="0"/>
                <w:szCs w:val="21"/>
              </w:rPr>
              <w:t>博罗县</w:t>
            </w:r>
          </w:p>
        </w:tc>
        <w:tc>
          <w:tcPr>
            <w:tcW w:w="929" w:type="dxa"/>
            <w:tcBorders>
              <w:top w:val="nil"/>
              <w:left w:val="nil"/>
              <w:bottom w:val="single" w:color="auto" w:sz="12" w:space="0"/>
              <w:right w:val="single" w:color="auto" w:sz="4" w:space="0"/>
            </w:tcBorders>
            <w:shd w:val="clear" w:color="auto" w:fill="auto"/>
            <w:noWrap/>
            <w:vAlign w:val="center"/>
          </w:tcPr>
          <w:p w14:paraId="1057ABF3">
            <w:pPr>
              <w:keepNext w:val="0"/>
              <w:keepLines w:val="0"/>
              <w:widowControl/>
              <w:suppressLineNumbers w:val="0"/>
              <w:jc w:val="center"/>
              <w:textAlignment w:val="center"/>
              <w:rPr>
                <w:rFonts w:hint="default" w:eastAsia="仿宋_GB2312"/>
                <w:color w:val="0000FF"/>
                <w:szCs w:val="21"/>
                <w:lang w:val="en-US"/>
              </w:rPr>
            </w:pPr>
            <w:r>
              <w:rPr>
                <w:rFonts w:hint="eastAsia" w:cs="Times New Roman"/>
                <w:i w:val="0"/>
                <w:iCs w:val="0"/>
                <w:color w:val="0000FF"/>
                <w:kern w:val="0"/>
                <w:sz w:val="21"/>
                <w:szCs w:val="21"/>
                <w:u w:val="none"/>
                <w:lang w:val="en-US" w:eastAsia="zh-CN" w:bidi="ar"/>
              </w:rPr>
              <w:t>464.44465</w:t>
            </w:r>
          </w:p>
        </w:tc>
        <w:tc>
          <w:tcPr>
            <w:tcW w:w="858" w:type="dxa"/>
            <w:tcBorders>
              <w:top w:val="nil"/>
              <w:left w:val="nil"/>
              <w:bottom w:val="single" w:color="auto" w:sz="12" w:space="0"/>
              <w:right w:val="single" w:color="auto" w:sz="4" w:space="0"/>
            </w:tcBorders>
            <w:shd w:val="clear" w:color="auto" w:fill="auto"/>
            <w:vAlign w:val="center"/>
          </w:tcPr>
          <w:p w14:paraId="3BF2BA67">
            <w:pPr>
              <w:keepNext w:val="0"/>
              <w:keepLines w:val="0"/>
              <w:widowControl/>
              <w:suppressLineNumbers w:val="0"/>
              <w:jc w:val="center"/>
              <w:textAlignment w:val="center"/>
              <w:rPr>
                <w:rFonts w:hint="default" w:eastAsia="仿宋_GB2312"/>
                <w:color w:val="0000FF"/>
                <w:szCs w:val="21"/>
                <w:lang w:val="en-US"/>
              </w:rPr>
            </w:pPr>
            <w:r>
              <w:rPr>
                <w:rFonts w:hint="eastAsia" w:cs="Times New Roman"/>
                <w:i w:val="0"/>
                <w:iCs w:val="0"/>
                <w:color w:val="0000FF"/>
                <w:kern w:val="0"/>
                <w:sz w:val="21"/>
                <w:szCs w:val="21"/>
                <w:u w:val="none"/>
                <w:lang w:val="en-US" w:eastAsia="zh-CN" w:bidi="ar"/>
              </w:rPr>
              <w:t>16.9444</w:t>
            </w:r>
          </w:p>
        </w:tc>
        <w:tc>
          <w:tcPr>
            <w:tcW w:w="991" w:type="dxa"/>
            <w:tcBorders>
              <w:top w:val="nil"/>
              <w:left w:val="nil"/>
              <w:bottom w:val="single" w:color="auto" w:sz="12" w:space="0"/>
              <w:right w:val="single" w:color="auto" w:sz="4" w:space="0"/>
            </w:tcBorders>
            <w:shd w:val="clear" w:color="auto" w:fill="auto"/>
            <w:noWrap/>
            <w:vAlign w:val="center"/>
          </w:tcPr>
          <w:p w14:paraId="16A74121">
            <w:pPr>
              <w:keepNext w:val="0"/>
              <w:keepLines w:val="0"/>
              <w:widowControl/>
              <w:suppressLineNumbers w:val="0"/>
              <w:jc w:val="center"/>
              <w:textAlignment w:val="center"/>
              <w:rPr>
                <w:rFonts w:hint="default" w:eastAsia="仿宋_GB2312"/>
                <w:color w:val="0000FF"/>
                <w:szCs w:val="21"/>
                <w:lang w:val="en-US"/>
              </w:rPr>
            </w:pPr>
            <w:r>
              <w:rPr>
                <w:rFonts w:hint="eastAsia" w:cs="Times New Roman"/>
                <w:i w:val="0"/>
                <w:iCs w:val="0"/>
                <w:color w:val="0000FF"/>
                <w:kern w:val="0"/>
                <w:sz w:val="21"/>
                <w:szCs w:val="21"/>
                <w:u w:val="none"/>
                <w:lang w:val="en-US" w:eastAsia="zh-CN" w:bidi="ar"/>
              </w:rPr>
              <w:t>9.5949</w:t>
            </w:r>
          </w:p>
        </w:tc>
        <w:tc>
          <w:tcPr>
            <w:tcW w:w="1203" w:type="dxa"/>
            <w:tcBorders>
              <w:top w:val="nil"/>
              <w:left w:val="nil"/>
              <w:bottom w:val="single" w:color="auto" w:sz="12" w:space="0"/>
              <w:right w:val="single" w:color="auto" w:sz="4" w:space="0"/>
            </w:tcBorders>
            <w:shd w:val="clear" w:color="auto" w:fill="auto"/>
            <w:noWrap/>
            <w:vAlign w:val="center"/>
          </w:tcPr>
          <w:p w14:paraId="652D74E1">
            <w:pPr>
              <w:keepNext w:val="0"/>
              <w:keepLines w:val="0"/>
              <w:widowControl/>
              <w:suppressLineNumbers w:val="0"/>
              <w:jc w:val="center"/>
              <w:textAlignment w:val="center"/>
              <w:rPr>
                <w:rFonts w:hint="default" w:eastAsia="仿宋_GB2312"/>
                <w:color w:val="0000FF"/>
                <w:szCs w:val="21"/>
                <w:lang w:val="en-US" w:eastAsia="zh-CN"/>
              </w:rPr>
            </w:pPr>
            <w:r>
              <w:rPr>
                <w:rFonts w:hint="eastAsia" w:eastAsia="仿宋_GB2312"/>
                <w:color w:val="0000FF"/>
                <w:szCs w:val="21"/>
                <w:lang w:val="en-US" w:eastAsia="zh-CN"/>
              </w:rPr>
              <w:t>7.0817</w:t>
            </w:r>
          </w:p>
        </w:tc>
        <w:tc>
          <w:tcPr>
            <w:tcW w:w="709" w:type="dxa"/>
            <w:tcBorders>
              <w:top w:val="nil"/>
              <w:left w:val="nil"/>
              <w:bottom w:val="single" w:color="auto" w:sz="12" w:space="0"/>
              <w:right w:val="single" w:color="auto" w:sz="4" w:space="0"/>
            </w:tcBorders>
            <w:shd w:val="clear" w:color="auto" w:fill="auto"/>
            <w:vAlign w:val="center"/>
          </w:tcPr>
          <w:p w14:paraId="5231FD72">
            <w:pPr>
              <w:keepNext w:val="0"/>
              <w:keepLines w:val="0"/>
              <w:widowControl/>
              <w:suppressLineNumbers w:val="0"/>
              <w:jc w:val="center"/>
              <w:textAlignment w:val="center"/>
              <w:rPr>
                <w:rFonts w:hint="default" w:eastAsia="仿宋_GB2312"/>
                <w:color w:val="0000FF"/>
                <w:szCs w:val="21"/>
                <w:lang w:val="en-US"/>
              </w:rPr>
            </w:pPr>
            <w:r>
              <w:rPr>
                <w:rFonts w:hint="eastAsia" w:cs="Times New Roman"/>
                <w:i w:val="0"/>
                <w:iCs w:val="0"/>
                <w:color w:val="0000FF"/>
                <w:kern w:val="0"/>
                <w:sz w:val="21"/>
                <w:szCs w:val="21"/>
                <w:u w:val="none"/>
                <w:lang w:val="en-US" w:eastAsia="zh-CN" w:bidi="ar"/>
              </w:rPr>
              <w:t>2.5132</w:t>
            </w:r>
          </w:p>
        </w:tc>
        <w:tc>
          <w:tcPr>
            <w:tcW w:w="855" w:type="dxa"/>
            <w:tcBorders>
              <w:top w:val="nil"/>
              <w:left w:val="nil"/>
              <w:bottom w:val="single" w:color="auto" w:sz="12" w:space="0"/>
              <w:right w:val="single" w:color="auto" w:sz="4" w:space="0"/>
            </w:tcBorders>
            <w:shd w:val="clear" w:color="auto" w:fill="auto"/>
            <w:noWrap/>
            <w:vAlign w:val="center"/>
          </w:tcPr>
          <w:p w14:paraId="52B26A27">
            <w:pPr>
              <w:keepNext w:val="0"/>
              <w:keepLines w:val="0"/>
              <w:widowControl/>
              <w:suppressLineNumbers w:val="0"/>
              <w:jc w:val="center"/>
              <w:textAlignment w:val="center"/>
              <w:rPr>
                <w:rFonts w:eastAsia="仿宋_GB2312"/>
                <w:color w:val="0000FF"/>
                <w:szCs w:val="21"/>
              </w:rPr>
            </w:pPr>
            <w:r>
              <w:rPr>
                <w:rFonts w:hint="default" w:ascii="Times New Roman" w:hAnsi="Times New Roman" w:eastAsia="宋体" w:cs="Times New Roman"/>
                <w:i w:val="0"/>
                <w:iCs w:val="0"/>
                <w:color w:val="0000FF"/>
                <w:kern w:val="0"/>
                <w:sz w:val="21"/>
                <w:szCs w:val="21"/>
                <w:u w:val="none"/>
                <w:lang w:val="en-US" w:eastAsia="zh-CN" w:bidi="ar"/>
              </w:rPr>
              <w:t>0</w:t>
            </w:r>
          </w:p>
        </w:tc>
        <w:tc>
          <w:tcPr>
            <w:tcW w:w="918" w:type="dxa"/>
            <w:tcBorders>
              <w:top w:val="nil"/>
              <w:left w:val="nil"/>
              <w:bottom w:val="single" w:color="auto" w:sz="12" w:space="0"/>
              <w:right w:val="single" w:color="auto" w:sz="4" w:space="0"/>
            </w:tcBorders>
            <w:shd w:val="clear" w:color="auto" w:fill="auto"/>
            <w:noWrap/>
            <w:vAlign w:val="center"/>
          </w:tcPr>
          <w:p w14:paraId="03DACFA0">
            <w:pPr>
              <w:keepNext w:val="0"/>
              <w:keepLines w:val="0"/>
              <w:widowControl/>
              <w:suppressLineNumbers w:val="0"/>
              <w:jc w:val="center"/>
              <w:textAlignment w:val="center"/>
              <w:rPr>
                <w:rFonts w:hint="default" w:cs="宋体"/>
                <w:color w:val="0000FF"/>
                <w:szCs w:val="21"/>
                <w:lang w:val="en-US"/>
              </w:rPr>
            </w:pPr>
            <w:r>
              <w:rPr>
                <w:rFonts w:hint="eastAsia" w:cs="Times New Roman"/>
                <w:i w:val="0"/>
                <w:iCs w:val="0"/>
                <w:color w:val="0000FF"/>
                <w:kern w:val="0"/>
                <w:sz w:val="21"/>
                <w:szCs w:val="21"/>
                <w:u w:val="none"/>
                <w:lang w:val="en-US" w:eastAsia="zh-CN" w:bidi="ar"/>
              </w:rPr>
              <w:t>201.4501</w:t>
            </w:r>
          </w:p>
        </w:tc>
        <w:tc>
          <w:tcPr>
            <w:tcW w:w="991" w:type="dxa"/>
            <w:tcBorders>
              <w:top w:val="nil"/>
              <w:left w:val="nil"/>
              <w:bottom w:val="single" w:color="auto" w:sz="12" w:space="0"/>
              <w:right w:val="single" w:color="auto" w:sz="4" w:space="0"/>
            </w:tcBorders>
            <w:shd w:val="clear" w:color="auto" w:fill="auto"/>
            <w:vAlign w:val="center"/>
          </w:tcPr>
          <w:p w14:paraId="5D5220AF">
            <w:pPr>
              <w:keepNext w:val="0"/>
              <w:keepLines w:val="0"/>
              <w:widowControl/>
              <w:suppressLineNumbers w:val="0"/>
              <w:jc w:val="center"/>
              <w:textAlignment w:val="center"/>
              <w:rPr>
                <w:rFonts w:hint="default" w:eastAsia="仿宋_GB2312"/>
                <w:color w:val="0000FF"/>
                <w:szCs w:val="21"/>
                <w:lang w:val="en-US"/>
              </w:rPr>
            </w:pPr>
            <w:r>
              <w:rPr>
                <w:rFonts w:hint="eastAsia" w:cs="Times New Roman"/>
                <w:i w:val="0"/>
                <w:iCs w:val="0"/>
                <w:color w:val="0000FF"/>
                <w:kern w:val="0"/>
                <w:sz w:val="21"/>
                <w:szCs w:val="21"/>
                <w:u w:val="none"/>
                <w:lang w:val="en-US" w:eastAsia="zh-CN" w:bidi="ar"/>
              </w:rPr>
              <w:t>32.2272</w:t>
            </w:r>
          </w:p>
        </w:tc>
        <w:tc>
          <w:tcPr>
            <w:tcW w:w="849" w:type="dxa"/>
            <w:tcBorders>
              <w:top w:val="nil"/>
              <w:left w:val="nil"/>
              <w:bottom w:val="single" w:color="auto" w:sz="12" w:space="0"/>
              <w:right w:val="single" w:color="auto" w:sz="4" w:space="0"/>
            </w:tcBorders>
            <w:shd w:val="clear" w:color="auto" w:fill="auto"/>
            <w:noWrap/>
            <w:vAlign w:val="center"/>
          </w:tcPr>
          <w:p w14:paraId="0B5CE58F">
            <w:pPr>
              <w:keepNext w:val="0"/>
              <w:keepLines w:val="0"/>
              <w:widowControl/>
              <w:suppressLineNumbers w:val="0"/>
              <w:jc w:val="center"/>
              <w:textAlignment w:val="center"/>
              <w:rPr>
                <w:rFonts w:hint="default" w:eastAsia="仿宋_GB2312"/>
                <w:color w:val="0000FF"/>
                <w:szCs w:val="21"/>
                <w:lang w:val="en-US"/>
              </w:rPr>
            </w:pPr>
            <w:r>
              <w:rPr>
                <w:rFonts w:hint="eastAsia" w:cs="Times New Roman"/>
                <w:i w:val="0"/>
                <w:iCs w:val="0"/>
                <w:color w:val="0000FF"/>
                <w:kern w:val="0"/>
                <w:sz w:val="21"/>
                <w:szCs w:val="21"/>
                <w:u w:val="none"/>
                <w:lang w:val="en-US" w:eastAsia="zh-CN" w:bidi="ar"/>
              </w:rPr>
              <w:t>204.228</w:t>
            </w:r>
          </w:p>
        </w:tc>
        <w:tc>
          <w:tcPr>
            <w:tcW w:w="931" w:type="dxa"/>
            <w:tcBorders>
              <w:top w:val="nil"/>
              <w:left w:val="nil"/>
              <w:bottom w:val="single" w:color="auto" w:sz="12" w:space="0"/>
              <w:right w:val="single" w:color="auto" w:sz="4" w:space="0"/>
            </w:tcBorders>
            <w:shd w:val="clear" w:color="auto" w:fill="auto"/>
            <w:noWrap/>
            <w:vAlign w:val="center"/>
          </w:tcPr>
          <w:p w14:paraId="57322060">
            <w:pPr>
              <w:keepNext w:val="0"/>
              <w:keepLines w:val="0"/>
              <w:widowControl/>
              <w:suppressLineNumbers w:val="0"/>
              <w:jc w:val="center"/>
              <w:textAlignment w:val="center"/>
              <w:rPr>
                <w:rFonts w:eastAsia="仿宋_GB2312"/>
                <w:color w:val="0000FF"/>
                <w:szCs w:val="21"/>
              </w:rPr>
            </w:pPr>
            <w:r>
              <w:rPr>
                <w:rFonts w:hint="default" w:ascii="Times New Roman" w:hAnsi="Times New Roman" w:eastAsia="宋体" w:cs="Times New Roman"/>
                <w:i w:val="0"/>
                <w:iCs w:val="0"/>
                <w:color w:val="0000FF"/>
                <w:kern w:val="0"/>
                <w:sz w:val="21"/>
                <w:szCs w:val="21"/>
                <w:u w:val="none"/>
                <w:lang w:val="en-US" w:eastAsia="zh-CN" w:bidi="ar"/>
              </w:rPr>
              <w:t>0</w:t>
            </w:r>
          </w:p>
        </w:tc>
        <w:tc>
          <w:tcPr>
            <w:tcW w:w="687" w:type="dxa"/>
            <w:tcBorders>
              <w:top w:val="nil"/>
              <w:left w:val="nil"/>
              <w:bottom w:val="single" w:color="auto" w:sz="12" w:space="0"/>
              <w:right w:val="single" w:color="auto" w:sz="12" w:space="0"/>
            </w:tcBorders>
            <w:shd w:val="clear" w:color="auto" w:fill="auto"/>
            <w:noWrap/>
            <w:vAlign w:val="center"/>
          </w:tcPr>
          <w:p w14:paraId="042941E6">
            <w:pPr>
              <w:keepNext w:val="0"/>
              <w:keepLines w:val="0"/>
              <w:widowControl/>
              <w:suppressLineNumbers w:val="0"/>
              <w:jc w:val="center"/>
              <w:textAlignment w:val="center"/>
              <w:rPr>
                <w:rFonts w:eastAsia="仿宋_GB2312"/>
                <w:color w:val="0000FF"/>
                <w:szCs w:val="21"/>
              </w:rPr>
            </w:pPr>
            <w:r>
              <w:rPr>
                <w:rFonts w:hint="eastAsia" w:cs="Times New Roman"/>
                <w:i w:val="0"/>
                <w:iCs w:val="0"/>
                <w:color w:val="0000FF"/>
                <w:kern w:val="0"/>
                <w:sz w:val="21"/>
                <w:szCs w:val="21"/>
                <w:u w:val="none"/>
                <w:lang w:val="en-US" w:eastAsia="zh-CN" w:bidi="ar"/>
              </w:rPr>
              <w:t>0</w:t>
            </w:r>
          </w:p>
        </w:tc>
      </w:tr>
    </w:tbl>
    <w:p w14:paraId="70656112">
      <w:pPr>
        <w:pStyle w:val="2"/>
        <w:rPr>
          <w:rFonts w:hint="eastAsia" w:eastAsia="仿宋_GB2312"/>
          <w:color w:val="auto"/>
          <w:sz w:val="24"/>
        </w:rPr>
      </w:pPr>
    </w:p>
    <w:p w14:paraId="0D967F39">
      <w:pPr>
        <w:pStyle w:val="4"/>
        <w:numPr>
          <w:ilvl w:val="0"/>
          <w:numId w:val="3"/>
        </w:numPr>
        <w:spacing w:before="156" w:beforeLines="50" w:after="156" w:afterLines="50" w:line="360" w:lineRule="auto"/>
        <w:ind w:left="0" w:firstLine="600" w:firstLineChars="200"/>
        <w:rPr>
          <w:rFonts w:ascii="Times New Roman" w:hAnsi="Times New Roman" w:eastAsia="黑体"/>
          <w:b w:val="0"/>
          <w:color w:val="auto"/>
        </w:rPr>
      </w:pPr>
      <w:bookmarkStart w:id="87" w:name="_Toc353718222"/>
      <w:bookmarkStart w:id="88" w:name="_Toc352569452"/>
      <w:bookmarkStart w:id="89" w:name="_Toc3481974"/>
      <w:bookmarkStart w:id="90" w:name="_Toc66217049"/>
      <w:bookmarkStart w:id="91" w:name="_Toc3473609"/>
      <w:bookmarkStart w:id="92" w:name="_Toc351815307"/>
      <w:r>
        <w:rPr>
          <w:rFonts w:hint="eastAsia" w:ascii="Times New Roman" w:hAnsi="Times New Roman" w:eastAsia="黑体"/>
          <w:b w:val="0"/>
          <w:color w:val="auto"/>
        </w:rPr>
        <w:t>国有建设用地供应布局</w:t>
      </w:r>
      <w:bookmarkEnd w:id="87"/>
      <w:bookmarkEnd w:id="88"/>
      <w:bookmarkEnd w:id="89"/>
      <w:bookmarkEnd w:id="90"/>
      <w:bookmarkEnd w:id="91"/>
      <w:bookmarkEnd w:id="92"/>
    </w:p>
    <w:p w14:paraId="6D3C483B">
      <w:pPr>
        <w:spacing w:line="360" w:lineRule="auto"/>
        <w:ind w:firstLine="560" w:firstLineChars="200"/>
        <w:rPr>
          <w:rFonts w:eastAsia="仿宋_GB2312"/>
          <w:color w:val="auto"/>
          <w:sz w:val="28"/>
          <w:szCs w:val="28"/>
        </w:rPr>
      </w:pPr>
      <w:r>
        <w:rPr>
          <w:rFonts w:hint="eastAsia" w:eastAsia="仿宋_GB2312"/>
          <w:color w:val="auto"/>
          <w:sz w:val="28"/>
          <w:szCs w:val="28"/>
        </w:rPr>
        <w:t>各类国有建设用地指标的分布，主要依据经济发展战略、各镇历史用地的平均水平，综合考虑城镇规划、政策导向，确定指标的空间分布。</w:t>
      </w:r>
    </w:p>
    <w:p w14:paraId="616361D6">
      <w:pPr>
        <w:spacing w:line="360" w:lineRule="auto"/>
        <w:ind w:firstLine="560" w:firstLineChars="200"/>
        <w:rPr>
          <w:rFonts w:eastAsia="仿宋_GB2312"/>
          <w:color w:val="auto"/>
          <w:sz w:val="28"/>
          <w:szCs w:val="28"/>
        </w:rPr>
      </w:pPr>
      <w:r>
        <w:rPr>
          <w:rFonts w:eastAsia="仿宋_GB2312"/>
          <w:color w:val="auto"/>
          <w:sz w:val="28"/>
          <w:szCs w:val="28"/>
        </w:rPr>
        <w:t>1. 商服用地　　</w:t>
      </w:r>
    </w:p>
    <w:p w14:paraId="5DC04EF9">
      <w:pPr>
        <w:spacing w:line="360" w:lineRule="auto"/>
        <w:ind w:firstLine="560" w:firstLineChars="200"/>
        <w:rPr>
          <w:rFonts w:eastAsia="仿宋_GB2312"/>
          <w:color w:val="0000FF"/>
          <w:sz w:val="28"/>
          <w:szCs w:val="28"/>
        </w:rPr>
      </w:pPr>
      <w:r>
        <w:rPr>
          <w:rFonts w:hint="eastAsia" w:eastAsia="仿宋_GB2312"/>
          <w:color w:val="0000FF"/>
          <w:sz w:val="28"/>
          <w:szCs w:val="28"/>
          <w:lang w:val="en-US" w:eastAsia="zh-CN"/>
        </w:rPr>
        <w:t>受市场经济</w:t>
      </w:r>
      <w:r>
        <w:rPr>
          <w:rFonts w:hint="eastAsia" w:eastAsia="仿宋_GB2312"/>
          <w:color w:val="0000FF"/>
          <w:sz w:val="28"/>
          <w:szCs w:val="28"/>
        </w:rPr>
        <w:t>影响，近年来博罗县商业经济下滑，今年度拟供应</w:t>
      </w:r>
      <w:r>
        <w:rPr>
          <w:rFonts w:hint="eastAsia" w:eastAsia="仿宋_GB2312"/>
          <w:color w:val="0000FF"/>
          <w:sz w:val="28"/>
          <w:szCs w:val="28"/>
          <w:lang w:val="en-US" w:eastAsia="zh-CN"/>
        </w:rPr>
        <w:t>16.9444</w:t>
      </w:r>
      <w:r>
        <w:rPr>
          <w:rFonts w:hint="eastAsia" w:eastAsia="仿宋_GB2312"/>
          <w:color w:val="0000FF"/>
          <w:sz w:val="28"/>
          <w:szCs w:val="28"/>
        </w:rPr>
        <w:t>公顷商业用地，占年度供应总量的</w:t>
      </w:r>
      <w:r>
        <w:rPr>
          <w:rFonts w:hint="eastAsia" w:eastAsia="仿宋_GB2312"/>
          <w:color w:val="0000FF"/>
          <w:sz w:val="28"/>
          <w:szCs w:val="28"/>
          <w:lang w:val="en-US" w:eastAsia="zh-CN"/>
        </w:rPr>
        <w:t>4</w:t>
      </w:r>
      <w:r>
        <w:rPr>
          <w:rFonts w:eastAsia="仿宋_GB2312"/>
          <w:color w:val="0000FF"/>
          <w:sz w:val="28"/>
          <w:szCs w:val="28"/>
        </w:rPr>
        <w:t>%</w:t>
      </w:r>
      <w:r>
        <w:rPr>
          <w:rFonts w:hint="eastAsia" w:eastAsia="仿宋_GB2312"/>
          <w:color w:val="0000FF"/>
          <w:sz w:val="28"/>
          <w:szCs w:val="28"/>
        </w:rPr>
        <w:t>。拟供应商业用地</w:t>
      </w:r>
      <w:r>
        <w:rPr>
          <w:rFonts w:hint="eastAsia" w:eastAsia="仿宋_GB2312"/>
          <w:color w:val="0000FF"/>
          <w:sz w:val="28"/>
          <w:szCs w:val="28"/>
          <w:lang w:val="en-US" w:eastAsia="zh-CN"/>
        </w:rPr>
        <w:t>主要</w:t>
      </w:r>
      <w:r>
        <w:rPr>
          <w:rFonts w:hint="eastAsia" w:eastAsia="仿宋_GB2312"/>
          <w:color w:val="0000FF"/>
          <w:sz w:val="28"/>
          <w:szCs w:val="28"/>
        </w:rPr>
        <w:t>分布于</w:t>
      </w:r>
      <w:r>
        <w:rPr>
          <w:rFonts w:hint="eastAsia" w:eastAsia="仿宋_GB2312"/>
          <w:color w:val="0000FF"/>
          <w:sz w:val="28"/>
          <w:szCs w:val="28"/>
          <w:lang w:val="en-US" w:eastAsia="zh-CN"/>
        </w:rPr>
        <w:t>罗阳街道、龙溪街道、龙华镇、福田镇、泰美镇、杨侨镇、长宁镇、石坝镇、柏塘镇</w:t>
      </w:r>
      <w:r>
        <w:rPr>
          <w:rFonts w:hint="eastAsia" w:eastAsia="仿宋_GB2312"/>
          <w:color w:val="0000FF"/>
          <w:sz w:val="28"/>
          <w:szCs w:val="28"/>
        </w:rPr>
        <w:t>。</w:t>
      </w:r>
    </w:p>
    <w:p w14:paraId="65AF46C4">
      <w:pPr>
        <w:spacing w:line="360" w:lineRule="auto"/>
        <w:ind w:firstLine="560" w:firstLineChars="200"/>
        <w:rPr>
          <w:rFonts w:eastAsia="仿宋_GB2312"/>
          <w:color w:val="auto"/>
          <w:sz w:val="28"/>
          <w:szCs w:val="28"/>
        </w:rPr>
      </w:pPr>
      <w:r>
        <w:rPr>
          <w:rFonts w:eastAsia="仿宋_GB2312"/>
          <w:color w:val="auto"/>
          <w:sz w:val="28"/>
          <w:szCs w:val="28"/>
        </w:rPr>
        <w:t>2. 住宅用地　　</w:t>
      </w:r>
    </w:p>
    <w:p w14:paraId="2D2E477E">
      <w:pPr>
        <w:spacing w:line="360" w:lineRule="auto"/>
        <w:ind w:firstLine="560" w:firstLineChars="200"/>
        <w:rPr>
          <w:rFonts w:hint="eastAsia" w:eastAsia="仿宋_GB2312"/>
          <w:color w:val="0000FF"/>
          <w:sz w:val="28"/>
          <w:szCs w:val="28"/>
          <w:lang w:eastAsia="zh-CN"/>
        </w:rPr>
      </w:pPr>
      <w:r>
        <w:rPr>
          <w:rFonts w:hint="eastAsia" w:eastAsia="仿宋_GB2312"/>
          <w:color w:val="0000FF"/>
          <w:sz w:val="28"/>
          <w:szCs w:val="28"/>
        </w:rPr>
        <w:t>因市场经济环境影响，</w:t>
      </w:r>
      <w:r>
        <w:rPr>
          <w:rFonts w:hint="eastAsia" w:eastAsia="仿宋_GB2312"/>
          <w:color w:val="0000FF"/>
          <w:sz w:val="28"/>
          <w:szCs w:val="28"/>
          <w:lang w:val="en-US" w:eastAsia="zh-CN"/>
        </w:rPr>
        <w:t>商品住房</w:t>
      </w:r>
      <w:r>
        <w:rPr>
          <w:rFonts w:hint="eastAsia" w:eastAsia="仿宋_GB2312"/>
          <w:color w:val="0000FF"/>
          <w:sz w:val="28"/>
          <w:szCs w:val="28"/>
        </w:rPr>
        <w:t>市场行情</w:t>
      </w:r>
      <w:r>
        <w:rPr>
          <w:rFonts w:hint="eastAsia" w:eastAsia="仿宋_GB2312"/>
          <w:color w:val="0000FF"/>
          <w:sz w:val="28"/>
          <w:szCs w:val="28"/>
          <w:lang w:val="en-US" w:eastAsia="zh-CN"/>
        </w:rPr>
        <w:t>持续</w:t>
      </w:r>
      <w:r>
        <w:rPr>
          <w:rFonts w:hint="eastAsia" w:eastAsia="仿宋_GB2312"/>
          <w:color w:val="0000FF"/>
          <w:sz w:val="28"/>
          <w:szCs w:val="28"/>
        </w:rPr>
        <w:t>低迷</w:t>
      </w:r>
      <w:r>
        <w:rPr>
          <w:rFonts w:hint="eastAsia" w:eastAsia="仿宋_GB2312"/>
          <w:color w:val="0000FF"/>
          <w:sz w:val="28"/>
          <w:szCs w:val="28"/>
          <w:lang w:eastAsia="zh-CN"/>
        </w:rPr>
        <w:t>。</w:t>
      </w:r>
      <w:r>
        <w:rPr>
          <w:rFonts w:hint="eastAsia" w:eastAsia="仿宋_GB2312"/>
          <w:color w:val="0000FF"/>
          <w:sz w:val="28"/>
          <w:szCs w:val="28"/>
          <w:lang w:val="en-US" w:eastAsia="zh-CN"/>
        </w:rPr>
        <w:t>同时为解决居民住房困难，根据党中央、国务院有关精神，我县推进保障性住房建设，促进房地产市场平稳健康发展和民生改善，加大保障性住房建设和供给，尽快补齐保障性住房建设短板。</w:t>
      </w:r>
      <w:r>
        <w:rPr>
          <w:rFonts w:hint="eastAsia" w:eastAsia="仿宋_GB2312"/>
          <w:color w:val="0000FF"/>
          <w:sz w:val="28"/>
          <w:szCs w:val="28"/>
        </w:rPr>
        <w:t>今年度拟供应住宅用地占比低，拟供应</w:t>
      </w:r>
      <w:r>
        <w:rPr>
          <w:rFonts w:hint="eastAsia" w:eastAsia="仿宋_GB2312"/>
          <w:color w:val="0000FF"/>
          <w:sz w:val="28"/>
          <w:szCs w:val="28"/>
          <w:lang w:val="en-US" w:eastAsia="zh-CN"/>
        </w:rPr>
        <w:t>9.5949</w:t>
      </w:r>
      <w:r>
        <w:rPr>
          <w:rFonts w:hint="eastAsia" w:eastAsia="仿宋_GB2312"/>
          <w:color w:val="0000FF"/>
          <w:sz w:val="28"/>
          <w:szCs w:val="28"/>
        </w:rPr>
        <w:t>公顷住宅用地</w:t>
      </w:r>
      <w:r>
        <w:rPr>
          <w:rFonts w:hint="eastAsia" w:eastAsia="仿宋_GB2312"/>
          <w:color w:val="0000FF"/>
          <w:sz w:val="28"/>
          <w:szCs w:val="28"/>
          <w:lang w:eastAsia="zh-CN"/>
        </w:rPr>
        <w:t>，</w:t>
      </w:r>
      <w:r>
        <w:rPr>
          <w:rFonts w:hint="eastAsia" w:eastAsia="仿宋_GB2312"/>
          <w:color w:val="0000FF"/>
          <w:sz w:val="28"/>
          <w:szCs w:val="28"/>
        </w:rPr>
        <w:t>仅占年度供应总量的</w:t>
      </w:r>
      <w:r>
        <w:rPr>
          <w:rFonts w:hint="eastAsia" w:eastAsia="仿宋_GB2312"/>
          <w:color w:val="0000FF"/>
          <w:sz w:val="28"/>
          <w:szCs w:val="28"/>
          <w:lang w:val="en-US" w:eastAsia="zh-CN"/>
        </w:rPr>
        <w:t>2.06</w:t>
      </w:r>
      <w:r>
        <w:rPr>
          <w:rFonts w:eastAsia="仿宋_GB2312"/>
          <w:color w:val="0000FF"/>
          <w:sz w:val="28"/>
          <w:szCs w:val="28"/>
        </w:rPr>
        <w:t>%</w:t>
      </w:r>
      <w:r>
        <w:rPr>
          <w:rFonts w:hint="eastAsia" w:eastAsia="仿宋_GB2312"/>
          <w:color w:val="0000FF"/>
          <w:sz w:val="28"/>
          <w:szCs w:val="28"/>
          <w:lang w:eastAsia="zh-CN"/>
        </w:rPr>
        <w:t>，</w:t>
      </w:r>
      <w:r>
        <w:rPr>
          <w:rFonts w:hint="eastAsia" w:eastAsia="仿宋_GB2312"/>
          <w:color w:val="0000FF"/>
          <w:sz w:val="28"/>
          <w:szCs w:val="28"/>
        </w:rPr>
        <w:t>拟供应住宅用地分布于</w:t>
      </w:r>
      <w:r>
        <w:rPr>
          <w:rFonts w:hint="eastAsia" w:eastAsia="仿宋_GB2312"/>
          <w:color w:val="0000FF"/>
          <w:sz w:val="28"/>
          <w:szCs w:val="28"/>
          <w:lang w:val="en-US" w:eastAsia="zh-CN"/>
        </w:rPr>
        <w:t>园洲镇</w:t>
      </w:r>
      <w:r>
        <w:rPr>
          <w:rFonts w:hint="eastAsia" w:eastAsia="仿宋_GB2312"/>
          <w:color w:val="0000FF"/>
          <w:sz w:val="28"/>
          <w:szCs w:val="28"/>
        </w:rPr>
        <w:t>。</w:t>
      </w:r>
      <w:r>
        <w:rPr>
          <w:rFonts w:hint="eastAsia" w:eastAsia="仿宋_GB2312"/>
          <w:color w:val="0000FF"/>
          <w:sz w:val="28"/>
          <w:szCs w:val="28"/>
          <w:lang w:val="en-US" w:eastAsia="zh-CN"/>
        </w:rPr>
        <w:t>其中拟供应保障性住房面积为2.5132公顷</w:t>
      </w:r>
      <w:r>
        <w:rPr>
          <w:rFonts w:hint="eastAsia" w:eastAsia="仿宋_GB2312"/>
          <w:color w:val="0000FF"/>
          <w:sz w:val="28"/>
          <w:szCs w:val="28"/>
          <w:lang w:eastAsia="zh-CN"/>
        </w:rPr>
        <w:t>。</w:t>
      </w:r>
    </w:p>
    <w:p w14:paraId="4FF6A634">
      <w:pPr>
        <w:spacing w:line="360" w:lineRule="auto"/>
        <w:ind w:firstLine="560" w:firstLineChars="200"/>
        <w:rPr>
          <w:rFonts w:eastAsia="仿宋_GB2312"/>
          <w:color w:val="auto"/>
          <w:sz w:val="28"/>
          <w:szCs w:val="28"/>
        </w:rPr>
      </w:pPr>
      <w:r>
        <w:rPr>
          <w:rFonts w:eastAsia="仿宋_GB2312"/>
          <w:color w:val="auto"/>
          <w:sz w:val="28"/>
          <w:szCs w:val="28"/>
        </w:rPr>
        <w:t>3. 工矿仓储用地　　</w:t>
      </w:r>
    </w:p>
    <w:p w14:paraId="1D791F2D">
      <w:pPr>
        <w:spacing w:line="360" w:lineRule="auto"/>
        <w:ind w:firstLine="560" w:firstLineChars="200"/>
        <w:rPr>
          <w:rFonts w:eastAsia="仿宋_GB2312"/>
          <w:color w:val="0000FF"/>
          <w:sz w:val="28"/>
          <w:szCs w:val="28"/>
        </w:rPr>
      </w:pPr>
      <w:r>
        <w:rPr>
          <w:rFonts w:hint="eastAsia" w:eastAsia="仿宋_GB2312"/>
          <w:color w:val="auto"/>
          <w:sz w:val="28"/>
          <w:szCs w:val="28"/>
        </w:rPr>
        <w:t>博罗</w:t>
      </w:r>
      <w:r>
        <w:rPr>
          <w:rFonts w:eastAsia="仿宋_GB2312"/>
          <w:color w:val="auto"/>
          <w:sz w:val="28"/>
          <w:szCs w:val="28"/>
        </w:rPr>
        <w:t>县202</w:t>
      </w:r>
      <w:r>
        <w:rPr>
          <w:rFonts w:hint="eastAsia" w:eastAsia="仿宋_GB2312"/>
          <w:color w:val="auto"/>
          <w:sz w:val="28"/>
          <w:szCs w:val="28"/>
          <w:lang w:val="en-US" w:eastAsia="zh-CN"/>
        </w:rPr>
        <w:t>5</w:t>
      </w:r>
      <w:r>
        <w:rPr>
          <w:rFonts w:eastAsia="仿宋_GB2312"/>
          <w:color w:val="auto"/>
          <w:sz w:val="28"/>
          <w:szCs w:val="28"/>
        </w:rPr>
        <w:t>年度国有建设用地供应总量中，工矿仓储用地</w:t>
      </w:r>
      <w:r>
        <w:rPr>
          <w:rFonts w:hint="eastAsia" w:eastAsia="仿宋_GB2312"/>
          <w:color w:val="auto"/>
          <w:sz w:val="28"/>
          <w:szCs w:val="28"/>
          <w:lang w:val="en-US" w:eastAsia="zh-CN"/>
        </w:rPr>
        <w:t>201.4501</w:t>
      </w:r>
      <w:r>
        <w:rPr>
          <w:rFonts w:eastAsia="仿宋_GB2312"/>
          <w:color w:val="auto"/>
          <w:sz w:val="28"/>
          <w:szCs w:val="28"/>
        </w:rPr>
        <w:t>公顷</w:t>
      </w:r>
      <w:r>
        <w:rPr>
          <w:rFonts w:hint="eastAsia" w:eastAsia="仿宋_GB2312"/>
          <w:color w:val="auto"/>
          <w:sz w:val="28"/>
          <w:szCs w:val="28"/>
          <w:lang w:eastAsia="zh-CN"/>
        </w:rPr>
        <w:t>，</w:t>
      </w:r>
      <w:r>
        <w:rPr>
          <w:rFonts w:hint="eastAsia" w:eastAsia="仿宋_GB2312"/>
          <w:color w:val="0000FF"/>
          <w:sz w:val="28"/>
          <w:szCs w:val="28"/>
        </w:rPr>
        <w:t>占年度供应总量的</w:t>
      </w:r>
      <w:r>
        <w:rPr>
          <w:rFonts w:hint="eastAsia" w:eastAsia="仿宋_GB2312"/>
          <w:color w:val="0000FF"/>
          <w:sz w:val="28"/>
          <w:szCs w:val="28"/>
          <w:lang w:val="en-US" w:eastAsia="zh-CN"/>
        </w:rPr>
        <w:t>43</w:t>
      </w:r>
      <w:r>
        <w:rPr>
          <w:rFonts w:eastAsia="仿宋_GB2312"/>
          <w:color w:val="0000FF"/>
          <w:sz w:val="28"/>
          <w:szCs w:val="28"/>
        </w:rPr>
        <w:t>%</w:t>
      </w:r>
      <w:r>
        <w:rPr>
          <w:rFonts w:hint="eastAsia" w:eastAsia="仿宋_GB2312"/>
          <w:color w:val="FF0000"/>
          <w:sz w:val="28"/>
          <w:szCs w:val="28"/>
          <w:highlight w:val="none"/>
          <w:lang w:val="en-US" w:eastAsia="zh-CN"/>
        </w:rPr>
        <w:t>。</w:t>
      </w:r>
      <w:r>
        <w:rPr>
          <w:rFonts w:eastAsia="仿宋_GB2312"/>
          <w:color w:val="0000FF"/>
          <w:sz w:val="28"/>
          <w:szCs w:val="28"/>
        </w:rPr>
        <w:t>主要分布在</w:t>
      </w:r>
      <w:r>
        <w:rPr>
          <w:rFonts w:hint="eastAsia" w:eastAsia="仿宋_GB2312"/>
          <w:color w:val="0000FF"/>
          <w:sz w:val="28"/>
          <w:szCs w:val="28"/>
        </w:rPr>
        <w:t>博罗县产业转移工业园、博罗智能装备产业园</w:t>
      </w:r>
      <w:r>
        <w:rPr>
          <w:rFonts w:hint="eastAsia" w:eastAsia="仿宋_GB2312"/>
          <w:color w:val="0000FF"/>
          <w:sz w:val="28"/>
          <w:szCs w:val="28"/>
          <w:lang w:eastAsia="zh-CN"/>
        </w:rPr>
        <w:t>、</w:t>
      </w:r>
      <w:r>
        <w:rPr>
          <w:rFonts w:hint="eastAsia" w:eastAsia="仿宋_GB2312"/>
          <w:color w:val="0000FF"/>
          <w:sz w:val="28"/>
          <w:szCs w:val="28"/>
          <w:lang w:val="en-US" w:eastAsia="zh-CN"/>
        </w:rPr>
        <w:t>中韩产业园、</w:t>
      </w:r>
      <w:r>
        <w:rPr>
          <w:rFonts w:hint="eastAsia" w:eastAsia="仿宋_GB2312"/>
          <w:color w:val="0000FF"/>
          <w:sz w:val="28"/>
          <w:szCs w:val="28"/>
        </w:rPr>
        <w:t>罗阳街道、</w:t>
      </w:r>
      <w:r>
        <w:rPr>
          <w:rFonts w:hint="eastAsia" w:eastAsia="仿宋_GB2312"/>
          <w:color w:val="0000FF"/>
          <w:sz w:val="28"/>
          <w:szCs w:val="28"/>
          <w:lang w:val="en-US" w:eastAsia="zh-CN"/>
        </w:rPr>
        <w:t>龙溪街道、石湾镇、园洲镇、福田镇、长宁镇、龙华镇、湖镇、杨村镇、杨侨镇、泰美镇</w:t>
      </w:r>
      <w:r>
        <w:rPr>
          <w:rFonts w:hint="eastAsia" w:eastAsia="仿宋_GB2312"/>
          <w:color w:val="0000FF"/>
          <w:sz w:val="28"/>
          <w:szCs w:val="28"/>
        </w:rPr>
        <w:t>等镇。博罗</w:t>
      </w:r>
      <w:r>
        <w:rPr>
          <w:rFonts w:eastAsia="仿宋_GB2312"/>
          <w:color w:val="0000FF"/>
          <w:sz w:val="28"/>
          <w:szCs w:val="28"/>
        </w:rPr>
        <w:t>县一直致力于产业兴县，</w:t>
      </w:r>
      <w:r>
        <w:rPr>
          <w:rFonts w:hint="eastAsia" w:eastAsia="仿宋_GB2312"/>
          <w:color w:val="0000FF"/>
          <w:sz w:val="28"/>
          <w:szCs w:val="28"/>
        </w:rPr>
        <w:t>牢固树立“项目为王”工作导向，抢抓“双区”和三大平台建设发展机遇，大力盘整盘活闲置用地、低效用地，坚持“以亩均论英雄”，不断提高土地集约节约利用水平，为引进优质产业项目提供更多空间。持续强化园区运营管理，以博罗智能装备产业园和产业转移工业园为载体，高起点规划、高标准建设产业转移承接主平台，积极与深圳开展产业协作发展，共建产业园区。</w:t>
      </w:r>
      <w:r>
        <w:rPr>
          <w:rFonts w:eastAsia="仿宋_GB2312"/>
          <w:color w:val="0000FF"/>
          <w:sz w:val="28"/>
          <w:szCs w:val="28"/>
        </w:rPr>
        <w:t>　</w:t>
      </w:r>
    </w:p>
    <w:p w14:paraId="4D5E6315">
      <w:pPr>
        <w:spacing w:line="360" w:lineRule="auto"/>
        <w:ind w:firstLine="560" w:firstLineChars="200"/>
        <w:rPr>
          <w:rFonts w:eastAsia="仿宋_GB2312"/>
          <w:color w:val="auto"/>
          <w:sz w:val="28"/>
          <w:szCs w:val="28"/>
        </w:rPr>
      </w:pPr>
      <w:r>
        <w:rPr>
          <w:rFonts w:eastAsia="仿宋_GB2312"/>
          <w:color w:val="auto"/>
          <w:sz w:val="28"/>
          <w:szCs w:val="28"/>
        </w:rPr>
        <w:t>4. 公共管理与公共服务用地</w:t>
      </w:r>
    </w:p>
    <w:p w14:paraId="1AB4F0B5">
      <w:pPr>
        <w:spacing w:line="360" w:lineRule="auto"/>
        <w:ind w:firstLine="560" w:firstLineChars="200"/>
        <w:rPr>
          <w:rFonts w:eastAsia="仿宋_GB2312"/>
          <w:color w:val="auto"/>
          <w:sz w:val="28"/>
          <w:szCs w:val="28"/>
        </w:rPr>
      </w:pPr>
      <w:r>
        <w:rPr>
          <w:rFonts w:hint="eastAsia" w:eastAsia="仿宋_GB2312"/>
          <w:color w:val="auto"/>
          <w:sz w:val="28"/>
          <w:szCs w:val="28"/>
        </w:rPr>
        <w:t>博罗县</w:t>
      </w:r>
      <w:r>
        <w:rPr>
          <w:rFonts w:eastAsia="仿宋_GB2312"/>
          <w:color w:val="auto"/>
          <w:sz w:val="28"/>
          <w:szCs w:val="28"/>
        </w:rPr>
        <w:t>20</w:t>
      </w:r>
      <w:r>
        <w:rPr>
          <w:rFonts w:hint="eastAsia" w:eastAsia="仿宋_GB2312"/>
          <w:color w:val="auto"/>
          <w:sz w:val="28"/>
          <w:szCs w:val="28"/>
          <w:lang w:val="en-US" w:eastAsia="zh-CN"/>
        </w:rPr>
        <w:t>25</w:t>
      </w:r>
      <w:r>
        <w:rPr>
          <w:rFonts w:eastAsia="仿宋_GB2312"/>
          <w:color w:val="auto"/>
          <w:sz w:val="28"/>
          <w:szCs w:val="28"/>
        </w:rPr>
        <w:t>年度国有建设用地供应总量中，公共管理与公共服务用地</w:t>
      </w:r>
      <w:r>
        <w:rPr>
          <w:rFonts w:hint="eastAsia" w:eastAsia="仿宋_GB2312"/>
          <w:color w:val="auto"/>
          <w:sz w:val="28"/>
          <w:szCs w:val="28"/>
          <w:lang w:val="en-US" w:eastAsia="zh-CN"/>
        </w:rPr>
        <w:t>32.2272</w:t>
      </w:r>
      <w:r>
        <w:rPr>
          <w:rFonts w:eastAsia="仿宋_GB2312"/>
          <w:color w:val="auto"/>
          <w:sz w:val="28"/>
          <w:szCs w:val="28"/>
        </w:rPr>
        <w:t>公顷，占年度供应总量的</w:t>
      </w:r>
      <w:r>
        <w:rPr>
          <w:rFonts w:hint="eastAsia" w:eastAsia="仿宋_GB2312"/>
          <w:color w:val="auto"/>
          <w:sz w:val="28"/>
          <w:szCs w:val="28"/>
          <w:lang w:val="en-US" w:eastAsia="zh-CN"/>
        </w:rPr>
        <w:t>7</w:t>
      </w:r>
      <w:r>
        <w:rPr>
          <w:rFonts w:eastAsia="仿宋_GB2312"/>
          <w:color w:val="auto"/>
          <w:sz w:val="28"/>
          <w:szCs w:val="28"/>
        </w:rPr>
        <w:t>%。主要分布在</w:t>
      </w:r>
      <w:r>
        <w:rPr>
          <w:rFonts w:hint="eastAsia" w:eastAsia="仿宋_GB2312"/>
          <w:color w:val="auto"/>
          <w:sz w:val="28"/>
          <w:szCs w:val="28"/>
        </w:rPr>
        <w:t>罗阳街道、</w:t>
      </w:r>
      <w:r>
        <w:rPr>
          <w:rFonts w:hint="eastAsia" w:eastAsia="仿宋_GB2312"/>
          <w:color w:val="auto"/>
          <w:sz w:val="28"/>
          <w:szCs w:val="28"/>
          <w:lang w:val="en-US" w:eastAsia="zh-CN"/>
        </w:rPr>
        <w:t>龙溪街道、</w:t>
      </w:r>
      <w:r>
        <w:rPr>
          <w:rFonts w:hint="eastAsia" w:eastAsia="仿宋_GB2312"/>
          <w:color w:val="auto"/>
          <w:sz w:val="28"/>
          <w:szCs w:val="28"/>
        </w:rPr>
        <w:t>园洲镇、</w:t>
      </w:r>
      <w:r>
        <w:rPr>
          <w:rFonts w:hint="eastAsia" w:eastAsia="仿宋_GB2312"/>
          <w:color w:val="auto"/>
          <w:sz w:val="28"/>
          <w:szCs w:val="28"/>
          <w:lang w:val="en-US" w:eastAsia="zh-CN"/>
        </w:rPr>
        <w:t>石湾镇、公庄镇、湖镇、杨侨镇</w:t>
      </w:r>
      <w:r>
        <w:rPr>
          <w:rFonts w:hint="eastAsia" w:eastAsia="仿宋_GB2312"/>
          <w:color w:val="auto"/>
          <w:sz w:val="28"/>
          <w:szCs w:val="28"/>
        </w:rPr>
        <w:t>等，主要</w:t>
      </w:r>
      <w:r>
        <w:rPr>
          <w:rFonts w:eastAsia="仿宋_GB2312"/>
          <w:color w:val="auto"/>
          <w:sz w:val="28"/>
          <w:szCs w:val="28"/>
        </w:rPr>
        <w:t>用于</w:t>
      </w:r>
      <w:r>
        <w:rPr>
          <w:rFonts w:hint="eastAsia" w:eastAsia="仿宋_GB2312"/>
          <w:color w:val="auto"/>
          <w:sz w:val="28"/>
          <w:szCs w:val="28"/>
        </w:rPr>
        <w:t>教育用地</w:t>
      </w:r>
      <w:r>
        <w:rPr>
          <w:rFonts w:hint="eastAsia" w:eastAsia="仿宋_GB2312"/>
          <w:color w:val="auto"/>
          <w:sz w:val="28"/>
          <w:szCs w:val="28"/>
          <w:lang w:eastAsia="zh-CN"/>
        </w:rPr>
        <w:t>、</w:t>
      </w:r>
      <w:r>
        <w:rPr>
          <w:rFonts w:hint="eastAsia" w:eastAsia="仿宋_GB2312"/>
          <w:color w:val="auto"/>
          <w:sz w:val="28"/>
          <w:szCs w:val="28"/>
          <w:lang w:val="en-US" w:eastAsia="zh-CN"/>
        </w:rPr>
        <w:t>污水处理厂</w:t>
      </w:r>
      <w:r>
        <w:rPr>
          <w:rFonts w:hint="eastAsia" w:eastAsia="仿宋_GB2312"/>
          <w:color w:val="auto"/>
          <w:sz w:val="28"/>
          <w:szCs w:val="28"/>
        </w:rPr>
        <w:t>、</w:t>
      </w:r>
      <w:r>
        <w:rPr>
          <w:rFonts w:hint="eastAsia" w:eastAsia="仿宋_GB2312"/>
          <w:color w:val="auto"/>
          <w:sz w:val="28"/>
          <w:szCs w:val="28"/>
          <w:lang w:val="en-US" w:eastAsia="zh-CN"/>
        </w:rPr>
        <w:t>光伏变电站</w:t>
      </w:r>
      <w:r>
        <w:rPr>
          <w:rFonts w:hint="eastAsia" w:eastAsia="仿宋_GB2312"/>
          <w:color w:val="auto"/>
          <w:sz w:val="28"/>
          <w:szCs w:val="28"/>
        </w:rPr>
        <w:t>等各项基础设施项目建设。</w:t>
      </w:r>
      <w:r>
        <w:rPr>
          <w:rFonts w:eastAsia="仿宋_GB2312"/>
          <w:color w:val="auto"/>
          <w:sz w:val="28"/>
          <w:szCs w:val="28"/>
        </w:rPr>
        <w:t>　</w:t>
      </w:r>
    </w:p>
    <w:p w14:paraId="306BCCD8">
      <w:pPr>
        <w:spacing w:line="360" w:lineRule="auto"/>
        <w:ind w:firstLine="560" w:firstLineChars="200"/>
        <w:rPr>
          <w:rFonts w:eastAsia="仿宋_GB2312"/>
          <w:color w:val="auto"/>
          <w:sz w:val="28"/>
          <w:szCs w:val="28"/>
        </w:rPr>
      </w:pPr>
      <w:r>
        <w:rPr>
          <w:rFonts w:eastAsia="仿宋_GB2312"/>
          <w:color w:val="auto"/>
          <w:sz w:val="28"/>
          <w:szCs w:val="28"/>
        </w:rPr>
        <w:t>5. 交通运输用地　　</w:t>
      </w:r>
    </w:p>
    <w:p w14:paraId="51658F9A">
      <w:pPr>
        <w:spacing w:line="360" w:lineRule="auto"/>
        <w:ind w:firstLine="560" w:firstLineChars="200"/>
        <w:rPr>
          <w:rFonts w:eastAsia="仿宋_GB2312"/>
          <w:color w:val="auto"/>
          <w:sz w:val="28"/>
          <w:szCs w:val="28"/>
        </w:rPr>
      </w:pPr>
      <w:r>
        <w:rPr>
          <w:rFonts w:hint="eastAsia" w:eastAsia="仿宋_GB2312"/>
          <w:color w:val="auto"/>
          <w:sz w:val="28"/>
          <w:szCs w:val="28"/>
        </w:rPr>
        <w:t>博罗县</w:t>
      </w:r>
      <w:r>
        <w:rPr>
          <w:rFonts w:eastAsia="仿宋_GB2312"/>
          <w:color w:val="auto"/>
          <w:sz w:val="28"/>
          <w:szCs w:val="28"/>
        </w:rPr>
        <w:t>202</w:t>
      </w:r>
      <w:r>
        <w:rPr>
          <w:rFonts w:hint="eastAsia" w:eastAsia="仿宋_GB2312"/>
          <w:color w:val="auto"/>
          <w:sz w:val="28"/>
          <w:szCs w:val="28"/>
          <w:lang w:val="en-US" w:eastAsia="zh-CN"/>
        </w:rPr>
        <w:t>5</w:t>
      </w:r>
      <w:r>
        <w:rPr>
          <w:rFonts w:eastAsia="仿宋_GB2312"/>
          <w:color w:val="auto"/>
          <w:sz w:val="28"/>
          <w:szCs w:val="28"/>
        </w:rPr>
        <w:t>年度国有建设用地供应总量中，</w:t>
      </w:r>
      <w:r>
        <w:rPr>
          <w:rFonts w:hint="eastAsia" w:eastAsia="仿宋_GB2312"/>
          <w:color w:val="auto"/>
          <w:sz w:val="28"/>
          <w:szCs w:val="28"/>
          <w:lang w:val="en-US" w:eastAsia="zh-CN"/>
        </w:rPr>
        <w:t>交通运输用地204.228</w:t>
      </w:r>
      <w:r>
        <w:rPr>
          <w:rFonts w:eastAsia="仿宋_GB2312"/>
          <w:color w:val="auto"/>
          <w:sz w:val="28"/>
          <w:szCs w:val="28"/>
        </w:rPr>
        <w:t>公顷，占年度供应总量的</w:t>
      </w:r>
      <w:r>
        <w:rPr>
          <w:rFonts w:hint="eastAsia" w:eastAsia="仿宋_GB2312"/>
          <w:color w:val="auto"/>
          <w:sz w:val="28"/>
          <w:szCs w:val="28"/>
          <w:lang w:val="en-US" w:eastAsia="zh-CN"/>
        </w:rPr>
        <w:t>44</w:t>
      </w:r>
      <w:r>
        <w:rPr>
          <w:rFonts w:eastAsia="仿宋_GB2312"/>
          <w:color w:val="auto"/>
          <w:sz w:val="28"/>
          <w:szCs w:val="28"/>
        </w:rPr>
        <w:t>%。主要</w:t>
      </w:r>
      <w:r>
        <w:rPr>
          <w:rFonts w:hint="eastAsia" w:eastAsia="仿宋_GB2312"/>
          <w:color w:val="auto"/>
          <w:sz w:val="28"/>
          <w:szCs w:val="28"/>
        </w:rPr>
        <w:t>用于保障广州(新塘)至汕尾铁路建设项目（博罗段）、惠州惠城至惠阳霞涌高速公路工程项目（博罗段）</w:t>
      </w:r>
      <w:r>
        <w:rPr>
          <w:rFonts w:hint="eastAsia" w:eastAsia="仿宋_GB2312"/>
          <w:color w:val="auto"/>
          <w:sz w:val="28"/>
          <w:szCs w:val="28"/>
          <w:lang w:eastAsia="zh-CN"/>
        </w:rPr>
        <w:t>、泰美镇金龙大道（板桥工业区段）升级改造工程</w:t>
      </w:r>
      <w:r>
        <w:rPr>
          <w:rFonts w:hint="eastAsia" w:eastAsia="仿宋_GB2312"/>
          <w:color w:val="auto"/>
          <w:sz w:val="28"/>
          <w:szCs w:val="28"/>
        </w:rPr>
        <w:t>等交通运输项目用地。</w:t>
      </w:r>
    </w:p>
    <w:p w14:paraId="7131CDA4">
      <w:pPr>
        <w:spacing w:line="360" w:lineRule="auto"/>
        <w:ind w:firstLine="560" w:firstLineChars="200"/>
        <w:rPr>
          <w:rFonts w:eastAsia="仿宋_GB2312"/>
          <w:color w:val="auto"/>
          <w:sz w:val="28"/>
          <w:szCs w:val="28"/>
        </w:rPr>
      </w:pPr>
      <w:r>
        <w:rPr>
          <w:rFonts w:eastAsia="仿宋_GB2312"/>
          <w:color w:val="auto"/>
          <w:sz w:val="28"/>
          <w:szCs w:val="28"/>
        </w:rPr>
        <w:t>6. 水域及水利设施用地　　</w:t>
      </w:r>
    </w:p>
    <w:p w14:paraId="0285BCD5">
      <w:pPr>
        <w:spacing w:line="360" w:lineRule="auto"/>
        <w:ind w:firstLine="560" w:firstLineChars="200"/>
        <w:rPr>
          <w:rFonts w:eastAsia="仿宋_GB2312"/>
          <w:color w:val="auto"/>
          <w:sz w:val="28"/>
          <w:szCs w:val="28"/>
        </w:rPr>
      </w:pPr>
      <w:r>
        <w:rPr>
          <w:rFonts w:eastAsia="仿宋_GB2312"/>
          <w:color w:val="auto"/>
          <w:sz w:val="28"/>
          <w:szCs w:val="28"/>
        </w:rPr>
        <w:t>202</w:t>
      </w:r>
      <w:r>
        <w:rPr>
          <w:rFonts w:hint="eastAsia" w:eastAsia="仿宋_GB2312"/>
          <w:color w:val="auto"/>
          <w:sz w:val="28"/>
          <w:szCs w:val="28"/>
          <w:lang w:val="en-US" w:eastAsia="zh-CN"/>
        </w:rPr>
        <w:t>5</w:t>
      </w:r>
      <w:r>
        <w:rPr>
          <w:rFonts w:eastAsia="仿宋_GB2312"/>
          <w:color w:val="auto"/>
          <w:sz w:val="28"/>
          <w:szCs w:val="28"/>
        </w:rPr>
        <w:t>年，</w:t>
      </w:r>
      <w:r>
        <w:rPr>
          <w:rFonts w:hint="eastAsia" w:eastAsia="仿宋_GB2312"/>
          <w:color w:val="auto"/>
          <w:sz w:val="28"/>
          <w:szCs w:val="28"/>
        </w:rPr>
        <w:t>博罗</w:t>
      </w:r>
      <w:r>
        <w:rPr>
          <w:rFonts w:eastAsia="仿宋_GB2312"/>
          <w:color w:val="auto"/>
          <w:sz w:val="28"/>
          <w:szCs w:val="28"/>
        </w:rPr>
        <w:t>县无安排水域及水利设施用地供应计划。</w:t>
      </w:r>
    </w:p>
    <w:p w14:paraId="32CF2825">
      <w:pPr>
        <w:spacing w:line="360" w:lineRule="auto"/>
        <w:ind w:firstLine="560" w:firstLineChars="200"/>
        <w:rPr>
          <w:rFonts w:eastAsia="仿宋_GB2312"/>
          <w:color w:val="auto"/>
          <w:sz w:val="28"/>
          <w:szCs w:val="28"/>
        </w:rPr>
      </w:pPr>
      <w:r>
        <w:rPr>
          <w:rFonts w:eastAsia="仿宋_GB2312"/>
          <w:color w:val="auto"/>
          <w:sz w:val="28"/>
          <w:szCs w:val="28"/>
        </w:rPr>
        <w:t>7. 特殊用地　　</w:t>
      </w:r>
    </w:p>
    <w:p w14:paraId="46C7A2F5">
      <w:pPr>
        <w:spacing w:line="360" w:lineRule="auto"/>
        <w:ind w:firstLine="560" w:firstLineChars="200"/>
        <w:rPr>
          <w:rFonts w:eastAsia="仿宋_GB2312"/>
          <w:color w:val="auto"/>
          <w:sz w:val="28"/>
          <w:szCs w:val="28"/>
        </w:rPr>
      </w:pPr>
      <w:r>
        <w:rPr>
          <w:rFonts w:eastAsia="仿宋_GB2312"/>
          <w:color w:val="auto"/>
          <w:sz w:val="28"/>
          <w:szCs w:val="28"/>
        </w:rPr>
        <w:t>202</w:t>
      </w:r>
      <w:r>
        <w:rPr>
          <w:rFonts w:hint="eastAsia" w:eastAsia="仿宋_GB2312"/>
          <w:color w:val="auto"/>
          <w:sz w:val="28"/>
          <w:szCs w:val="28"/>
          <w:lang w:val="en-US" w:eastAsia="zh-CN"/>
        </w:rPr>
        <w:t>5</w:t>
      </w:r>
      <w:r>
        <w:rPr>
          <w:rFonts w:eastAsia="仿宋_GB2312"/>
          <w:color w:val="auto"/>
          <w:sz w:val="28"/>
          <w:szCs w:val="28"/>
        </w:rPr>
        <w:t>年，</w:t>
      </w:r>
      <w:r>
        <w:rPr>
          <w:rFonts w:hint="eastAsia" w:eastAsia="仿宋_GB2312"/>
          <w:color w:val="auto"/>
          <w:sz w:val="28"/>
          <w:szCs w:val="28"/>
        </w:rPr>
        <w:t>博罗</w:t>
      </w:r>
      <w:r>
        <w:rPr>
          <w:rFonts w:eastAsia="仿宋_GB2312"/>
          <w:color w:val="auto"/>
          <w:sz w:val="28"/>
          <w:szCs w:val="28"/>
        </w:rPr>
        <w:t>县无安排</w:t>
      </w:r>
      <w:r>
        <w:rPr>
          <w:rFonts w:hint="eastAsia" w:eastAsia="仿宋_GB2312"/>
          <w:color w:val="auto"/>
          <w:sz w:val="28"/>
          <w:szCs w:val="28"/>
          <w:lang w:val="en-US" w:eastAsia="zh-CN"/>
        </w:rPr>
        <w:t>特殊</w:t>
      </w:r>
      <w:r>
        <w:rPr>
          <w:rFonts w:eastAsia="仿宋_GB2312"/>
          <w:color w:val="auto"/>
          <w:sz w:val="28"/>
          <w:szCs w:val="28"/>
        </w:rPr>
        <w:t>用地供应计划。</w:t>
      </w:r>
    </w:p>
    <w:p w14:paraId="3A354A82">
      <w:pPr>
        <w:pStyle w:val="36"/>
        <w:tabs>
          <w:tab w:val="left" w:pos="420"/>
          <w:tab w:val="clear" w:pos="2580"/>
        </w:tabs>
        <w:spacing w:before="156" w:beforeLines="50" w:after="156" w:afterLines="50"/>
        <w:ind w:left="0" w:firstLine="640" w:firstLineChars="200"/>
        <w:rPr>
          <w:rFonts w:eastAsia="黑体"/>
          <w:b w:val="0"/>
          <w:color w:val="auto"/>
          <w:sz w:val="32"/>
          <w:szCs w:val="32"/>
        </w:rPr>
      </w:pPr>
      <w:bookmarkStart w:id="93" w:name="_Toc3481975"/>
      <w:bookmarkStart w:id="94" w:name="_Toc353718223"/>
      <w:bookmarkStart w:id="95" w:name="_Toc352569453"/>
      <w:bookmarkStart w:id="96" w:name="_Toc351815308"/>
      <w:bookmarkStart w:id="97" w:name="_Toc294702661"/>
      <w:bookmarkStart w:id="98" w:name="_Toc66217050"/>
      <w:bookmarkStart w:id="99" w:name="_Toc3473610"/>
      <w:bookmarkStart w:id="100" w:name="_Toc288728445"/>
      <w:r>
        <w:rPr>
          <w:rFonts w:hint="eastAsia" w:eastAsia="黑体"/>
          <w:b w:val="0"/>
          <w:color w:val="auto"/>
          <w:sz w:val="32"/>
          <w:szCs w:val="32"/>
        </w:rPr>
        <w:t>政策导向</w:t>
      </w:r>
      <w:bookmarkEnd w:id="93"/>
      <w:bookmarkEnd w:id="94"/>
      <w:bookmarkEnd w:id="95"/>
      <w:bookmarkEnd w:id="96"/>
      <w:bookmarkEnd w:id="97"/>
      <w:bookmarkEnd w:id="98"/>
      <w:bookmarkEnd w:id="99"/>
      <w:bookmarkEnd w:id="100"/>
    </w:p>
    <w:p w14:paraId="1EFBAD96">
      <w:pPr>
        <w:pStyle w:val="4"/>
        <w:numPr>
          <w:ilvl w:val="0"/>
          <w:numId w:val="0"/>
        </w:numPr>
        <w:spacing w:before="156" w:beforeLines="50" w:after="156" w:afterLines="50" w:line="360" w:lineRule="auto"/>
        <w:ind w:firstLine="600" w:firstLineChars="200"/>
        <w:rPr>
          <w:rFonts w:ascii="Times New Roman" w:hAnsi="Times New Roman" w:eastAsia="黑体"/>
          <w:b w:val="0"/>
          <w:color w:val="auto"/>
        </w:rPr>
      </w:pPr>
      <w:bookmarkStart w:id="101" w:name="_Toc3481976"/>
      <w:bookmarkStart w:id="102" w:name="_Toc3473611"/>
      <w:bookmarkStart w:id="103" w:name="_Toc66217051"/>
      <w:bookmarkStart w:id="104" w:name="_Toc294702664"/>
      <w:bookmarkStart w:id="105" w:name="_Toc288728448"/>
      <w:bookmarkStart w:id="106" w:name="_Toc351815310"/>
      <w:bookmarkStart w:id="107" w:name="_Toc352569455"/>
      <w:bookmarkStart w:id="108" w:name="_Toc353718225"/>
      <w:r>
        <w:rPr>
          <w:rFonts w:hint="eastAsia" w:ascii="Times New Roman" w:hAnsi="Times New Roman" w:eastAsia="黑体"/>
          <w:b w:val="0"/>
          <w:color w:val="auto"/>
        </w:rPr>
        <w:t>（一）优化土地供应</w:t>
      </w:r>
      <w:bookmarkEnd w:id="101"/>
      <w:bookmarkEnd w:id="102"/>
      <w:bookmarkEnd w:id="103"/>
      <w:bookmarkEnd w:id="104"/>
      <w:bookmarkEnd w:id="105"/>
      <w:bookmarkEnd w:id="106"/>
      <w:bookmarkEnd w:id="107"/>
      <w:bookmarkEnd w:id="108"/>
      <w:r>
        <w:rPr>
          <w:rFonts w:hint="eastAsia" w:ascii="Times New Roman" w:hAnsi="Times New Roman" w:eastAsia="黑体"/>
          <w:b w:val="0"/>
          <w:color w:val="auto"/>
        </w:rPr>
        <w:t>结构</w:t>
      </w:r>
    </w:p>
    <w:p w14:paraId="06F86B2A">
      <w:pPr>
        <w:ind w:firstLine="560" w:firstLineChars="200"/>
        <w:rPr>
          <w:rFonts w:eastAsia="仿宋_GB2312"/>
          <w:color w:val="auto"/>
          <w:sz w:val="28"/>
          <w:szCs w:val="28"/>
        </w:rPr>
      </w:pPr>
      <w:r>
        <w:rPr>
          <w:rFonts w:hint="eastAsia" w:eastAsia="仿宋_GB2312"/>
          <w:color w:val="auto"/>
          <w:sz w:val="28"/>
          <w:szCs w:val="28"/>
        </w:rPr>
        <w:t>继续完善国土空间规划与管控，深入实施区域的协调发展战略，结合博罗实际，以电子信息、新材料、电动车、生命健康等四大主导产业为主方向，以智能装备产业园和产业转移工业园为主平台，招大引强、招新引优，强化土地、人才、技术、资金等要素保障，推进制造业高质量发展，构建博罗特色现代化产业体系。加快城区基础和公共服务配套。积极建设新型城镇化，推进中心城镇和特色小镇建设，探索城乡产业发展协同化、城乡基础设施一体化、城乡基本公共服务均等化等。依据国民经济和社会发展规划，结合国土空间规划以及其他相关规划的编制和实施，科学配置各区域土地资源，全面推进城乡一体化发展。</w:t>
      </w:r>
    </w:p>
    <w:p w14:paraId="37C1EAB3">
      <w:pPr>
        <w:pStyle w:val="4"/>
        <w:numPr>
          <w:ilvl w:val="0"/>
          <w:numId w:val="0"/>
        </w:numPr>
        <w:spacing w:before="156" w:beforeLines="50" w:after="156" w:afterLines="50" w:line="360" w:lineRule="auto"/>
        <w:ind w:firstLine="600" w:firstLineChars="200"/>
        <w:rPr>
          <w:rFonts w:ascii="Times New Roman" w:hAnsi="Times New Roman" w:eastAsia="黑体"/>
          <w:b w:val="0"/>
          <w:color w:val="auto"/>
        </w:rPr>
      </w:pPr>
      <w:bookmarkStart w:id="109" w:name="_Toc3473612"/>
      <w:bookmarkStart w:id="110" w:name="_Toc66217052"/>
      <w:bookmarkStart w:id="111" w:name="_Toc352569456"/>
      <w:bookmarkStart w:id="112" w:name="_Toc3481977"/>
      <w:bookmarkStart w:id="113" w:name="_Toc351815311"/>
      <w:bookmarkStart w:id="114" w:name="_Toc288728449"/>
      <w:bookmarkStart w:id="115" w:name="_Toc353718226"/>
      <w:bookmarkStart w:id="116" w:name="_Toc294702665"/>
      <w:r>
        <w:rPr>
          <w:rFonts w:hint="eastAsia" w:ascii="Times New Roman" w:hAnsi="Times New Roman" w:eastAsia="黑体"/>
          <w:b w:val="0"/>
          <w:color w:val="auto"/>
        </w:rPr>
        <w:t>（二）</w:t>
      </w:r>
      <w:bookmarkEnd w:id="109"/>
      <w:bookmarkEnd w:id="110"/>
      <w:bookmarkEnd w:id="111"/>
      <w:bookmarkEnd w:id="112"/>
      <w:bookmarkEnd w:id="113"/>
      <w:bookmarkEnd w:id="114"/>
      <w:bookmarkEnd w:id="115"/>
      <w:bookmarkEnd w:id="116"/>
      <w:r>
        <w:rPr>
          <w:rFonts w:hint="eastAsia" w:ascii="Times New Roman" w:hAnsi="Times New Roman" w:eastAsia="黑体"/>
          <w:b w:val="0"/>
          <w:color w:val="auto"/>
        </w:rPr>
        <w:t>深化推进土地节约集约利用</w:t>
      </w:r>
    </w:p>
    <w:p w14:paraId="6036097D">
      <w:pPr>
        <w:ind w:firstLine="560" w:firstLineChars="200"/>
        <w:rPr>
          <w:rFonts w:eastAsia="仿宋_GB2312"/>
          <w:color w:val="auto"/>
          <w:sz w:val="28"/>
          <w:szCs w:val="28"/>
        </w:rPr>
      </w:pPr>
      <w:r>
        <w:rPr>
          <w:rFonts w:hint="eastAsia" w:eastAsia="仿宋_GB2312"/>
          <w:color w:val="auto"/>
          <w:sz w:val="28"/>
          <w:szCs w:val="28"/>
        </w:rPr>
        <w:t>深化供给侧结构性改革。落实建设用地“增存挂钩”机制，坚持最严格的节约集约用地制度，科学研判我县建设用地需求。每宗建设用地必须提高投入产出的强度，提高土地利用的集约化程度；通过整合置换和储备，合理安排土地供应的数量和节奏，改善建设用地结构、布局，挖掘用地潜力，提高土地配置和利用效率；完善并严格执行建设项目的用地标准和相关控制性指标，建立土地供应用地标准管理机制，存进基础设施、公共服务设施等项目用地的集约利用。</w:t>
      </w:r>
    </w:p>
    <w:p w14:paraId="0E3B8A0A">
      <w:pPr>
        <w:pStyle w:val="4"/>
        <w:numPr>
          <w:ilvl w:val="0"/>
          <w:numId w:val="0"/>
        </w:numPr>
        <w:spacing w:before="156" w:beforeLines="50" w:after="156" w:afterLines="50" w:line="360" w:lineRule="auto"/>
        <w:ind w:firstLine="600" w:firstLineChars="200"/>
        <w:rPr>
          <w:rFonts w:ascii="Times New Roman" w:hAnsi="Times New Roman" w:eastAsia="黑体"/>
          <w:b w:val="0"/>
          <w:color w:val="auto"/>
        </w:rPr>
      </w:pPr>
      <w:bookmarkStart w:id="117" w:name="_Toc352569457"/>
      <w:bookmarkStart w:id="118" w:name="_Toc66217053"/>
      <w:bookmarkStart w:id="119" w:name="_Toc288728450"/>
      <w:bookmarkStart w:id="120" w:name="_Toc351815312"/>
      <w:bookmarkStart w:id="121" w:name="_Toc353718227"/>
      <w:bookmarkStart w:id="122" w:name="_Toc3473613"/>
      <w:bookmarkStart w:id="123" w:name="_Toc3481978"/>
      <w:bookmarkStart w:id="124" w:name="_Toc294702666"/>
      <w:r>
        <w:rPr>
          <w:rFonts w:hint="eastAsia" w:ascii="Times New Roman" w:hAnsi="Times New Roman" w:eastAsia="黑体"/>
          <w:b w:val="0"/>
          <w:color w:val="auto"/>
        </w:rPr>
        <w:t>（三）发挥市场配置资源基础性作用</w:t>
      </w:r>
      <w:bookmarkEnd w:id="117"/>
      <w:bookmarkEnd w:id="118"/>
      <w:bookmarkEnd w:id="119"/>
      <w:bookmarkEnd w:id="120"/>
      <w:bookmarkEnd w:id="121"/>
      <w:bookmarkEnd w:id="122"/>
      <w:bookmarkEnd w:id="123"/>
      <w:bookmarkEnd w:id="124"/>
    </w:p>
    <w:p w14:paraId="10AE8DC0">
      <w:pPr>
        <w:ind w:firstLine="560" w:firstLineChars="200"/>
        <w:rPr>
          <w:rFonts w:eastAsia="仿宋_GB2312"/>
          <w:color w:val="auto"/>
          <w:sz w:val="28"/>
          <w:szCs w:val="28"/>
        </w:rPr>
      </w:pPr>
      <w:bookmarkStart w:id="125" w:name="_Toc351899517"/>
      <w:bookmarkStart w:id="126" w:name="_Toc3481979"/>
      <w:bookmarkStart w:id="127" w:name="_Toc3473614"/>
      <w:bookmarkStart w:id="128" w:name="_Toc415497001"/>
      <w:bookmarkStart w:id="129" w:name="_Toc382299070"/>
      <w:bookmarkStart w:id="130" w:name="_Toc66217054"/>
      <w:r>
        <w:rPr>
          <w:rFonts w:hint="eastAsia" w:eastAsia="仿宋_GB2312"/>
          <w:color w:val="auto"/>
          <w:sz w:val="28"/>
          <w:szCs w:val="28"/>
        </w:rPr>
        <w:t>深化土地使用制度改革，推进土地市场建设，完善市场规则、规范市场行为，不断发挥市场配置土地资源的基础性作用。严格落实工业和经营性用地招标拍卖挂牌出让制度。土地一级开发倡导统一规划成片综合实施，分块推向市场的原则。开展竞争性的基础设施和公共服务设施用地招标、拍卖、挂牌方式出让试点工作。根据供需情况，合理制定出让计划，秉持公开、公平、公正的市场竞争原则，实现土地资源的节约集约利用，优化土地利用结构，发挥土地调节市场的重要作用。</w:t>
      </w:r>
    </w:p>
    <w:p w14:paraId="26F4A341">
      <w:pPr>
        <w:pStyle w:val="4"/>
        <w:numPr>
          <w:ilvl w:val="0"/>
          <w:numId w:val="0"/>
        </w:numPr>
        <w:spacing w:before="156" w:beforeLines="50" w:after="156" w:afterLines="50" w:line="360" w:lineRule="auto"/>
        <w:ind w:firstLine="600" w:firstLineChars="200"/>
        <w:rPr>
          <w:rFonts w:ascii="Times New Roman" w:hAnsi="Times New Roman" w:eastAsia="黑体"/>
          <w:b w:val="0"/>
          <w:color w:val="auto"/>
        </w:rPr>
      </w:pPr>
      <w:r>
        <w:rPr>
          <w:rFonts w:hint="eastAsia" w:ascii="Times New Roman" w:hAnsi="Times New Roman" w:eastAsia="黑体"/>
          <w:b w:val="0"/>
          <w:color w:val="auto"/>
        </w:rPr>
        <w:t>（四）合理确定土地储备规模，确保土地供应</w:t>
      </w:r>
      <w:bookmarkEnd w:id="125"/>
      <w:bookmarkEnd w:id="126"/>
      <w:bookmarkEnd w:id="127"/>
      <w:bookmarkEnd w:id="128"/>
      <w:bookmarkEnd w:id="129"/>
      <w:bookmarkEnd w:id="130"/>
    </w:p>
    <w:p w14:paraId="27AF20B4">
      <w:pPr>
        <w:ind w:firstLine="560" w:firstLineChars="200"/>
        <w:rPr>
          <w:rFonts w:eastAsia="仿宋_GB2312"/>
          <w:color w:val="auto"/>
          <w:sz w:val="28"/>
          <w:szCs w:val="28"/>
        </w:rPr>
      </w:pPr>
      <w:r>
        <w:rPr>
          <w:rFonts w:hint="eastAsia" w:eastAsia="仿宋_GB2312"/>
          <w:color w:val="auto"/>
          <w:sz w:val="28"/>
          <w:szCs w:val="28"/>
        </w:rPr>
        <w:t>《土地储备管理办法》规定：“各地应根据国民经济和社会发展规划、国土规划、土地利用总体规划、城乡规划等，编制土地储备三年滚动计划，合理确定未来三年土地储备规模，对三年内可收储的土地资源，在总量、结构、布局、时序等方面做出统筹安排，优先储备空闲、低效利用等存量建设用地”。深化“政府主导、市场化运作”的土地储备开发模式，切实加强政府在土地征收、收购、储备、供应过程中的主导性作用，合理确定政府土地储备量, 确保土地供应。</w:t>
      </w:r>
    </w:p>
    <w:p w14:paraId="4F9F034F">
      <w:pPr>
        <w:pStyle w:val="36"/>
        <w:tabs>
          <w:tab w:val="left" w:pos="420"/>
          <w:tab w:val="clear" w:pos="2580"/>
        </w:tabs>
        <w:spacing w:before="156" w:beforeLines="50" w:after="156" w:afterLines="50"/>
        <w:ind w:left="0" w:firstLine="640" w:firstLineChars="200"/>
        <w:rPr>
          <w:rFonts w:eastAsia="黑体"/>
          <w:b w:val="0"/>
          <w:color w:val="auto"/>
          <w:sz w:val="32"/>
          <w:szCs w:val="32"/>
        </w:rPr>
      </w:pPr>
      <w:bookmarkStart w:id="131" w:name="_Toc352569458"/>
      <w:bookmarkStart w:id="132" w:name="_Toc351815313"/>
      <w:bookmarkStart w:id="133" w:name="_Toc3481981"/>
      <w:bookmarkStart w:id="134" w:name="_Toc294702667"/>
      <w:bookmarkStart w:id="135" w:name="_Toc288728451"/>
      <w:bookmarkStart w:id="136" w:name="_Toc353718228"/>
      <w:bookmarkStart w:id="137" w:name="_Toc66217056"/>
      <w:bookmarkStart w:id="138" w:name="_Toc3473616"/>
      <w:r>
        <w:rPr>
          <w:rFonts w:hint="eastAsia" w:eastAsia="黑体"/>
          <w:b w:val="0"/>
          <w:color w:val="auto"/>
          <w:sz w:val="32"/>
          <w:szCs w:val="32"/>
        </w:rPr>
        <w:t>保障措施</w:t>
      </w:r>
      <w:bookmarkEnd w:id="131"/>
      <w:bookmarkEnd w:id="132"/>
      <w:bookmarkEnd w:id="133"/>
      <w:bookmarkEnd w:id="134"/>
      <w:bookmarkEnd w:id="135"/>
      <w:bookmarkEnd w:id="136"/>
      <w:bookmarkEnd w:id="137"/>
      <w:bookmarkEnd w:id="138"/>
    </w:p>
    <w:p w14:paraId="77CD91E5">
      <w:pPr>
        <w:pStyle w:val="4"/>
        <w:numPr>
          <w:ilvl w:val="0"/>
          <w:numId w:val="0"/>
        </w:numPr>
        <w:spacing w:before="156" w:beforeLines="50" w:after="156" w:afterLines="50" w:line="360" w:lineRule="auto"/>
        <w:ind w:firstLine="600" w:firstLineChars="200"/>
        <w:rPr>
          <w:rFonts w:ascii="Times New Roman" w:hAnsi="Times New Roman" w:eastAsia="黑体"/>
          <w:b w:val="0"/>
          <w:color w:val="auto"/>
        </w:rPr>
      </w:pPr>
      <w:bookmarkStart w:id="139" w:name="_Toc508900102"/>
      <w:bookmarkStart w:id="140" w:name="_Toc509149383"/>
      <w:bookmarkStart w:id="141" w:name="_Toc66217057"/>
      <w:bookmarkStart w:id="142" w:name="_Toc3473617"/>
      <w:bookmarkStart w:id="143" w:name="_Toc3481982"/>
      <w:r>
        <w:rPr>
          <w:rFonts w:hint="eastAsia" w:ascii="Times New Roman" w:hAnsi="Times New Roman" w:eastAsia="黑体"/>
          <w:b w:val="0"/>
          <w:color w:val="auto"/>
        </w:rPr>
        <w:t>（一）积极争取新增建设用地指标</w:t>
      </w:r>
      <w:bookmarkEnd w:id="139"/>
      <w:bookmarkEnd w:id="140"/>
      <w:bookmarkEnd w:id="141"/>
      <w:bookmarkEnd w:id="142"/>
      <w:bookmarkEnd w:id="143"/>
    </w:p>
    <w:p w14:paraId="4613C3DA">
      <w:pPr>
        <w:ind w:firstLine="560" w:firstLineChars="200"/>
        <w:rPr>
          <w:rFonts w:eastAsia="仿宋_GB2312"/>
          <w:color w:val="auto"/>
          <w:sz w:val="28"/>
          <w:szCs w:val="28"/>
        </w:rPr>
      </w:pPr>
      <w:r>
        <w:rPr>
          <w:rFonts w:hint="eastAsia" w:eastAsia="仿宋_GB2312"/>
          <w:color w:val="auto"/>
          <w:sz w:val="28"/>
          <w:szCs w:val="28"/>
        </w:rPr>
        <w:t>为保证土地供应顺利实施，要积极主动向省自然资源厅和惠州市自然资源局沟通协调，争取新增建设用地指标。通过积极的沟通协调，及时了解到新增建设用地指标审批过程中存在的问题，并制定行之有效的解决方案解决问题，缩短指标审批时间，尽快落实新增建设用地指标。</w:t>
      </w:r>
    </w:p>
    <w:p w14:paraId="324021F9">
      <w:pPr>
        <w:pStyle w:val="4"/>
        <w:numPr>
          <w:ilvl w:val="0"/>
          <w:numId w:val="0"/>
        </w:numPr>
        <w:spacing w:before="156" w:beforeLines="50" w:after="156" w:afterLines="50" w:line="360" w:lineRule="auto"/>
        <w:ind w:firstLine="600" w:firstLineChars="200"/>
        <w:rPr>
          <w:rFonts w:ascii="Times New Roman" w:hAnsi="Times New Roman" w:eastAsia="黑体"/>
          <w:b w:val="0"/>
          <w:color w:val="auto"/>
        </w:rPr>
      </w:pPr>
      <w:bookmarkStart w:id="144" w:name="_Toc3481983"/>
      <w:bookmarkStart w:id="145" w:name="_Toc509149384"/>
      <w:bookmarkStart w:id="146" w:name="_Toc66217058"/>
      <w:bookmarkStart w:id="147" w:name="_Toc508900103"/>
      <w:bookmarkStart w:id="148" w:name="_Toc3473618"/>
      <w:r>
        <w:rPr>
          <w:rFonts w:hint="eastAsia" w:ascii="Times New Roman" w:hAnsi="Times New Roman" w:eastAsia="黑体"/>
          <w:b w:val="0"/>
          <w:color w:val="auto"/>
        </w:rPr>
        <w:t>（二）</w:t>
      </w:r>
      <w:bookmarkEnd w:id="144"/>
      <w:bookmarkEnd w:id="145"/>
      <w:bookmarkEnd w:id="146"/>
      <w:bookmarkEnd w:id="147"/>
      <w:bookmarkEnd w:id="148"/>
      <w:bookmarkStart w:id="149" w:name="_Toc3481985"/>
      <w:bookmarkStart w:id="150" w:name="_Toc509149386"/>
      <w:bookmarkStart w:id="151" w:name="_Toc66217060"/>
      <w:bookmarkStart w:id="152" w:name="_Toc508900105"/>
      <w:bookmarkStart w:id="153" w:name="_Toc3473620"/>
      <w:r>
        <w:rPr>
          <w:rFonts w:hint="eastAsia" w:ascii="Times New Roman" w:hAnsi="Times New Roman" w:eastAsia="黑体"/>
          <w:b w:val="0"/>
          <w:color w:val="auto"/>
        </w:rPr>
        <w:t>积极开展城乡建设用地增减挂钩工作</w:t>
      </w:r>
      <w:bookmarkEnd w:id="149"/>
      <w:bookmarkEnd w:id="150"/>
      <w:bookmarkEnd w:id="151"/>
      <w:bookmarkEnd w:id="152"/>
      <w:bookmarkEnd w:id="153"/>
    </w:p>
    <w:p w14:paraId="26AA1C86">
      <w:pPr>
        <w:ind w:firstLine="560" w:firstLineChars="200"/>
        <w:rPr>
          <w:rFonts w:eastAsia="仿宋_GB2312"/>
          <w:color w:val="auto"/>
          <w:sz w:val="28"/>
          <w:szCs w:val="28"/>
        </w:rPr>
      </w:pPr>
      <w:r>
        <w:rPr>
          <w:rFonts w:hint="eastAsia" w:eastAsia="仿宋_GB2312"/>
          <w:color w:val="auto"/>
          <w:sz w:val="28"/>
          <w:szCs w:val="28"/>
        </w:rPr>
        <w:t>从全国来讲，开展城乡建设用地增减挂钩工作是今后解决建设用地指标不足最有效的措施，也是消除城乡二元结构，缩小城乡差别的有效途径。具体讲，就是在耕地总量不减少，建设用地规模不扩大的原则下，通过农村村庄土地整理，减少农村居民点建设用地，用于增加城镇建设用地，解决城镇建设用地指标不足的问题。建议结合新农村建设，合理布局规划，大力复垦整理原有农村居民点建设用地，复垦整理出的耕地，可直接用于增加城镇建设用地指标。这样做，既可争取一定额度的城镇建设用地指标，又可大力推进新农村建设，可谓“一举两得”。</w:t>
      </w:r>
    </w:p>
    <w:p w14:paraId="49427E5F">
      <w:pPr>
        <w:pStyle w:val="4"/>
        <w:numPr>
          <w:ilvl w:val="0"/>
          <w:numId w:val="0"/>
        </w:numPr>
        <w:spacing w:before="156" w:beforeLines="50" w:after="156" w:afterLines="50" w:line="360" w:lineRule="auto"/>
        <w:ind w:firstLine="600" w:firstLineChars="200"/>
        <w:rPr>
          <w:rFonts w:ascii="Times New Roman" w:hAnsi="Times New Roman" w:eastAsia="黑体"/>
          <w:b w:val="0"/>
          <w:color w:val="auto"/>
        </w:rPr>
      </w:pPr>
      <w:bookmarkStart w:id="154" w:name="_Toc508900106"/>
      <w:bookmarkStart w:id="155" w:name="_Toc3473621"/>
      <w:bookmarkStart w:id="156" w:name="_Toc3481986"/>
      <w:bookmarkStart w:id="157" w:name="_Toc509149387"/>
      <w:bookmarkStart w:id="158" w:name="_Toc66217061"/>
      <w:r>
        <w:rPr>
          <w:rFonts w:hint="eastAsia" w:ascii="Times New Roman" w:hAnsi="Times New Roman" w:eastAsia="黑体"/>
          <w:b w:val="0"/>
          <w:color w:val="auto"/>
        </w:rPr>
        <w:t>（</w:t>
      </w:r>
      <w:r>
        <w:rPr>
          <w:rFonts w:hint="eastAsia" w:ascii="Times New Roman" w:hAnsi="Times New Roman" w:eastAsia="黑体"/>
          <w:b w:val="0"/>
          <w:color w:val="auto"/>
          <w:lang w:val="en-US" w:eastAsia="zh-CN"/>
        </w:rPr>
        <w:t>三</w:t>
      </w:r>
      <w:r>
        <w:rPr>
          <w:rFonts w:hint="eastAsia" w:ascii="Times New Roman" w:hAnsi="Times New Roman" w:eastAsia="黑体"/>
          <w:b w:val="0"/>
          <w:color w:val="auto"/>
        </w:rPr>
        <w:t>）指标分类管理</w:t>
      </w:r>
      <w:bookmarkEnd w:id="154"/>
      <w:bookmarkEnd w:id="155"/>
      <w:bookmarkEnd w:id="156"/>
      <w:bookmarkEnd w:id="157"/>
      <w:bookmarkEnd w:id="158"/>
    </w:p>
    <w:p w14:paraId="628B06F3">
      <w:pPr>
        <w:ind w:firstLine="560" w:firstLineChars="200"/>
        <w:rPr>
          <w:rFonts w:eastAsia="仿宋_GB2312"/>
          <w:color w:val="auto"/>
          <w:sz w:val="28"/>
          <w:szCs w:val="28"/>
        </w:rPr>
      </w:pPr>
      <w:r>
        <w:rPr>
          <w:rFonts w:hint="eastAsia" w:eastAsia="仿宋_GB2312"/>
          <w:color w:val="auto"/>
          <w:sz w:val="28"/>
          <w:szCs w:val="28"/>
        </w:rPr>
        <w:t>本着“区域协调、分类指导、保障重点”的原则，202</w:t>
      </w:r>
      <w:r>
        <w:rPr>
          <w:rFonts w:hint="eastAsia" w:eastAsia="仿宋_GB2312"/>
          <w:color w:val="auto"/>
          <w:sz w:val="28"/>
          <w:szCs w:val="28"/>
          <w:lang w:val="en-US" w:eastAsia="zh-CN"/>
        </w:rPr>
        <w:t>5</w:t>
      </w:r>
      <w:r>
        <w:rPr>
          <w:rFonts w:hint="eastAsia" w:eastAsia="仿宋_GB2312"/>
          <w:color w:val="auto"/>
          <w:sz w:val="28"/>
          <w:szCs w:val="28"/>
        </w:rPr>
        <w:t>年度我县国有建设用地供应计划指标实行分类管理，全县交通运输用地、公共管理与公共服务用地等政策性指标实行全县统筹安排；商服用地、住宅用地和工矿仓储用地等约束性指标分解落实到各镇和具体地块，保障重点项目的同时合理安排其他项目供地。</w:t>
      </w:r>
    </w:p>
    <w:p w14:paraId="2558F727">
      <w:pPr>
        <w:pStyle w:val="4"/>
        <w:numPr>
          <w:ilvl w:val="0"/>
          <w:numId w:val="0"/>
        </w:numPr>
        <w:spacing w:before="156" w:beforeLines="50" w:after="156" w:afterLines="50" w:line="360" w:lineRule="auto"/>
        <w:ind w:firstLine="600" w:firstLineChars="200"/>
        <w:rPr>
          <w:rFonts w:ascii="Times New Roman" w:hAnsi="Times New Roman" w:eastAsia="黑体"/>
          <w:b w:val="0"/>
          <w:color w:val="auto"/>
        </w:rPr>
      </w:pPr>
      <w:bookmarkStart w:id="159" w:name="_Toc66217062"/>
      <w:bookmarkStart w:id="160" w:name="_Toc3481987"/>
      <w:bookmarkStart w:id="161" w:name="_Toc509149388"/>
      <w:bookmarkStart w:id="162" w:name="_Toc508900107"/>
      <w:bookmarkStart w:id="163" w:name="_Toc3473622"/>
      <w:r>
        <w:rPr>
          <w:rFonts w:hint="eastAsia" w:ascii="Times New Roman" w:hAnsi="Times New Roman" w:eastAsia="黑体"/>
          <w:b w:val="0"/>
          <w:color w:val="auto"/>
        </w:rPr>
        <w:t>（</w:t>
      </w:r>
      <w:r>
        <w:rPr>
          <w:rFonts w:hint="eastAsia" w:ascii="Times New Roman" w:hAnsi="Times New Roman" w:eastAsia="黑体"/>
          <w:b w:val="0"/>
          <w:color w:val="auto"/>
          <w:lang w:val="en-US" w:eastAsia="zh-CN"/>
        </w:rPr>
        <w:t>四</w:t>
      </w:r>
      <w:r>
        <w:rPr>
          <w:rFonts w:hint="eastAsia" w:ascii="Times New Roman" w:hAnsi="Times New Roman" w:eastAsia="黑体"/>
          <w:b w:val="0"/>
          <w:color w:val="auto"/>
        </w:rPr>
        <w:t>）</w:t>
      </w:r>
      <w:bookmarkEnd w:id="159"/>
      <w:bookmarkEnd w:id="160"/>
      <w:bookmarkEnd w:id="161"/>
      <w:bookmarkEnd w:id="162"/>
      <w:bookmarkEnd w:id="163"/>
      <w:bookmarkStart w:id="164" w:name="_Toc66217064"/>
      <w:bookmarkStart w:id="165" w:name="_Toc3473624"/>
      <w:bookmarkStart w:id="166" w:name="_Toc3481989"/>
      <w:bookmarkStart w:id="167" w:name="_Toc508900109"/>
      <w:bookmarkStart w:id="168" w:name="_Toc509149390"/>
      <w:r>
        <w:rPr>
          <w:rFonts w:hint="eastAsia" w:ascii="Times New Roman" w:hAnsi="Times New Roman" w:eastAsia="黑体"/>
          <w:b w:val="0"/>
          <w:color w:val="auto"/>
        </w:rPr>
        <w:t>加强政府相关部门协作，保证计划指标有效落实　</w:t>
      </w:r>
    </w:p>
    <w:p w14:paraId="6829449E">
      <w:pPr>
        <w:ind w:firstLine="560" w:firstLineChars="200"/>
        <w:rPr>
          <w:rFonts w:eastAsia="仿宋_GB2312"/>
          <w:color w:val="auto"/>
          <w:sz w:val="28"/>
          <w:szCs w:val="28"/>
        </w:rPr>
      </w:pPr>
      <w:r>
        <w:rPr>
          <w:rFonts w:hint="eastAsia" w:eastAsia="仿宋_GB2312"/>
          <w:color w:val="auto"/>
          <w:sz w:val="28"/>
          <w:szCs w:val="28"/>
        </w:rPr>
        <w:t>县政府和县有关行业主管部门按职责分工，项目地块从前期规划到出让，再到供后监管所涉及的各部门大力协作和支持，有效缩短项目的各项前期工作，节约人力资源，加快推进计划实施。应建立完善统筹协调、组织有序、运转高效、保障有力的土地出让工作机制和责任机制。加强县政府、县自然资源局、县发改局</w:t>
      </w:r>
      <w:r>
        <w:rPr>
          <w:rFonts w:hint="eastAsia" w:eastAsia="仿宋_GB2312"/>
          <w:color w:val="auto"/>
          <w:sz w:val="28"/>
          <w:szCs w:val="28"/>
          <w:lang w:eastAsia="zh-CN"/>
        </w:rPr>
        <w:t>、</w:t>
      </w:r>
      <w:r>
        <w:rPr>
          <w:rFonts w:hint="eastAsia" w:eastAsia="仿宋_GB2312"/>
          <w:color w:val="auto"/>
          <w:sz w:val="28"/>
          <w:szCs w:val="28"/>
          <w:lang w:val="en-US" w:eastAsia="zh-CN"/>
        </w:rPr>
        <w:t>县工信局、各镇街</w:t>
      </w:r>
      <w:r>
        <w:rPr>
          <w:rFonts w:hint="eastAsia" w:eastAsia="仿宋_GB2312"/>
          <w:color w:val="auto"/>
          <w:sz w:val="28"/>
          <w:szCs w:val="28"/>
        </w:rPr>
        <w:t>等相关部门的沟通和协作，共同组织做好建设项目用地前期准备工作，充分发挥职能优势，做好计划实施工作。对于重点建设项目用地要提前介入、跟踪，保障项目顺利进行，切实满足项目建设用地需求。</w:t>
      </w:r>
    </w:p>
    <w:p w14:paraId="732A93F4">
      <w:pPr>
        <w:pStyle w:val="4"/>
        <w:numPr>
          <w:ilvl w:val="0"/>
          <w:numId w:val="0"/>
        </w:numPr>
        <w:spacing w:before="156" w:beforeLines="50" w:after="156" w:afterLines="50" w:line="360" w:lineRule="auto"/>
        <w:ind w:firstLine="600" w:firstLineChars="200"/>
        <w:rPr>
          <w:rFonts w:ascii="宋体" w:hAnsi="宋体" w:cs="宋体"/>
          <w:color w:val="auto"/>
          <w:sz w:val="22"/>
          <w:szCs w:val="22"/>
        </w:rPr>
      </w:pPr>
      <w:r>
        <w:rPr>
          <w:rFonts w:ascii="Times New Roman" w:hAnsi="Times New Roman" w:eastAsia="黑体"/>
          <w:b w:val="0"/>
          <w:color w:val="auto"/>
        </w:rPr>
        <w:t>（</w:t>
      </w:r>
      <w:r>
        <w:rPr>
          <w:rFonts w:hint="eastAsia" w:ascii="Times New Roman" w:hAnsi="Times New Roman" w:eastAsia="黑体"/>
          <w:b w:val="0"/>
          <w:color w:val="auto"/>
          <w:lang w:val="en-US" w:eastAsia="zh-CN"/>
        </w:rPr>
        <w:t>五</w:t>
      </w:r>
      <w:r>
        <w:rPr>
          <w:rFonts w:ascii="Times New Roman" w:hAnsi="Times New Roman" w:eastAsia="黑体"/>
          <w:b w:val="0"/>
          <w:color w:val="auto"/>
        </w:rPr>
        <w:t>）强化供后监管　</w:t>
      </w:r>
      <w:r>
        <w:rPr>
          <w:rFonts w:ascii="宋体" w:hAnsi="宋体" w:cs="宋体"/>
          <w:color w:val="auto"/>
          <w:sz w:val="22"/>
          <w:szCs w:val="22"/>
        </w:rPr>
        <w:t>　</w:t>
      </w:r>
    </w:p>
    <w:p w14:paraId="703DF83C">
      <w:pPr>
        <w:ind w:firstLine="560" w:firstLineChars="200"/>
        <w:rPr>
          <w:rFonts w:eastAsia="仿宋_GB2312"/>
          <w:color w:val="auto"/>
          <w:sz w:val="28"/>
          <w:szCs w:val="28"/>
        </w:rPr>
      </w:pPr>
      <w:r>
        <w:rPr>
          <w:rFonts w:eastAsia="仿宋_GB2312"/>
          <w:color w:val="auto"/>
          <w:sz w:val="28"/>
          <w:szCs w:val="28"/>
        </w:rPr>
        <w:t>严格规范建设用地供应，切实加强建设用地供后监管。建立土地供应项目监管制度，对供应计划的执行情况跟踪，及时掌握土地开发利用状况，判断土地市场的流量情况，督促各项建设依法依规用地，及时发现问题、解决问题，提高土地利用效率。</w:t>
      </w:r>
    </w:p>
    <w:bookmarkEnd w:id="164"/>
    <w:bookmarkEnd w:id="165"/>
    <w:bookmarkEnd w:id="166"/>
    <w:bookmarkEnd w:id="167"/>
    <w:bookmarkEnd w:id="168"/>
    <w:p w14:paraId="020FE152">
      <w:pPr>
        <w:ind w:firstLine="560" w:firstLineChars="200"/>
        <w:rPr>
          <w:rFonts w:eastAsia="仿宋_GB2312"/>
          <w:color w:val="auto"/>
          <w:sz w:val="28"/>
          <w:szCs w:val="28"/>
        </w:rPr>
        <w:sectPr>
          <w:headerReference r:id="rId6" w:type="default"/>
          <w:footerReference r:id="rId7" w:type="default"/>
          <w:pgSz w:w="11906" w:h="16838"/>
          <w:pgMar w:top="1701" w:right="1701" w:bottom="1701" w:left="1701" w:header="851" w:footer="992" w:gutter="0"/>
          <w:pgBorders>
            <w:top w:val="none" w:sz="0" w:space="0"/>
            <w:left w:val="none" w:sz="0" w:space="0"/>
            <w:bottom w:val="none" w:sz="0" w:space="0"/>
            <w:right w:val="none" w:sz="0" w:space="0"/>
          </w:pgBorders>
          <w:pgNumType w:start="1"/>
          <w:cols w:space="425" w:num="1"/>
          <w:docGrid w:type="lines" w:linePitch="312" w:charSpace="0"/>
        </w:sectPr>
      </w:pPr>
      <w:bookmarkStart w:id="169" w:name="_Toc294702670"/>
    </w:p>
    <w:bookmarkEnd w:id="169"/>
    <w:p w14:paraId="7C17C6F8">
      <w:pPr>
        <w:pStyle w:val="36"/>
        <w:numPr>
          <w:ilvl w:val="0"/>
          <w:numId w:val="0"/>
        </w:numPr>
        <w:spacing w:before="156" w:beforeLines="50" w:after="156" w:afterLines="50"/>
        <w:rPr>
          <w:rFonts w:eastAsia="黑体"/>
          <w:b w:val="0"/>
          <w:color w:val="auto"/>
          <w:sz w:val="32"/>
          <w:szCs w:val="32"/>
        </w:rPr>
      </w:pPr>
      <w:bookmarkStart w:id="170" w:name="_Toc294702707"/>
      <w:bookmarkStart w:id="171" w:name="_Toc3473654"/>
      <w:bookmarkStart w:id="172" w:name="_Toc288728454"/>
      <w:bookmarkStart w:id="173" w:name="_Toc3482019"/>
      <w:bookmarkStart w:id="174" w:name="_Toc353718263"/>
      <w:bookmarkStart w:id="175" w:name="_Toc352569493"/>
      <w:bookmarkStart w:id="176" w:name="_Toc66217094"/>
      <w:bookmarkStart w:id="177" w:name="_Toc351815348"/>
      <w:bookmarkStart w:id="178" w:name="_Ref288727809"/>
      <w:r>
        <w:rPr>
          <w:rFonts w:hint="eastAsia" w:eastAsia="黑体"/>
          <w:b w:val="0"/>
          <w:color w:val="auto"/>
          <w:sz w:val="32"/>
          <w:szCs w:val="32"/>
        </w:rPr>
        <w:t>九、附表</w:t>
      </w:r>
      <w:bookmarkEnd w:id="170"/>
      <w:bookmarkEnd w:id="171"/>
      <w:bookmarkEnd w:id="172"/>
      <w:bookmarkEnd w:id="173"/>
      <w:bookmarkEnd w:id="174"/>
      <w:bookmarkEnd w:id="175"/>
      <w:bookmarkEnd w:id="176"/>
      <w:bookmarkEnd w:id="177"/>
    </w:p>
    <w:bookmarkEnd w:id="178"/>
    <w:p w14:paraId="36541400">
      <w:pPr>
        <w:pStyle w:val="4"/>
        <w:numPr>
          <w:ilvl w:val="0"/>
          <w:numId w:val="0"/>
        </w:numPr>
        <w:spacing w:before="0" w:after="0" w:line="360" w:lineRule="auto"/>
        <w:ind w:firstLine="640" w:firstLineChars="200"/>
        <w:rPr>
          <w:rFonts w:ascii="Times New Roman" w:hAnsi="Times New Roman"/>
          <w:color w:val="auto"/>
          <w:sz w:val="32"/>
        </w:rPr>
      </w:pPr>
      <w:bookmarkStart w:id="179" w:name="_Ref320175131"/>
      <w:bookmarkStart w:id="180" w:name="_Toc352569494"/>
      <w:bookmarkStart w:id="181" w:name="_Toc66217095"/>
      <w:bookmarkStart w:id="182" w:name="_Toc294702708"/>
      <w:bookmarkStart w:id="183" w:name="_Toc288728455"/>
      <w:bookmarkStart w:id="184" w:name="_Toc351815349"/>
      <w:bookmarkStart w:id="185" w:name="_Toc353718264"/>
      <w:bookmarkStart w:id="186" w:name="_Toc3473655"/>
      <w:bookmarkStart w:id="187" w:name="_Toc3482020"/>
      <w:r>
        <w:rPr>
          <w:rFonts w:hint="eastAsia" w:ascii="Times New Roman" w:hAnsi="Times New Roman"/>
          <w:color w:val="auto"/>
          <w:sz w:val="32"/>
        </w:rPr>
        <w:t>附表</w:t>
      </w:r>
      <w:r>
        <w:rPr>
          <w:rFonts w:hint="eastAsia" w:ascii="Times New Roman" w:hAnsi="Times New Roman"/>
          <w:color w:val="auto"/>
          <w:sz w:val="32"/>
        </w:rPr>
        <w:fldChar w:fldCharType="begin"/>
      </w:r>
      <w:r>
        <w:rPr>
          <w:rFonts w:hint="eastAsia" w:ascii="Times New Roman" w:hAnsi="Times New Roman"/>
          <w:color w:val="auto"/>
          <w:sz w:val="32"/>
        </w:rPr>
        <w:instrText xml:space="preserve"> SEQ 附表 \* ARABIC </w:instrText>
      </w:r>
      <w:r>
        <w:rPr>
          <w:rFonts w:hint="eastAsia" w:ascii="Times New Roman" w:hAnsi="Times New Roman"/>
          <w:color w:val="auto"/>
          <w:sz w:val="32"/>
        </w:rPr>
        <w:fldChar w:fldCharType="separate"/>
      </w:r>
      <w:r>
        <w:rPr>
          <w:rFonts w:ascii="Times New Roman" w:hAnsi="Times New Roman"/>
          <w:color w:val="auto"/>
          <w:sz w:val="32"/>
        </w:rPr>
        <w:t>1</w:t>
      </w:r>
      <w:r>
        <w:rPr>
          <w:rFonts w:hint="eastAsia" w:ascii="Times New Roman" w:hAnsi="Times New Roman"/>
          <w:color w:val="auto"/>
          <w:sz w:val="32"/>
        </w:rPr>
        <w:fldChar w:fldCharType="end"/>
      </w:r>
      <w:bookmarkEnd w:id="179"/>
      <w:r>
        <w:rPr>
          <w:rFonts w:hint="eastAsia" w:ascii="Times New Roman" w:hAnsi="Times New Roman"/>
          <w:color w:val="auto"/>
          <w:sz w:val="32"/>
        </w:rPr>
        <w:t>：博罗县202</w:t>
      </w:r>
      <w:r>
        <w:rPr>
          <w:rFonts w:hint="eastAsia" w:ascii="Times New Roman" w:hAnsi="Times New Roman"/>
          <w:color w:val="auto"/>
          <w:sz w:val="32"/>
          <w:lang w:val="en-US" w:eastAsia="zh-CN"/>
        </w:rPr>
        <w:t>5</w:t>
      </w:r>
      <w:r>
        <w:rPr>
          <w:rFonts w:hint="eastAsia" w:ascii="Times New Roman" w:hAnsi="Times New Roman"/>
          <w:color w:val="auto"/>
          <w:sz w:val="32"/>
        </w:rPr>
        <w:t>年度国有建设用地供应计划表</w:t>
      </w:r>
      <w:bookmarkEnd w:id="180"/>
      <w:bookmarkEnd w:id="181"/>
      <w:bookmarkEnd w:id="182"/>
      <w:bookmarkEnd w:id="183"/>
      <w:bookmarkEnd w:id="184"/>
      <w:bookmarkEnd w:id="185"/>
      <w:bookmarkEnd w:id="186"/>
      <w:bookmarkEnd w:id="187"/>
    </w:p>
    <w:p w14:paraId="311D3B4D">
      <w:pPr>
        <w:widowControl/>
        <w:spacing w:line="360" w:lineRule="auto"/>
        <w:jc w:val="center"/>
        <w:rPr>
          <w:rFonts w:eastAsia="仿宋_GB2312" w:cs="宋体"/>
          <w:color w:val="auto"/>
          <w:kern w:val="0"/>
          <w:sz w:val="32"/>
          <w:szCs w:val="36"/>
        </w:rPr>
      </w:pPr>
      <w:r>
        <w:rPr>
          <w:rFonts w:hint="eastAsia" w:eastAsia="仿宋_GB2312" w:cs="宋体"/>
          <w:color w:val="auto"/>
          <w:kern w:val="0"/>
          <w:sz w:val="32"/>
          <w:szCs w:val="36"/>
        </w:rPr>
        <w:t>博罗县202</w:t>
      </w:r>
      <w:r>
        <w:rPr>
          <w:rFonts w:hint="eastAsia" w:eastAsia="仿宋_GB2312" w:cs="宋体"/>
          <w:color w:val="auto"/>
          <w:kern w:val="0"/>
          <w:sz w:val="32"/>
          <w:szCs w:val="36"/>
          <w:lang w:val="en-US" w:eastAsia="zh-CN"/>
        </w:rPr>
        <w:t>5</w:t>
      </w:r>
      <w:r>
        <w:rPr>
          <w:rFonts w:hint="eastAsia" w:eastAsia="仿宋_GB2312" w:cs="宋体"/>
          <w:color w:val="auto"/>
          <w:kern w:val="0"/>
          <w:sz w:val="32"/>
          <w:szCs w:val="36"/>
        </w:rPr>
        <w:t>年度国有建设用地供应计划表</w:t>
      </w:r>
    </w:p>
    <w:p w14:paraId="22029E68">
      <w:pPr>
        <w:widowControl/>
        <w:spacing w:line="360" w:lineRule="auto"/>
        <w:jc w:val="right"/>
        <w:rPr>
          <w:rFonts w:eastAsia="仿宋_GB2312" w:cs="宋体"/>
          <w:color w:val="auto"/>
          <w:kern w:val="0"/>
          <w:sz w:val="24"/>
        </w:rPr>
      </w:pPr>
      <w:r>
        <w:rPr>
          <w:rFonts w:hint="eastAsia" w:eastAsia="仿宋_GB2312" w:cs="宋体"/>
          <w:color w:val="auto"/>
          <w:kern w:val="0"/>
          <w:sz w:val="24"/>
        </w:rPr>
        <w:t>单位：公顷</w:t>
      </w:r>
    </w:p>
    <w:tbl>
      <w:tblPr>
        <w:tblStyle w:val="25"/>
        <w:tblW w:w="5650" w:type="pct"/>
        <w:tblInd w:w="-88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7"/>
        <w:gridCol w:w="970"/>
        <w:gridCol w:w="855"/>
        <w:gridCol w:w="940"/>
        <w:gridCol w:w="727"/>
        <w:gridCol w:w="727"/>
        <w:gridCol w:w="765"/>
        <w:gridCol w:w="711"/>
        <w:gridCol w:w="849"/>
        <w:gridCol w:w="874"/>
        <w:gridCol w:w="849"/>
        <w:gridCol w:w="714"/>
        <w:gridCol w:w="571"/>
        <w:gridCol w:w="568"/>
        <w:gridCol w:w="571"/>
        <w:gridCol w:w="562"/>
        <w:gridCol w:w="670"/>
        <w:gridCol w:w="487"/>
        <w:gridCol w:w="430"/>
        <w:gridCol w:w="685"/>
        <w:gridCol w:w="1018"/>
        <w:gridCol w:w="858"/>
      </w:tblGrid>
      <w:tr w14:paraId="0D9CD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31" w:type="pct"/>
            <w:vMerge w:val="restart"/>
            <w:shd w:val="clear" w:color="auto" w:fill="auto"/>
            <w:vAlign w:val="center"/>
          </w:tcPr>
          <w:p w14:paraId="4B420477">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区县</w:t>
            </w:r>
          </w:p>
        </w:tc>
        <w:tc>
          <w:tcPr>
            <w:tcW w:w="300" w:type="pct"/>
            <w:vMerge w:val="restart"/>
            <w:shd w:val="clear" w:color="auto" w:fill="auto"/>
            <w:vAlign w:val="center"/>
          </w:tcPr>
          <w:p w14:paraId="6136CA4F">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合计</w:t>
            </w:r>
          </w:p>
        </w:tc>
        <w:tc>
          <w:tcPr>
            <w:tcW w:w="264" w:type="pct"/>
            <w:vMerge w:val="restart"/>
            <w:shd w:val="clear" w:color="auto" w:fill="auto"/>
            <w:vAlign w:val="center"/>
          </w:tcPr>
          <w:p w14:paraId="1BB969ED">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商服用地</w:t>
            </w:r>
          </w:p>
        </w:tc>
        <w:tc>
          <w:tcPr>
            <w:tcW w:w="291" w:type="pct"/>
            <w:vMerge w:val="restart"/>
            <w:shd w:val="clear" w:color="auto" w:fill="auto"/>
            <w:vAlign w:val="center"/>
          </w:tcPr>
          <w:p w14:paraId="62448693">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工矿仓储用地</w:t>
            </w:r>
          </w:p>
        </w:tc>
        <w:tc>
          <w:tcPr>
            <w:tcW w:w="225" w:type="pct"/>
            <w:vMerge w:val="restart"/>
            <w:shd w:val="clear" w:color="auto" w:fill="auto"/>
            <w:vAlign w:val="center"/>
          </w:tcPr>
          <w:p w14:paraId="60E31C56">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公共管理与服务用地</w:t>
            </w:r>
          </w:p>
        </w:tc>
        <w:tc>
          <w:tcPr>
            <w:tcW w:w="225" w:type="pct"/>
            <w:vMerge w:val="restart"/>
            <w:shd w:val="clear" w:color="auto" w:fill="auto"/>
            <w:vAlign w:val="center"/>
          </w:tcPr>
          <w:p w14:paraId="2980BAAB">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交通运输用地</w:t>
            </w:r>
          </w:p>
        </w:tc>
        <w:tc>
          <w:tcPr>
            <w:tcW w:w="236" w:type="pct"/>
            <w:vMerge w:val="restart"/>
            <w:shd w:val="clear" w:color="auto" w:fill="auto"/>
            <w:vAlign w:val="center"/>
          </w:tcPr>
          <w:p w14:paraId="0EA0D768">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水域及水利设施用地</w:t>
            </w:r>
          </w:p>
        </w:tc>
        <w:tc>
          <w:tcPr>
            <w:tcW w:w="220" w:type="pct"/>
            <w:vMerge w:val="restart"/>
            <w:shd w:val="clear" w:color="auto" w:fill="auto"/>
            <w:vAlign w:val="center"/>
          </w:tcPr>
          <w:p w14:paraId="4A183E16">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特殊用地</w:t>
            </w:r>
          </w:p>
        </w:tc>
        <w:tc>
          <w:tcPr>
            <w:tcW w:w="2424" w:type="pct"/>
            <w:gridSpan w:val="12"/>
            <w:tcBorders>
              <w:bottom w:val="nil"/>
            </w:tcBorders>
            <w:shd w:val="clear" w:color="auto" w:fill="auto"/>
            <w:noWrap/>
            <w:vAlign w:val="center"/>
          </w:tcPr>
          <w:p w14:paraId="6A167381">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住房用地</w:t>
            </w:r>
          </w:p>
        </w:tc>
        <w:tc>
          <w:tcPr>
            <w:tcW w:w="315" w:type="pct"/>
            <w:vMerge w:val="restart"/>
            <w:shd w:val="clear" w:color="auto" w:fill="auto"/>
            <w:vAlign w:val="center"/>
          </w:tcPr>
          <w:p w14:paraId="32C13CC8">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住房用地中存量面积</w:t>
            </w:r>
          </w:p>
        </w:tc>
        <w:tc>
          <w:tcPr>
            <w:tcW w:w="265" w:type="pct"/>
            <w:vMerge w:val="restart"/>
            <w:shd w:val="clear" w:color="auto" w:fill="auto"/>
            <w:vAlign w:val="center"/>
          </w:tcPr>
          <w:p w14:paraId="706EFB4B">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住房用地中增量面积</w:t>
            </w:r>
          </w:p>
        </w:tc>
      </w:tr>
      <w:tr w14:paraId="7941D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31" w:type="pct"/>
            <w:vMerge w:val="continue"/>
            <w:shd w:val="clear" w:color="auto" w:fill="auto"/>
            <w:vAlign w:val="center"/>
          </w:tcPr>
          <w:p w14:paraId="12AA375A">
            <w:pPr>
              <w:widowControl/>
              <w:adjustRightInd w:val="0"/>
              <w:snapToGrid w:val="0"/>
              <w:jc w:val="center"/>
              <w:rPr>
                <w:rFonts w:eastAsia="仿宋_GB2312" w:cs="宋体"/>
                <w:b/>
                <w:color w:val="auto"/>
                <w:kern w:val="0"/>
                <w:szCs w:val="21"/>
              </w:rPr>
            </w:pPr>
          </w:p>
        </w:tc>
        <w:tc>
          <w:tcPr>
            <w:tcW w:w="300" w:type="pct"/>
            <w:vMerge w:val="continue"/>
            <w:shd w:val="clear" w:color="auto" w:fill="auto"/>
            <w:vAlign w:val="center"/>
          </w:tcPr>
          <w:p w14:paraId="56390B21">
            <w:pPr>
              <w:widowControl/>
              <w:adjustRightInd w:val="0"/>
              <w:snapToGrid w:val="0"/>
              <w:jc w:val="center"/>
              <w:rPr>
                <w:rFonts w:eastAsia="仿宋_GB2312" w:cs="宋体"/>
                <w:b/>
                <w:color w:val="auto"/>
                <w:kern w:val="0"/>
                <w:szCs w:val="21"/>
              </w:rPr>
            </w:pPr>
          </w:p>
        </w:tc>
        <w:tc>
          <w:tcPr>
            <w:tcW w:w="264" w:type="pct"/>
            <w:vMerge w:val="continue"/>
            <w:shd w:val="clear" w:color="auto" w:fill="auto"/>
            <w:vAlign w:val="center"/>
          </w:tcPr>
          <w:p w14:paraId="2546CCA3">
            <w:pPr>
              <w:widowControl/>
              <w:adjustRightInd w:val="0"/>
              <w:snapToGrid w:val="0"/>
              <w:jc w:val="center"/>
              <w:rPr>
                <w:rFonts w:eastAsia="仿宋_GB2312" w:cs="宋体"/>
                <w:b/>
                <w:color w:val="auto"/>
                <w:kern w:val="0"/>
                <w:szCs w:val="21"/>
              </w:rPr>
            </w:pPr>
          </w:p>
        </w:tc>
        <w:tc>
          <w:tcPr>
            <w:tcW w:w="291" w:type="pct"/>
            <w:vMerge w:val="continue"/>
            <w:shd w:val="clear" w:color="auto" w:fill="auto"/>
            <w:vAlign w:val="center"/>
          </w:tcPr>
          <w:p w14:paraId="703D3D77">
            <w:pPr>
              <w:widowControl/>
              <w:adjustRightInd w:val="0"/>
              <w:snapToGrid w:val="0"/>
              <w:jc w:val="center"/>
              <w:rPr>
                <w:rFonts w:eastAsia="仿宋_GB2312" w:cs="宋体"/>
                <w:b/>
                <w:color w:val="auto"/>
                <w:kern w:val="0"/>
                <w:szCs w:val="21"/>
              </w:rPr>
            </w:pPr>
          </w:p>
        </w:tc>
        <w:tc>
          <w:tcPr>
            <w:tcW w:w="225" w:type="pct"/>
            <w:vMerge w:val="continue"/>
            <w:shd w:val="clear" w:color="auto" w:fill="auto"/>
            <w:vAlign w:val="center"/>
          </w:tcPr>
          <w:p w14:paraId="0603A6A0">
            <w:pPr>
              <w:widowControl/>
              <w:adjustRightInd w:val="0"/>
              <w:snapToGrid w:val="0"/>
              <w:jc w:val="center"/>
              <w:rPr>
                <w:rFonts w:eastAsia="仿宋_GB2312" w:cs="宋体"/>
                <w:b/>
                <w:color w:val="auto"/>
                <w:kern w:val="0"/>
                <w:szCs w:val="21"/>
              </w:rPr>
            </w:pPr>
          </w:p>
        </w:tc>
        <w:tc>
          <w:tcPr>
            <w:tcW w:w="225" w:type="pct"/>
            <w:vMerge w:val="continue"/>
            <w:shd w:val="clear" w:color="auto" w:fill="auto"/>
            <w:vAlign w:val="center"/>
          </w:tcPr>
          <w:p w14:paraId="65CD2CF9">
            <w:pPr>
              <w:widowControl/>
              <w:adjustRightInd w:val="0"/>
              <w:snapToGrid w:val="0"/>
              <w:jc w:val="center"/>
              <w:rPr>
                <w:rFonts w:eastAsia="仿宋_GB2312" w:cs="宋体"/>
                <w:b/>
                <w:color w:val="auto"/>
                <w:kern w:val="0"/>
                <w:szCs w:val="21"/>
              </w:rPr>
            </w:pPr>
          </w:p>
        </w:tc>
        <w:tc>
          <w:tcPr>
            <w:tcW w:w="236" w:type="pct"/>
            <w:vMerge w:val="continue"/>
            <w:shd w:val="clear" w:color="auto" w:fill="auto"/>
            <w:vAlign w:val="center"/>
          </w:tcPr>
          <w:p w14:paraId="2EBEED6B">
            <w:pPr>
              <w:widowControl/>
              <w:adjustRightInd w:val="0"/>
              <w:snapToGrid w:val="0"/>
              <w:jc w:val="center"/>
              <w:rPr>
                <w:rFonts w:eastAsia="仿宋_GB2312" w:cs="宋体"/>
                <w:b/>
                <w:color w:val="auto"/>
                <w:kern w:val="0"/>
                <w:szCs w:val="21"/>
              </w:rPr>
            </w:pPr>
          </w:p>
        </w:tc>
        <w:tc>
          <w:tcPr>
            <w:tcW w:w="220" w:type="pct"/>
            <w:vMerge w:val="continue"/>
            <w:shd w:val="clear" w:color="auto" w:fill="auto"/>
            <w:vAlign w:val="center"/>
          </w:tcPr>
          <w:p w14:paraId="18953AD3">
            <w:pPr>
              <w:widowControl/>
              <w:adjustRightInd w:val="0"/>
              <w:snapToGrid w:val="0"/>
              <w:jc w:val="center"/>
              <w:rPr>
                <w:rFonts w:eastAsia="仿宋_GB2312" w:cs="宋体"/>
                <w:b/>
                <w:color w:val="auto"/>
                <w:kern w:val="0"/>
                <w:szCs w:val="21"/>
              </w:rPr>
            </w:pPr>
          </w:p>
        </w:tc>
        <w:tc>
          <w:tcPr>
            <w:tcW w:w="262" w:type="pct"/>
            <w:vMerge w:val="restart"/>
            <w:tcBorders>
              <w:top w:val="nil"/>
            </w:tcBorders>
            <w:shd w:val="clear" w:color="auto" w:fill="auto"/>
            <w:noWrap/>
            <w:vAlign w:val="center"/>
          </w:tcPr>
          <w:p w14:paraId="587BC73B">
            <w:pPr>
              <w:widowControl/>
              <w:adjustRightInd w:val="0"/>
              <w:snapToGrid w:val="0"/>
              <w:jc w:val="center"/>
              <w:rPr>
                <w:rFonts w:eastAsia="仿宋_GB2312" w:cs="宋体"/>
                <w:b/>
                <w:color w:val="auto"/>
                <w:kern w:val="0"/>
                <w:szCs w:val="21"/>
              </w:rPr>
            </w:pPr>
          </w:p>
        </w:tc>
        <w:tc>
          <w:tcPr>
            <w:tcW w:w="533" w:type="pct"/>
            <w:gridSpan w:val="2"/>
            <w:tcBorders>
              <w:bottom w:val="nil"/>
            </w:tcBorders>
            <w:shd w:val="clear" w:color="auto" w:fill="auto"/>
            <w:noWrap/>
            <w:vAlign w:val="center"/>
          </w:tcPr>
          <w:p w14:paraId="4F89EE72">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商品住房用地</w:t>
            </w:r>
          </w:p>
        </w:tc>
        <w:tc>
          <w:tcPr>
            <w:tcW w:w="1628" w:type="pct"/>
            <w:gridSpan w:val="9"/>
            <w:shd w:val="clear" w:color="auto" w:fill="auto"/>
            <w:noWrap/>
            <w:vAlign w:val="center"/>
          </w:tcPr>
          <w:p w14:paraId="5BA26608">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保障性安居工程用地</w:t>
            </w:r>
          </w:p>
        </w:tc>
        <w:tc>
          <w:tcPr>
            <w:tcW w:w="315" w:type="pct"/>
            <w:vMerge w:val="continue"/>
            <w:shd w:val="clear" w:color="auto" w:fill="auto"/>
            <w:vAlign w:val="center"/>
          </w:tcPr>
          <w:p w14:paraId="2F4E2ADE">
            <w:pPr>
              <w:widowControl/>
              <w:adjustRightInd w:val="0"/>
              <w:snapToGrid w:val="0"/>
              <w:jc w:val="center"/>
              <w:rPr>
                <w:rFonts w:eastAsia="仿宋_GB2312" w:cs="宋体"/>
                <w:b/>
                <w:color w:val="auto"/>
                <w:kern w:val="0"/>
                <w:szCs w:val="21"/>
              </w:rPr>
            </w:pPr>
          </w:p>
        </w:tc>
        <w:tc>
          <w:tcPr>
            <w:tcW w:w="265" w:type="pct"/>
            <w:vMerge w:val="continue"/>
            <w:shd w:val="clear" w:color="auto" w:fill="auto"/>
            <w:vAlign w:val="center"/>
          </w:tcPr>
          <w:p w14:paraId="2ED1D511">
            <w:pPr>
              <w:widowControl/>
              <w:adjustRightInd w:val="0"/>
              <w:snapToGrid w:val="0"/>
              <w:jc w:val="center"/>
              <w:rPr>
                <w:rFonts w:eastAsia="仿宋_GB2312" w:cs="宋体"/>
                <w:b/>
                <w:color w:val="auto"/>
                <w:kern w:val="0"/>
                <w:szCs w:val="21"/>
              </w:rPr>
            </w:pPr>
          </w:p>
        </w:tc>
      </w:tr>
      <w:tr w14:paraId="5A8F0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31" w:type="pct"/>
            <w:vMerge w:val="continue"/>
            <w:shd w:val="clear" w:color="auto" w:fill="auto"/>
            <w:vAlign w:val="center"/>
          </w:tcPr>
          <w:p w14:paraId="0B2359E5">
            <w:pPr>
              <w:widowControl/>
              <w:adjustRightInd w:val="0"/>
              <w:snapToGrid w:val="0"/>
              <w:jc w:val="center"/>
              <w:rPr>
                <w:rFonts w:eastAsia="仿宋_GB2312" w:cs="宋体"/>
                <w:b/>
                <w:color w:val="auto"/>
                <w:kern w:val="0"/>
                <w:szCs w:val="21"/>
              </w:rPr>
            </w:pPr>
          </w:p>
        </w:tc>
        <w:tc>
          <w:tcPr>
            <w:tcW w:w="300" w:type="pct"/>
            <w:vMerge w:val="continue"/>
            <w:shd w:val="clear" w:color="auto" w:fill="auto"/>
            <w:vAlign w:val="center"/>
          </w:tcPr>
          <w:p w14:paraId="153ACE95">
            <w:pPr>
              <w:widowControl/>
              <w:adjustRightInd w:val="0"/>
              <w:snapToGrid w:val="0"/>
              <w:jc w:val="center"/>
              <w:rPr>
                <w:rFonts w:eastAsia="仿宋_GB2312" w:cs="宋体"/>
                <w:b/>
                <w:color w:val="auto"/>
                <w:kern w:val="0"/>
                <w:szCs w:val="21"/>
              </w:rPr>
            </w:pPr>
          </w:p>
        </w:tc>
        <w:tc>
          <w:tcPr>
            <w:tcW w:w="264" w:type="pct"/>
            <w:vMerge w:val="continue"/>
            <w:shd w:val="clear" w:color="auto" w:fill="auto"/>
            <w:vAlign w:val="center"/>
          </w:tcPr>
          <w:p w14:paraId="2D4B6EFE">
            <w:pPr>
              <w:widowControl/>
              <w:adjustRightInd w:val="0"/>
              <w:snapToGrid w:val="0"/>
              <w:jc w:val="center"/>
              <w:rPr>
                <w:rFonts w:eastAsia="仿宋_GB2312" w:cs="宋体"/>
                <w:b/>
                <w:color w:val="auto"/>
                <w:kern w:val="0"/>
                <w:szCs w:val="21"/>
              </w:rPr>
            </w:pPr>
          </w:p>
        </w:tc>
        <w:tc>
          <w:tcPr>
            <w:tcW w:w="291" w:type="pct"/>
            <w:vMerge w:val="continue"/>
            <w:shd w:val="clear" w:color="auto" w:fill="auto"/>
            <w:vAlign w:val="center"/>
          </w:tcPr>
          <w:p w14:paraId="76976AD2">
            <w:pPr>
              <w:widowControl/>
              <w:adjustRightInd w:val="0"/>
              <w:snapToGrid w:val="0"/>
              <w:jc w:val="center"/>
              <w:rPr>
                <w:rFonts w:eastAsia="仿宋_GB2312" w:cs="宋体"/>
                <w:b/>
                <w:color w:val="auto"/>
                <w:kern w:val="0"/>
                <w:szCs w:val="21"/>
              </w:rPr>
            </w:pPr>
          </w:p>
        </w:tc>
        <w:tc>
          <w:tcPr>
            <w:tcW w:w="225" w:type="pct"/>
            <w:vMerge w:val="continue"/>
            <w:shd w:val="clear" w:color="auto" w:fill="auto"/>
            <w:vAlign w:val="center"/>
          </w:tcPr>
          <w:p w14:paraId="1FA83E49">
            <w:pPr>
              <w:widowControl/>
              <w:adjustRightInd w:val="0"/>
              <w:snapToGrid w:val="0"/>
              <w:jc w:val="center"/>
              <w:rPr>
                <w:rFonts w:eastAsia="仿宋_GB2312" w:cs="宋体"/>
                <w:b/>
                <w:color w:val="auto"/>
                <w:kern w:val="0"/>
                <w:szCs w:val="21"/>
              </w:rPr>
            </w:pPr>
          </w:p>
        </w:tc>
        <w:tc>
          <w:tcPr>
            <w:tcW w:w="225" w:type="pct"/>
            <w:vMerge w:val="continue"/>
            <w:shd w:val="clear" w:color="auto" w:fill="auto"/>
            <w:vAlign w:val="center"/>
          </w:tcPr>
          <w:p w14:paraId="6D34A5ED">
            <w:pPr>
              <w:widowControl/>
              <w:adjustRightInd w:val="0"/>
              <w:snapToGrid w:val="0"/>
              <w:jc w:val="center"/>
              <w:rPr>
                <w:rFonts w:eastAsia="仿宋_GB2312" w:cs="宋体"/>
                <w:b/>
                <w:color w:val="auto"/>
                <w:kern w:val="0"/>
                <w:szCs w:val="21"/>
              </w:rPr>
            </w:pPr>
          </w:p>
        </w:tc>
        <w:tc>
          <w:tcPr>
            <w:tcW w:w="236" w:type="pct"/>
            <w:vMerge w:val="continue"/>
            <w:shd w:val="clear" w:color="auto" w:fill="auto"/>
            <w:vAlign w:val="center"/>
          </w:tcPr>
          <w:p w14:paraId="0C50D1CA">
            <w:pPr>
              <w:widowControl/>
              <w:adjustRightInd w:val="0"/>
              <w:snapToGrid w:val="0"/>
              <w:jc w:val="center"/>
              <w:rPr>
                <w:rFonts w:eastAsia="仿宋_GB2312" w:cs="宋体"/>
                <w:b/>
                <w:color w:val="auto"/>
                <w:kern w:val="0"/>
                <w:szCs w:val="21"/>
              </w:rPr>
            </w:pPr>
          </w:p>
        </w:tc>
        <w:tc>
          <w:tcPr>
            <w:tcW w:w="220" w:type="pct"/>
            <w:vMerge w:val="continue"/>
            <w:shd w:val="clear" w:color="auto" w:fill="auto"/>
            <w:vAlign w:val="center"/>
          </w:tcPr>
          <w:p w14:paraId="3E92075D">
            <w:pPr>
              <w:widowControl/>
              <w:adjustRightInd w:val="0"/>
              <w:snapToGrid w:val="0"/>
              <w:jc w:val="center"/>
              <w:rPr>
                <w:rFonts w:eastAsia="仿宋_GB2312" w:cs="宋体"/>
                <w:b/>
                <w:color w:val="auto"/>
                <w:kern w:val="0"/>
                <w:szCs w:val="21"/>
              </w:rPr>
            </w:pPr>
          </w:p>
        </w:tc>
        <w:tc>
          <w:tcPr>
            <w:tcW w:w="262" w:type="pct"/>
            <w:vMerge w:val="continue"/>
            <w:tcBorders>
              <w:top w:val="nil"/>
            </w:tcBorders>
            <w:shd w:val="clear" w:color="auto" w:fill="auto"/>
            <w:vAlign w:val="center"/>
          </w:tcPr>
          <w:p w14:paraId="30559726">
            <w:pPr>
              <w:widowControl/>
              <w:adjustRightInd w:val="0"/>
              <w:snapToGrid w:val="0"/>
              <w:jc w:val="center"/>
              <w:rPr>
                <w:rFonts w:eastAsia="仿宋_GB2312" w:cs="宋体"/>
                <w:b/>
                <w:color w:val="auto"/>
                <w:kern w:val="0"/>
                <w:szCs w:val="21"/>
              </w:rPr>
            </w:pPr>
          </w:p>
        </w:tc>
        <w:tc>
          <w:tcPr>
            <w:tcW w:w="270" w:type="pct"/>
            <w:vMerge w:val="restart"/>
            <w:tcBorders>
              <w:top w:val="nil"/>
            </w:tcBorders>
            <w:shd w:val="clear" w:color="auto" w:fill="auto"/>
            <w:noWrap/>
            <w:vAlign w:val="center"/>
          </w:tcPr>
          <w:p w14:paraId="675C74F1">
            <w:pPr>
              <w:widowControl/>
              <w:adjustRightInd w:val="0"/>
              <w:snapToGrid w:val="0"/>
              <w:jc w:val="center"/>
              <w:rPr>
                <w:rFonts w:eastAsia="仿宋_GB2312" w:cs="宋体"/>
                <w:b/>
                <w:color w:val="auto"/>
                <w:kern w:val="0"/>
                <w:szCs w:val="21"/>
              </w:rPr>
            </w:pPr>
          </w:p>
        </w:tc>
        <w:tc>
          <w:tcPr>
            <w:tcW w:w="262" w:type="pct"/>
            <w:vMerge w:val="restart"/>
            <w:shd w:val="clear" w:color="auto" w:fill="auto"/>
            <w:vAlign w:val="center"/>
          </w:tcPr>
          <w:p w14:paraId="15521B74">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其中中小套型商品住房</w:t>
            </w:r>
          </w:p>
        </w:tc>
        <w:tc>
          <w:tcPr>
            <w:tcW w:w="397" w:type="pct"/>
            <w:gridSpan w:val="2"/>
            <w:shd w:val="clear" w:color="auto" w:fill="auto"/>
            <w:noWrap/>
            <w:vAlign w:val="center"/>
          </w:tcPr>
          <w:p w14:paraId="2650CE63">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保障性住房用地</w:t>
            </w:r>
          </w:p>
        </w:tc>
        <w:tc>
          <w:tcPr>
            <w:tcW w:w="734" w:type="pct"/>
            <w:gridSpan w:val="4"/>
            <w:tcBorders>
              <w:bottom w:val="nil"/>
            </w:tcBorders>
            <w:shd w:val="clear" w:color="auto" w:fill="auto"/>
            <w:noWrap/>
            <w:vAlign w:val="center"/>
          </w:tcPr>
          <w:p w14:paraId="72BE87A0">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各类棚户区改造用地</w:t>
            </w:r>
          </w:p>
        </w:tc>
        <w:tc>
          <w:tcPr>
            <w:tcW w:w="283" w:type="pct"/>
            <w:gridSpan w:val="2"/>
            <w:shd w:val="clear" w:color="auto" w:fill="auto"/>
            <w:noWrap/>
            <w:vAlign w:val="center"/>
          </w:tcPr>
          <w:p w14:paraId="6F34F8AC">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公共租赁房</w:t>
            </w:r>
          </w:p>
        </w:tc>
        <w:tc>
          <w:tcPr>
            <w:tcW w:w="212" w:type="pct"/>
            <w:vMerge w:val="restart"/>
            <w:shd w:val="clear" w:color="auto" w:fill="auto"/>
            <w:vAlign w:val="center"/>
          </w:tcPr>
          <w:p w14:paraId="163BE8F6">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限价商品房</w:t>
            </w:r>
          </w:p>
        </w:tc>
        <w:tc>
          <w:tcPr>
            <w:tcW w:w="315" w:type="pct"/>
            <w:vMerge w:val="continue"/>
            <w:shd w:val="clear" w:color="auto" w:fill="auto"/>
            <w:vAlign w:val="center"/>
          </w:tcPr>
          <w:p w14:paraId="0286A407">
            <w:pPr>
              <w:widowControl/>
              <w:adjustRightInd w:val="0"/>
              <w:snapToGrid w:val="0"/>
              <w:jc w:val="center"/>
              <w:rPr>
                <w:rFonts w:eastAsia="仿宋_GB2312" w:cs="宋体"/>
                <w:b/>
                <w:color w:val="auto"/>
                <w:kern w:val="0"/>
                <w:szCs w:val="21"/>
              </w:rPr>
            </w:pPr>
          </w:p>
        </w:tc>
        <w:tc>
          <w:tcPr>
            <w:tcW w:w="265" w:type="pct"/>
            <w:vMerge w:val="continue"/>
            <w:shd w:val="clear" w:color="auto" w:fill="auto"/>
            <w:vAlign w:val="center"/>
          </w:tcPr>
          <w:p w14:paraId="713C0467">
            <w:pPr>
              <w:widowControl/>
              <w:adjustRightInd w:val="0"/>
              <w:snapToGrid w:val="0"/>
              <w:jc w:val="center"/>
              <w:rPr>
                <w:rFonts w:eastAsia="仿宋_GB2312" w:cs="宋体"/>
                <w:b/>
                <w:color w:val="auto"/>
                <w:kern w:val="0"/>
                <w:szCs w:val="21"/>
              </w:rPr>
            </w:pPr>
          </w:p>
        </w:tc>
      </w:tr>
      <w:tr w14:paraId="36946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31" w:type="pct"/>
            <w:vMerge w:val="continue"/>
            <w:shd w:val="clear" w:color="auto" w:fill="auto"/>
            <w:vAlign w:val="center"/>
          </w:tcPr>
          <w:p w14:paraId="55DEDFAC">
            <w:pPr>
              <w:widowControl/>
              <w:adjustRightInd w:val="0"/>
              <w:snapToGrid w:val="0"/>
              <w:jc w:val="center"/>
              <w:rPr>
                <w:rFonts w:eastAsia="仿宋_GB2312" w:cs="宋体"/>
                <w:b/>
                <w:color w:val="auto"/>
                <w:kern w:val="0"/>
                <w:szCs w:val="21"/>
              </w:rPr>
            </w:pPr>
          </w:p>
        </w:tc>
        <w:tc>
          <w:tcPr>
            <w:tcW w:w="300" w:type="pct"/>
            <w:vMerge w:val="continue"/>
            <w:shd w:val="clear" w:color="auto" w:fill="auto"/>
            <w:vAlign w:val="center"/>
          </w:tcPr>
          <w:p w14:paraId="7D1951BB">
            <w:pPr>
              <w:widowControl/>
              <w:adjustRightInd w:val="0"/>
              <w:snapToGrid w:val="0"/>
              <w:jc w:val="center"/>
              <w:rPr>
                <w:rFonts w:eastAsia="仿宋_GB2312" w:cs="宋体"/>
                <w:b/>
                <w:color w:val="auto"/>
                <w:kern w:val="0"/>
                <w:szCs w:val="21"/>
              </w:rPr>
            </w:pPr>
          </w:p>
        </w:tc>
        <w:tc>
          <w:tcPr>
            <w:tcW w:w="264" w:type="pct"/>
            <w:vMerge w:val="continue"/>
            <w:shd w:val="clear" w:color="auto" w:fill="auto"/>
            <w:vAlign w:val="center"/>
          </w:tcPr>
          <w:p w14:paraId="574065FD">
            <w:pPr>
              <w:widowControl/>
              <w:adjustRightInd w:val="0"/>
              <w:snapToGrid w:val="0"/>
              <w:jc w:val="center"/>
              <w:rPr>
                <w:rFonts w:eastAsia="仿宋_GB2312" w:cs="宋体"/>
                <w:b/>
                <w:color w:val="auto"/>
                <w:kern w:val="0"/>
                <w:szCs w:val="21"/>
              </w:rPr>
            </w:pPr>
          </w:p>
        </w:tc>
        <w:tc>
          <w:tcPr>
            <w:tcW w:w="291" w:type="pct"/>
            <w:vMerge w:val="continue"/>
            <w:shd w:val="clear" w:color="auto" w:fill="auto"/>
            <w:vAlign w:val="center"/>
          </w:tcPr>
          <w:p w14:paraId="27B56E6A">
            <w:pPr>
              <w:widowControl/>
              <w:adjustRightInd w:val="0"/>
              <w:snapToGrid w:val="0"/>
              <w:jc w:val="center"/>
              <w:rPr>
                <w:rFonts w:eastAsia="仿宋_GB2312" w:cs="宋体"/>
                <w:b/>
                <w:color w:val="auto"/>
                <w:kern w:val="0"/>
                <w:szCs w:val="21"/>
              </w:rPr>
            </w:pPr>
          </w:p>
        </w:tc>
        <w:tc>
          <w:tcPr>
            <w:tcW w:w="225" w:type="pct"/>
            <w:vMerge w:val="continue"/>
            <w:shd w:val="clear" w:color="auto" w:fill="auto"/>
            <w:vAlign w:val="center"/>
          </w:tcPr>
          <w:p w14:paraId="36859364">
            <w:pPr>
              <w:widowControl/>
              <w:adjustRightInd w:val="0"/>
              <w:snapToGrid w:val="0"/>
              <w:jc w:val="center"/>
              <w:rPr>
                <w:rFonts w:eastAsia="仿宋_GB2312" w:cs="宋体"/>
                <w:b/>
                <w:color w:val="auto"/>
                <w:kern w:val="0"/>
                <w:szCs w:val="21"/>
              </w:rPr>
            </w:pPr>
          </w:p>
        </w:tc>
        <w:tc>
          <w:tcPr>
            <w:tcW w:w="225" w:type="pct"/>
            <w:vMerge w:val="continue"/>
            <w:shd w:val="clear" w:color="auto" w:fill="auto"/>
            <w:vAlign w:val="center"/>
          </w:tcPr>
          <w:p w14:paraId="4275BDBD">
            <w:pPr>
              <w:widowControl/>
              <w:adjustRightInd w:val="0"/>
              <w:snapToGrid w:val="0"/>
              <w:jc w:val="center"/>
              <w:rPr>
                <w:rFonts w:eastAsia="仿宋_GB2312" w:cs="宋体"/>
                <w:b/>
                <w:color w:val="auto"/>
                <w:kern w:val="0"/>
                <w:szCs w:val="21"/>
              </w:rPr>
            </w:pPr>
          </w:p>
        </w:tc>
        <w:tc>
          <w:tcPr>
            <w:tcW w:w="236" w:type="pct"/>
            <w:vMerge w:val="continue"/>
            <w:shd w:val="clear" w:color="auto" w:fill="auto"/>
            <w:vAlign w:val="center"/>
          </w:tcPr>
          <w:p w14:paraId="1E8E001D">
            <w:pPr>
              <w:widowControl/>
              <w:adjustRightInd w:val="0"/>
              <w:snapToGrid w:val="0"/>
              <w:jc w:val="center"/>
              <w:rPr>
                <w:rFonts w:eastAsia="仿宋_GB2312" w:cs="宋体"/>
                <w:b/>
                <w:color w:val="auto"/>
                <w:kern w:val="0"/>
                <w:szCs w:val="21"/>
              </w:rPr>
            </w:pPr>
          </w:p>
        </w:tc>
        <w:tc>
          <w:tcPr>
            <w:tcW w:w="220" w:type="pct"/>
            <w:vMerge w:val="continue"/>
            <w:shd w:val="clear" w:color="auto" w:fill="auto"/>
            <w:vAlign w:val="center"/>
          </w:tcPr>
          <w:p w14:paraId="3707D655">
            <w:pPr>
              <w:widowControl/>
              <w:adjustRightInd w:val="0"/>
              <w:snapToGrid w:val="0"/>
              <w:jc w:val="center"/>
              <w:rPr>
                <w:rFonts w:eastAsia="仿宋_GB2312" w:cs="宋体"/>
                <w:b/>
                <w:color w:val="auto"/>
                <w:kern w:val="0"/>
                <w:szCs w:val="21"/>
              </w:rPr>
            </w:pPr>
          </w:p>
        </w:tc>
        <w:tc>
          <w:tcPr>
            <w:tcW w:w="262" w:type="pct"/>
            <w:vMerge w:val="continue"/>
            <w:tcBorders>
              <w:top w:val="nil"/>
            </w:tcBorders>
            <w:shd w:val="clear" w:color="auto" w:fill="auto"/>
            <w:vAlign w:val="center"/>
          </w:tcPr>
          <w:p w14:paraId="3DA35703">
            <w:pPr>
              <w:widowControl/>
              <w:adjustRightInd w:val="0"/>
              <w:snapToGrid w:val="0"/>
              <w:jc w:val="center"/>
              <w:rPr>
                <w:rFonts w:eastAsia="仿宋_GB2312" w:cs="宋体"/>
                <w:b/>
                <w:color w:val="auto"/>
                <w:kern w:val="0"/>
                <w:szCs w:val="21"/>
              </w:rPr>
            </w:pPr>
          </w:p>
        </w:tc>
        <w:tc>
          <w:tcPr>
            <w:tcW w:w="270" w:type="pct"/>
            <w:vMerge w:val="continue"/>
            <w:tcBorders>
              <w:top w:val="nil"/>
            </w:tcBorders>
            <w:shd w:val="clear" w:color="auto" w:fill="auto"/>
            <w:vAlign w:val="center"/>
          </w:tcPr>
          <w:p w14:paraId="67B75F4F">
            <w:pPr>
              <w:widowControl/>
              <w:adjustRightInd w:val="0"/>
              <w:snapToGrid w:val="0"/>
              <w:jc w:val="center"/>
              <w:rPr>
                <w:rFonts w:eastAsia="仿宋_GB2312" w:cs="宋体"/>
                <w:b/>
                <w:color w:val="auto"/>
                <w:kern w:val="0"/>
                <w:szCs w:val="21"/>
              </w:rPr>
            </w:pPr>
          </w:p>
        </w:tc>
        <w:tc>
          <w:tcPr>
            <w:tcW w:w="262" w:type="pct"/>
            <w:vMerge w:val="continue"/>
            <w:shd w:val="clear" w:color="auto" w:fill="auto"/>
            <w:vAlign w:val="center"/>
          </w:tcPr>
          <w:p w14:paraId="4DEE8170">
            <w:pPr>
              <w:widowControl/>
              <w:adjustRightInd w:val="0"/>
              <w:snapToGrid w:val="0"/>
              <w:jc w:val="center"/>
              <w:rPr>
                <w:rFonts w:eastAsia="仿宋_GB2312" w:cs="宋体"/>
                <w:b/>
                <w:color w:val="auto"/>
                <w:kern w:val="0"/>
                <w:szCs w:val="21"/>
              </w:rPr>
            </w:pPr>
          </w:p>
        </w:tc>
        <w:tc>
          <w:tcPr>
            <w:tcW w:w="221" w:type="pct"/>
            <w:shd w:val="clear" w:color="auto" w:fill="auto"/>
            <w:noWrap/>
            <w:vAlign w:val="center"/>
          </w:tcPr>
          <w:p w14:paraId="029CD791">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廉租房</w:t>
            </w:r>
          </w:p>
        </w:tc>
        <w:tc>
          <w:tcPr>
            <w:tcW w:w="176" w:type="pct"/>
            <w:shd w:val="clear" w:color="auto" w:fill="auto"/>
            <w:vAlign w:val="center"/>
          </w:tcPr>
          <w:p w14:paraId="752A15D4">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经济适用房</w:t>
            </w:r>
          </w:p>
        </w:tc>
        <w:tc>
          <w:tcPr>
            <w:tcW w:w="175" w:type="pct"/>
            <w:tcBorders>
              <w:top w:val="nil"/>
            </w:tcBorders>
            <w:shd w:val="clear" w:color="auto" w:fill="auto"/>
            <w:noWrap/>
            <w:vAlign w:val="center"/>
          </w:tcPr>
          <w:p w14:paraId="076B132B">
            <w:pPr>
              <w:widowControl/>
              <w:adjustRightInd w:val="0"/>
              <w:snapToGrid w:val="0"/>
              <w:jc w:val="center"/>
              <w:rPr>
                <w:rFonts w:eastAsia="仿宋_GB2312" w:cs="宋体"/>
                <w:b/>
                <w:color w:val="auto"/>
                <w:kern w:val="0"/>
                <w:szCs w:val="21"/>
              </w:rPr>
            </w:pPr>
          </w:p>
        </w:tc>
        <w:tc>
          <w:tcPr>
            <w:tcW w:w="176" w:type="pct"/>
            <w:shd w:val="clear" w:color="auto" w:fill="auto"/>
            <w:noWrap/>
            <w:vAlign w:val="center"/>
          </w:tcPr>
          <w:p w14:paraId="576C4610">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廉租房</w:t>
            </w:r>
          </w:p>
        </w:tc>
        <w:tc>
          <w:tcPr>
            <w:tcW w:w="174" w:type="pct"/>
            <w:shd w:val="clear" w:color="auto" w:fill="auto"/>
            <w:vAlign w:val="center"/>
          </w:tcPr>
          <w:p w14:paraId="2F395197">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经济适用房</w:t>
            </w:r>
          </w:p>
        </w:tc>
        <w:tc>
          <w:tcPr>
            <w:tcW w:w="207" w:type="pct"/>
            <w:shd w:val="clear" w:color="auto" w:fill="auto"/>
            <w:vAlign w:val="center"/>
          </w:tcPr>
          <w:p w14:paraId="6A862484">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中小套型商品住房</w:t>
            </w:r>
          </w:p>
        </w:tc>
        <w:tc>
          <w:tcPr>
            <w:tcW w:w="150" w:type="pct"/>
            <w:shd w:val="clear" w:color="auto" w:fill="auto"/>
            <w:noWrap/>
            <w:vAlign w:val="center"/>
          </w:tcPr>
          <w:p w14:paraId="5064907F">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划拨</w:t>
            </w:r>
          </w:p>
        </w:tc>
        <w:tc>
          <w:tcPr>
            <w:tcW w:w="133" w:type="pct"/>
            <w:shd w:val="clear" w:color="auto" w:fill="auto"/>
            <w:noWrap/>
            <w:vAlign w:val="center"/>
          </w:tcPr>
          <w:p w14:paraId="0D301FCA">
            <w:pPr>
              <w:widowControl/>
              <w:adjustRightInd w:val="0"/>
              <w:snapToGrid w:val="0"/>
              <w:jc w:val="center"/>
              <w:rPr>
                <w:rFonts w:eastAsia="仿宋_GB2312" w:cs="宋体"/>
                <w:b/>
                <w:color w:val="auto"/>
                <w:kern w:val="0"/>
                <w:szCs w:val="21"/>
              </w:rPr>
            </w:pPr>
            <w:r>
              <w:rPr>
                <w:rFonts w:hint="eastAsia" w:eastAsia="仿宋_GB2312" w:cs="宋体"/>
                <w:b/>
                <w:color w:val="auto"/>
                <w:kern w:val="0"/>
                <w:szCs w:val="21"/>
              </w:rPr>
              <w:t>出让</w:t>
            </w:r>
          </w:p>
        </w:tc>
        <w:tc>
          <w:tcPr>
            <w:tcW w:w="212" w:type="pct"/>
            <w:vMerge w:val="continue"/>
            <w:shd w:val="clear" w:color="auto" w:fill="auto"/>
            <w:vAlign w:val="center"/>
          </w:tcPr>
          <w:p w14:paraId="02C1723B">
            <w:pPr>
              <w:widowControl/>
              <w:adjustRightInd w:val="0"/>
              <w:snapToGrid w:val="0"/>
              <w:jc w:val="center"/>
              <w:rPr>
                <w:rFonts w:eastAsia="仿宋_GB2312" w:cs="宋体"/>
                <w:b/>
                <w:color w:val="auto"/>
                <w:kern w:val="0"/>
                <w:szCs w:val="21"/>
              </w:rPr>
            </w:pPr>
          </w:p>
        </w:tc>
        <w:tc>
          <w:tcPr>
            <w:tcW w:w="315" w:type="pct"/>
            <w:vMerge w:val="continue"/>
            <w:shd w:val="clear" w:color="auto" w:fill="auto"/>
            <w:vAlign w:val="center"/>
          </w:tcPr>
          <w:p w14:paraId="56DAF247">
            <w:pPr>
              <w:widowControl/>
              <w:adjustRightInd w:val="0"/>
              <w:snapToGrid w:val="0"/>
              <w:jc w:val="center"/>
              <w:rPr>
                <w:rFonts w:eastAsia="仿宋_GB2312" w:cs="宋体"/>
                <w:b/>
                <w:color w:val="auto"/>
                <w:kern w:val="0"/>
                <w:szCs w:val="21"/>
              </w:rPr>
            </w:pPr>
          </w:p>
        </w:tc>
        <w:tc>
          <w:tcPr>
            <w:tcW w:w="265" w:type="pct"/>
            <w:vMerge w:val="continue"/>
            <w:shd w:val="clear" w:color="auto" w:fill="auto"/>
            <w:vAlign w:val="center"/>
          </w:tcPr>
          <w:p w14:paraId="4E9D8412">
            <w:pPr>
              <w:widowControl/>
              <w:adjustRightInd w:val="0"/>
              <w:snapToGrid w:val="0"/>
              <w:jc w:val="center"/>
              <w:rPr>
                <w:rFonts w:eastAsia="仿宋_GB2312" w:cs="宋体"/>
                <w:b/>
                <w:color w:val="auto"/>
                <w:kern w:val="0"/>
                <w:szCs w:val="21"/>
              </w:rPr>
            </w:pPr>
          </w:p>
        </w:tc>
      </w:tr>
      <w:tr w14:paraId="10460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31" w:type="pct"/>
            <w:shd w:val="clear" w:color="auto" w:fill="auto"/>
            <w:noWrap/>
            <w:vAlign w:val="center"/>
          </w:tcPr>
          <w:p w14:paraId="18A8234D">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1</w:t>
            </w:r>
          </w:p>
        </w:tc>
        <w:tc>
          <w:tcPr>
            <w:tcW w:w="300" w:type="pct"/>
            <w:shd w:val="clear" w:color="auto" w:fill="auto"/>
            <w:noWrap/>
            <w:vAlign w:val="center"/>
          </w:tcPr>
          <w:p w14:paraId="54C04148">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2</w:t>
            </w:r>
          </w:p>
        </w:tc>
        <w:tc>
          <w:tcPr>
            <w:tcW w:w="264" w:type="pct"/>
            <w:shd w:val="clear" w:color="auto" w:fill="auto"/>
            <w:noWrap/>
            <w:vAlign w:val="center"/>
          </w:tcPr>
          <w:p w14:paraId="4A18B0FA">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3</w:t>
            </w:r>
          </w:p>
        </w:tc>
        <w:tc>
          <w:tcPr>
            <w:tcW w:w="291" w:type="pct"/>
            <w:shd w:val="clear" w:color="auto" w:fill="auto"/>
            <w:noWrap/>
            <w:vAlign w:val="center"/>
          </w:tcPr>
          <w:p w14:paraId="1BDEA17F">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4</w:t>
            </w:r>
          </w:p>
        </w:tc>
        <w:tc>
          <w:tcPr>
            <w:tcW w:w="225" w:type="pct"/>
            <w:shd w:val="clear" w:color="auto" w:fill="auto"/>
            <w:noWrap/>
            <w:vAlign w:val="center"/>
          </w:tcPr>
          <w:p w14:paraId="7C4CCE70">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5</w:t>
            </w:r>
          </w:p>
        </w:tc>
        <w:tc>
          <w:tcPr>
            <w:tcW w:w="225" w:type="pct"/>
            <w:shd w:val="clear" w:color="auto" w:fill="auto"/>
            <w:noWrap/>
            <w:vAlign w:val="center"/>
          </w:tcPr>
          <w:p w14:paraId="613A3EC1">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6</w:t>
            </w:r>
          </w:p>
        </w:tc>
        <w:tc>
          <w:tcPr>
            <w:tcW w:w="236" w:type="pct"/>
            <w:shd w:val="clear" w:color="auto" w:fill="auto"/>
            <w:noWrap/>
            <w:vAlign w:val="center"/>
          </w:tcPr>
          <w:p w14:paraId="41A1DD77">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7</w:t>
            </w:r>
          </w:p>
        </w:tc>
        <w:tc>
          <w:tcPr>
            <w:tcW w:w="220" w:type="pct"/>
            <w:shd w:val="clear" w:color="auto" w:fill="auto"/>
            <w:noWrap/>
            <w:vAlign w:val="center"/>
          </w:tcPr>
          <w:p w14:paraId="7D2080E8">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8</w:t>
            </w:r>
          </w:p>
        </w:tc>
        <w:tc>
          <w:tcPr>
            <w:tcW w:w="262" w:type="pct"/>
            <w:shd w:val="clear" w:color="auto" w:fill="auto"/>
            <w:noWrap/>
            <w:vAlign w:val="center"/>
          </w:tcPr>
          <w:p w14:paraId="4E9138F2">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9</w:t>
            </w:r>
          </w:p>
        </w:tc>
        <w:tc>
          <w:tcPr>
            <w:tcW w:w="270" w:type="pct"/>
            <w:shd w:val="clear" w:color="auto" w:fill="auto"/>
            <w:noWrap/>
            <w:vAlign w:val="center"/>
          </w:tcPr>
          <w:p w14:paraId="52AC8885">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10</w:t>
            </w:r>
          </w:p>
        </w:tc>
        <w:tc>
          <w:tcPr>
            <w:tcW w:w="262" w:type="pct"/>
            <w:shd w:val="clear" w:color="auto" w:fill="auto"/>
            <w:noWrap/>
            <w:vAlign w:val="center"/>
          </w:tcPr>
          <w:p w14:paraId="1A0CF5B0">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11</w:t>
            </w:r>
          </w:p>
        </w:tc>
        <w:tc>
          <w:tcPr>
            <w:tcW w:w="221" w:type="pct"/>
            <w:shd w:val="clear" w:color="auto" w:fill="auto"/>
            <w:noWrap/>
            <w:vAlign w:val="center"/>
          </w:tcPr>
          <w:p w14:paraId="0D2A7416">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12</w:t>
            </w:r>
          </w:p>
        </w:tc>
        <w:tc>
          <w:tcPr>
            <w:tcW w:w="176" w:type="pct"/>
            <w:shd w:val="clear" w:color="auto" w:fill="auto"/>
            <w:noWrap/>
            <w:vAlign w:val="center"/>
          </w:tcPr>
          <w:p w14:paraId="52EBCC31">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13</w:t>
            </w:r>
          </w:p>
        </w:tc>
        <w:tc>
          <w:tcPr>
            <w:tcW w:w="175" w:type="pct"/>
            <w:shd w:val="clear" w:color="auto" w:fill="auto"/>
            <w:noWrap/>
            <w:vAlign w:val="center"/>
          </w:tcPr>
          <w:p w14:paraId="4013EC31">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14</w:t>
            </w:r>
          </w:p>
        </w:tc>
        <w:tc>
          <w:tcPr>
            <w:tcW w:w="176" w:type="pct"/>
            <w:shd w:val="clear" w:color="auto" w:fill="auto"/>
            <w:noWrap/>
            <w:vAlign w:val="center"/>
          </w:tcPr>
          <w:p w14:paraId="72791AE4">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15</w:t>
            </w:r>
          </w:p>
        </w:tc>
        <w:tc>
          <w:tcPr>
            <w:tcW w:w="174" w:type="pct"/>
            <w:shd w:val="clear" w:color="auto" w:fill="auto"/>
            <w:noWrap/>
            <w:vAlign w:val="center"/>
          </w:tcPr>
          <w:p w14:paraId="64F8465D">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16</w:t>
            </w:r>
          </w:p>
        </w:tc>
        <w:tc>
          <w:tcPr>
            <w:tcW w:w="207" w:type="pct"/>
            <w:shd w:val="clear" w:color="auto" w:fill="auto"/>
            <w:noWrap/>
            <w:vAlign w:val="center"/>
          </w:tcPr>
          <w:p w14:paraId="14693886">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17</w:t>
            </w:r>
          </w:p>
        </w:tc>
        <w:tc>
          <w:tcPr>
            <w:tcW w:w="150" w:type="pct"/>
            <w:shd w:val="clear" w:color="auto" w:fill="auto"/>
            <w:noWrap/>
            <w:vAlign w:val="center"/>
          </w:tcPr>
          <w:p w14:paraId="6B6FCE68">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18</w:t>
            </w:r>
          </w:p>
        </w:tc>
        <w:tc>
          <w:tcPr>
            <w:tcW w:w="133" w:type="pct"/>
            <w:shd w:val="clear" w:color="auto" w:fill="auto"/>
            <w:noWrap/>
            <w:vAlign w:val="center"/>
          </w:tcPr>
          <w:p w14:paraId="5C9208DC">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19</w:t>
            </w:r>
          </w:p>
        </w:tc>
        <w:tc>
          <w:tcPr>
            <w:tcW w:w="212" w:type="pct"/>
            <w:shd w:val="clear" w:color="auto" w:fill="auto"/>
            <w:noWrap/>
            <w:vAlign w:val="center"/>
          </w:tcPr>
          <w:p w14:paraId="5E9D2783">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20</w:t>
            </w:r>
          </w:p>
        </w:tc>
        <w:tc>
          <w:tcPr>
            <w:tcW w:w="315" w:type="pct"/>
            <w:shd w:val="clear" w:color="auto" w:fill="auto"/>
            <w:noWrap/>
            <w:vAlign w:val="center"/>
          </w:tcPr>
          <w:p w14:paraId="5B3DDD01">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21</w:t>
            </w:r>
          </w:p>
        </w:tc>
        <w:tc>
          <w:tcPr>
            <w:tcW w:w="265" w:type="pct"/>
            <w:shd w:val="clear" w:color="auto" w:fill="auto"/>
            <w:noWrap/>
            <w:vAlign w:val="center"/>
          </w:tcPr>
          <w:p w14:paraId="339F34F8">
            <w:pPr>
              <w:widowControl/>
              <w:adjustRightInd w:val="0"/>
              <w:snapToGrid w:val="0"/>
              <w:jc w:val="center"/>
              <w:rPr>
                <w:rFonts w:eastAsia="仿宋_GB2312" w:cs="宋体"/>
                <w:color w:val="auto"/>
                <w:kern w:val="0"/>
                <w:szCs w:val="21"/>
              </w:rPr>
            </w:pPr>
            <w:r>
              <w:rPr>
                <w:rFonts w:hint="eastAsia" w:eastAsia="仿宋_GB2312" w:cs="宋体"/>
                <w:color w:val="auto"/>
                <w:kern w:val="0"/>
                <w:szCs w:val="21"/>
              </w:rPr>
              <w:t>22</w:t>
            </w:r>
          </w:p>
        </w:tc>
      </w:tr>
      <w:tr w14:paraId="58C12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31" w:type="pct"/>
            <w:shd w:val="clear" w:color="auto" w:fill="auto"/>
            <w:noWrap/>
          </w:tcPr>
          <w:p w14:paraId="5DB2AAD7">
            <w:pPr>
              <w:widowControl/>
              <w:adjustRightInd w:val="0"/>
              <w:snapToGrid w:val="0"/>
              <w:jc w:val="center"/>
              <w:rPr>
                <w:rFonts w:eastAsia="仿宋_GB2312" w:cs="宋体"/>
                <w:color w:val="auto"/>
                <w:kern w:val="0"/>
                <w:szCs w:val="21"/>
              </w:rPr>
            </w:pPr>
            <w:r>
              <w:rPr>
                <w:rFonts w:hint="eastAsia"/>
                <w:color w:val="auto"/>
              </w:rPr>
              <w:t>博罗县</w:t>
            </w:r>
          </w:p>
        </w:tc>
        <w:tc>
          <w:tcPr>
            <w:tcW w:w="970" w:type="dxa"/>
            <w:shd w:val="clear" w:color="auto" w:fill="auto"/>
            <w:noWrap/>
            <w:vAlign w:val="center"/>
          </w:tcPr>
          <w:p w14:paraId="317FE1A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464.444</w:t>
            </w:r>
            <w:r>
              <w:rPr>
                <w:rFonts w:hint="eastAsia" w:ascii="宋体" w:hAnsi="宋体" w:cs="宋体"/>
                <w:i w:val="0"/>
                <w:iCs w:val="0"/>
                <w:color w:val="000000"/>
                <w:kern w:val="0"/>
                <w:sz w:val="24"/>
                <w:szCs w:val="24"/>
                <w:u w:val="none"/>
                <w:lang w:val="en-US" w:eastAsia="zh-CN" w:bidi="ar"/>
              </w:rPr>
              <w:t>65</w:t>
            </w:r>
          </w:p>
        </w:tc>
        <w:tc>
          <w:tcPr>
            <w:tcW w:w="855" w:type="dxa"/>
            <w:shd w:val="clear" w:color="auto" w:fill="auto"/>
            <w:noWrap/>
            <w:vAlign w:val="center"/>
          </w:tcPr>
          <w:p w14:paraId="50CD434F">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rPr>
            </w:pPr>
            <w:r>
              <w:rPr>
                <w:rFonts w:hint="eastAsia" w:ascii="宋体" w:hAnsi="宋体" w:eastAsia="宋体" w:cs="宋体"/>
                <w:i w:val="0"/>
                <w:iCs w:val="0"/>
                <w:color w:val="000000"/>
                <w:kern w:val="0"/>
                <w:sz w:val="24"/>
                <w:szCs w:val="24"/>
                <w:u w:val="none"/>
                <w:lang w:val="en-US" w:eastAsia="zh-CN" w:bidi="ar"/>
              </w:rPr>
              <w:t>16.9444</w:t>
            </w:r>
          </w:p>
        </w:tc>
        <w:tc>
          <w:tcPr>
            <w:tcW w:w="940" w:type="dxa"/>
            <w:shd w:val="clear" w:color="auto" w:fill="auto"/>
            <w:noWrap/>
            <w:vAlign w:val="center"/>
          </w:tcPr>
          <w:p w14:paraId="11B6BDE1">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rPr>
            </w:pPr>
            <w:r>
              <w:rPr>
                <w:rFonts w:hint="eastAsia" w:ascii="宋体" w:hAnsi="宋体" w:eastAsia="宋体" w:cs="宋体"/>
                <w:i w:val="0"/>
                <w:iCs w:val="0"/>
                <w:color w:val="000000"/>
                <w:kern w:val="0"/>
                <w:sz w:val="24"/>
                <w:szCs w:val="24"/>
                <w:u w:val="none"/>
                <w:lang w:val="en-US" w:eastAsia="zh-CN" w:bidi="ar"/>
              </w:rPr>
              <w:t>201.4501</w:t>
            </w:r>
          </w:p>
        </w:tc>
        <w:tc>
          <w:tcPr>
            <w:tcW w:w="727" w:type="dxa"/>
            <w:shd w:val="clear" w:color="auto" w:fill="auto"/>
            <w:noWrap/>
            <w:vAlign w:val="center"/>
          </w:tcPr>
          <w:p w14:paraId="5A90D679">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rPr>
            </w:pPr>
            <w:r>
              <w:rPr>
                <w:rFonts w:hint="eastAsia" w:ascii="宋体" w:hAnsi="宋体" w:eastAsia="宋体" w:cs="宋体"/>
                <w:i w:val="0"/>
                <w:iCs w:val="0"/>
                <w:color w:val="000000"/>
                <w:kern w:val="0"/>
                <w:sz w:val="24"/>
                <w:szCs w:val="24"/>
                <w:u w:val="none"/>
                <w:lang w:val="en-US" w:eastAsia="zh-CN" w:bidi="ar"/>
              </w:rPr>
              <w:t>32.2272</w:t>
            </w:r>
          </w:p>
        </w:tc>
        <w:tc>
          <w:tcPr>
            <w:tcW w:w="727" w:type="dxa"/>
            <w:shd w:val="clear" w:color="auto" w:fill="auto"/>
            <w:noWrap/>
            <w:vAlign w:val="center"/>
          </w:tcPr>
          <w:p w14:paraId="6C17982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宋体" w:hAnsi="宋体" w:eastAsia="宋体" w:cs="宋体"/>
                <w:i w:val="0"/>
                <w:iCs w:val="0"/>
                <w:color w:val="000000"/>
                <w:kern w:val="0"/>
                <w:sz w:val="24"/>
                <w:szCs w:val="24"/>
                <w:u w:val="none"/>
                <w:lang w:val="en-US" w:eastAsia="zh-CN" w:bidi="ar"/>
              </w:rPr>
              <w:t>204.228</w:t>
            </w:r>
          </w:p>
        </w:tc>
        <w:tc>
          <w:tcPr>
            <w:tcW w:w="236" w:type="pct"/>
            <w:shd w:val="clear" w:color="auto" w:fill="auto"/>
            <w:noWrap/>
            <w:vAlign w:val="center"/>
          </w:tcPr>
          <w:p w14:paraId="1F4E2F0E">
            <w:pPr>
              <w:jc w:val="center"/>
              <w:rPr>
                <w:rFonts w:hint="eastAsia" w:eastAsia="仿宋_GB2312" w:cs="宋体"/>
                <w:color w:val="auto"/>
                <w:sz w:val="21"/>
                <w:szCs w:val="21"/>
                <w:lang w:val="en-US" w:eastAsia="zh-CN"/>
              </w:rPr>
            </w:pPr>
            <w:r>
              <w:rPr>
                <w:rFonts w:hint="eastAsia" w:eastAsia="仿宋_GB2312" w:cs="宋体"/>
                <w:color w:val="auto"/>
                <w:sz w:val="21"/>
                <w:szCs w:val="21"/>
                <w:lang w:val="en-US" w:eastAsia="zh-CN"/>
              </w:rPr>
              <w:t>0</w:t>
            </w:r>
          </w:p>
        </w:tc>
        <w:tc>
          <w:tcPr>
            <w:tcW w:w="220" w:type="pct"/>
            <w:shd w:val="clear" w:color="auto" w:fill="auto"/>
            <w:noWrap/>
            <w:vAlign w:val="center"/>
          </w:tcPr>
          <w:p w14:paraId="54ED7182">
            <w:pPr>
              <w:jc w:val="center"/>
              <w:rPr>
                <w:rFonts w:hint="eastAsia" w:eastAsia="仿宋_GB2312"/>
                <w:color w:val="auto"/>
                <w:sz w:val="21"/>
                <w:szCs w:val="21"/>
                <w:lang w:val="en-US" w:eastAsia="zh-CN"/>
              </w:rPr>
            </w:pPr>
            <w:r>
              <w:rPr>
                <w:rFonts w:hint="eastAsia" w:eastAsia="仿宋_GB2312"/>
                <w:color w:val="auto"/>
                <w:sz w:val="21"/>
                <w:szCs w:val="21"/>
                <w:lang w:val="en-US" w:eastAsia="zh-CN"/>
              </w:rPr>
              <w:t>0</w:t>
            </w:r>
          </w:p>
        </w:tc>
        <w:tc>
          <w:tcPr>
            <w:tcW w:w="262" w:type="pct"/>
            <w:shd w:val="clear" w:color="auto" w:fill="auto"/>
            <w:noWrap/>
            <w:vAlign w:val="center"/>
          </w:tcPr>
          <w:p w14:paraId="2F4997FF">
            <w:pPr>
              <w:keepNext w:val="0"/>
              <w:keepLines w:val="0"/>
              <w:widowControl/>
              <w:suppressLineNumbers w:val="0"/>
              <w:jc w:val="center"/>
              <w:textAlignment w:val="center"/>
              <w:rPr>
                <w:rFonts w:hint="default"/>
                <w:color w:val="auto"/>
                <w:sz w:val="21"/>
                <w:szCs w:val="21"/>
                <w:lang w:val="en-US"/>
              </w:rPr>
            </w:pPr>
            <w:r>
              <w:rPr>
                <w:rFonts w:hint="eastAsia" w:ascii="宋体" w:hAnsi="宋体" w:cs="宋体"/>
                <w:i w:val="0"/>
                <w:iCs w:val="0"/>
                <w:color w:val="auto"/>
                <w:kern w:val="0"/>
                <w:sz w:val="21"/>
                <w:szCs w:val="21"/>
                <w:u w:val="none"/>
                <w:lang w:val="en-US" w:eastAsia="zh-CN" w:bidi="ar"/>
              </w:rPr>
              <w:t>9.5949</w:t>
            </w:r>
          </w:p>
        </w:tc>
        <w:tc>
          <w:tcPr>
            <w:tcW w:w="270" w:type="pct"/>
            <w:shd w:val="clear" w:color="auto" w:fill="auto"/>
            <w:noWrap/>
            <w:vAlign w:val="center"/>
          </w:tcPr>
          <w:p w14:paraId="4FEF9919">
            <w:pPr>
              <w:keepNext w:val="0"/>
              <w:keepLines w:val="0"/>
              <w:widowControl/>
              <w:suppressLineNumbers w:val="0"/>
              <w:jc w:val="center"/>
              <w:textAlignment w:val="center"/>
              <w:rPr>
                <w:color w:val="auto"/>
                <w:sz w:val="21"/>
                <w:szCs w:val="21"/>
              </w:rPr>
            </w:pPr>
            <w:r>
              <w:rPr>
                <w:rFonts w:hint="eastAsia" w:ascii="宋体" w:hAnsi="宋体" w:cs="宋体"/>
                <w:i w:val="0"/>
                <w:iCs w:val="0"/>
                <w:color w:val="auto"/>
                <w:kern w:val="0"/>
                <w:sz w:val="21"/>
                <w:szCs w:val="21"/>
                <w:u w:val="none"/>
                <w:lang w:val="en-US" w:eastAsia="zh-CN" w:bidi="ar"/>
              </w:rPr>
              <w:t>7.0817</w:t>
            </w:r>
          </w:p>
        </w:tc>
        <w:tc>
          <w:tcPr>
            <w:tcW w:w="262" w:type="pct"/>
            <w:shd w:val="clear" w:color="auto" w:fill="auto"/>
            <w:noWrap/>
            <w:vAlign w:val="center"/>
          </w:tcPr>
          <w:p w14:paraId="302FC58D">
            <w:pPr>
              <w:keepNext w:val="0"/>
              <w:keepLines w:val="0"/>
              <w:widowControl/>
              <w:suppressLineNumbers w:val="0"/>
              <w:jc w:val="center"/>
              <w:textAlignment w:val="center"/>
              <w:rPr>
                <w:rFonts w:eastAsia="仿宋_GB2312" w:cs="宋体"/>
                <w:color w:val="auto"/>
                <w:sz w:val="21"/>
                <w:szCs w:val="21"/>
              </w:rPr>
            </w:pPr>
            <w:r>
              <w:rPr>
                <w:rFonts w:hint="eastAsia" w:ascii="宋体" w:hAnsi="宋体" w:cs="宋体"/>
                <w:i w:val="0"/>
                <w:iCs w:val="0"/>
                <w:color w:val="auto"/>
                <w:kern w:val="0"/>
                <w:sz w:val="21"/>
                <w:szCs w:val="21"/>
                <w:u w:val="none"/>
                <w:lang w:val="en-US" w:eastAsia="zh-CN" w:bidi="ar"/>
              </w:rPr>
              <w:t>0</w:t>
            </w:r>
            <w:r>
              <w:rPr>
                <w:rFonts w:hint="eastAsia" w:ascii="宋体" w:hAnsi="宋体" w:eastAsia="宋体" w:cs="宋体"/>
                <w:i w:val="0"/>
                <w:iCs w:val="0"/>
                <w:color w:val="auto"/>
                <w:kern w:val="0"/>
                <w:sz w:val="21"/>
                <w:szCs w:val="21"/>
                <w:u w:val="none"/>
                <w:lang w:val="en-US" w:eastAsia="zh-CN" w:bidi="ar"/>
              </w:rPr>
              <w:t xml:space="preserve"> </w:t>
            </w:r>
          </w:p>
        </w:tc>
        <w:tc>
          <w:tcPr>
            <w:tcW w:w="221" w:type="pct"/>
            <w:shd w:val="clear" w:color="auto" w:fill="auto"/>
            <w:noWrap/>
            <w:vAlign w:val="center"/>
          </w:tcPr>
          <w:p w14:paraId="70DD8026">
            <w:pPr>
              <w:jc w:val="center"/>
              <w:rPr>
                <w:rFonts w:hint="eastAsia" w:eastAsia="仿宋_GB2312" w:cs="宋体"/>
                <w:color w:val="auto"/>
                <w:kern w:val="0"/>
                <w:sz w:val="21"/>
                <w:szCs w:val="21"/>
                <w:lang w:val="en-US" w:eastAsia="zh-CN"/>
              </w:rPr>
            </w:pPr>
            <w:r>
              <w:rPr>
                <w:rFonts w:hint="eastAsia" w:eastAsia="仿宋_GB2312" w:cs="宋体"/>
                <w:color w:val="auto"/>
                <w:kern w:val="0"/>
                <w:sz w:val="21"/>
                <w:szCs w:val="21"/>
                <w:lang w:val="en-US" w:eastAsia="zh-CN"/>
              </w:rPr>
              <w:t>0</w:t>
            </w:r>
          </w:p>
        </w:tc>
        <w:tc>
          <w:tcPr>
            <w:tcW w:w="176" w:type="pct"/>
            <w:shd w:val="clear" w:color="auto" w:fill="auto"/>
            <w:noWrap/>
            <w:vAlign w:val="center"/>
          </w:tcPr>
          <w:p w14:paraId="67F5183C">
            <w:pPr>
              <w:jc w:val="center"/>
              <w:rPr>
                <w:rFonts w:hint="default" w:eastAsia="仿宋_GB2312" w:cs="宋体"/>
                <w:color w:val="auto"/>
                <w:kern w:val="0"/>
                <w:sz w:val="21"/>
                <w:szCs w:val="21"/>
                <w:lang w:val="en-US" w:eastAsia="zh-CN"/>
              </w:rPr>
            </w:pPr>
            <w:r>
              <w:rPr>
                <w:rFonts w:hint="eastAsia" w:eastAsia="仿宋_GB2312" w:cs="宋体"/>
                <w:color w:val="auto"/>
                <w:kern w:val="0"/>
                <w:sz w:val="21"/>
                <w:szCs w:val="21"/>
                <w:lang w:val="en-US" w:eastAsia="zh-CN"/>
              </w:rPr>
              <w:t>2.5132</w:t>
            </w:r>
          </w:p>
        </w:tc>
        <w:tc>
          <w:tcPr>
            <w:tcW w:w="175" w:type="pct"/>
            <w:shd w:val="clear" w:color="auto" w:fill="auto"/>
            <w:noWrap/>
            <w:vAlign w:val="center"/>
          </w:tcPr>
          <w:p w14:paraId="505F0079">
            <w:pPr>
              <w:jc w:val="center"/>
              <w:rPr>
                <w:rFonts w:eastAsia="仿宋_GB2312" w:cs="宋体"/>
                <w:color w:val="auto"/>
                <w:kern w:val="0"/>
                <w:sz w:val="21"/>
                <w:szCs w:val="21"/>
              </w:rPr>
            </w:pPr>
          </w:p>
        </w:tc>
        <w:tc>
          <w:tcPr>
            <w:tcW w:w="176" w:type="pct"/>
            <w:shd w:val="clear" w:color="auto" w:fill="auto"/>
            <w:noWrap/>
            <w:vAlign w:val="center"/>
          </w:tcPr>
          <w:p w14:paraId="328FF103">
            <w:pPr>
              <w:jc w:val="center"/>
              <w:rPr>
                <w:rFonts w:eastAsia="仿宋_GB2312" w:cs="宋体"/>
                <w:color w:val="auto"/>
                <w:kern w:val="0"/>
                <w:sz w:val="21"/>
                <w:szCs w:val="21"/>
              </w:rPr>
            </w:pPr>
          </w:p>
        </w:tc>
        <w:tc>
          <w:tcPr>
            <w:tcW w:w="174" w:type="pct"/>
            <w:shd w:val="clear" w:color="auto" w:fill="auto"/>
            <w:noWrap/>
            <w:vAlign w:val="center"/>
          </w:tcPr>
          <w:p w14:paraId="22B5C662">
            <w:pPr>
              <w:jc w:val="center"/>
              <w:rPr>
                <w:rFonts w:eastAsia="仿宋_GB2312" w:cs="宋体"/>
                <w:color w:val="auto"/>
                <w:kern w:val="0"/>
                <w:sz w:val="21"/>
                <w:szCs w:val="21"/>
              </w:rPr>
            </w:pPr>
          </w:p>
        </w:tc>
        <w:tc>
          <w:tcPr>
            <w:tcW w:w="207" w:type="pct"/>
            <w:shd w:val="clear" w:color="auto" w:fill="auto"/>
            <w:noWrap/>
            <w:vAlign w:val="center"/>
          </w:tcPr>
          <w:p w14:paraId="0A56FFCE">
            <w:pPr>
              <w:jc w:val="center"/>
              <w:rPr>
                <w:rFonts w:eastAsia="仿宋_GB2312" w:cs="宋体"/>
                <w:color w:val="auto"/>
                <w:kern w:val="0"/>
                <w:sz w:val="21"/>
                <w:szCs w:val="21"/>
              </w:rPr>
            </w:pPr>
          </w:p>
        </w:tc>
        <w:tc>
          <w:tcPr>
            <w:tcW w:w="150" w:type="pct"/>
            <w:shd w:val="clear" w:color="auto" w:fill="auto"/>
            <w:noWrap/>
            <w:vAlign w:val="center"/>
          </w:tcPr>
          <w:p w14:paraId="6C8FA1DA">
            <w:pPr>
              <w:jc w:val="center"/>
              <w:rPr>
                <w:rFonts w:eastAsia="仿宋_GB2312" w:cs="宋体"/>
                <w:color w:val="auto"/>
                <w:kern w:val="0"/>
                <w:sz w:val="21"/>
                <w:szCs w:val="21"/>
              </w:rPr>
            </w:pPr>
          </w:p>
        </w:tc>
        <w:tc>
          <w:tcPr>
            <w:tcW w:w="133" w:type="pct"/>
            <w:shd w:val="clear" w:color="auto" w:fill="auto"/>
            <w:noWrap/>
            <w:vAlign w:val="center"/>
          </w:tcPr>
          <w:p w14:paraId="244AA2EC">
            <w:pPr>
              <w:jc w:val="center"/>
              <w:rPr>
                <w:rFonts w:eastAsia="仿宋_GB2312" w:cs="宋体"/>
                <w:color w:val="auto"/>
                <w:kern w:val="0"/>
                <w:sz w:val="21"/>
                <w:szCs w:val="21"/>
              </w:rPr>
            </w:pPr>
          </w:p>
        </w:tc>
        <w:tc>
          <w:tcPr>
            <w:tcW w:w="212" w:type="pct"/>
            <w:shd w:val="clear" w:color="auto" w:fill="auto"/>
            <w:noWrap/>
            <w:vAlign w:val="center"/>
          </w:tcPr>
          <w:p w14:paraId="115E88FA">
            <w:pPr>
              <w:jc w:val="center"/>
              <w:rPr>
                <w:rFonts w:eastAsia="仿宋_GB2312" w:cs="宋体"/>
                <w:color w:val="auto"/>
                <w:kern w:val="0"/>
                <w:sz w:val="21"/>
                <w:szCs w:val="21"/>
              </w:rPr>
            </w:pPr>
          </w:p>
        </w:tc>
        <w:tc>
          <w:tcPr>
            <w:tcW w:w="315" w:type="pct"/>
            <w:shd w:val="clear" w:color="auto" w:fill="auto"/>
            <w:noWrap/>
            <w:vAlign w:val="center"/>
          </w:tcPr>
          <w:p w14:paraId="23FA1C72">
            <w:pPr>
              <w:jc w:val="center"/>
              <w:rPr>
                <w:color w:val="auto"/>
                <w:sz w:val="21"/>
                <w:szCs w:val="21"/>
              </w:rPr>
            </w:pPr>
          </w:p>
        </w:tc>
        <w:tc>
          <w:tcPr>
            <w:tcW w:w="265" w:type="pct"/>
            <w:shd w:val="clear" w:color="auto" w:fill="auto"/>
            <w:noWrap/>
            <w:vAlign w:val="center"/>
          </w:tcPr>
          <w:p w14:paraId="1514E5F1">
            <w:pPr>
              <w:keepNext w:val="0"/>
              <w:keepLines w:val="0"/>
              <w:widowControl/>
              <w:suppressLineNumbers w:val="0"/>
              <w:jc w:val="center"/>
              <w:textAlignment w:val="center"/>
              <w:rPr>
                <w:rFonts w:eastAsia="仿宋_GB2312" w:cs="宋体"/>
                <w:color w:val="auto"/>
                <w:kern w:val="0"/>
                <w:sz w:val="21"/>
                <w:szCs w:val="21"/>
              </w:rPr>
            </w:pPr>
            <w:r>
              <w:rPr>
                <w:rFonts w:hint="eastAsia" w:ascii="宋体" w:hAnsi="宋体" w:cs="宋体"/>
                <w:i w:val="0"/>
                <w:iCs w:val="0"/>
                <w:color w:val="auto"/>
                <w:kern w:val="0"/>
                <w:sz w:val="21"/>
                <w:szCs w:val="21"/>
                <w:u w:val="none"/>
                <w:lang w:val="en-US" w:eastAsia="zh-CN" w:bidi="ar"/>
              </w:rPr>
              <w:t>9.5949</w:t>
            </w:r>
            <w:r>
              <w:rPr>
                <w:rFonts w:hint="eastAsia" w:ascii="宋体" w:hAnsi="宋体" w:eastAsia="宋体" w:cs="宋体"/>
                <w:i w:val="0"/>
                <w:iCs w:val="0"/>
                <w:color w:val="auto"/>
                <w:kern w:val="0"/>
                <w:sz w:val="21"/>
                <w:szCs w:val="21"/>
                <w:u w:val="none"/>
                <w:lang w:val="en-US" w:eastAsia="zh-CN" w:bidi="ar"/>
              </w:rPr>
              <w:t xml:space="preserve"> </w:t>
            </w:r>
          </w:p>
        </w:tc>
      </w:tr>
      <w:tr w14:paraId="2BA95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22"/>
            <w:shd w:val="clear" w:color="auto" w:fill="auto"/>
            <w:vAlign w:val="center"/>
          </w:tcPr>
          <w:p w14:paraId="70F4611E">
            <w:pPr>
              <w:widowControl/>
              <w:adjustRightInd w:val="0"/>
              <w:snapToGrid w:val="0"/>
              <w:rPr>
                <w:rFonts w:eastAsia="仿宋_GB2312" w:cs="宋体"/>
                <w:color w:val="auto"/>
                <w:kern w:val="0"/>
                <w:szCs w:val="21"/>
              </w:rPr>
            </w:pPr>
            <w:r>
              <w:rPr>
                <w:rFonts w:hint="eastAsia" w:eastAsia="仿宋_GB2312" w:cs="宋体"/>
                <w:color w:val="auto"/>
                <w:kern w:val="0"/>
                <w:szCs w:val="21"/>
              </w:rPr>
              <w:t>说明：1、（2）=（3）+（4）+（5）+（6）+（7）+（8）+（9），（9）=（10）+（12）+（13）+（14）+（18）+（19）+（20），（14）≥（15）+（16）+（17），（9）=（21）+（22），（10）≥（11）；</w:t>
            </w:r>
          </w:p>
          <w:p w14:paraId="44D51815">
            <w:pPr>
              <w:widowControl/>
              <w:adjustRightInd w:val="0"/>
              <w:snapToGrid w:val="0"/>
              <w:rPr>
                <w:rFonts w:eastAsia="仿宋_GB2312" w:cs="宋体"/>
                <w:color w:val="auto"/>
                <w:kern w:val="0"/>
                <w:szCs w:val="21"/>
              </w:rPr>
            </w:pPr>
            <w:r>
              <w:rPr>
                <w:rFonts w:hint="eastAsia" w:eastAsia="仿宋_GB2312" w:cs="宋体"/>
                <w:color w:val="auto"/>
                <w:kern w:val="0"/>
                <w:szCs w:val="21"/>
              </w:rPr>
              <w:t>2、所有类型限价商品房填写在限价商品房里，归属于保障性安居工程用地；</w:t>
            </w:r>
          </w:p>
          <w:p w14:paraId="26807E9B">
            <w:pPr>
              <w:adjustRightInd w:val="0"/>
              <w:snapToGrid w:val="0"/>
              <w:rPr>
                <w:rFonts w:eastAsia="仿宋_GB2312" w:cs="宋体"/>
                <w:color w:val="auto"/>
                <w:kern w:val="0"/>
                <w:szCs w:val="21"/>
              </w:rPr>
            </w:pPr>
            <w:r>
              <w:rPr>
                <w:rFonts w:hint="eastAsia" w:eastAsia="仿宋_GB2312" w:cs="宋体"/>
                <w:color w:val="auto"/>
                <w:kern w:val="0"/>
                <w:szCs w:val="21"/>
              </w:rPr>
              <w:t>3、各类棚户区改造用地中廉租房、经济适用房，与保障性住房用地下廉租房、经济适用房不能重复计算。各类棚户区改造用地中的中小套型商品住房，与商品住房用地下的中小套型商品住房不能重复计算。</w:t>
            </w:r>
          </w:p>
        </w:tc>
      </w:tr>
    </w:tbl>
    <w:p w14:paraId="43A7F1B5">
      <w:pPr>
        <w:spacing w:line="360" w:lineRule="auto"/>
        <w:rPr>
          <w:rFonts w:eastAsia="仿宋_GB2312" w:cs="宋体"/>
          <w:color w:val="auto"/>
          <w:kern w:val="0"/>
          <w:szCs w:val="21"/>
        </w:rPr>
      </w:pPr>
      <w:r>
        <w:rPr>
          <w:rFonts w:hint="eastAsia" w:eastAsia="仿宋_GB2312" w:cs="宋体"/>
          <w:color w:val="auto"/>
          <w:kern w:val="0"/>
          <w:szCs w:val="21"/>
        </w:rPr>
        <w:t>注：土地用途按照《土地利用现状分类》（GB/T 21010-2007）一级类统计。</w:t>
      </w:r>
    </w:p>
    <w:p w14:paraId="7DD3691E">
      <w:pPr>
        <w:spacing w:line="360" w:lineRule="auto"/>
        <w:rPr>
          <w:rFonts w:eastAsia="仿宋_GB2312" w:cs="宋体"/>
          <w:color w:val="auto"/>
          <w:kern w:val="0"/>
          <w:szCs w:val="21"/>
        </w:rPr>
      </w:pPr>
    </w:p>
    <w:p w14:paraId="764DE813">
      <w:pPr>
        <w:pStyle w:val="4"/>
        <w:numPr>
          <w:ilvl w:val="0"/>
          <w:numId w:val="0"/>
        </w:numPr>
        <w:spacing w:before="0" w:after="0" w:line="360" w:lineRule="auto"/>
        <w:ind w:firstLine="640" w:firstLineChars="200"/>
        <w:rPr>
          <w:rFonts w:ascii="Times New Roman" w:hAnsi="Times New Roman"/>
          <w:color w:val="auto"/>
          <w:sz w:val="32"/>
        </w:rPr>
      </w:pPr>
      <w:bookmarkStart w:id="188" w:name="_Toc66217096"/>
      <w:bookmarkStart w:id="189" w:name="_Toc3482021"/>
      <w:bookmarkStart w:id="190" w:name="_Toc3473656"/>
      <w:r>
        <w:rPr>
          <w:rFonts w:hint="eastAsia" w:ascii="Times New Roman" w:hAnsi="Times New Roman"/>
          <w:color w:val="auto"/>
          <w:sz w:val="32"/>
        </w:rPr>
        <w:t>附表2：</w:t>
      </w:r>
      <w:bookmarkEnd w:id="188"/>
      <w:bookmarkEnd w:id="189"/>
      <w:bookmarkEnd w:id="190"/>
    </w:p>
    <w:p w14:paraId="702791EA">
      <w:pPr>
        <w:spacing w:line="360" w:lineRule="auto"/>
        <w:jc w:val="center"/>
        <w:rPr>
          <w:rFonts w:eastAsia="仿宋_GB2312" w:cs="宋体"/>
          <w:color w:val="auto"/>
          <w:kern w:val="0"/>
          <w:sz w:val="32"/>
          <w:szCs w:val="32"/>
        </w:rPr>
      </w:pPr>
      <w:r>
        <w:rPr>
          <w:rFonts w:hint="eastAsia" w:eastAsia="仿宋_GB2312" w:cs="宋体"/>
          <w:color w:val="auto"/>
          <w:kern w:val="0"/>
          <w:sz w:val="32"/>
          <w:szCs w:val="32"/>
        </w:rPr>
        <w:t>博罗县20</w:t>
      </w:r>
      <w:r>
        <w:rPr>
          <w:rFonts w:eastAsia="仿宋_GB2312" w:cs="宋体"/>
          <w:color w:val="auto"/>
          <w:kern w:val="0"/>
          <w:sz w:val="32"/>
          <w:szCs w:val="32"/>
        </w:rPr>
        <w:t>2</w:t>
      </w:r>
      <w:r>
        <w:rPr>
          <w:rFonts w:hint="eastAsia" w:eastAsia="仿宋_GB2312" w:cs="宋体"/>
          <w:color w:val="auto"/>
          <w:kern w:val="0"/>
          <w:sz w:val="32"/>
          <w:szCs w:val="32"/>
          <w:lang w:val="en-US" w:eastAsia="zh-CN"/>
        </w:rPr>
        <w:t>5</w:t>
      </w:r>
      <w:r>
        <w:rPr>
          <w:rFonts w:hint="eastAsia" w:eastAsia="仿宋_GB2312" w:cs="宋体"/>
          <w:color w:val="auto"/>
          <w:kern w:val="0"/>
          <w:sz w:val="32"/>
          <w:szCs w:val="32"/>
        </w:rPr>
        <w:t>年度国有建设用地供应宗地信息表</w:t>
      </w:r>
    </w:p>
    <w:p w14:paraId="7D1E4AFC">
      <w:pPr>
        <w:spacing w:line="360" w:lineRule="auto"/>
        <w:jc w:val="right"/>
        <w:rPr>
          <w:rFonts w:hint="eastAsia" w:eastAsia="仿宋_GB2312" w:cs="宋体"/>
          <w:color w:val="auto"/>
          <w:kern w:val="0"/>
          <w:sz w:val="24"/>
        </w:rPr>
      </w:pPr>
      <w:r>
        <w:rPr>
          <w:rFonts w:hint="eastAsia" w:eastAsia="仿宋_GB2312" w:cs="宋体"/>
          <w:color w:val="auto"/>
          <w:kern w:val="0"/>
          <w:sz w:val="24"/>
        </w:rPr>
        <w:t>单位：公顷</w:t>
      </w:r>
    </w:p>
    <w:tbl>
      <w:tblPr>
        <w:tblStyle w:val="25"/>
        <w:tblW w:w="14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7"/>
        <w:gridCol w:w="1738"/>
        <w:gridCol w:w="1835"/>
        <w:gridCol w:w="1298"/>
        <w:gridCol w:w="1392"/>
        <w:gridCol w:w="1346"/>
        <w:gridCol w:w="1592"/>
        <w:gridCol w:w="1887"/>
        <w:gridCol w:w="1936"/>
        <w:gridCol w:w="1303"/>
      </w:tblGrid>
      <w:tr w14:paraId="19292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844" w:type="dxa"/>
            <w:gridSpan w:val="10"/>
            <w:tcBorders>
              <w:top w:val="nil"/>
              <w:left w:val="nil"/>
              <w:bottom w:val="nil"/>
              <w:right w:val="nil"/>
            </w:tcBorders>
            <w:shd w:val="clear" w:color="auto" w:fill="auto"/>
            <w:noWrap/>
            <w:vAlign w:val="center"/>
          </w:tcPr>
          <w:p w14:paraId="30B006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6C75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2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5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宗地名称</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C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宗地用途</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F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宗地面积(公顷)</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4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供应方式</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E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起始价格(万元)</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7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计划供应时间</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6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容积率(下限)</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F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容积率(上限)</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3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规划建筑面积(平方米)</w:t>
            </w:r>
          </w:p>
        </w:tc>
      </w:tr>
      <w:tr w14:paraId="2075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7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A8C8">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柏塘镇地块1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8D7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486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0.1794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A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63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519</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9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2025/3/31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D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ADEB">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F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3588</w:t>
            </w:r>
          </w:p>
        </w:tc>
      </w:tr>
      <w:tr w14:paraId="4005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C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EAD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柏塘镇地块2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DCF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871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0.1596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7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E2C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318</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E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2025/3/31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0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B202">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1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3192</w:t>
            </w:r>
          </w:p>
        </w:tc>
      </w:tr>
      <w:tr w14:paraId="7F52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7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F1F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柏塘镇地块3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20C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866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0.0900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6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204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183</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0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2025/3/31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2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4115">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8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r>
      <w:tr w14:paraId="4242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3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CAC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柏塘镇地块4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28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F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1.1109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8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1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2221.6</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D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2025/5/1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D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AEF2">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F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22218</w:t>
            </w:r>
          </w:p>
        </w:tc>
      </w:tr>
      <w:tr w14:paraId="1561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2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63A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福田镇地块1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B27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8A4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0.3412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F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502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1410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3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2025/4/30</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4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497A">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2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6824</w:t>
            </w:r>
          </w:p>
        </w:tc>
      </w:tr>
      <w:tr w14:paraId="14FA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7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B40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福田镇地块2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487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8D8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0.3275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9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74D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1365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5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2025/4/30</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6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43CB">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6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6550</w:t>
            </w:r>
          </w:p>
        </w:tc>
      </w:tr>
      <w:tr w14:paraId="77C1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E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A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福田镇地块3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B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仓储用地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5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1.7243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1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3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1379</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1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2025/6/30</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9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F1EE">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3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27588.8</w:t>
            </w:r>
          </w:p>
        </w:tc>
      </w:tr>
      <w:tr w14:paraId="5450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A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0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福田镇地块4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5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城镇村道路用地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D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0.5886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9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C045">
            <w:pPr>
              <w:jc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3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2025/8/1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1CC0">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65CF">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6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2BF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F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4CD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公庄镇地块1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6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公用设施用地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6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0.6738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5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E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9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2025/3/31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E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9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3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8085.6</w:t>
            </w:r>
          </w:p>
        </w:tc>
      </w:tr>
      <w:tr w14:paraId="4494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7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7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湖镇镇地块1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A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公用设施用地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8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0.6887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C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A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D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2025/4/1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A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4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3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8264.4</w:t>
            </w:r>
          </w:p>
        </w:tc>
      </w:tr>
      <w:tr w14:paraId="65AC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D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C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湖镇镇地块2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829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8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1.1959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1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3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B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2025/2/14</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3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C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2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23918</w:t>
            </w:r>
          </w:p>
        </w:tc>
      </w:tr>
      <w:tr w14:paraId="6899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5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9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湖镇镇地块3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67D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8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1.7080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D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1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1281</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E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4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5EC9">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0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27328</w:t>
            </w:r>
          </w:p>
        </w:tc>
      </w:tr>
      <w:tr w14:paraId="7FC9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6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7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湖镇镇地块4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B1B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3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0.3468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6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E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5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2A4E">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F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5548.8</w:t>
            </w:r>
          </w:p>
        </w:tc>
      </w:tr>
      <w:tr w14:paraId="2534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C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0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湖镇镇地块5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532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1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0.6973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6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C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0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7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19D2">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E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11156.8</w:t>
            </w:r>
          </w:p>
        </w:tc>
      </w:tr>
      <w:tr w14:paraId="1477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2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7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湖镇镇地块6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E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城镇村道路用地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9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2.0307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1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010B">
            <w:pPr>
              <w:jc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2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2025/9/1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EFB2">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1EF4">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0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768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4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583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龙华镇地块1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E2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9ED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0.5911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7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C5F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B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C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64EC">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D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11822</w:t>
            </w:r>
          </w:p>
        </w:tc>
      </w:tr>
      <w:tr w14:paraId="3ACA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2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11E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龙华镇地块2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A97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5.3336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3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F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B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1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B6AA">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7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85337.58224</w:t>
            </w:r>
          </w:p>
        </w:tc>
      </w:tr>
      <w:tr w14:paraId="5363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7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9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龙溪街道地块1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A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公用设施用地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4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4.7432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0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D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3794.56</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8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D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E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3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56918.4</w:t>
            </w:r>
          </w:p>
        </w:tc>
      </w:tr>
      <w:tr w14:paraId="7C18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B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C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龙溪街道地块2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E14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5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1.3075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8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5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3922.5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E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F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16D7">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C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26150</w:t>
            </w:r>
          </w:p>
        </w:tc>
      </w:tr>
      <w:tr w14:paraId="1D0B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E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2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龙溪街道地块3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A47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B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8.8654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C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0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7536</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5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2025/3/31、2025/11/1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4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3F87">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8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141846.4</w:t>
            </w:r>
          </w:p>
        </w:tc>
      </w:tr>
      <w:tr w14:paraId="1501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A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9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龙溪街道地块4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E10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B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0.4205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5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2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358.00 </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0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5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018E">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2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34556.8</w:t>
            </w:r>
          </w:p>
        </w:tc>
      </w:tr>
      <w:tr w14:paraId="44EA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C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A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龙溪街道地块5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50B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9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0.37644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7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D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321.00 </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C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3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DFE4">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F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34556.8</w:t>
            </w:r>
          </w:p>
        </w:tc>
      </w:tr>
      <w:tr w14:paraId="2B27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E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3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龙溪街道地块6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D4D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9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2.1598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E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2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1835.00 </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F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A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5A9E">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7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34556.8</w:t>
            </w:r>
          </w:p>
        </w:tc>
      </w:tr>
      <w:tr w14:paraId="2196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F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9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龙溪街道地块7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16D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B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0.2127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2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3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C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2025年4月</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8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DB6E">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2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34556.8</w:t>
            </w:r>
          </w:p>
        </w:tc>
      </w:tr>
      <w:tr w14:paraId="6796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D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1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龙溪街道地块8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C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城镇村道路用地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F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12.9070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1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0447">
            <w:pPr>
              <w:jc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1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2025/9/1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C0AD">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4353">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4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EAC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8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048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A03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1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0.1910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5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5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859</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6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9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0B18">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0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3820</w:t>
            </w:r>
          </w:p>
        </w:tc>
      </w:tr>
      <w:tr w14:paraId="710E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D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0D0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9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社会停车场用地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1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0.0853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C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8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3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C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E563">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F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1706</w:t>
            </w:r>
          </w:p>
        </w:tc>
      </w:tr>
      <w:tr w14:paraId="170B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4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CAB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1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8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2.3516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0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7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5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5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03F8">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8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37625.6</w:t>
            </w:r>
          </w:p>
        </w:tc>
      </w:tr>
      <w:tr w14:paraId="17AE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7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4F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AE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公用设施用地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AC6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4.1569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6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D77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2719</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E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2025/10/31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1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C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D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49882.8</w:t>
            </w:r>
          </w:p>
        </w:tc>
      </w:tr>
      <w:tr w14:paraId="0194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2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674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1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社会停车场用地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DCE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0.0793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6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82F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F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B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74FC">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8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1586</w:t>
            </w:r>
          </w:p>
        </w:tc>
      </w:tr>
      <w:tr w14:paraId="1123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5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CB6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A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社会停车场用地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F6F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0.4216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5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2D9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580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9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2025/3/31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2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1F5C">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F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8432</w:t>
            </w:r>
          </w:p>
        </w:tc>
      </w:tr>
      <w:tr w14:paraId="70C7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6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BC9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ADC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120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0.2100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4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58A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1310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3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2025/3/31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3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1B94">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E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w:t>
            </w:r>
          </w:p>
        </w:tc>
      </w:tr>
      <w:tr w14:paraId="46FD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3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D2C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8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A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1.1531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B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F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5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2025/6/30</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6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81B2">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4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18449.6</w:t>
            </w:r>
          </w:p>
        </w:tc>
      </w:tr>
      <w:tr w14:paraId="4A27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F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85D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6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3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0.1315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1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4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8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2025/6/30</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2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B347">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F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2104</w:t>
            </w:r>
          </w:p>
        </w:tc>
      </w:tr>
      <w:tr w14:paraId="0C55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E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2F7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罗阳街道地块10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6CB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F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0.2618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A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0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1309</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B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2025/12/1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A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E1A7">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9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5236</w:t>
            </w:r>
          </w:p>
        </w:tc>
      </w:tr>
      <w:tr w14:paraId="6084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F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999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罗阳街道地块11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3C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3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4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F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1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2025/12/1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8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2AF4">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8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480000</w:t>
            </w:r>
          </w:p>
        </w:tc>
      </w:tr>
      <w:tr w14:paraId="5F47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7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21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罗阳街道地块12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B8F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8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0.9399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1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7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1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2025/12/1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B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CFA0">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D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15038.4</w:t>
            </w:r>
          </w:p>
        </w:tc>
      </w:tr>
      <w:tr w14:paraId="7AEB4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D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F30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罗阳街道地块14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B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城镇村道路用地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D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15.3932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2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FAB1">
            <w:pPr>
              <w:jc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6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2025/12/1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785F">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6958">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3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B5A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7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294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罗阳街道地块15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0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城镇村道路用地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4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0.7255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3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1C2E">
            <w:pPr>
              <w:jc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D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2025/12/1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4238">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3174">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E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E40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A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A22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罗阳街道地块16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9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城镇村道路用地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E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3.9393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8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CEEA">
            <w:pPr>
              <w:jc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A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2025/12/1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C2CB">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CFF4">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2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CE5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F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4A1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罗阳街道地块17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E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城镇村道路用地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8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2.1470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D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C311">
            <w:pPr>
              <w:jc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E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2025/12/1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A7EF">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C0CD">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6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C92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1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A97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罗阳街道地块18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6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城镇村道路用地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D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2.1068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A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E36A">
            <w:pPr>
              <w:jc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1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2025/8/1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BD03">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FCA9">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E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E534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F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4CA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罗阳街道地块19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8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城镇村道路用地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1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0.8108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63A6">
            <w:pPr>
              <w:jc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F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2025/8/1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F265">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9284">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5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5F66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0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4BA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罗阳街道地块20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1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公用设施用地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3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0.0896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A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3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71.68</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7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2025/6/1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F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F0F3">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4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r>
      <w:tr w14:paraId="18A0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E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EE4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罗阳街道地块21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0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铁路用地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C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129.5565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6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8025">
            <w:pPr>
              <w:jc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3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2025/12/1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E5F7">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6C49">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D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B33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F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8DD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罗阳街道地块22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E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1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15.0372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9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CC6F">
            <w:pPr>
              <w:jc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6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2025/12/1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F7C9">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678F">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69A3">
            <w:pPr>
              <w:jc w:val="center"/>
              <w:rPr>
                <w:rFonts w:hint="eastAsia" w:ascii="宋体" w:hAnsi="宋体" w:eastAsia="宋体" w:cs="宋体"/>
                <w:i w:val="0"/>
                <w:iCs w:val="0"/>
                <w:color w:val="000000"/>
                <w:sz w:val="20"/>
                <w:szCs w:val="20"/>
                <w:u w:val="none"/>
              </w:rPr>
            </w:pPr>
          </w:p>
        </w:tc>
      </w:tr>
      <w:tr w14:paraId="5385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0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19D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麻陂镇地块1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0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8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0.3273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4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E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D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F88D">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5236.8</w:t>
            </w:r>
          </w:p>
        </w:tc>
      </w:tr>
      <w:tr w14:paraId="3DD3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9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7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麻陂镇地块2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7E1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E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2.3887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7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A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6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2025/8/1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0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B42C">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2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38219.2</w:t>
            </w:r>
          </w:p>
        </w:tc>
      </w:tr>
      <w:tr w14:paraId="3ABEE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1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A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石坝镇地块1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45E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7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1.6541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1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1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F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2025/9/1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C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AD70">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6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33082</w:t>
            </w:r>
          </w:p>
        </w:tc>
      </w:tr>
      <w:tr w14:paraId="690AA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C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2D8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石湾镇地块1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2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B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0.2814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7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E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5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F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DA23">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1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4502.4</w:t>
            </w:r>
          </w:p>
        </w:tc>
      </w:tr>
      <w:tr w14:paraId="661C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C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E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石湾镇地块2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466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C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2.2903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0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3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2025/6/1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B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3CAF">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C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36644.8</w:t>
            </w:r>
          </w:p>
        </w:tc>
      </w:tr>
      <w:tr w14:paraId="7210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6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E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石湾镇地块3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8D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7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0.4888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3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B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0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2025/6/1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D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C03D">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F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7820.8</w:t>
            </w:r>
          </w:p>
        </w:tc>
      </w:tr>
      <w:tr w14:paraId="6951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3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1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石湾镇地块4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F1F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D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18.6450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5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A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19580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0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0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E08D">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D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240000</w:t>
            </w:r>
          </w:p>
        </w:tc>
      </w:tr>
      <w:tr w14:paraId="0577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E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E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石湾镇地块5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15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A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1.0902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4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6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E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2025/10/1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9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E1A2">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E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17443.2</w:t>
            </w:r>
          </w:p>
        </w:tc>
      </w:tr>
      <w:tr w14:paraId="1B37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3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4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石湾镇地块6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F8D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8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2.9366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1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8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3083</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B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A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2CB4">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F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46985.6</w:t>
            </w:r>
          </w:p>
        </w:tc>
      </w:tr>
      <w:tr w14:paraId="3B72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9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B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石湾镇地块7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43A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C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2.6795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4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A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2813</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E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2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361D">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E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42872</w:t>
            </w:r>
          </w:p>
        </w:tc>
      </w:tr>
      <w:tr w14:paraId="4A81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5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A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石湾镇地块8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626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B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6.5037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5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3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C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A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E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0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117066.6</w:t>
            </w:r>
          </w:p>
        </w:tc>
      </w:tr>
      <w:tr w14:paraId="3C59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0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8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石湾镇地块9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F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E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15.2112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A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4BD3">
            <w:pPr>
              <w:jc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B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2025/12/1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E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A8C3">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4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152112</w:t>
            </w:r>
          </w:p>
        </w:tc>
      </w:tr>
      <w:tr w14:paraId="7A03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E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2A9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泰美镇地块1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1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2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1.7536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9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8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7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1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BF8C">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B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28057.6</w:t>
            </w:r>
          </w:p>
        </w:tc>
      </w:tr>
      <w:tr w14:paraId="2D39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F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603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泰美镇地块2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604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B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1.9213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1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B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3842.6</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C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2025/7/1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9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64F6">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C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38426</w:t>
            </w:r>
          </w:p>
        </w:tc>
      </w:tr>
      <w:tr w14:paraId="60912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4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D07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泰美镇地块3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E38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8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2.3746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2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9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2749.2</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6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2025/7/1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1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DDB5">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D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47492</w:t>
            </w:r>
          </w:p>
        </w:tc>
      </w:tr>
      <w:tr w14:paraId="69FE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6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BE6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泰美镇地块4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38C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0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9.7926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C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3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7344</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5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2025/6/1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B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6F25">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1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156681.6</w:t>
            </w:r>
          </w:p>
        </w:tc>
      </w:tr>
      <w:tr w14:paraId="41F65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F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泰美镇地块5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E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城镇村道路用地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0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18.3992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C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9BE9">
            <w:pPr>
              <w:jc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D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2025/12/1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706A">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5FE3">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1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B22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3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FEE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杨村镇地块1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E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5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3.1399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2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E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2141</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9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8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7E2C">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C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50238.4</w:t>
            </w:r>
          </w:p>
        </w:tc>
      </w:tr>
      <w:tr w14:paraId="1573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3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E2C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杨村镇地块2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0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4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2.1982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1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4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0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1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8945">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D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35171.2</w:t>
            </w:r>
          </w:p>
        </w:tc>
      </w:tr>
      <w:tr w14:paraId="5C0A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A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85D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杨村镇地块3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5E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DAA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3.7800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1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B29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2535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8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2025/8/31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9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7216">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B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60480</w:t>
            </w:r>
          </w:p>
        </w:tc>
      </w:tr>
      <w:tr w14:paraId="142E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5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A1A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杨侨镇地块1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0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3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2.2326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7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7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1608</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0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7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197C">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B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35721.76</w:t>
            </w:r>
          </w:p>
        </w:tc>
      </w:tr>
      <w:tr w14:paraId="0127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F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99C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杨侨镇地块2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C0C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8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0.9299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9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4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0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2025/6/1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5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7470">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B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14878.4</w:t>
            </w:r>
          </w:p>
        </w:tc>
      </w:tr>
      <w:tr w14:paraId="2437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6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F5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杨侨镇地块3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FA8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A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0.7260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1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9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C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2025/6/1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C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506A">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9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14520</w:t>
            </w:r>
          </w:p>
        </w:tc>
      </w:tr>
      <w:tr w14:paraId="3E73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E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9D7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杨侨镇地块4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266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D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17.4665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A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B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12227</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C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2025/4/1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6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DF9A">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D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279464</w:t>
            </w:r>
          </w:p>
        </w:tc>
      </w:tr>
      <w:tr w14:paraId="125F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B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100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杨侨镇地块5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6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公用设施用地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7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1.8016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D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0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1351</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2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2025/6/1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3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F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6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21619.2</w:t>
            </w:r>
          </w:p>
        </w:tc>
      </w:tr>
      <w:tr w14:paraId="0560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1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DA6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杨侨镇地块6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51F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公用设施用地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3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3.1755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4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8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2382</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8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2025/2/1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C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2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1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38106</w:t>
            </w:r>
          </w:p>
        </w:tc>
      </w:tr>
      <w:tr w14:paraId="2FD5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3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121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2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3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3.5735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2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B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7307</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2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7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3D34">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4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57176</w:t>
            </w:r>
          </w:p>
        </w:tc>
      </w:tr>
      <w:tr w14:paraId="227C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D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5D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3A0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E2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1.1386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7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C64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1231</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F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9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1A1A">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5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18217.6</w:t>
            </w:r>
          </w:p>
        </w:tc>
      </w:tr>
      <w:tr w14:paraId="1D8B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6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937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8E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B52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3.8313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F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AE6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4104</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E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0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21A0">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A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61300.8</w:t>
            </w:r>
          </w:p>
        </w:tc>
      </w:tr>
      <w:tr w14:paraId="5D00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D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047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6DE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545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1.6813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1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577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1820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B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2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69B8">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B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26900.8</w:t>
            </w:r>
          </w:p>
        </w:tc>
      </w:tr>
      <w:tr w14:paraId="6EA9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E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812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43D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6EA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1.0789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9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DBD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1167</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6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2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6329">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8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17262.4</w:t>
            </w:r>
          </w:p>
        </w:tc>
      </w:tr>
      <w:tr w14:paraId="658B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8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767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3FC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0B4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2.3729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0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DAF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2562</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6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6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285A">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B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37966.4</w:t>
            </w:r>
          </w:p>
        </w:tc>
      </w:tr>
      <w:tr w14:paraId="2FB9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C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6C8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A7B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D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9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D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E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2025/11/6</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8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0C5D">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F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320000</w:t>
            </w:r>
          </w:p>
        </w:tc>
      </w:tr>
      <w:tr w14:paraId="0B7F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2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6EA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6BC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1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1.9780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8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5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2077</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E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2025/11/6</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6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5714">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9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31648</w:t>
            </w:r>
          </w:p>
        </w:tc>
      </w:tr>
      <w:tr w14:paraId="5847A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1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54F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AB2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1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10.6523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3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11185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C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2025/11/6</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7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5386">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8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170436.8</w:t>
            </w:r>
          </w:p>
        </w:tc>
      </w:tr>
      <w:tr w14:paraId="7D32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7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DEC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园洲镇地块10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139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1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1.2122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A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B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1273</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2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2025/11/6</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9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B71B">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B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19395.2</w:t>
            </w:r>
          </w:p>
        </w:tc>
      </w:tr>
      <w:tr w14:paraId="3687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1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7F6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园洲镇地块11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5B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9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0.1933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1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D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5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2025/11/6</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6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B318">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A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3092.8</w:t>
            </w:r>
          </w:p>
        </w:tc>
      </w:tr>
      <w:tr w14:paraId="17B3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1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67C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园洲镇地块12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FF5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7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3.9370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3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6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4134</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3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2025/11/6</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8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9BB3">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F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62992</w:t>
            </w:r>
          </w:p>
        </w:tc>
      </w:tr>
      <w:tr w14:paraId="1A00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1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924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园洲镇地块13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61D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0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0.9510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3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F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A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2025/11/6</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1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D237">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1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15216</w:t>
            </w:r>
          </w:p>
        </w:tc>
      </w:tr>
      <w:tr w14:paraId="7FB9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8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BB1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园洲镇地块14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3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D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1.6867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B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B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1686.7</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A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2025/11/6</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E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309D">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E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16867</w:t>
            </w:r>
          </w:p>
        </w:tc>
      </w:tr>
      <w:tr w14:paraId="3FC1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2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B10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园洲镇地块15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782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2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7.9962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F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8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8566</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D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2025/6/1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B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3CDE">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1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127939.2</w:t>
            </w:r>
          </w:p>
        </w:tc>
      </w:tr>
      <w:tr w14:paraId="7B770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8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B0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园洲镇地块16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E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住宅用地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7.0817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C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0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35408</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A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2025/11/1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1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A9C0">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0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141633.4</w:t>
            </w:r>
          </w:p>
        </w:tc>
      </w:tr>
      <w:tr w14:paraId="0AAF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2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F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园洲镇地块17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F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住宅用地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B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2.5132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F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3C4C">
            <w:pPr>
              <w:jc w:val="center"/>
              <w:rPr>
                <w:rFonts w:hint="eastAsia" w:ascii="宋体" w:hAnsi="宋体" w:eastAsia="宋体" w:cs="宋体"/>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5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2025/8/1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F727">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F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4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42724.4</w:t>
            </w:r>
          </w:p>
        </w:tc>
      </w:tr>
      <w:tr w14:paraId="2EA7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D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43F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长宁镇地块1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5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C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4.3120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8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F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2738</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A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2025/1/31</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6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011F">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3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68992</w:t>
            </w:r>
          </w:p>
        </w:tc>
      </w:tr>
      <w:tr w14:paraId="2652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A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084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长宁镇地块2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A7C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其它商服用地</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5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5.4984 </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A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挂牌出让</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F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10996.8</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1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2025/10/6</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B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02DA">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9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109968</w:t>
            </w:r>
          </w:p>
        </w:tc>
      </w:tr>
      <w:tr w14:paraId="4601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D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4E17">
            <w:pPr>
              <w:jc w:val="center"/>
              <w:rPr>
                <w:rFonts w:hint="eastAsia" w:ascii="宋体" w:hAnsi="宋体" w:eastAsia="宋体" w:cs="宋体"/>
                <w:i w:val="0"/>
                <w:iCs w:val="0"/>
                <w:color w:val="000000"/>
                <w:sz w:val="20"/>
                <w:szCs w:val="20"/>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1510">
            <w:pPr>
              <w:jc w:val="center"/>
              <w:rPr>
                <w:rFonts w:hint="eastAsia" w:ascii="宋体" w:hAnsi="宋体" w:eastAsia="宋体" w:cs="宋体"/>
                <w:i w:val="0"/>
                <w:iCs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D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464.4447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0C32">
            <w:pPr>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C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275709.6400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540E">
            <w:pPr>
              <w:jc w:val="center"/>
              <w:rPr>
                <w:rFonts w:hint="eastAsia" w:ascii="宋体" w:hAnsi="宋体" w:eastAsia="宋体" w:cs="宋体"/>
                <w:i w:val="0"/>
                <w:iCs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7A92">
            <w:pPr>
              <w:jc w:val="center"/>
              <w:rPr>
                <w:rFonts w:hint="eastAsia" w:ascii="宋体" w:hAnsi="宋体" w:eastAsia="宋体" w:cs="宋体"/>
                <w:i w:val="0"/>
                <w:iCs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99D4">
            <w:pPr>
              <w:jc w:val="center"/>
              <w:rPr>
                <w:rFonts w:hint="eastAsia" w:ascii="宋体" w:hAnsi="宋体" w:eastAsia="宋体" w:cs="宋体"/>
                <w:i w:val="0"/>
                <w:iCs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7D41">
            <w:pPr>
              <w:jc w:val="center"/>
              <w:rPr>
                <w:rFonts w:hint="eastAsia" w:ascii="宋体" w:hAnsi="宋体" w:eastAsia="宋体" w:cs="宋体"/>
                <w:i w:val="0"/>
                <w:iCs w:val="0"/>
                <w:color w:val="000000"/>
                <w:sz w:val="20"/>
                <w:szCs w:val="20"/>
                <w:u w:val="none"/>
              </w:rPr>
            </w:pPr>
          </w:p>
        </w:tc>
      </w:tr>
    </w:tbl>
    <w:p w14:paraId="4585A67F">
      <w:pPr>
        <w:rPr>
          <w:color w:val="auto"/>
        </w:rPr>
      </w:pPr>
    </w:p>
    <w:sectPr>
      <w:headerReference r:id="rId8" w:type="default"/>
      <w:footerReference r:id="rId9" w:type="default"/>
      <w:pgSz w:w="16838" w:h="11906" w:orient="landscape"/>
      <w:pgMar w:top="1418" w:right="1383" w:bottom="1418" w:left="1383"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855E6">
    <w:pPr>
      <w:pStyle w:val="15"/>
      <w:jc w:val="center"/>
      <w:rPr>
        <w:sz w:val="21"/>
      </w:rPr>
    </w:pPr>
    <w:r>
      <w:rPr>
        <w:sz w:val="21"/>
      </w:rPr>
      <w:fldChar w:fldCharType="begin"/>
    </w:r>
    <w:r>
      <w:rPr>
        <w:sz w:val="21"/>
      </w:rPr>
      <w:instrText xml:space="preserve"> PAGE   \* MERGEFORMAT </w:instrText>
    </w:r>
    <w:r>
      <w:rPr>
        <w:sz w:val="21"/>
      </w:rPr>
      <w:fldChar w:fldCharType="separate"/>
    </w:r>
    <w:r>
      <w:rPr>
        <w:sz w:val="21"/>
      </w:rPr>
      <w:t>II</w:t>
    </w:r>
    <w:r>
      <w:rPr>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62925">
    <w:pPr>
      <w:pStyle w:val="15"/>
      <w:jc w:val="center"/>
    </w:pPr>
  </w:p>
  <w:p w14:paraId="6F1DD6B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A463">
    <w:pPr>
      <w:pStyle w:val="1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12</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E9569">
    <w:pPr>
      <w:pStyle w:val="15"/>
      <w:jc w:val="center"/>
      <w:rPr>
        <w:sz w:val="21"/>
      </w:rPr>
    </w:pPr>
    <w:r>
      <w:rPr>
        <w:rStyle w:val="29"/>
        <w:sz w:val="21"/>
      </w:rPr>
      <w:fldChar w:fldCharType="begin"/>
    </w:r>
    <w:r>
      <w:rPr>
        <w:rStyle w:val="29"/>
        <w:sz w:val="21"/>
      </w:rPr>
      <w:instrText xml:space="preserve"> PAGE </w:instrText>
    </w:r>
    <w:r>
      <w:rPr>
        <w:rStyle w:val="29"/>
        <w:sz w:val="21"/>
      </w:rPr>
      <w:fldChar w:fldCharType="separate"/>
    </w:r>
    <w:r>
      <w:rPr>
        <w:rStyle w:val="29"/>
        <w:sz w:val="21"/>
      </w:rPr>
      <w:t>47</w:t>
    </w:r>
    <w:r>
      <w:rPr>
        <w:rStyle w:val="29"/>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4DC80">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114C6">
    <w:pPr>
      <w:pStyle w:val="16"/>
    </w:pPr>
    <w:r>
      <w:rPr>
        <w:rFonts w:hint="eastAsia"/>
      </w:rPr>
      <w:t>博罗县202</w:t>
    </w:r>
    <w:r>
      <w:rPr>
        <w:rFonts w:hint="eastAsia"/>
        <w:lang w:val="en-US" w:eastAsia="zh-CN"/>
      </w:rPr>
      <w:t>5</w:t>
    </w:r>
    <w:r>
      <w:rPr>
        <w:rFonts w:hint="eastAsia"/>
      </w:rPr>
      <w:t>年度国有建设用地供应计划</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004D">
    <w:pPr>
      <w:pStyle w:val="16"/>
    </w:pPr>
    <w:r>
      <w:rPr>
        <w:rFonts w:hint="eastAsia"/>
      </w:rPr>
      <w:t>博罗县202</w:t>
    </w:r>
    <w:r>
      <w:rPr>
        <w:rFonts w:hint="eastAsia"/>
        <w:lang w:val="en-US" w:eastAsia="zh-CN"/>
      </w:rPr>
      <w:t>5</w:t>
    </w:r>
    <w:r>
      <w:rPr>
        <w:rFonts w:hint="eastAsia"/>
      </w:rPr>
      <w:t>年度国有建设用地供应计划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81A26"/>
    <w:multiLevelType w:val="multilevel"/>
    <w:tmpl w:val="28481A26"/>
    <w:lvl w:ilvl="0" w:tentative="0">
      <w:start w:val="1"/>
      <w:numFmt w:val="chineseCountingThousand"/>
      <w:pStyle w:val="4"/>
      <w:lvlText w:val="（%1）"/>
      <w:lvlJc w:val="left"/>
      <w:pPr>
        <w:tabs>
          <w:tab w:val="left" w:pos="988"/>
        </w:tabs>
        <w:ind w:left="988"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66FE7684"/>
    <w:multiLevelType w:val="multilevel"/>
    <w:tmpl w:val="66FE7684"/>
    <w:lvl w:ilvl="0" w:tentative="0">
      <w:start w:val="1"/>
      <w:numFmt w:val="chineseCountingThousand"/>
      <w:pStyle w:val="3"/>
      <w:lvlText w:val="%1、"/>
      <w:lvlJc w:val="left"/>
      <w:pPr>
        <w:tabs>
          <w:tab w:val="left" w:pos="2580"/>
        </w:tabs>
        <w:ind w:left="2580" w:hanging="420"/>
      </w:pPr>
    </w:lvl>
    <w:lvl w:ilvl="1" w:tentative="0">
      <w:start w:val="1"/>
      <w:numFmt w:val="decimal"/>
      <w:lvlText w:val="（%2）"/>
      <w:lvlJc w:val="left"/>
      <w:pPr>
        <w:tabs>
          <w:tab w:val="left" w:pos="1500"/>
        </w:tabs>
        <w:ind w:left="1500" w:hanging="1080"/>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lNDU1NmZiZDNlNzI4M2RhYzAxYTVkMDUxMzJiOGQifQ=="/>
  </w:docVars>
  <w:rsids>
    <w:rsidRoot w:val="00EE51E4"/>
    <w:rsid w:val="00000674"/>
    <w:rsid w:val="00000773"/>
    <w:rsid w:val="000018C6"/>
    <w:rsid w:val="00001A27"/>
    <w:rsid w:val="00001A7E"/>
    <w:rsid w:val="00001C59"/>
    <w:rsid w:val="000020B9"/>
    <w:rsid w:val="00002145"/>
    <w:rsid w:val="00002386"/>
    <w:rsid w:val="0000261A"/>
    <w:rsid w:val="00002AB1"/>
    <w:rsid w:val="00002BFB"/>
    <w:rsid w:val="00002F1B"/>
    <w:rsid w:val="0000362A"/>
    <w:rsid w:val="00003F09"/>
    <w:rsid w:val="0000424E"/>
    <w:rsid w:val="0000513A"/>
    <w:rsid w:val="00005266"/>
    <w:rsid w:val="0000565B"/>
    <w:rsid w:val="0000575A"/>
    <w:rsid w:val="00005787"/>
    <w:rsid w:val="00006773"/>
    <w:rsid w:val="00007AE2"/>
    <w:rsid w:val="000108D0"/>
    <w:rsid w:val="00010B6D"/>
    <w:rsid w:val="00011523"/>
    <w:rsid w:val="00011BA3"/>
    <w:rsid w:val="00011DA1"/>
    <w:rsid w:val="00012C85"/>
    <w:rsid w:val="000137CA"/>
    <w:rsid w:val="00013EB0"/>
    <w:rsid w:val="000141F7"/>
    <w:rsid w:val="00014C8A"/>
    <w:rsid w:val="00014D75"/>
    <w:rsid w:val="000151CD"/>
    <w:rsid w:val="00015488"/>
    <w:rsid w:val="00015BDF"/>
    <w:rsid w:val="000170E4"/>
    <w:rsid w:val="000176F3"/>
    <w:rsid w:val="00017B99"/>
    <w:rsid w:val="00020A81"/>
    <w:rsid w:val="000214B3"/>
    <w:rsid w:val="00021651"/>
    <w:rsid w:val="00021768"/>
    <w:rsid w:val="000221E4"/>
    <w:rsid w:val="000223EA"/>
    <w:rsid w:val="000226A4"/>
    <w:rsid w:val="00022CE8"/>
    <w:rsid w:val="000233AF"/>
    <w:rsid w:val="00023400"/>
    <w:rsid w:val="0002341F"/>
    <w:rsid w:val="000244C9"/>
    <w:rsid w:val="0002462C"/>
    <w:rsid w:val="00024893"/>
    <w:rsid w:val="000257E2"/>
    <w:rsid w:val="00025C36"/>
    <w:rsid w:val="000260CF"/>
    <w:rsid w:val="000267E2"/>
    <w:rsid w:val="00026A5A"/>
    <w:rsid w:val="00027A7C"/>
    <w:rsid w:val="00030376"/>
    <w:rsid w:val="00030744"/>
    <w:rsid w:val="000317FC"/>
    <w:rsid w:val="00031CAE"/>
    <w:rsid w:val="00032471"/>
    <w:rsid w:val="00032585"/>
    <w:rsid w:val="00032C36"/>
    <w:rsid w:val="00032E3C"/>
    <w:rsid w:val="0003378E"/>
    <w:rsid w:val="00033A85"/>
    <w:rsid w:val="00034503"/>
    <w:rsid w:val="00034FF9"/>
    <w:rsid w:val="000357DB"/>
    <w:rsid w:val="000359A2"/>
    <w:rsid w:val="00035C48"/>
    <w:rsid w:val="00036043"/>
    <w:rsid w:val="000364D1"/>
    <w:rsid w:val="0003716E"/>
    <w:rsid w:val="00037966"/>
    <w:rsid w:val="00037AA8"/>
    <w:rsid w:val="000406B8"/>
    <w:rsid w:val="000411EF"/>
    <w:rsid w:val="00041278"/>
    <w:rsid w:val="0004154C"/>
    <w:rsid w:val="0004178C"/>
    <w:rsid w:val="00041B72"/>
    <w:rsid w:val="000422E5"/>
    <w:rsid w:val="00042A6E"/>
    <w:rsid w:val="00042AF6"/>
    <w:rsid w:val="0004322E"/>
    <w:rsid w:val="000434E6"/>
    <w:rsid w:val="0004391D"/>
    <w:rsid w:val="00044820"/>
    <w:rsid w:val="00044B11"/>
    <w:rsid w:val="00044CA9"/>
    <w:rsid w:val="00045915"/>
    <w:rsid w:val="00046473"/>
    <w:rsid w:val="0004679B"/>
    <w:rsid w:val="00046ACC"/>
    <w:rsid w:val="00046C09"/>
    <w:rsid w:val="0004794B"/>
    <w:rsid w:val="00047A0B"/>
    <w:rsid w:val="000515DE"/>
    <w:rsid w:val="0005238B"/>
    <w:rsid w:val="000523B0"/>
    <w:rsid w:val="0005289D"/>
    <w:rsid w:val="00052DE3"/>
    <w:rsid w:val="000533A2"/>
    <w:rsid w:val="0005345D"/>
    <w:rsid w:val="00053D9D"/>
    <w:rsid w:val="00053E56"/>
    <w:rsid w:val="000544DA"/>
    <w:rsid w:val="00054673"/>
    <w:rsid w:val="00054E00"/>
    <w:rsid w:val="000551C6"/>
    <w:rsid w:val="0005522A"/>
    <w:rsid w:val="0005588A"/>
    <w:rsid w:val="00056A9E"/>
    <w:rsid w:val="000577B1"/>
    <w:rsid w:val="00057AD9"/>
    <w:rsid w:val="00057BC4"/>
    <w:rsid w:val="000601B0"/>
    <w:rsid w:val="00060AE6"/>
    <w:rsid w:val="00060F6D"/>
    <w:rsid w:val="000617CF"/>
    <w:rsid w:val="00061844"/>
    <w:rsid w:val="00062462"/>
    <w:rsid w:val="0006309B"/>
    <w:rsid w:val="000632D7"/>
    <w:rsid w:val="000632FB"/>
    <w:rsid w:val="0006405C"/>
    <w:rsid w:val="00064DEA"/>
    <w:rsid w:val="00065070"/>
    <w:rsid w:val="0006596B"/>
    <w:rsid w:val="000659B2"/>
    <w:rsid w:val="00065D34"/>
    <w:rsid w:val="00066631"/>
    <w:rsid w:val="00066890"/>
    <w:rsid w:val="00066FCA"/>
    <w:rsid w:val="00067463"/>
    <w:rsid w:val="000674B1"/>
    <w:rsid w:val="00067AEC"/>
    <w:rsid w:val="000701CC"/>
    <w:rsid w:val="0007072F"/>
    <w:rsid w:val="00070881"/>
    <w:rsid w:val="0007097E"/>
    <w:rsid w:val="00070E19"/>
    <w:rsid w:val="000714C1"/>
    <w:rsid w:val="00072394"/>
    <w:rsid w:val="000727D8"/>
    <w:rsid w:val="00073A99"/>
    <w:rsid w:val="0007491F"/>
    <w:rsid w:val="000753F1"/>
    <w:rsid w:val="000758B8"/>
    <w:rsid w:val="00075962"/>
    <w:rsid w:val="00077990"/>
    <w:rsid w:val="00077BAF"/>
    <w:rsid w:val="00080011"/>
    <w:rsid w:val="00080B4A"/>
    <w:rsid w:val="00080CAC"/>
    <w:rsid w:val="00080EF3"/>
    <w:rsid w:val="00081619"/>
    <w:rsid w:val="00081CBC"/>
    <w:rsid w:val="000822C6"/>
    <w:rsid w:val="00082382"/>
    <w:rsid w:val="0008321B"/>
    <w:rsid w:val="0008325B"/>
    <w:rsid w:val="0008356F"/>
    <w:rsid w:val="00083F11"/>
    <w:rsid w:val="00084D53"/>
    <w:rsid w:val="00084F36"/>
    <w:rsid w:val="0008579E"/>
    <w:rsid w:val="00085D82"/>
    <w:rsid w:val="00086AFE"/>
    <w:rsid w:val="00087808"/>
    <w:rsid w:val="0009021E"/>
    <w:rsid w:val="000908D6"/>
    <w:rsid w:val="00090FD7"/>
    <w:rsid w:val="000910C3"/>
    <w:rsid w:val="00091114"/>
    <w:rsid w:val="000914FC"/>
    <w:rsid w:val="000918A8"/>
    <w:rsid w:val="00091FE9"/>
    <w:rsid w:val="000921C3"/>
    <w:rsid w:val="000926CB"/>
    <w:rsid w:val="000929A7"/>
    <w:rsid w:val="00092A5B"/>
    <w:rsid w:val="00092E9D"/>
    <w:rsid w:val="000935A7"/>
    <w:rsid w:val="00093848"/>
    <w:rsid w:val="000938B7"/>
    <w:rsid w:val="000942FC"/>
    <w:rsid w:val="00095059"/>
    <w:rsid w:val="0009548E"/>
    <w:rsid w:val="00095495"/>
    <w:rsid w:val="00095B36"/>
    <w:rsid w:val="000964A6"/>
    <w:rsid w:val="00096F72"/>
    <w:rsid w:val="000970BC"/>
    <w:rsid w:val="0009713E"/>
    <w:rsid w:val="0009776E"/>
    <w:rsid w:val="0009781D"/>
    <w:rsid w:val="00097C2F"/>
    <w:rsid w:val="000A0420"/>
    <w:rsid w:val="000A10AB"/>
    <w:rsid w:val="000A1646"/>
    <w:rsid w:val="000A16C7"/>
    <w:rsid w:val="000A1AA2"/>
    <w:rsid w:val="000A1BBD"/>
    <w:rsid w:val="000A1E32"/>
    <w:rsid w:val="000A2878"/>
    <w:rsid w:val="000A2925"/>
    <w:rsid w:val="000A29F9"/>
    <w:rsid w:val="000A2F32"/>
    <w:rsid w:val="000A384E"/>
    <w:rsid w:val="000A3DE0"/>
    <w:rsid w:val="000A4D3B"/>
    <w:rsid w:val="000A602D"/>
    <w:rsid w:val="000A6069"/>
    <w:rsid w:val="000A6275"/>
    <w:rsid w:val="000A72F1"/>
    <w:rsid w:val="000A77E6"/>
    <w:rsid w:val="000B022B"/>
    <w:rsid w:val="000B0D05"/>
    <w:rsid w:val="000B14CC"/>
    <w:rsid w:val="000B232E"/>
    <w:rsid w:val="000B26B5"/>
    <w:rsid w:val="000B2BBE"/>
    <w:rsid w:val="000B2C63"/>
    <w:rsid w:val="000B2F6A"/>
    <w:rsid w:val="000B4A0E"/>
    <w:rsid w:val="000B4F51"/>
    <w:rsid w:val="000B4FC9"/>
    <w:rsid w:val="000B5A23"/>
    <w:rsid w:val="000B5D29"/>
    <w:rsid w:val="000B5DB2"/>
    <w:rsid w:val="000B5E4F"/>
    <w:rsid w:val="000B623D"/>
    <w:rsid w:val="000B6303"/>
    <w:rsid w:val="000B70C4"/>
    <w:rsid w:val="000B7278"/>
    <w:rsid w:val="000B773B"/>
    <w:rsid w:val="000B7AAA"/>
    <w:rsid w:val="000B7BDC"/>
    <w:rsid w:val="000C06A2"/>
    <w:rsid w:val="000C0D6E"/>
    <w:rsid w:val="000C185C"/>
    <w:rsid w:val="000C1A97"/>
    <w:rsid w:val="000C1CF8"/>
    <w:rsid w:val="000C1E17"/>
    <w:rsid w:val="000C204F"/>
    <w:rsid w:val="000C2D53"/>
    <w:rsid w:val="000C3283"/>
    <w:rsid w:val="000C356D"/>
    <w:rsid w:val="000C3AA2"/>
    <w:rsid w:val="000C3CBC"/>
    <w:rsid w:val="000C3EFC"/>
    <w:rsid w:val="000C401B"/>
    <w:rsid w:val="000C41B9"/>
    <w:rsid w:val="000C4585"/>
    <w:rsid w:val="000C4F0F"/>
    <w:rsid w:val="000C510B"/>
    <w:rsid w:val="000C5490"/>
    <w:rsid w:val="000C562A"/>
    <w:rsid w:val="000C599A"/>
    <w:rsid w:val="000C5A55"/>
    <w:rsid w:val="000C5D71"/>
    <w:rsid w:val="000C7005"/>
    <w:rsid w:val="000C76BD"/>
    <w:rsid w:val="000C77B9"/>
    <w:rsid w:val="000D0232"/>
    <w:rsid w:val="000D02FF"/>
    <w:rsid w:val="000D0EBF"/>
    <w:rsid w:val="000D1315"/>
    <w:rsid w:val="000D157F"/>
    <w:rsid w:val="000D1F59"/>
    <w:rsid w:val="000D2247"/>
    <w:rsid w:val="000D2ACD"/>
    <w:rsid w:val="000D3DA6"/>
    <w:rsid w:val="000D4F44"/>
    <w:rsid w:val="000D511A"/>
    <w:rsid w:val="000D5493"/>
    <w:rsid w:val="000D563B"/>
    <w:rsid w:val="000D5F7D"/>
    <w:rsid w:val="000D6000"/>
    <w:rsid w:val="000D61E7"/>
    <w:rsid w:val="000D68E3"/>
    <w:rsid w:val="000D6FC6"/>
    <w:rsid w:val="000D703A"/>
    <w:rsid w:val="000D740B"/>
    <w:rsid w:val="000E00C0"/>
    <w:rsid w:val="000E04C7"/>
    <w:rsid w:val="000E076B"/>
    <w:rsid w:val="000E0873"/>
    <w:rsid w:val="000E0E62"/>
    <w:rsid w:val="000E14A8"/>
    <w:rsid w:val="000E2760"/>
    <w:rsid w:val="000E32FB"/>
    <w:rsid w:val="000E4BC9"/>
    <w:rsid w:val="000E4DC7"/>
    <w:rsid w:val="000E5D2A"/>
    <w:rsid w:val="000E5D82"/>
    <w:rsid w:val="000E5EA9"/>
    <w:rsid w:val="000E6D6D"/>
    <w:rsid w:val="000E7A0B"/>
    <w:rsid w:val="000F030A"/>
    <w:rsid w:val="000F115C"/>
    <w:rsid w:val="000F16BF"/>
    <w:rsid w:val="000F18AE"/>
    <w:rsid w:val="000F1F57"/>
    <w:rsid w:val="000F20EB"/>
    <w:rsid w:val="000F216C"/>
    <w:rsid w:val="000F2619"/>
    <w:rsid w:val="000F2D71"/>
    <w:rsid w:val="000F2E00"/>
    <w:rsid w:val="000F3A37"/>
    <w:rsid w:val="000F42B3"/>
    <w:rsid w:val="000F4416"/>
    <w:rsid w:val="000F4CBB"/>
    <w:rsid w:val="000F5415"/>
    <w:rsid w:val="000F5984"/>
    <w:rsid w:val="000F5DA0"/>
    <w:rsid w:val="000F631E"/>
    <w:rsid w:val="000F6862"/>
    <w:rsid w:val="000F692B"/>
    <w:rsid w:val="000F6C31"/>
    <w:rsid w:val="000F72AF"/>
    <w:rsid w:val="000F75A5"/>
    <w:rsid w:val="000F7770"/>
    <w:rsid w:val="001002DA"/>
    <w:rsid w:val="0010045B"/>
    <w:rsid w:val="00100E75"/>
    <w:rsid w:val="0010225C"/>
    <w:rsid w:val="00102F6C"/>
    <w:rsid w:val="00103B30"/>
    <w:rsid w:val="00104350"/>
    <w:rsid w:val="0010459A"/>
    <w:rsid w:val="00104C2F"/>
    <w:rsid w:val="00104D63"/>
    <w:rsid w:val="00104D8E"/>
    <w:rsid w:val="00104FD1"/>
    <w:rsid w:val="001055BD"/>
    <w:rsid w:val="001055FA"/>
    <w:rsid w:val="00105CDC"/>
    <w:rsid w:val="0010601C"/>
    <w:rsid w:val="00106E90"/>
    <w:rsid w:val="00107417"/>
    <w:rsid w:val="00107636"/>
    <w:rsid w:val="00107842"/>
    <w:rsid w:val="0010790A"/>
    <w:rsid w:val="00110CD2"/>
    <w:rsid w:val="00110DAC"/>
    <w:rsid w:val="0011108B"/>
    <w:rsid w:val="00111A8B"/>
    <w:rsid w:val="00111EAF"/>
    <w:rsid w:val="001121EE"/>
    <w:rsid w:val="001131D2"/>
    <w:rsid w:val="001132A0"/>
    <w:rsid w:val="00113409"/>
    <w:rsid w:val="001137FD"/>
    <w:rsid w:val="00113ECF"/>
    <w:rsid w:val="00114130"/>
    <w:rsid w:val="001141BB"/>
    <w:rsid w:val="00115A6C"/>
    <w:rsid w:val="00115DD8"/>
    <w:rsid w:val="00116161"/>
    <w:rsid w:val="001164B3"/>
    <w:rsid w:val="0011765B"/>
    <w:rsid w:val="001200B8"/>
    <w:rsid w:val="001202BE"/>
    <w:rsid w:val="00120EE3"/>
    <w:rsid w:val="00120F3A"/>
    <w:rsid w:val="0012102C"/>
    <w:rsid w:val="001210E7"/>
    <w:rsid w:val="0012223D"/>
    <w:rsid w:val="001227FE"/>
    <w:rsid w:val="001233AD"/>
    <w:rsid w:val="00123616"/>
    <w:rsid w:val="001237DE"/>
    <w:rsid w:val="00123B91"/>
    <w:rsid w:val="00123D7E"/>
    <w:rsid w:val="001245FC"/>
    <w:rsid w:val="00124601"/>
    <w:rsid w:val="0012515A"/>
    <w:rsid w:val="0012556A"/>
    <w:rsid w:val="0012583F"/>
    <w:rsid w:val="001270C7"/>
    <w:rsid w:val="001272BB"/>
    <w:rsid w:val="0012750B"/>
    <w:rsid w:val="00131328"/>
    <w:rsid w:val="00131FE0"/>
    <w:rsid w:val="001321B3"/>
    <w:rsid w:val="0013257B"/>
    <w:rsid w:val="001326B4"/>
    <w:rsid w:val="00132A39"/>
    <w:rsid w:val="001336E8"/>
    <w:rsid w:val="00133C07"/>
    <w:rsid w:val="00133D13"/>
    <w:rsid w:val="00134A6A"/>
    <w:rsid w:val="00134E90"/>
    <w:rsid w:val="00135136"/>
    <w:rsid w:val="0013623B"/>
    <w:rsid w:val="00136896"/>
    <w:rsid w:val="00136E7A"/>
    <w:rsid w:val="001371A7"/>
    <w:rsid w:val="001371B9"/>
    <w:rsid w:val="0013737B"/>
    <w:rsid w:val="00137CBE"/>
    <w:rsid w:val="0014013E"/>
    <w:rsid w:val="0014034B"/>
    <w:rsid w:val="00140AB5"/>
    <w:rsid w:val="0014137E"/>
    <w:rsid w:val="00141404"/>
    <w:rsid w:val="0014150C"/>
    <w:rsid w:val="0014157B"/>
    <w:rsid w:val="001419F6"/>
    <w:rsid w:val="001419FD"/>
    <w:rsid w:val="00141D71"/>
    <w:rsid w:val="0014320C"/>
    <w:rsid w:val="001435B6"/>
    <w:rsid w:val="00143D7C"/>
    <w:rsid w:val="001442C4"/>
    <w:rsid w:val="00144A90"/>
    <w:rsid w:val="00144D56"/>
    <w:rsid w:val="00144E39"/>
    <w:rsid w:val="001455B1"/>
    <w:rsid w:val="0014658D"/>
    <w:rsid w:val="001468FC"/>
    <w:rsid w:val="00146ABA"/>
    <w:rsid w:val="0014753F"/>
    <w:rsid w:val="00147E2F"/>
    <w:rsid w:val="00150A0B"/>
    <w:rsid w:val="001511C9"/>
    <w:rsid w:val="001519D1"/>
    <w:rsid w:val="00151C8C"/>
    <w:rsid w:val="001526FA"/>
    <w:rsid w:val="00153165"/>
    <w:rsid w:val="00153506"/>
    <w:rsid w:val="00153C22"/>
    <w:rsid w:val="001546F7"/>
    <w:rsid w:val="00154AC3"/>
    <w:rsid w:val="00154B84"/>
    <w:rsid w:val="00154DF1"/>
    <w:rsid w:val="00155012"/>
    <w:rsid w:val="00155824"/>
    <w:rsid w:val="00155BDE"/>
    <w:rsid w:val="00155D6C"/>
    <w:rsid w:val="001575D4"/>
    <w:rsid w:val="0015780F"/>
    <w:rsid w:val="00157875"/>
    <w:rsid w:val="001579E6"/>
    <w:rsid w:val="00161279"/>
    <w:rsid w:val="00161D4F"/>
    <w:rsid w:val="00161D65"/>
    <w:rsid w:val="00161FF5"/>
    <w:rsid w:val="001623DA"/>
    <w:rsid w:val="0016247F"/>
    <w:rsid w:val="0016267A"/>
    <w:rsid w:val="00162D11"/>
    <w:rsid w:val="00163043"/>
    <w:rsid w:val="0016313F"/>
    <w:rsid w:val="00163552"/>
    <w:rsid w:val="0016364D"/>
    <w:rsid w:val="00163C5A"/>
    <w:rsid w:val="00163FAA"/>
    <w:rsid w:val="00163FEF"/>
    <w:rsid w:val="001640E2"/>
    <w:rsid w:val="001647C1"/>
    <w:rsid w:val="0016511D"/>
    <w:rsid w:val="00165202"/>
    <w:rsid w:val="00165240"/>
    <w:rsid w:val="00165874"/>
    <w:rsid w:val="00165ACB"/>
    <w:rsid w:val="00165B04"/>
    <w:rsid w:val="0016610B"/>
    <w:rsid w:val="00166349"/>
    <w:rsid w:val="001664A4"/>
    <w:rsid w:val="001664FE"/>
    <w:rsid w:val="00166A31"/>
    <w:rsid w:val="0016750F"/>
    <w:rsid w:val="001678CC"/>
    <w:rsid w:val="00167F65"/>
    <w:rsid w:val="00170C45"/>
    <w:rsid w:val="00171484"/>
    <w:rsid w:val="00172939"/>
    <w:rsid w:val="00172B9A"/>
    <w:rsid w:val="00172CAD"/>
    <w:rsid w:val="00174357"/>
    <w:rsid w:val="0017458B"/>
    <w:rsid w:val="00175F9F"/>
    <w:rsid w:val="00176AE3"/>
    <w:rsid w:val="00176F8C"/>
    <w:rsid w:val="00177706"/>
    <w:rsid w:val="00177B3A"/>
    <w:rsid w:val="00177C07"/>
    <w:rsid w:val="00180128"/>
    <w:rsid w:val="0018019A"/>
    <w:rsid w:val="00180389"/>
    <w:rsid w:val="001806F7"/>
    <w:rsid w:val="001809DA"/>
    <w:rsid w:val="00180BC1"/>
    <w:rsid w:val="00180E03"/>
    <w:rsid w:val="001811AC"/>
    <w:rsid w:val="001814E4"/>
    <w:rsid w:val="00181BDE"/>
    <w:rsid w:val="00182CD3"/>
    <w:rsid w:val="00184456"/>
    <w:rsid w:val="00184C45"/>
    <w:rsid w:val="00184C8C"/>
    <w:rsid w:val="00185153"/>
    <w:rsid w:val="00185CD2"/>
    <w:rsid w:val="0018607C"/>
    <w:rsid w:val="00186C27"/>
    <w:rsid w:val="001874B8"/>
    <w:rsid w:val="001876C0"/>
    <w:rsid w:val="001877F6"/>
    <w:rsid w:val="0018785E"/>
    <w:rsid w:val="0018793C"/>
    <w:rsid w:val="00187954"/>
    <w:rsid w:val="00187CB0"/>
    <w:rsid w:val="00187D41"/>
    <w:rsid w:val="00190016"/>
    <w:rsid w:val="001905DD"/>
    <w:rsid w:val="00190F08"/>
    <w:rsid w:val="00191E3B"/>
    <w:rsid w:val="001922B2"/>
    <w:rsid w:val="00192696"/>
    <w:rsid w:val="00192B55"/>
    <w:rsid w:val="00192EBA"/>
    <w:rsid w:val="00193266"/>
    <w:rsid w:val="0019394A"/>
    <w:rsid w:val="00193C39"/>
    <w:rsid w:val="001942D1"/>
    <w:rsid w:val="0019499F"/>
    <w:rsid w:val="00194A2E"/>
    <w:rsid w:val="00194BE5"/>
    <w:rsid w:val="00194C8D"/>
    <w:rsid w:val="00195061"/>
    <w:rsid w:val="00195B47"/>
    <w:rsid w:val="00195D0F"/>
    <w:rsid w:val="0019673F"/>
    <w:rsid w:val="00196C73"/>
    <w:rsid w:val="001974A0"/>
    <w:rsid w:val="001976FA"/>
    <w:rsid w:val="00197D2F"/>
    <w:rsid w:val="00197ED3"/>
    <w:rsid w:val="001A168B"/>
    <w:rsid w:val="001A2411"/>
    <w:rsid w:val="001A2421"/>
    <w:rsid w:val="001A24B8"/>
    <w:rsid w:val="001A2B02"/>
    <w:rsid w:val="001A2E84"/>
    <w:rsid w:val="001A3818"/>
    <w:rsid w:val="001A3E3C"/>
    <w:rsid w:val="001A46EF"/>
    <w:rsid w:val="001A4F5D"/>
    <w:rsid w:val="001A5BBE"/>
    <w:rsid w:val="001A685E"/>
    <w:rsid w:val="001A6CD1"/>
    <w:rsid w:val="001A6D7A"/>
    <w:rsid w:val="001A72F5"/>
    <w:rsid w:val="001A75DF"/>
    <w:rsid w:val="001A76D6"/>
    <w:rsid w:val="001B0302"/>
    <w:rsid w:val="001B04C9"/>
    <w:rsid w:val="001B0655"/>
    <w:rsid w:val="001B170F"/>
    <w:rsid w:val="001B1AF8"/>
    <w:rsid w:val="001B1B0B"/>
    <w:rsid w:val="001B1BE3"/>
    <w:rsid w:val="001B209C"/>
    <w:rsid w:val="001B20D9"/>
    <w:rsid w:val="001B2100"/>
    <w:rsid w:val="001B2466"/>
    <w:rsid w:val="001B24DE"/>
    <w:rsid w:val="001B4270"/>
    <w:rsid w:val="001B45D6"/>
    <w:rsid w:val="001B6174"/>
    <w:rsid w:val="001B6220"/>
    <w:rsid w:val="001B6334"/>
    <w:rsid w:val="001B674C"/>
    <w:rsid w:val="001B6A6E"/>
    <w:rsid w:val="001B6EFA"/>
    <w:rsid w:val="001B6FEF"/>
    <w:rsid w:val="001B7AD2"/>
    <w:rsid w:val="001B7BD2"/>
    <w:rsid w:val="001B7CA8"/>
    <w:rsid w:val="001C05BA"/>
    <w:rsid w:val="001C07A9"/>
    <w:rsid w:val="001C08A4"/>
    <w:rsid w:val="001C1741"/>
    <w:rsid w:val="001C19FD"/>
    <w:rsid w:val="001C2890"/>
    <w:rsid w:val="001C2E7F"/>
    <w:rsid w:val="001C304F"/>
    <w:rsid w:val="001C31F0"/>
    <w:rsid w:val="001C3EB5"/>
    <w:rsid w:val="001C4F75"/>
    <w:rsid w:val="001C50DD"/>
    <w:rsid w:val="001C5185"/>
    <w:rsid w:val="001C611C"/>
    <w:rsid w:val="001C6D31"/>
    <w:rsid w:val="001C6EDC"/>
    <w:rsid w:val="001C7268"/>
    <w:rsid w:val="001C7565"/>
    <w:rsid w:val="001C779C"/>
    <w:rsid w:val="001C7F96"/>
    <w:rsid w:val="001D0377"/>
    <w:rsid w:val="001D0772"/>
    <w:rsid w:val="001D0D89"/>
    <w:rsid w:val="001D1004"/>
    <w:rsid w:val="001D1115"/>
    <w:rsid w:val="001D14C8"/>
    <w:rsid w:val="001D1B8C"/>
    <w:rsid w:val="001D29BC"/>
    <w:rsid w:val="001D325D"/>
    <w:rsid w:val="001D3999"/>
    <w:rsid w:val="001D47E3"/>
    <w:rsid w:val="001D4A53"/>
    <w:rsid w:val="001D4ACE"/>
    <w:rsid w:val="001D4D56"/>
    <w:rsid w:val="001D52EC"/>
    <w:rsid w:val="001D5486"/>
    <w:rsid w:val="001D5FB8"/>
    <w:rsid w:val="001D6737"/>
    <w:rsid w:val="001D75DB"/>
    <w:rsid w:val="001D7A89"/>
    <w:rsid w:val="001D7C0B"/>
    <w:rsid w:val="001D7C4B"/>
    <w:rsid w:val="001D7F2F"/>
    <w:rsid w:val="001D7F3F"/>
    <w:rsid w:val="001E013A"/>
    <w:rsid w:val="001E0298"/>
    <w:rsid w:val="001E02EE"/>
    <w:rsid w:val="001E0B75"/>
    <w:rsid w:val="001E10B5"/>
    <w:rsid w:val="001E1927"/>
    <w:rsid w:val="001E2162"/>
    <w:rsid w:val="001E2530"/>
    <w:rsid w:val="001E3369"/>
    <w:rsid w:val="001E3738"/>
    <w:rsid w:val="001E438A"/>
    <w:rsid w:val="001E46AD"/>
    <w:rsid w:val="001E478A"/>
    <w:rsid w:val="001E4C93"/>
    <w:rsid w:val="001E4D74"/>
    <w:rsid w:val="001E4DBA"/>
    <w:rsid w:val="001E4F12"/>
    <w:rsid w:val="001E4F1C"/>
    <w:rsid w:val="001E5B70"/>
    <w:rsid w:val="001E6228"/>
    <w:rsid w:val="001E6D6F"/>
    <w:rsid w:val="001E6F9B"/>
    <w:rsid w:val="001E7CE5"/>
    <w:rsid w:val="001F0EDF"/>
    <w:rsid w:val="001F101E"/>
    <w:rsid w:val="001F10B0"/>
    <w:rsid w:val="001F19C8"/>
    <w:rsid w:val="001F1FEB"/>
    <w:rsid w:val="001F228D"/>
    <w:rsid w:val="001F22A2"/>
    <w:rsid w:val="001F256E"/>
    <w:rsid w:val="001F32CC"/>
    <w:rsid w:val="001F346D"/>
    <w:rsid w:val="001F3BB6"/>
    <w:rsid w:val="001F481D"/>
    <w:rsid w:val="001F5444"/>
    <w:rsid w:val="001F57BC"/>
    <w:rsid w:val="001F5869"/>
    <w:rsid w:val="001F59AC"/>
    <w:rsid w:val="001F5E5C"/>
    <w:rsid w:val="001F5E88"/>
    <w:rsid w:val="001F6245"/>
    <w:rsid w:val="001F63E4"/>
    <w:rsid w:val="001F6878"/>
    <w:rsid w:val="001F6949"/>
    <w:rsid w:val="001F701A"/>
    <w:rsid w:val="001F73C1"/>
    <w:rsid w:val="001F74D5"/>
    <w:rsid w:val="00200778"/>
    <w:rsid w:val="00200A90"/>
    <w:rsid w:val="00201568"/>
    <w:rsid w:val="002017CA"/>
    <w:rsid w:val="002018AC"/>
    <w:rsid w:val="002026D3"/>
    <w:rsid w:val="00202C03"/>
    <w:rsid w:val="00202C55"/>
    <w:rsid w:val="002030C7"/>
    <w:rsid w:val="00203A38"/>
    <w:rsid w:val="002044A4"/>
    <w:rsid w:val="002050F1"/>
    <w:rsid w:val="002051D2"/>
    <w:rsid w:val="002053E1"/>
    <w:rsid w:val="00205941"/>
    <w:rsid w:val="00205EFC"/>
    <w:rsid w:val="0020681B"/>
    <w:rsid w:val="00206A6C"/>
    <w:rsid w:val="00206B94"/>
    <w:rsid w:val="00206BB0"/>
    <w:rsid w:val="00206FB2"/>
    <w:rsid w:val="002077CC"/>
    <w:rsid w:val="00207872"/>
    <w:rsid w:val="00207E37"/>
    <w:rsid w:val="002107A6"/>
    <w:rsid w:val="002109C9"/>
    <w:rsid w:val="00210B76"/>
    <w:rsid w:val="00210EF5"/>
    <w:rsid w:val="00211B64"/>
    <w:rsid w:val="002126CA"/>
    <w:rsid w:val="00212953"/>
    <w:rsid w:val="00212C49"/>
    <w:rsid w:val="002139FE"/>
    <w:rsid w:val="00213CAA"/>
    <w:rsid w:val="002140BE"/>
    <w:rsid w:val="00214FD8"/>
    <w:rsid w:val="00216189"/>
    <w:rsid w:val="00216A0E"/>
    <w:rsid w:val="00216B7B"/>
    <w:rsid w:val="002176F4"/>
    <w:rsid w:val="00217718"/>
    <w:rsid w:val="00220195"/>
    <w:rsid w:val="0022091B"/>
    <w:rsid w:val="00220D18"/>
    <w:rsid w:val="00221D83"/>
    <w:rsid w:val="00222D09"/>
    <w:rsid w:val="00223251"/>
    <w:rsid w:val="00223660"/>
    <w:rsid w:val="00223F69"/>
    <w:rsid w:val="00224008"/>
    <w:rsid w:val="002240DE"/>
    <w:rsid w:val="00224158"/>
    <w:rsid w:val="002245C1"/>
    <w:rsid w:val="00224D9E"/>
    <w:rsid w:val="002250F2"/>
    <w:rsid w:val="0022533F"/>
    <w:rsid w:val="00225383"/>
    <w:rsid w:val="002258CE"/>
    <w:rsid w:val="002265CE"/>
    <w:rsid w:val="002268D3"/>
    <w:rsid w:val="0022693C"/>
    <w:rsid w:val="00226D57"/>
    <w:rsid w:val="00226D61"/>
    <w:rsid w:val="002275F1"/>
    <w:rsid w:val="0022787C"/>
    <w:rsid w:val="002307B8"/>
    <w:rsid w:val="00230B4E"/>
    <w:rsid w:val="00231294"/>
    <w:rsid w:val="002312EA"/>
    <w:rsid w:val="002315CA"/>
    <w:rsid w:val="00231B44"/>
    <w:rsid w:val="00231FD6"/>
    <w:rsid w:val="00233304"/>
    <w:rsid w:val="0023357E"/>
    <w:rsid w:val="0023393B"/>
    <w:rsid w:val="00233A2E"/>
    <w:rsid w:val="00233A55"/>
    <w:rsid w:val="00234778"/>
    <w:rsid w:val="0023663C"/>
    <w:rsid w:val="002370BF"/>
    <w:rsid w:val="002372C2"/>
    <w:rsid w:val="00237E37"/>
    <w:rsid w:val="00237F6B"/>
    <w:rsid w:val="002401D7"/>
    <w:rsid w:val="00240C88"/>
    <w:rsid w:val="0024121A"/>
    <w:rsid w:val="00241581"/>
    <w:rsid w:val="002419AE"/>
    <w:rsid w:val="00241DED"/>
    <w:rsid w:val="00242BA5"/>
    <w:rsid w:val="00242BD5"/>
    <w:rsid w:val="00242C4F"/>
    <w:rsid w:val="00243014"/>
    <w:rsid w:val="00243357"/>
    <w:rsid w:val="00243910"/>
    <w:rsid w:val="00243F80"/>
    <w:rsid w:val="00244091"/>
    <w:rsid w:val="00244A3B"/>
    <w:rsid w:val="00245351"/>
    <w:rsid w:val="00245906"/>
    <w:rsid w:val="0024596B"/>
    <w:rsid w:val="00245A72"/>
    <w:rsid w:val="00245BF7"/>
    <w:rsid w:val="00245E24"/>
    <w:rsid w:val="00246524"/>
    <w:rsid w:val="0024672D"/>
    <w:rsid w:val="0024691C"/>
    <w:rsid w:val="0024724C"/>
    <w:rsid w:val="00247267"/>
    <w:rsid w:val="002473D7"/>
    <w:rsid w:val="00247712"/>
    <w:rsid w:val="002477EC"/>
    <w:rsid w:val="00247BA0"/>
    <w:rsid w:val="00247BD5"/>
    <w:rsid w:val="00247F96"/>
    <w:rsid w:val="0025069D"/>
    <w:rsid w:val="00250922"/>
    <w:rsid w:val="0025093D"/>
    <w:rsid w:val="00251F83"/>
    <w:rsid w:val="00253B88"/>
    <w:rsid w:val="00253C28"/>
    <w:rsid w:val="00253C91"/>
    <w:rsid w:val="00253F62"/>
    <w:rsid w:val="00254051"/>
    <w:rsid w:val="00254B52"/>
    <w:rsid w:val="00254CEA"/>
    <w:rsid w:val="002556D4"/>
    <w:rsid w:val="002561DC"/>
    <w:rsid w:val="00256BF1"/>
    <w:rsid w:val="002572F2"/>
    <w:rsid w:val="002576D5"/>
    <w:rsid w:val="002576D9"/>
    <w:rsid w:val="00257759"/>
    <w:rsid w:val="002577FB"/>
    <w:rsid w:val="00257E9D"/>
    <w:rsid w:val="00257F82"/>
    <w:rsid w:val="002601CD"/>
    <w:rsid w:val="00260235"/>
    <w:rsid w:val="0026029E"/>
    <w:rsid w:val="002604B9"/>
    <w:rsid w:val="0026087E"/>
    <w:rsid w:val="00261707"/>
    <w:rsid w:val="002622AC"/>
    <w:rsid w:val="00262455"/>
    <w:rsid w:val="002625AF"/>
    <w:rsid w:val="00262E6D"/>
    <w:rsid w:val="002644BF"/>
    <w:rsid w:val="002645E9"/>
    <w:rsid w:val="002646B1"/>
    <w:rsid w:val="002646DB"/>
    <w:rsid w:val="00264BA0"/>
    <w:rsid w:val="00264FEE"/>
    <w:rsid w:val="002652A8"/>
    <w:rsid w:val="0026530D"/>
    <w:rsid w:val="002657E5"/>
    <w:rsid w:val="00265831"/>
    <w:rsid w:val="002658C7"/>
    <w:rsid w:val="002662B5"/>
    <w:rsid w:val="0026639D"/>
    <w:rsid w:val="0026647D"/>
    <w:rsid w:val="00266C2E"/>
    <w:rsid w:val="00266FEE"/>
    <w:rsid w:val="0026716A"/>
    <w:rsid w:val="002674E3"/>
    <w:rsid w:val="0026759D"/>
    <w:rsid w:val="002677D1"/>
    <w:rsid w:val="00267842"/>
    <w:rsid w:val="00267949"/>
    <w:rsid w:val="0026799D"/>
    <w:rsid w:val="00267DB0"/>
    <w:rsid w:val="00270159"/>
    <w:rsid w:val="002702BB"/>
    <w:rsid w:val="00270381"/>
    <w:rsid w:val="002703A0"/>
    <w:rsid w:val="00270606"/>
    <w:rsid w:val="002708CB"/>
    <w:rsid w:val="00270D8A"/>
    <w:rsid w:val="00270D8D"/>
    <w:rsid w:val="00270F69"/>
    <w:rsid w:val="00270F84"/>
    <w:rsid w:val="0027109D"/>
    <w:rsid w:val="0027172F"/>
    <w:rsid w:val="00271AA4"/>
    <w:rsid w:val="00271CCA"/>
    <w:rsid w:val="002720B4"/>
    <w:rsid w:val="0027219B"/>
    <w:rsid w:val="002724C5"/>
    <w:rsid w:val="00272DD8"/>
    <w:rsid w:val="0027312E"/>
    <w:rsid w:val="00273A35"/>
    <w:rsid w:val="00273BDD"/>
    <w:rsid w:val="00273C0B"/>
    <w:rsid w:val="0027409C"/>
    <w:rsid w:val="002744D6"/>
    <w:rsid w:val="002748EE"/>
    <w:rsid w:val="00274DAB"/>
    <w:rsid w:val="002758CA"/>
    <w:rsid w:val="002758F4"/>
    <w:rsid w:val="00275A4E"/>
    <w:rsid w:val="00275BEB"/>
    <w:rsid w:val="00276425"/>
    <w:rsid w:val="00276E08"/>
    <w:rsid w:val="0027724E"/>
    <w:rsid w:val="00277579"/>
    <w:rsid w:val="002778B0"/>
    <w:rsid w:val="002802F3"/>
    <w:rsid w:val="0028178B"/>
    <w:rsid w:val="00281D2A"/>
    <w:rsid w:val="00281F8F"/>
    <w:rsid w:val="0028289F"/>
    <w:rsid w:val="00282953"/>
    <w:rsid w:val="00282D92"/>
    <w:rsid w:val="00282ECF"/>
    <w:rsid w:val="002832C3"/>
    <w:rsid w:val="002835BB"/>
    <w:rsid w:val="00283DCD"/>
    <w:rsid w:val="0028451F"/>
    <w:rsid w:val="00284A63"/>
    <w:rsid w:val="00285032"/>
    <w:rsid w:val="0028550C"/>
    <w:rsid w:val="00285648"/>
    <w:rsid w:val="00285903"/>
    <w:rsid w:val="00285A9A"/>
    <w:rsid w:val="00285F4B"/>
    <w:rsid w:val="00286B99"/>
    <w:rsid w:val="00286BA5"/>
    <w:rsid w:val="0028717F"/>
    <w:rsid w:val="0028761B"/>
    <w:rsid w:val="00287788"/>
    <w:rsid w:val="00287F70"/>
    <w:rsid w:val="0029025C"/>
    <w:rsid w:val="002904B6"/>
    <w:rsid w:val="00290DB9"/>
    <w:rsid w:val="00290DF6"/>
    <w:rsid w:val="002912D4"/>
    <w:rsid w:val="002920AA"/>
    <w:rsid w:val="002921AB"/>
    <w:rsid w:val="00292307"/>
    <w:rsid w:val="002923AF"/>
    <w:rsid w:val="0029269E"/>
    <w:rsid w:val="002927C3"/>
    <w:rsid w:val="00292E38"/>
    <w:rsid w:val="00292F3F"/>
    <w:rsid w:val="00293A67"/>
    <w:rsid w:val="00294410"/>
    <w:rsid w:val="0029475E"/>
    <w:rsid w:val="00294779"/>
    <w:rsid w:val="00294C54"/>
    <w:rsid w:val="00294E49"/>
    <w:rsid w:val="002953C3"/>
    <w:rsid w:val="00295931"/>
    <w:rsid w:val="0029598D"/>
    <w:rsid w:val="0029599A"/>
    <w:rsid w:val="00295D49"/>
    <w:rsid w:val="002962F3"/>
    <w:rsid w:val="0029732C"/>
    <w:rsid w:val="002978F5"/>
    <w:rsid w:val="00297D0A"/>
    <w:rsid w:val="002A0BB3"/>
    <w:rsid w:val="002A0E40"/>
    <w:rsid w:val="002A1970"/>
    <w:rsid w:val="002A1B80"/>
    <w:rsid w:val="002A2039"/>
    <w:rsid w:val="002A2B0B"/>
    <w:rsid w:val="002A30F4"/>
    <w:rsid w:val="002A3399"/>
    <w:rsid w:val="002A37AB"/>
    <w:rsid w:val="002A3B73"/>
    <w:rsid w:val="002A3F06"/>
    <w:rsid w:val="002A3FE4"/>
    <w:rsid w:val="002A4085"/>
    <w:rsid w:val="002A4AE4"/>
    <w:rsid w:val="002A4BBF"/>
    <w:rsid w:val="002A517E"/>
    <w:rsid w:val="002A65CB"/>
    <w:rsid w:val="002A6626"/>
    <w:rsid w:val="002A6C1E"/>
    <w:rsid w:val="002A70E0"/>
    <w:rsid w:val="002A720A"/>
    <w:rsid w:val="002A75C3"/>
    <w:rsid w:val="002A7888"/>
    <w:rsid w:val="002A7EDF"/>
    <w:rsid w:val="002A7FC5"/>
    <w:rsid w:val="002B031E"/>
    <w:rsid w:val="002B0AE7"/>
    <w:rsid w:val="002B0CFD"/>
    <w:rsid w:val="002B10AD"/>
    <w:rsid w:val="002B10D1"/>
    <w:rsid w:val="002B12D0"/>
    <w:rsid w:val="002B1371"/>
    <w:rsid w:val="002B14CB"/>
    <w:rsid w:val="002B14CF"/>
    <w:rsid w:val="002B1E4A"/>
    <w:rsid w:val="002B27C4"/>
    <w:rsid w:val="002B2A92"/>
    <w:rsid w:val="002B2D80"/>
    <w:rsid w:val="002B300C"/>
    <w:rsid w:val="002B3522"/>
    <w:rsid w:val="002B37C1"/>
    <w:rsid w:val="002B4B26"/>
    <w:rsid w:val="002B51FD"/>
    <w:rsid w:val="002B576C"/>
    <w:rsid w:val="002B5812"/>
    <w:rsid w:val="002B5C61"/>
    <w:rsid w:val="002B6172"/>
    <w:rsid w:val="002B655E"/>
    <w:rsid w:val="002B6D5C"/>
    <w:rsid w:val="002B6E1C"/>
    <w:rsid w:val="002B7460"/>
    <w:rsid w:val="002B7CC2"/>
    <w:rsid w:val="002C0206"/>
    <w:rsid w:val="002C03D6"/>
    <w:rsid w:val="002C0555"/>
    <w:rsid w:val="002C07F2"/>
    <w:rsid w:val="002C1096"/>
    <w:rsid w:val="002C1467"/>
    <w:rsid w:val="002C16A7"/>
    <w:rsid w:val="002C18EC"/>
    <w:rsid w:val="002C209A"/>
    <w:rsid w:val="002C20D4"/>
    <w:rsid w:val="002C21F5"/>
    <w:rsid w:val="002C26B8"/>
    <w:rsid w:val="002C2873"/>
    <w:rsid w:val="002C2954"/>
    <w:rsid w:val="002C2997"/>
    <w:rsid w:val="002C2F86"/>
    <w:rsid w:val="002C333D"/>
    <w:rsid w:val="002C338E"/>
    <w:rsid w:val="002C4147"/>
    <w:rsid w:val="002C47ED"/>
    <w:rsid w:val="002C49F8"/>
    <w:rsid w:val="002C51DA"/>
    <w:rsid w:val="002C551D"/>
    <w:rsid w:val="002C5A9A"/>
    <w:rsid w:val="002C6498"/>
    <w:rsid w:val="002C6E66"/>
    <w:rsid w:val="002C7232"/>
    <w:rsid w:val="002C7479"/>
    <w:rsid w:val="002C7BFD"/>
    <w:rsid w:val="002C7DA0"/>
    <w:rsid w:val="002D0446"/>
    <w:rsid w:val="002D121C"/>
    <w:rsid w:val="002D1EF2"/>
    <w:rsid w:val="002D2A1A"/>
    <w:rsid w:val="002D2B82"/>
    <w:rsid w:val="002D2BBA"/>
    <w:rsid w:val="002D2D43"/>
    <w:rsid w:val="002D37EC"/>
    <w:rsid w:val="002D38EF"/>
    <w:rsid w:val="002D395B"/>
    <w:rsid w:val="002D3E53"/>
    <w:rsid w:val="002D4CCC"/>
    <w:rsid w:val="002D5A4C"/>
    <w:rsid w:val="002D5DC6"/>
    <w:rsid w:val="002D63D7"/>
    <w:rsid w:val="002D6453"/>
    <w:rsid w:val="002D65B2"/>
    <w:rsid w:val="002D65F1"/>
    <w:rsid w:val="002D6684"/>
    <w:rsid w:val="002D6887"/>
    <w:rsid w:val="002D7188"/>
    <w:rsid w:val="002D73DF"/>
    <w:rsid w:val="002D7ECE"/>
    <w:rsid w:val="002E00D5"/>
    <w:rsid w:val="002E01F8"/>
    <w:rsid w:val="002E03C5"/>
    <w:rsid w:val="002E1231"/>
    <w:rsid w:val="002E15AE"/>
    <w:rsid w:val="002E1CAE"/>
    <w:rsid w:val="002E294F"/>
    <w:rsid w:val="002E2E2B"/>
    <w:rsid w:val="002E3276"/>
    <w:rsid w:val="002E36EE"/>
    <w:rsid w:val="002E3948"/>
    <w:rsid w:val="002E3BA7"/>
    <w:rsid w:val="002E3D4B"/>
    <w:rsid w:val="002E401F"/>
    <w:rsid w:val="002E41F8"/>
    <w:rsid w:val="002E45CA"/>
    <w:rsid w:val="002E4A97"/>
    <w:rsid w:val="002E4B3E"/>
    <w:rsid w:val="002E5711"/>
    <w:rsid w:val="002E5984"/>
    <w:rsid w:val="002E5BA8"/>
    <w:rsid w:val="002E5F79"/>
    <w:rsid w:val="002E64D9"/>
    <w:rsid w:val="002E66D6"/>
    <w:rsid w:val="002E6F3B"/>
    <w:rsid w:val="002E7034"/>
    <w:rsid w:val="002E757A"/>
    <w:rsid w:val="002E78B5"/>
    <w:rsid w:val="002E7C42"/>
    <w:rsid w:val="002E7D01"/>
    <w:rsid w:val="002F00C8"/>
    <w:rsid w:val="002F028E"/>
    <w:rsid w:val="002F0D6A"/>
    <w:rsid w:val="002F117F"/>
    <w:rsid w:val="002F1A98"/>
    <w:rsid w:val="002F1F2C"/>
    <w:rsid w:val="002F20CD"/>
    <w:rsid w:val="002F2172"/>
    <w:rsid w:val="002F3106"/>
    <w:rsid w:val="002F3B5E"/>
    <w:rsid w:val="002F3C94"/>
    <w:rsid w:val="002F47F2"/>
    <w:rsid w:val="002F4C02"/>
    <w:rsid w:val="002F5387"/>
    <w:rsid w:val="002F5F8E"/>
    <w:rsid w:val="002F628E"/>
    <w:rsid w:val="002F69F2"/>
    <w:rsid w:val="002F778B"/>
    <w:rsid w:val="002F7B2A"/>
    <w:rsid w:val="00300211"/>
    <w:rsid w:val="003015D0"/>
    <w:rsid w:val="003016D3"/>
    <w:rsid w:val="003017D2"/>
    <w:rsid w:val="00301E4F"/>
    <w:rsid w:val="00301F8F"/>
    <w:rsid w:val="00302230"/>
    <w:rsid w:val="00304041"/>
    <w:rsid w:val="0030452E"/>
    <w:rsid w:val="003049F4"/>
    <w:rsid w:val="003051C5"/>
    <w:rsid w:val="00306ECE"/>
    <w:rsid w:val="00307160"/>
    <w:rsid w:val="003072B7"/>
    <w:rsid w:val="0030736A"/>
    <w:rsid w:val="00307712"/>
    <w:rsid w:val="00307BD7"/>
    <w:rsid w:val="0031006B"/>
    <w:rsid w:val="003101BF"/>
    <w:rsid w:val="00310DCF"/>
    <w:rsid w:val="00310F53"/>
    <w:rsid w:val="00311438"/>
    <w:rsid w:val="00311A16"/>
    <w:rsid w:val="00311E01"/>
    <w:rsid w:val="003122BF"/>
    <w:rsid w:val="00312C18"/>
    <w:rsid w:val="00312FCA"/>
    <w:rsid w:val="003136A0"/>
    <w:rsid w:val="003138F2"/>
    <w:rsid w:val="00313CFF"/>
    <w:rsid w:val="00313EC9"/>
    <w:rsid w:val="00314411"/>
    <w:rsid w:val="003147BD"/>
    <w:rsid w:val="0031495E"/>
    <w:rsid w:val="00314EE1"/>
    <w:rsid w:val="0031616C"/>
    <w:rsid w:val="00317799"/>
    <w:rsid w:val="00317C43"/>
    <w:rsid w:val="00320FDC"/>
    <w:rsid w:val="0032136F"/>
    <w:rsid w:val="00321951"/>
    <w:rsid w:val="0032204A"/>
    <w:rsid w:val="003225BE"/>
    <w:rsid w:val="003229CA"/>
    <w:rsid w:val="00322BA5"/>
    <w:rsid w:val="00322E41"/>
    <w:rsid w:val="00322E54"/>
    <w:rsid w:val="00323239"/>
    <w:rsid w:val="003233A2"/>
    <w:rsid w:val="0032344B"/>
    <w:rsid w:val="003236E0"/>
    <w:rsid w:val="00323BD6"/>
    <w:rsid w:val="00323D88"/>
    <w:rsid w:val="0032439E"/>
    <w:rsid w:val="00324B4E"/>
    <w:rsid w:val="00324BDE"/>
    <w:rsid w:val="00324F28"/>
    <w:rsid w:val="0032507B"/>
    <w:rsid w:val="00325844"/>
    <w:rsid w:val="00325994"/>
    <w:rsid w:val="00325A30"/>
    <w:rsid w:val="00325AA6"/>
    <w:rsid w:val="00325AFA"/>
    <w:rsid w:val="00325DC4"/>
    <w:rsid w:val="003264BA"/>
    <w:rsid w:val="00327055"/>
    <w:rsid w:val="00327B46"/>
    <w:rsid w:val="00327BC8"/>
    <w:rsid w:val="00327CC9"/>
    <w:rsid w:val="003304A4"/>
    <w:rsid w:val="00330A45"/>
    <w:rsid w:val="003319E9"/>
    <w:rsid w:val="00331A74"/>
    <w:rsid w:val="00331DB4"/>
    <w:rsid w:val="003324EE"/>
    <w:rsid w:val="00332C99"/>
    <w:rsid w:val="003332FC"/>
    <w:rsid w:val="00333397"/>
    <w:rsid w:val="00333601"/>
    <w:rsid w:val="00334972"/>
    <w:rsid w:val="00334FF2"/>
    <w:rsid w:val="003352E5"/>
    <w:rsid w:val="003355E7"/>
    <w:rsid w:val="00335777"/>
    <w:rsid w:val="00335E19"/>
    <w:rsid w:val="003360B9"/>
    <w:rsid w:val="0033637E"/>
    <w:rsid w:val="00336718"/>
    <w:rsid w:val="00336C43"/>
    <w:rsid w:val="00336DB6"/>
    <w:rsid w:val="00336F9C"/>
    <w:rsid w:val="00337CC7"/>
    <w:rsid w:val="00337E6A"/>
    <w:rsid w:val="00341685"/>
    <w:rsid w:val="0034188C"/>
    <w:rsid w:val="00341955"/>
    <w:rsid w:val="00341A4E"/>
    <w:rsid w:val="00341B68"/>
    <w:rsid w:val="00341E9F"/>
    <w:rsid w:val="00342314"/>
    <w:rsid w:val="00342F5A"/>
    <w:rsid w:val="00343766"/>
    <w:rsid w:val="003437EB"/>
    <w:rsid w:val="00343B67"/>
    <w:rsid w:val="00343CE0"/>
    <w:rsid w:val="00344641"/>
    <w:rsid w:val="00344831"/>
    <w:rsid w:val="003449D9"/>
    <w:rsid w:val="00344AFA"/>
    <w:rsid w:val="00344F0E"/>
    <w:rsid w:val="003452B4"/>
    <w:rsid w:val="003461F8"/>
    <w:rsid w:val="00346898"/>
    <w:rsid w:val="003468AF"/>
    <w:rsid w:val="00346B6A"/>
    <w:rsid w:val="00346C24"/>
    <w:rsid w:val="00346CBE"/>
    <w:rsid w:val="00347AEC"/>
    <w:rsid w:val="00350349"/>
    <w:rsid w:val="003509B6"/>
    <w:rsid w:val="00351502"/>
    <w:rsid w:val="00351AEC"/>
    <w:rsid w:val="00352362"/>
    <w:rsid w:val="003524B6"/>
    <w:rsid w:val="003525FA"/>
    <w:rsid w:val="0035283C"/>
    <w:rsid w:val="00352E89"/>
    <w:rsid w:val="00352EE2"/>
    <w:rsid w:val="00352F0A"/>
    <w:rsid w:val="003539F6"/>
    <w:rsid w:val="00354948"/>
    <w:rsid w:val="00355D38"/>
    <w:rsid w:val="00355DBC"/>
    <w:rsid w:val="00355F5D"/>
    <w:rsid w:val="003569CC"/>
    <w:rsid w:val="00356A03"/>
    <w:rsid w:val="00357109"/>
    <w:rsid w:val="0035729F"/>
    <w:rsid w:val="003605D2"/>
    <w:rsid w:val="003608A6"/>
    <w:rsid w:val="00360926"/>
    <w:rsid w:val="0036123B"/>
    <w:rsid w:val="00361F21"/>
    <w:rsid w:val="003625D6"/>
    <w:rsid w:val="003630C7"/>
    <w:rsid w:val="0036313E"/>
    <w:rsid w:val="003636C9"/>
    <w:rsid w:val="00364300"/>
    <w:rsid w:val="00364306"/>
    <w:rsid w:val="00364901"/>
    <w:rsid w:val="00364A76"/>
    <w:rsid w:val="00364CE2"/>
    <w:rsid w:val="003650AF"/>
    <w:rsid w:val="0036523E"/>
    <w:rsid w:val="0036625A"/>
    <w:rsid w:val="0036651F"/>
    <w:rsid w:val="00366E45"/>
    <w:rsid w:val="00367895"/>
    <w:rsid w:val="00367F89"/>
    <w:rsid w:val="00370355"/>
    <w:rsid w:val="00371BD5"/>
    <w:rsid w:val="00371D5E"/>
    <w:rsid w:val="00371E5B"/>
    <w:rsid w:val="00371ED2"/>
    <w:rsid w:val="003726D6"/>
    <w:rsid w:val="00373118"/>
    <w:rsid w:val="00373121"/>
    <w:rsid w:val="0037333C"/>
    <w:rsid w:val="003734B1"/>
    <w:rsid w:val="003736F3"/>
    <w:rsid w:val="00373C61"/>
    <w:rsid w:val="003748BA"/>
    <w:rsid w:val="00375641"/>
    <w:rsid w:val="00375798"/>
    <w:rsid w:val="00375B01"/>
    <w:rsid w:val="003766A6"/>
    <w:rsid w:val="003769E1"/>
    <w:rsid w:val="00376F23"/>
    <w:rsid w:val="003772D5"/>
    <w:rsid w:val="00377656"/>
    <w:rsid w:val="0038050F"/>
    <w:rsid w:val="00380F84"/>
    <w:rsid w:val="00381038"/>
    <w:rsid w:val="00381141"/>
    <w:rsid w:val="0038127C"/>
    <w:rsid w:val="0038234D"/>
    <w:rsid w:val="00382398"/>
    <w:rsid w:val="00382852"/>
    <w:rsid w:val="00382B12"/>
    <w:rsid w:val="003831A5"/>
    <w:rsid w:val="00383550"/>
    <w:rsid w:val="00383932"/>
    <w:rsid w:val="00384983"/>
    <w:rsid w:val="00385798"/>
    <w:rsid w:val="00385A4E"/>
    <w:rsid w:val="00386699"/>
    <w:rsid w:val="00386828"/>
    <w:rsid w:val="003868D0"/>
    <w:rsid w:val="00387265"/>
    <w:rsid w:val="00387BDA"/>
    <w:rsid w:val="00391AD2"/>
    <w:rsid w:val="00391E41"/>
    <w:rsid w:val="0039214B"/>
    <w:rsid w:val="003924FB"/>
    <w:rsid w:val="00392590"/>
    <w:rsid w:val="00392745"/>
    <w:rsid w:val="00392A30"/>
    <w:rsid w:val="003936E2"/>
    <w:rsid w:val="00393CBB"/>
    <w:rsid w:val="00393EAB"/>
    <w:rsid w:val="003950F4"/>
    <w:rsid w:val="003953B0"/>
    <w:rsid w:val="00395455"/>
    <w:rsid w:val="00395A35"/>
    <w:rsid w:val="00395A99"/>
    <w:rsid w:val="00396320"/>
    <w:rsid w:val="00396E10"/>
    <w:rsid w:val="00397AC6"/>
    <w:rsid w:val="00397CD2"/>
    <w:rsid w:val="003A02F2"/>
    <w:rsid w:val="003A0338"/>
    <w:rsid w:val="003A0CC0"/>
    <w:rsid w:val="003A0FB8"/>
    <w:rsid w:val="003A11AC"/>
    <w:rsid w:val="003A1353"/>
    <w:rsid w:val="003A145B"/>
    <w:rsid w:val="003A1559"/>
    <w:rsid w:val="003A194B"/>
    <w:rsid w:val="003A202C"/>
    <w:rsid w:val="003A2BF7"/>
    <w:rsid w:val="003A2F55"/>
    <w:rsid w:val="003A30A0"/>
    <w:rsid w:val="003A3752"/>
    <w:rsid w:val="003A3C4B"/>
    <w:rsid w:val="003A4697"/>
    <w:rsid w:val="003A4A03"/>
    <w:rsid w:val="003A504B"/>
    <w:rsid w:val="003A514A"/>
    <w:rsid w:val="003A5647"/>
    <w:rsid w:val="003A5721"/>
    <w:rsid w:val="003A5B55"/>
    <w:rsid w:val="003A6C10"/>
    <w:rsid w:val="003A71F1"/>
    <w:rsid w:val="003A751D"/>
    <w:rsid w:val="003B02C7"/>
    <w:rsid w:val="003B033F"/>
    <w:rsid w:val="003B05F4"/>
    <w:rsid w:val="003B0868"/>
    <w:rsid w:val="003B0886"/>
    <w:rsid w:val="003B097C"/>
    <w:rsid w:val="003B1150"/>
    <w:rsid w:val="003B1C8B"/>
    <w:rsid w:val="003B1CA5"/>
    <w:rsid w:val="003B248E"/>
    <w:rsid w:val="003B2611"/>
    <w:rsid w:val="003B2665"/>
    <w:rsid w:val="003B2A2B"/>
    <w:rsid w:val="003B339A"/>
    <w:rsid w:val="003B3B03"/>
    <w:rsid w:val="003B40DE"/>
    <w:rsid w:val="003B5C61"/>
    <w:rsid w:val="003B5D21"/>
    <w:rsid w:val="003B62C4"/>
    <w:rsid w:val="003B6961"/>
    <w:rsid w:val="003B77B3"/>
    <w:rsid w:val="003C00C5"/>
    <w:rsid w:val="003C0EDA"/>
    <w:rsid w:val="003C0FA2"/>
    <w:rsid w:val="003C1A50"/>
    <w:rsid w:val="003C1E37"/>
    <w:rsid w:val="003C21A6"/>
    <w:rsid w:val="003C2347"/>
    <w:rsid w:val="003C2376"/>
    <w:rsid w:val="003C2700"/>
    <w:rsid w:val="003C2A91"/>
    <w:rsid w:val="003C2B6E"/>
    <w:rsid w:val="003C331F"/>
    <w:rsid w:val="003C363C"/>
    <w:rsid w:val="003C36B0"/>
    <w:rsid w:val="003C3A8B"/>
    <w:rsid w:val="003C418B"/>
    <w:rsid w:val="003C4318"/>
    <w:rsid w:val="003C43B9"/>
    <w:rsid w:val="003C482F"/>
    <w:rsid w:val="003C4C1A"/>
    <w:rsid w:val="003C4C7A"/>
    <w:rsid w:val="003C523C"/>
    <w:rsid w:val="003C5385"/>
    <w:rsid w:val="003C5457"/>
    <w:rsid w:val="003C5830"/>
    <w:rsid w:val="003C5C9A"/>
    <w:rsid w:val="003C5FE3"/>
    <w:rsid w:val="003C62B3"/>
    <w:rsid w:val="003C68DC"/>
    <w:rsid w:val="003C696E"/>
    <w:rsid w:val="003C6ABD"/>
    <w:rsid w:val="003C702E"/>
    <w:rsid w:val="003C7E51"/>
    <w:rsid w:val="003C7FB0"/>
    <w:rsid w:val="003D004C"/>
    <w:rsid w:val="003D0CD9"/>
    <w:rsid w:val="003D1400"/>
    <w:rsid w:val="003D2471"/>
    <w:rsid w:val="003D3A24"/>
    <w:rsid w:val="003D3D0E"/>
    <w:rsid w:val="003D413D"/>
    <w:rsid w:val="003D48D6"/>
    <w:rsid w:val="003D4CE8"/>
    <w:rsid w:val="003D53D7"/>
    <w:rsid w:val="003D5B9D"/>
    <w:rsid w:val="003D5DF0"/>
    <w:rsid w:val="003D6021"/>
    <w:rsid w:val="003D701C"/>
    <w:rsid w:val="003D7679"/>
    <w:rsid w:val="003D7745"/>
    <w:rsid w:val="003D7FD2"/>
    <w:rsid w:val="003E021E"/>
    <w:rsid w:val="003E0C0B"/>
    <w:rsid w:val="003E0F9F"/>
    <w:rsid w:val="003E1469"/>
    <w:rsid w:val="003E16F5"/>
    <w:rsid w:val="003E1734"/>
    <w:rsid w:val="003E1CEA"/>
    <w:rsid w:val="003E1D9F"/>
    <w:rsid w:val="003E2195"/>
    <w:rsid w:val="003E2497"/>
    <w:rsid w:val="003E2DCE"/>
    <w:rsid w:val="003E319C"/>
    <w:rsid w:val="003E36E7"/>
    <w:rsid w:val="003E3EE9"/>
    <w:rsid w:val="003E3F49"/>
    <w:rsid w:val="003E46FE"/>
    <w:rsid w:val="003E47A7"/>
    <w:rsid w:val="003E57E9"/>
    <w:rsid w:val="003E61EB"/>
    <w:rsid w:val="003E64C6"/>
    <w:rsid w:val="003E65BC"/>
    <w:rsid w:val="003E6EAC"/>
    <w:rsid w:val="003E764F"/>
    <w:rsid w:val="003E7912"/>
    <w:rsid w:val="003E7B8E"/>
    <w:rsid w:val="003E7E4A"/>
    <w:rsid w:val="003F0183"/>
    <w:rsid w:val="003F0488"/>
    <w:rsid w:val="003F05FC"/>
    <w:rsid w:val="003F0B9F"/>
    <w:rsid w:val="003F0DA2"/>
    <w:rsid w:val="003F13F3"/>
    <w:rsid w:val="003F15D3"/>
    <w:rsid w:val="003F1F36"/>
    <w:rsid w:val="003F24EA"/>
    <w:rsid w:val="003F290F"/>
    <w:rsid w:val="003F2B2D"/>
    <w:rsid w:val="003F2E1C"/>
    <w:rsid w:val="003F2EA9"/>
    <w:rsid w:val="003F2F27"/>
    <w:rsid w:val="003F3164"/>
    <w:rsid w:val="003F3501"/>
    <w:rsid w:val="003F376A"/>
    <w:rsid w:val="003F39F9"/>
    <w:rsid w:val="003F3D7C"/>
    <w:rsid w:val="003F3F51"/>
    <w:rsid w:val="003F48C0"/>
    <w:rsid w:val="003F49A7"/>
    <w:rsid w:val="003F4BD5"/>
    <w:rsid w:val="003F4CFD"/>
    <w:rsid w:val="003F540B"/>
    <w:rsid w:val="003F557D"/>
    <w:rsid w:val="003F5705"/>
    <w:rsid w:val="003F659C"/>
    <w:rsid w:val="003F6B25"/>
    <w:rsid w:val="003F6FA9"/>
    <w:rsid w:val="003F7202"/>
    <w:rsid w:val="003F7617"/>
    <w:rsid w:val="00400546"/>
    <w:rsid w:val="00401206"/>
    <w:rsid w:val="0040212B"/>
    <w:rsid w:val="00402339"/>
    <w:rsid w:val="00402482"/>
    <w:rsid w:val="004026A4"/>
    <w:rsid w:val="0040321D"/>
    <w:rsid w:val="00403706"/>
    <w:rsid w:val="0040427E"/>
    <w:rsid w:val="00405B78"/>
    <w:rsid w:val="00405E4C"/>
    <w:rsid w:val="004077BF"/>
    <w:rsid w:val="004103BC"/>
    <w:rsid w:val="00410B56"/>
    <w:rsid w:val="00410B9A"/>
    <w:rsid w:val="004111E1"/>
    <w:rsid w:val="00411415"/>
    <w:rsid w:val="00411C98"/>
    <w:rsid w:val="00411CAC"/>
    <w:rsid w:val="004121E0"/>
    <w:rsid w:val="0041252B"/>
    <w:rsid w:val="00412657"/>
    <w:rsid w:val="004127A2"/>
    <w:rsid w:val="00412B62"/>
    <w:rsid w:val="00412E33"/>
    <w:rsid w:val="00412FA8"/>
    <w:rsid w:val="00413902"/>
    <w:rsid w:val="0041404E"/>
    <w:rsid w:val="00414675"/>
    <w:rsid w:val="004146F0"/>
    <w:rsid w:val="00414876"/>
    <w:rsid w:val="004155C0"/>
    <w:rsid w:val="0041576E"/>
    <w:rsid w:val="00415993"/>
    <w:rsid w:val="004159EE"/>
    <w:rsid w:val="00416269"/>
    <w:rsid w:val="00416298"/>
    <w:rsid w:val="004165A8"/>
    <w:rsid w:val="00416B53"/>
    <w:rsid w:val="00417177"/>
    <w:rsid w:val="00420173"/>
    <w:rsid w:val="00420AF1"/>
    <w:rsid w:val="004213B3"/>
    <w:rsid w:val="00422569"/>
    <w:rsid w:val="00423107"/>
    <w:rsid w:val="00423482"/>
    <w:rsid w:val="00423896"/>
    <w:rsid w:val="00423A87"/>
    <w:rsid w:val="00424773"/>
    <w:rsid w:val="00424EAE"/>
    <w:rsid w:val="004252EE"/>
    <w:rsid w:val="004254D9"/>
    <w:rsid w:val="00425C95"/>
    <w:rsid w:val="004263F1"/>
    <w:rsid w:val="0042669E"/>
    <w:rsid w:val="00426712"/>
    <w:rsid w:val="0042680C"/>
    <w:rsid w:val="00426A1C"/>
    <w:rsid w:val="00426AE2"/>
    <w:rsid w:val="0042706F"/>
    <w:rsid w:val="0042725A"/>
    <w:rsid w:val="0042752D"/>
    <w:rsid w:val="004276AD"/>
    <w:rsid w:val="00427EC0"/>
    <w:rsid w:val="00431377"/>
    <w:rsid w:val="00431429"/>
    <w:rsid w:val="004314E2"/>
    <w:rsid w:val="004317E7"/>
    <w:rsid w:val="0043191B"/>
    <w:rsid w:val="00431AD6"/>
    <w:rsid w:val="00431C01"/>
    <w:rsid w:val="00432655"/>
    <w:rsid w:val="004327E7"/>
    <w:rsid w:val="004338AF"/>
    <w:rsid w:val="0043482D"/>
    <w:rsid w:val="00434D03"/>
    <w:rsid w:val="00434F84"/>
    <w:rsid w:val="00435092"/>
    <w:rsid w:val="00435853"/>
    <w:rsid w:val="00435C38"/>
    <w:rsid w:val="00435FB9"/>
    <w:rsid w:val="00436195"/>
    <w:rsid w:val="00436277"/>
    <w:rsid w:val="00436728"/>
    <w:rsid w:val="00436F08"/>
    <w:rsid w:val="004404A0"/>
    <w:rsid w:val="00440BCE"/>
    <w:rsid w:val="00440C77"/>
    <w:rsid w:val="0044106B"/>
    <w:rsid w:val="00441223"/>
    <w:rsid w:val="004414E6"/>
    <w:rsid w:val="00441991"/>
    <w:rsid w:val="00441A30"/>
    <w:rsid w:val="0044251A"/>
    <w:rsid w:val="00442906"/>
    <w:rsid w:val="00442C5C"/>
    <w:rsid w:val="00443667"/>
    <w:rsid w:val="00444CBB"/>
    <w:rsid w:val="00444D27"/>
    <w:rsid w:val="00444D2D"/>
    <w:rsid w:val="00445327"/>
    <w:rsid w:val="00445687"/>
    <w:rsid w:val="004458EC"/>
    <w:rsid w:val="00445A22"/>
    <w:rsid w:val="00446899"/>
    <w:rsid w:val="00446991"/>
    <w:rsid w:val="0044717F"/>
    <w:rsid w:val="00447E7D"/>
    <w:rsid w:val="004503D4"/>
    <w:rsid w:val="0045087D"/>
    <w:rsid w:val="00450911"/>
    <w:rsid w:val="00450E45"/>
    <w:rsid w:val="00451109"/>
    <w:rsid w:val="004514F3"/>
    <w:rsid w:val="004517F3"/>
    <w:rsid w:val="00451859"/>
    <w:rsid w:val="00451B6C"/>
    <w:rsid w:val="00451C4C"/>
    <w:rsid w:val="00452735"/>
    <w:rsid w:val="00452E8E"/>
    <w:rsid w:val="00452ECB"/>
    <w:rsid w:val="004545DB"/>
    <w:rsid w:val="00454717"/>
    <w:rsid w:val="00454EFE"/>
    <w:rsid w:val="00455C5A"/>
    <w:rsid w:val="00455DD8"/>
    <w:rsid w:val="004565CC"/>
    <w:rsid w:val="0045665E"/>
    <w:rsid w:val="00456BD4"/>
    <w:rsid w:val="00456E5F"/>
    <w:rsid w:val="00456ED7"/>
    <w:rsid w:val="00456FFA"/>
    <w:rsid w:val="0045701E"/>
    <w:rsid w:val="004577AC"/>
    <w:rsid w:val="004578AF"/>
    <w:rsid w:val="00457EFF"/>
    <w:rsid w:val="00457FAB"/>
    <w:rsid w:val="0046062A"/>
    <w:rsid w:val="00460A92"/>
    <w:rsid w:val="00460AD6"/>
    <w:rsid w:val="004618F3"/>
    <w:rsid w:val="00461CF5"/>
    <w:rsid w:val="00462349"/>
    <w:rsid w:val="0046274A"/>
    <w:rsid w:val="00462D89"/>
    <w:rsid w:val="00463064"/>
    <w:rsid w:val="004630ED"/>
    <w:rsid w:val="00463F52"/>
    <w:rsid w:val="00464647"/>
    <w:rsid w:val="00464861"/>
    <w:rsid w:val="00465A2A"/>
    <w:rsid w:val="00465A33"/>
    <w:rsid w:val="00465BCE"/>
    <w:rsid w:val="00465FFE"/>
    <w:rsid w:val="00470DE2"/>
    <w:rsid w:val="00470E54"/>
    <w:rsid w:val="00471110"/>
    <w:rsid w:val="0047122A"/>
    <w:rsid w:val="00471415"/>
    <w:rsid w:val="00471D83"/>
    <w:rsid w:val="00473352"/>
    <w:rsid w:val="0047361E"/>
    <w:rsid w:val="00473AFC"/>
    <w:rsid w:val="00473E2D"/>
    <w:rsid w:val="00474098"/>
    <w:rsid w:val="0047418B"/>
    <w:rsid w:val="00474616"/>
    <w:rsid w:val="00474B3C"/>
    <w:rsid w:val="00474BB6"/>
    <w:rsid w:val="00474C49"/>
    <w:rsid w:val="00474EA6"/>
    <w:rsid w:val="00475283"/>
    <w:rsid w:val="0047568B"/>
    <w:rsid w:val="004766B5"/>
    <w:rsid w:val="00476FFE"/>
    <w:rsid w:val="00480921"/>
    <w:rsid w:val="004809E6"/>
    <w:rsid w:val="00480A25"/>
    <w:rsid w:val="00480AC2"/>
    <w:rsid w:val="004815C0"/>
    <w:rsid w:val="0048161B"/>
    <w:rsid w:val="004816D8"/>
    <w:rsid w:val="0048173B"/>
    <w:rsid w:val="00481D0C"/>
    <w:rsid w:val="0048201C"/>
    <w:rsid w:val="004827C4"/>
    <w:rsid w:val="004828C7"/>
    <w:rsid w:val="00482A6F"/>
    <w:rsid w:val="00483772"/>
    <w:rsid w:val="0048403A"/>
    <w:rsid w:val="004841E0"/>
    <w:rsid w:val="0048493A"/>
    <w:rsid w:val="00484BD7"/>
    <w:rsid w:val="00484BE3"/>
    <w:rsid w:val="00484C8B"/>
    <w:rsid w:val="00485376"/>
    <w:rsid w:val="00485FED"/>
    <w:rsid w:val="00486916"/>
    <w:rsid w:val="00486EF3"/>
    <w:rsid w:val="004870A8"/>
    <w:rsid w:val="00487592"/>
    <w:rsid w:val="00487684"/>
    <w:rsid w:val="00491D88"/>
    <w:rsid w:val="00492155"/>
    <w:rsid w:val="00492FDC"/>
    <w:rsid w:val="0049346A"/>
    <w:rsid w:val="004939AA"/>
    <w:rsid w:val="00493FC5"/>
    <w:rsid w:val="00494A84"/>
    <w:rsid w:val="00494B50"/>
    <w:rsid w:val="004952C5"/>
    <w:rsid w:val="004953A1"/>
    <w:rsid w:val="00495808"/>
    <w:rsid w:val="00496248"/>
    <w:rsid w:val="004967AB"/>
    <w:rsid w:val="00496EF1"/>
    <w:rsid w:val="004979CE"/>
    <w:rsid w:val="004A020D"/>
    <w:rsid w:val="004A03F3"/>
    <w:rsid w:val="004A06F8"/>
    <w:rsid w:val="004A189D"/>
    <w:rsid w:val="004A2373"/>
    <w:rsid w:val="004A2500"/>
    <w:rsid w:val="004A25BD"/>
    <w:rsid w:val="004A27E7"/>
    <w:rsid w:val="004A30A9"/>
    <w:rsid w:val="004A316B"/>
    <w:rsid w:val="004A3525"/>
    <w:rsid w:val="004A3863"/>
    <w:rsid w:val="004A3A39"/>
    <w:rsid w:val="004A3DAE"/>
    <w:rsid w:val="004A3E17"/>
    <w:rsid w:val="004A4365"/>
    <w:rsid w:val="004A4FCE"/>
    <w:rsid w:val="004A4FDC"/>
    <w:rsid w:val="004A5D2E"/>
    <w:rsid w:val="004A652C"/>
    <w:rsid w:val="004A6798"/>
    <w:rsid w:val="004A6BDC"/>
    <w:rsid w:val="004A742F"/>
    <w:rsid w:val="004A7496"/>
    <w:rsid w:val="004A76D4"/>
    <w:rsid w:val="004A7EFE"/>
    <w:rsid w:val="004B0273"/>
    <w:rsid w:val="004B09AD"/>
    <w:rsid w:val="004B0EBD"/>
    <w:rsid w:val="004B12B5"/>
    <w:rsid w:val="004B1302"/>
    <w:rsid w:val="004B1838"/>
    <w:rsid w:val="004B188A"/>
    <w:rsid w:val="004B1BA4"/>
    <w:rsid w:val="004B1E15"/>
    <w:rsid w:val="004B227B"/>
    <w:rsid w:val="004B28D3"/>
    <w:rsid w:val="004B2F20"/>
    <w:rsid w:val="004B2FA4"/>
    <w:rsid w:val="004B358B"/>
    <w:rsid w:val="004B35DB"/>
    <w:rsid w:val="004B3665"/>
    <w:rsid w:val="004B3BCE"/>
    <w:rsid w:val="004B4040"/>
    <w:rsid w:val="004B5381"/>
    <w:rsid w:val="004B5662"/>
    <w:rsid w:val="004B568B"/>
    <w:rsid w:val="004B586F"/>
    <w:rsid w:val="004B58D5"/>
    <w:rsid w:val="004B66FC"/>
    <w:rsid w:val="004B73B6"/>
    <w:rsid w:val="004B7E79"/>
    <w:rsid w:val="004B7FDE"/>
    <w:rsid w:val="004C02BD"/>
    <w:rsid w:val="004C04A5"/>
    <w:rsid w:val="004C0930"/>
    <w:rsid w:val="004C098A"/>
    <w:rsid w:val="004C09FA"/>
    <w:rsid w:val="004C21EB"/>
    <w:rsid w:val="004C2B52"/>
    <w:rsid w:val="004C2EEB"/>
    <w:rsid w:val="004C3150"/>
    <w:rsid w:val="004C3861"/>
    <w:rsid w:val="004C3A7E"/>
    <w:rsid w:val="004C3D3B"/>
    <w:rsid w:val="004C3D6B"/>
    <w:rsid w:val="004C47AB"/>
    <w:rsid w:val="004C4B32"/>
    <w:rsid w:val="004C54B1"/>
    <w:rsid w:val="004C55EC"/>
    <w:rsid w:val="004C5EBC"/>
    <w:rsid w:val="004C687E"/>
    <w:rsid w:val="004C6916"/>
    <w:rsid w:val="004C714B"/>
    <w:rsid w:val="004C76D6"/>
    <w:rsid w:val="004C7C03"/>
    <w:rsid w:val="004C7DAD"/>
    <w:rsid w:val="004D011E"/>
    <w:rsid w:val="004D0648"/>
    <w:rsid w:val="004D06A7"/>
    <w:rsid w:val="004D0E65"/>
    <w:rsid w:val="004D1428"/>
    <w:rsid w:val="004D15BA"/>
    <w:rsid w:val="004D1A1C"/>
    <w:rsid w:val="004D1A37"/>
    <w:rsid w:val="004D1A96"/>
    <w:rsid w:val="004D1ABA"/>
    <w:rsid w:val="004D1CBB"/>
    <w:rsid w:val="004D25FC"/>
    <w:rsid w:val="004D2B60"/>
    <w:rsid w:val="004D405D"/>
    <w:rsid w:val="004D479B"/>
    <w:rsid w:val="004D6016"/>
    <w:rsid w:val="004D6191"/>
    <w:rsid w:val="004D63D2"/>
    <w:rsid w:val="004D6922"/>
    <w:rsid w:val="004D6C97"/>
    <w:rsid w:val="004D6D92"/>
    <w:rsid w:val="004D70AE"/>
    <w:rsid w:val="004D75CF"/>
    <w:rsid w:val="004D770E"/>
    <w:rsid w:val="004D7F81"/>
    <w:rsid w:val="004E09A4"/>
    <w:rsid w:val="004E0C78"/>
    <w:rsid w:val="004E0CE9"/>
    <w:rsid w:val="004E1436"/>
    <w:rsid w:val="004E1753"/>
    <w:rsid w:val="004E1A95"/>
    <w:rsid w:val="004E1CD1"/>
    <w:rsid w:val="004E2415"/>
    <w:rsid w:val="004E25FB"/>
    <w:rsid w:val="004E30CE"/>
    <w:rsid w:val="004E32E5"/>
    <w:rsid w:val="004E36F0"/>
    <w:rsid w:val="004E372F"/>
    <w:rsid w:val="004E44D9"/>
    <w:rsid w:val="004E4856"/>
    <w:rsid w:val="004E4C05"/>
    <w:rsid w:val="004E5A71"/>
    <w:rsid w:val="004E61E4"/>
    <w:rsid w:val="004E686A"/>
    <w:rsid w:val="004E6D82"/>
    <w:rsid w:val="004E6F78"/>
    <w:rsid w:val="004E79E2"/>
    <w:rsid w:val="004E7DDA"/>
    <w:rsid w:val="004E7E2B"/>
    <w:rsid w:val="004F0807"/>
    <w:rsid w:val="004F2323"/>
    <w:rsid w:val="004F2373"/>
    <w:rsid w:val="004F244F"/>
    <w:rsid w:val="004F247A"/>
    <w:rsid w:val="004F3242"/>
    <w:rsid w:val="004F3812"/>
    <w:rsid w:val="004F39DE"/>
    <w:rsid w:val="004F3A2E"/>
    <w:rsid w:val="004F3BFE"/>
    <w:rsid w:val="004F400D"/>
    <w:rsid w:val="004F4A75"/>
    <w:rsid w:val="004F506D"/>
    <w:rsid w:val="004F50D8"/>
    <w:rsid w:val="004F57A7"/>
    <w:rsid w:val="004F5D87"/>
    <w:rsid w:val="004F5F70"/>
    <w:rsid w:val="004F6070"/>
    <w:rsid w:val="004F6617"/>
    <w:rsid w:val="004F66E3"/>
    <w:rsid w:val="004F67BC"/>
    <w:rsid w:val="004F6E28"/>
    <w:rsid w:val="004F7B7D"/>
    <w:rsid w:val="004F7CE4"/>
    <w:rsid w:val="004F7E64"/>
    <w:rsid w:val="00500D23"/>
    <w:rsid w:val="005011FA"/>
    <w:rsid w:val="0050164B"/>
    <w:rsid w:val="00502196"/>
    <w:rsid w:val="00502C01"/>
    <w:rsid w:val="005035E2"/>
    <w:rsid w:val="00503A46"/>
    <w:rsid w:val="00503A86"/>
    <w:rsid w:val="00503CA1"/>
    <w:rsid w:val="00503F57"/>
    <w:rsid w:val="00504050"/>
    <w:rsid w:val="00504A21"/>
    <w:rsid w:val="00504A4D"/>
    <w:rsid w:val="0050532F"/>
    <w:rsid w:val="00505611"/>
    <w:rsid w:val="00505664"/>
    <w:rsid w:val="005057CE"/>
    <w:rsid w:val="00505F0B"/>
    <w:rsid w:val="00506E3C"/>
    <w:rsid w:val="00510913"/>
    <w:rsid w:val="00510A2C"/>
    <w:rsid w:val="00510B62"/>
    <w:rsid w:val="005116F5"/>
    <w:rsid w:val="005118AD"/>
    <w:rsid w:val="00512B03"/>
    <w:rsid w:val="00512B49"/>
    <w:rsid w:val="00512F03"/>
    <w:rsid w:val="00513746"/>
    <w:rsid w:val="00513B14"/>
    <w:rsid w:val="00513C44"/>
    <w:rsid w:val="0051401D"/>
    <w:rsid w:val="00514ADE"/>
    <w:rsid w:val="00515855"/>
    <w:rsid w:val="00516D39"/>
    <w:rsid w:val="00516E8F"/>
    <w:rsid w:val="00520730"/>
    <w:rsid w:val="00520F78"/>
    <w:rsid w:val="00521153"/>
    <w:rsid w:val="005219B7"/>
    <w:rsid w:val="00522757"/>
    <w:rsid w:val="00523205"/>
    <w:rsid w:val="005234D3"/>
    <w:rsid w:val="005237D5"/>
    <w:rsid w:val="00523F8C"/>
    <w:rsid w:val="005245DF"/>
    <w:rsid w:val="005247AD"/>
    <w:rsid w:val="00524C12"/>
    <w:rsid w:val="00524E76"/>
    <w:rsid w:val="00524FF6"/>
    <w:rsid w:val="00525003"/>
    <w:rsid w:val="0052535F"/>
    <w:rsid w:val="005253A0"/>
    <w:rsid w:val="00525938"/>
    <w:rsid w:val="00525A91"/>
    <w:rsid w:val="00525D07"/>
    <w:rsid w:val="005260F4"/>
    <w:rsid w:val="00526A24"/>
    <w:rsid w:val="00530F2F"/>
    <w:rsid w:val="005318B8"/>
    <w:rsid w:val="00531D1C"/>
    <w:rsid w:val="00531FA3"/>
    <w:rsid w:val="005327A3"/>
    <w:rsid w:val="0053297D"/>
    <w:rsid w:val="00532ADA"/>
    <w:rsid w:val="00532F90"/>
    <w:rsid w:val="00534D04"/>
    <w:rsid w:val="0053521F"/>
    <w:rsid w:val="005352B9"/>
    <w:rsid w:val="005354AE"/>
    <w:rsid w:val="0053585E"/>
    <w:rsid w:val="00535965"/>
    <w:rsid w:val="00536A2B"/>
    <w:rsid w:val="00536BA4"/>
    <w:rsid w:val="00537AD5"/>
    <w:rsid w:val="00537B6E"/>
    <w:rsid w:val="005408DF"/>
    <w:rsid w:val="00540C56"/>
    <w:rsid w:val="00540E82"/>
    <w:rsid w:val="00541A24"/>
    <w:rsid w:val="00541ABE"/>
    <w:rsid w:val="00542349"/>
    <w:rsid w:val="005423B8"/>
    <w:rsid w:val="00542780"/>
    <w:rsid w:val="00542E53"/>
    <w:rsid w:val="00543852"/>
    <w:rsid w:val="00543AC7"/>
    <w:rsid w:val="0054442D"/>
    <w:rsid w:val="00544BC8"/>
    <w:rsid w:val="00544D7D"/>
    <w:rsid w:val="00544EFC"/>
    <w:rsid w:val="005458EF"/>
    <w:rsid w:val="00546533"/>
    <w:rsid w:val="00546874"/>
    <w:rsid w:val="005470EE"/>
    <w:rsid w:val="00547743"/>
    <w:rsid w:val="00550BD7"/>
    <w:rsid w:val="005513E5"/>
    <w:rsid w:val="00551737"/>
    <w:rsid w:val="0055185C"/>
    <w:rsid w:val="00551969"/>
    <w:rsid w:val="00551DC1"/>
    <w:rsid w:val="005520E8"/>
    <w:rsid w:val="005524F3"/>
    <w:rsid w:val="00552968"/>
    <w:rsid w:val="00552ACC"/>
    <w:rsid w:val="00552C69"/>
    <w:rsid w:val="00552F39"/>
    <w:rsid w:val="005535DD"/>
    <w:rsid w:val="005550C9"/>
    <w:rsid w:val="0055591F"/>
    <w:rsid w:val="005560D0"/>
    <w:rsid w:val="0055654E"/>
    <w:rsid w:val="00556B03"/>
    <w:rsid w:val="00557462"/>
    <w:rsid w:val="005575B8"/>
    <w:rsid w:val="005577D6"/>
    <w:rsid w:val="00557CBA"/>
    <w:rsid w:val="00557E2F"/>
    <w:rsid w:val="00560814"/>
    <w:rsid w:val="005609BC"/>
    <w:rsid w:val="00560C05"/>
    <w:rsid w:val="005610B9"/>
    <w:rsid w:val="005612C6"/>
    <w:rsid w:val="005615E7"/>
    <w:rsid w:val="00562EF4"/>
    <w:rsid w:val="005630EA"/>
    <w:rsid w:val="0056326C"/>
    <w:rsid w:val="00563594"/>
    <w:rsid w:val="0056396C"/>
    <w:rsid w:val="00563FF7"/>
    <w:rsid w:val="00564259"/>
    <w:rsid w:val="00564421"/>
    <w:rsid w:val="005645B7"/>
    <w:rsid w:val="005646A8"/>
    <w:rsid w:val="00564782"/>
    <w:rsid w:val="00564805"/>
    <w:rsid w:val="00564928"/>
    <w:rsid w:val="00564EB8"/>
    <w:rsid w:val="00566138"/>
    <w:rsid w:val="00566A79"/>
    <w:rsid w:val="00566C2D"/>
    <w:rsid w:val="00567CE1"/>
    <w:rsid w:val="00567FE4"/>
    <w:rsid w:val="0057036E"/>
    <w:rsid w:val="005703A6"/>
    <w:rsid w:val="00570759"/>
    <w:rsid w:val="0057085A"/>
    <w:rsid w:val="00570CB4"/>
    <w:rsid w:val="0057104E"/>
    <w:rsid w:val="005710D4"/>
    <w:rsid w:val="00571B30"/>
    <w:rsid w:val="00571EE1"/>
    <w:rsid w:val="00571FF3"/>
    <w:rsid w:val="0057242D"/>
    <w:rsid w:val="00572AA7"/>
    <w:rsid w:val="00572ABA"/>
    <w:rsid w:val="00572D54"/>
    <w:rsid w:val="00573056"/>
    <w:rsid w:val="00573ABD"/>
    <w:rsid w:val="005748B7"/>
    <w:rsid w:val="00575AA6"/>
    <w:rsid w:val="005762D8"/>
    <w:rsid w:val="00576337"/>
    <w:rsid w:val="0057671B"/>
    <w:rsid w:val="005768DB"/>
    <w:rsid w:val="00576BC3"/>
    <w:rsid w:val="00576FED"/>
    <w:rsid w:val="00577101"/>
    <w:rsid w:val="005771CF"/>
    <w:rsid w:val="00580654"/>
    <w:rsid w:val="00580DD5"/>
    <w:rsid w:val="00580ECE"/>
    <w:rsid w:val="00582E05"/>
    <w:rsid w:val="00582E0E"/>
    <w:rsid w:val="00583147"/>
    <w:rsid w:val="00583206"/>
    <w:rsid w:val="005832DF"/>
    <w:rsid w:val="005834F5"/>
    <w:rsid w:val="00584514"/>
    <w:rsid w:val="00584619"/>
    <w:rsid w:val="0058477A"/>
    <w:rsid w:val="00584BAA"/>
    <w:rsid w:val="00585409"/>
    <w:rsid w:val="0058542C"/>
    <w:rsid w:val="00585553"/>
    <w:rsid w:val="00585829"/>
    <w:rsid w:val="0058592F"/>
    <w:rsid w:val="00586519"/>
    <w:rsid w:val="005868C6"/>
    <w:rsid w:val="00586ADA"/>
    <w:rsid w:val="00587B01"/>
    <w:rsid w:val="00587C1F"/>
    <w:rsid w:val="00587D35"/>
    <w:rsid w:val="00590488"/>
    <w:rsid w:val="00590ABA"/>
    <w:rsid w:val="00590C99"/>
    <w:rsid w:val="00590CC4"/>
    <w:rsid w:val="00590ED9"/>
    <w:rsid w:val="005910E0"/>
    <w:rsid w:val="0059111C"/>
    <w:rsid w:val="00591257"/>
    <w:rsid w:val="0059167C"/>
    <w:rsid w:val="00591A5F"/>
    <w:rsid w:val="00591F4C"/>
    <w:rsid w:val="00592A59"/>
    <w:rsid w:val="00592B3F"/>
    <w:rsid w:val="00592B6B"/>
    <w:rsid w:val="00592E90"/>
    <w:rsid w:val="00592F1F"/>
    <w:rsid w:val="00592F88"/>
    <w:rsid w:val="00593228"/>
    <w:rsid w:val="0059361F"/>
    <w:rsid w:val="005936C0"/>
    <w:rsid w:val="00593CA0"/>
    <w:rsid w:val="0059428F"/>
    <w:rsid w:val="00594652"/>
    <w:rsid w:val="005948BB"/>
    <w:rsid w:val="005949C1"/>
    <w:rsid w:val="005955A5"/>
    <w:rsid w:val="00595766"/>
    <w:rsid w:val="0059579B"/>
    <w:rsid w:val="00595AD0"/>
    <w:rsid w:val="00595BF6"/>
    <w:rsid w:val="0059648E"/>
    <w:rsid w:val="00596498"/>
    <w:rsid w:val="0059654D"/>
    <w:rsid w:val="00596E51"/>
    <w:rsid w:val="0059735D"/>
    <w:rsid w:val="00597993"/>
    <w:rsid w:val="00597C19"/>
    <w:rsid w:val="005A01D4"/>
    <w:rsid w:val="005A0959"/>
    <w:rsid w:val="005A1542"/>
    <w:rsid w:val="005A1DAC"/>
    <w:rsid w:val="005A253B"/>
    <w:rsid w:val="005A2824"/>
    <w:rsid w:val="005A2EC5"/>
    <w:rsid w:val="005A3205"/>
    <w:rsid w:val="005A4487"/>
    <w:rsid w:val="005A449A"/>
    <w:rsid w:val="005A484C"/>
    <w:rsid w:val="005A4B1F"/>
    <w:rsid w:val="005A51A1"/>
    <w:rsid w:val="005A754C"/>
    <w:rsid w:val="005B019C"/>
    <w:rsid w:val="005B0200"/>
    <w:rsid w:val="005B06E3"/>
    <w:rsid w:val="005B0A80"/>
    <w:rsid w:val="005B0EC0"/>
    <w:rsid w:val="005B2585"/>
    <w:rsid w:val="005B2D34"/>
    <w:rsid w:val="005B2FEB"/>
    <w:rsid w:val="005B32EE"/>
    <w:rsid w:val="005B4D05"/>
    <w:rsid w:val="005B4F7D"/>
    <w:rsid w:val="005B581E"/>
    <w:rsid w:val="005B583D"/>
    <w:rsid w:val="005B595C"/>
    <w:rsid w:val="005B68DF"/>
    <w:rsid w:val="005B777C"/>
    <w:rsid w:val="005B78C5"/>
    <w:rsid w:val="005B7E23"/>
    <w:rsid w:val="005C0C69"/>
    <w:rsid w:val="005C1585"/>
    <w:rsid w:val="005C1700"/>
    <w:rsid w:val="005C285E"/>
    <w:rsid w:val="005C3102"/>
    <w:rsid w:val="005C360D"/>
    <w:rsid w:val="005C3FD8"/>
    <w:rsid w:val="005C40F1"/>
    <w:rsid w:val="005C450D"/>
    <w:rsid w:val="005C47A1"/>
    <w:rsid w:val="005C5154"/>
    <w:rsid w:val="005C547F"/>
    <w:rsid w:val="005C590D"/>
    <w:rsid w:val="005C5F1F"/>
    <w:rsid w:val="005C625A"/>
    <w:rsid w:val="005C63A1"/>
    <w:rsid w:val="005C6FFD"/>
    <w:rsid w:val="005C712D"/>
    <w:rsid w:val="005C795A"/>
    <w:rsid w:val="005D033E"/>
    <w:rsid w:val="005D05B6"/>
    <w:rsid w:val="005D066F"/>
    <w:rsid w:val="005D0856"/>
    <w:rsid w:val="005D126C"/>
    <w:rsid w:val="005D18E3"/>
    <w:rsid w:val="005D2FB3"/>
    <w:rsid w:val="005D2FD2"/>
    <w:rsid w:val="005D3524"/>
    <w:rsid w:val="005D3782"/>
    <w:rsid w:val="005D37BF"/>
    <w:rsid w:val="005D3903"/>
    <w:rsid w:val="005D44E6"/>
    <w:rsid w:val="005D547C"/>
    <w:rsid w:val="005D572B"/>
    <w:rsid w:val="005D5923"/>
    <w:rsid w:val="005D5CBB"/>
    <w:rsid w:val="005D60B1"/>
    <w:rsid w:val="005D632D"/>
    <w:rsid w:val="005D665B"/>
    <w:rsid w:val="005D6694"/>
    <w:rsid w:val="005D7332"/>
    <w:rsid w:val="005D7517"/>
    <w:rsid w:val="005D7589"/>
    <w:rsid w:val="005D79B9"/>
    <w:rsid w:val="005D7B63"/>
    <w:rsid w:val="005E0357"/>
    <w:rsid w:val="005E0453"/>
    <w:rsid w:val="005E0696"/>
    <w:rsid w:val="005E0717"/>
    <w:rsid w:val="005E208A"/>
    <w:rsid w:val="005E21DF"/>
    <w:rsid w:val="005E2804"/>
    <w:rsid w:val="005E337D"/>
    <w:rsid w:val="005E3A5F"/>
    <w:rsid w:val="005E3BDA"/>
    <w:rsid w:val="005E3D77"/>
    <w:rsid w:val="005E40B3"/>
    <w:rsid w:val="005E4742"/>
    <w:rsid w:val="005E48D5"/>
    <w:rsid w:val="005E49AC"/>
    <w:rsid w:val="005E5045"/>
    <w:rsid w:val="005E53E6"/>
    <w:rsid w:val="005E5BF8"/>
    <w:rsid w:val="005E65FD"/>
    <w:rsid w:val="005F05FA"/>
    <w:rsid w:val="005F0BA4"/>
    <w:rsid w:val="005F1236"/>
    <w:rsid w:val="005F24E4"/>
    <w:rsid w:val="005F2CC8"/>
    <w:rsid w:val="005F2EA2"/>
    <w:rsid w:val="005F3C1F"/>
    <w:rsid w:val="005F3EBF"/>
    <w:rsid w:val="005F49D7"/>
    <w:rsid w:val="005F4A6E"/>
    <w:rsid w:val="005F4B36"/>
    <w:rsid w:val="005F5C3C"/>
    <w:rsid w:val="005F6250"/>
    <w:rsid w:val="005F68A6"/>
    <w:rsid w:val="005F6F2A"/>
    <w:rsid w:val="005F79F9"/>
    <w:rsid w:val="006008F3"/>
    <w:rsid w:val="00601026"/>
    <w:rsid w:val="0060135C"/>
    <w:rsid w:val="0060216C"/>
    <w:rsid w:val="006023A9"/>
    <w:rsid w:val="0060255F"/>
    <w:rsid w:val="006030BF"/>
    <w:rsid w:val="006033F8"/>
    <w:rsid w:val="00603557"/>
    <w:rsid w:val="00603DB6"/>
    <w:rsid w:val="00604057"/>
    <w:rsid w:val="00604114"/>
    <w:rsid w:val="0060436F"/>
    <w:rsid w:val="0060467D"/>
    <w:rsid w:val="00604CFD"/>
    <w:rsid w:val="00605141"/>
    <w:rsid w:val="00605293"/>
    <w:rsid w:val="006056F7"/>
    <w:rsid w:val="006057CD"/>
    <w:rsid w:val="006058D7"/>
    <w:rsid w:val="006068ED"/>
    <w:rsid w:val="006069FD"/>
    <w:rsid w:val="00606C48"/>
    <w:rsid w:val="00606DC1"/>
    <w:rsid w:val="00607553"/>
    <w:rsid w:val="00607706"/>
    <w:rsid w:val="00610703"/>
    <w:rsid w:val="006107A5"/>
    <w:rsid w:val="00610BF5"/>
    <w:rsid w:val="00611052"/>
    <w:rsid w:val="006112C8"/>
    <w:rsid w:val="00611B3E"/>
    <w:rsid w:val="00611EB8"/>
    <w:rsid w:val="006121BF"/>
    <w:rsid w:val="00612A1F"/>
    <w:rsid w:val="00612BAF"/>
    <w:rsid w:val="00613538"/>
    <w:rsid w:val="0061377B"/>
    <w:rsid w:val="00613BBA"/>
    <w:rsid w:val="00613BE6"/>
    <w:rsid w:val="00613ED7"/>
    <w:rsid w:val="00614030"/>
    <w:rsid w:val="00614130"/>
    <w:rsid w:val="00614163"/>
    <w:rsid w:val="0061421D"/>
    <w:rsid w:val="00614392"/>
    <w:rsid w:val="006148C2"/>
    <w:rsid w:val="00614E7C"/>
    <w:rsid w:val="006169FC"/>
    <w:rsid w:val="00616B91"/>
    <w:rsid w:val="006172A1"/>
    <w:rsid w:val="00617568"/>
    <w:rsid w:val="006178A6"/>
    <w:rsid w:val="00617AA4"/>
    <w:rsid w:val="00617D56"/>
    <w:rsid w:val="00617F53"/>
    <w:rsid w:val="006210BB"/>
    <w:rsid w:val="0062127F"/>
    <w:rsid w:val="0062129E"/>
    <w:rsid w:val="00621514"/>
    <w:rsid w:val="0062187F"/>
    <w:rsid w:val="006218B4"/>
    <w:rsid w:val="006219F3"/>
    <w:rsid w:val="006222AB"/>
    <w:rsid w:val="00622CF4"/>
    <w:rsid w:val="0062316A"/>
    <w:rsid w:val="00623E61"/>
    <w:rsid w:val="00623EEA"/>
    <w:rsid w:val="00624095"/>
    <w:rsid w:val="00624EA7"/>
    <w:rsid w:val="00625D19"/>
    <w:rsid w:val="00625DDE"/>
    <w:rsid w:val="00626121"/>
    <w:rsid w:val="00627C12"/>
    <w:rsid w:val="00627C43"/>
    <w:rsid w:val="006306EF"/>
    <w:rsid w:val="006308EE"/>
    <w:rsid w:val="00630C1F"/>
    <w:rsid w:val="0063108B"/>
    <w:rsid w:val="0063108C"/>
    <w:rsid w:val="00631833"/>
    <w:rsid w:val="0063192F"/>
    <w:rsid w:val="00631BBF"/>
    <w:rsid w:val="00631FE4"/>
    <w:rsid w:val="00632260"/>
    <w:rsid w:val="006322EB"/>
    <w:rsid w:val="006335DC"/>
    <w:rsid w:val="00633B4A"/>
    <w:rsid w:val="00633CD9"/>
    <w:rsid w:val="00633D4C"/>
    <w:rsid w:val="00633F99"/>
    <w:rsid w:val="0063449E"/>
    <w:rsid w:val="006344AE"/>
    <w:rsid w:val="00634F93"/>
    <w:rsid w:val="00635067"/>
    <w:rsid w:val="006355DB"/>
    <w:rsid w:val="00635B4C"/>
    <w:rsid w:val="00635EBB"/>
    <w:rsid w:val="0063603A"/>
    <w:rsid w:val="00636223"/>
    <w:rsid w:val="006367B1"/>
    <w:rsid w:val="006368A1"/>
    <w:rsid w:val="00636BD3"/>
    <w:rsid w:val="00636BEE"/>
    <w:rsid w:val="00637AB8"/>
    <w:rsid w:val="00637BF3"/>
    <w:rsid w:val="00637FC3"/>
    <w:rsid w:val="006400D5"/>
    <w:rsid w:val="006402CC"/>
    <w:rsid w:val="006411B5"/>
    <w:rsid w:val="006411EE"/>
    <w:rsid w:val="006413ED"/>
    <w:rsid w:val="006418E4"/>
    <w:rsid w:val="006426AA"/>
    <w:rsid w:val="00643199"/>
    <w:rsid w:val="00643770"/>
    <w:rsid w:val="00643B5E"/>
    <w:rsid w:val="006443D8"/>
    <w:rsid w:val="00644437"/>
    <w:rsid w:val="006446E7"/>
    <w:rsid w:val="0064543A"/>
    <w:rsid w:val="0064660E"/>
    <w:rsid w:val="006471F2"/>
    <w:rsid w:val="00647987"/>
    <w:rsid w:val="00647B61"/>
    <w:rsid w:val="00647B71"/>
    <w:rsid w:val="00650043"/>
    <w:rsid w:val="00650D29"/>
    <w:rsid w:val="0065131B"/>
    <w:rsid w:val="0065150F"/>
    <w:rsid w:val="00651C30"/>
    <w:rsid w:val="00652A1C"/>
    <w:rsid w:val="006530AC"/>
    <w:rsid w:val="00653399"/>
    <w:rsid w:val="006537E3"/>
    <w:rsid w:val="00653B57"/>
    <w:rsid w:val="00653F2D"/>
    <w:rsid w:val="00654308"/>
    <w:rsid w:val="00654311"/>
    <w:rsid w:val="00654EC7"/>
    <w:rsid w:val="00655606"/>
    <w:rsid w:val="0065585C"/>
    <w:rsid w:val="0065609A"/>
    <w:rsid w:val="006560F8"/>
    <w:rsid w:val="00656511"/>
    <w:rsid w:val="00656A10"/>
    <w:rsid w:val="00656D5D"/>
    <w:rsid w:val="00657188"/>
    <w:rsid w:val="006571DF"/>
    <w:rsid w:val="006575F1"/>
    <w:rsid w:val="0065768C"/>
    <w:rsid w:val="00657CF9"/>
    <w:rsid w:val="00657DE2"/>
    <w:rsid w:val="00660258"/>
    <w:rsid w:val="006602F0"/>
    <w:rsid w:val="00660C22"/>
    <w:rsid w:val="00661524"/>
    <w:rsid w:val="006617E5"/>
    <w:rsid w:val="0066197D"/>
    <w:rsid w:val="00661B4B"/>
    <w:rsid w:val="00661E3A"/>
    <w:rsid w:val="0066259E"/>
    <w:rsid w:val="00663235"/>
    <w:rsid w:val="00663605"/>
    <w:rsid w:val="00663621"/>
    <w:rsid w:val="00663978"/>
    <w:rsid w:val="00665C7B"/>
    <w:rsid w:val="00666500"/>
    <w:rsid w:val="00666782"/>
    <w:rsid w:val="00666C19"/>
    <w:rsid w:val="0066739B"/>
    <w:rsid w:val="00667548"/>
    <w:rsid w:val="00667B23"/>
    <w:rsid w:val="0067007B"/>
    <w:rsid w:val="00670931"/>
    <w:rsid w:val="00670F1B"/>
    <w:rsid w:val="00671B83"/>
    <w:rsid w:val="00671FB9"/>
    <w:rsid w:val="00672630"/>
    <w:rsid w:val="00672D66"/>
    <w:rsid w:val="00672D7F"/>
    <w:rsid w:val="00672F1E"/>
    <w:rsid w:val="00674D32"/>
    <w:rsid w:val="006750ED"/>
    <w:rsid w:val="00675B28"/>
    <w:rsid w:val="00675DA0"/>
    <w:rsid w:val="00676292"/>
    <w:rsid w:val="006764BE"/>
    <w:rsid w:val="0067656B"/>
    <w:rsid w:val="00676631"/>
    <w:rsid w:val="00676ADF"/>
    <w:rsid w:val="00677A17"/>
    <w:rsid w:val="00677B61"/>
    <w:rsid w:val="00677D2C"/>
    <w:rsid w:val="00680995"/>
    <w:rsid w:val="006809A8"/>
    <w:rsid w:val="00680F07"/>
    <w:rsid w:val="006810C8"/>
    <w:rsid w:val="006810E9"/>
    <w:rsid w:val="0068161C"/>
    <w:rsid w:val="00681821"/>
    <w:rsid w:val="00681BEE"/>
    <w:rsid w:val="00681CA2"/>
    <w:rsid w:val="0068237A"/>
    <w:rsid w:val="00682DF3"/>
    <w:rsid w:val="006830D1"/>
    <w:rsid w:val="006838E4"/>
    <w:rsid w:val="00683E07"/>
    <w:rsid w:val="006842D0"/>
    <w:rsid w:val="0068515A"/>
    <w:rsid w:val="006854BD"/>
    <w:rsid w:val="00685C4B"/>
    <w:rsid w:val="0068678F"/>
    <w:rsid w:val="00686EC7"/>
    <w:rsid w:val="0068712D"/>
    <w:rsid w:val="00687147"/>
    <w:rsid w:val="00687A7A"/>
    <w:rsid w:val="00690340"/>
    <w:rsid w:val="00690B65"/>
    <w:rsid w:val="00690C06"/>
    <w:rsid w:val="0069109B"/>
    <w:rsid w:val="00691171"/>
    <w:rsid w:val="00691547"/>
    <w:rsid w:val="00691895"/>
    <w:rsid w:val="00691982"/>
    <w:rsid w:val="0069207A"/>
    <w:rsid w:val="006921FB"/>
    <w:rsid w:val="006923B2"/>
    <w:rsid w:val="0069249A"/>
    <w:rsid w:val="00692F54"/>
    <w:rsid w:val="00693103"/>
    <w:rsid w:val="0069407A"/>
    <w:rsid w:val="00694087"/>
    <w:rsid w:val="00694923"/>
    <w:rsid w:val="00694E6A"/>
    <w:rsid w:val="006953F4"/>
    <w:rsid w:val="0069588D"/>
    <w:rsid w:val="00695B3F"/>
    <w:rsid w:val="00696138"/>
    <w:rsid w:val="00696175"/>
    <w:rsid w:val="0069624D"/>
    <w:rsid w:val="006965F8"/>
    <w:rsid w:val="00696A46"/>
    <w:rsid w:val="006973EB"/>
    <w:rsid w:val="006A01F5"/>
    <w:rsid w:val="006A0571"/>
    <w:rsid w:val="006A080C"/>
    <w:rsid w:val="006A0F34"/>
    <w:rsid w:val="006A14D5"/>
    <w:rsid w:val="006A172B"/>
    <w:rsid w:val="006A2E87"/>
    <w:rsid w:val="006A30DC"/>
    <w:rsid w:val="006A397E"/>
    <w:rsid w:val="006A3D96"/>
    <w:rsid w:val="006A467B"/>
    <w:rsid w:val="006A46B2"/>
    <w:rsid w:val="006A474F"/>
    <w:rsid w:val="006A4DE5"/>
    <w:rsid w:val="006A6133"/>
    <w:rsid w:val="006A6D7C"/>
    <w:rsid w:val="006A6D7F"/>
    <w:rsid w:val="006A6DF9"/>
    <w:rsid w:val="006A73F5"/>
    <w:rsid w:val="006A74F0"/>
    <w:rsid w:val="006A7F68"/>
    <w:rsid w:val="006B0018"/>
    <w:rsid w:val="006B0A8F"/>
    <w:rsid w:val="006B1D95"/>
    <w:rsid w:val="006B23E5"/>
    <w:rsid w:val="006B298F"/>
    <w:rsid w:val="006B48C1"/>
    <w:rsid w:val="006B4A87"/>
    <w:rsid w:val="006B4C85"/>
    <w:rsid w:val="006B50C4"/>
    <w:rsid w:val="006B552E"/>
    <w:rsid w:val="006B579E"/>
    <w:rsid w:val="006B5A38"/>
    <w:rsid w:val="006B5D15"/>
    <w:rsid w:val="006B626E"/>
    <w:rsid w:val="006B6BEF"/>
    <w:rsid w:val="006B720B"/>
    <w:rsid w:val="006B770B"/>
    <w:rsid w:val="006B792C"/>
    <w:rsid w:val="006C0874"/>
    <w:rsid w:val="006C08D0"/>
    <w:rsid w:val="006C0A49"/>
    <w:rsid w:val="006C0A8D"/>
    <w:rsid w:val="006C0D01"/>
    <w:rsid w:val="006C0EA2"/>
    <w:rsid w:val="006C0F44"/>
    <w:rsid w:val="006C2562"/>
    <w:rsid w:val="006C2715"/>
    <w:rsid w:val="006C2ED6"/>
    <w:rsid w:val="006C3354"/>
    <w:rsid w:val="006C368A"/>
    <w:rsid w:val="006C3A71"/>
    <w:rsid w:val="006C41E1"/>
    <w:rsid w:val="006C4697"/>
    <w:rsid w:val="006C4B78"/>
    <w:rsid w:val="006C4D2E"/>
    <w:rsid w:val="006C56B4"/>
    <w:rsid w:val="006C56C4"/>
    <w:rsid w:val="006C5F18"/>
    <w:rsid w:val="006C606A"/>
    <w:rsid w:val="006C6336"/>
    <w:rsid w:val="006C6428"/>
    <w:rsid w:val="006C64B3"/>
    <w:rsid w:val="006C6E36"/>
    <w:rsid w:val="006D0AFB"/>
    <w:rsid w:val="006D26DF"/>
    <w:rsid w:val="006D2C13"/>
    <w:rsid w:val="006D33CB"/>
    <w:rsid w:val="006D3434"/>
    <w:rsid w:val="006D3FAB"/>
    <w:rsid w:val="006D409D"/>
    <w:rsid w:val="006D4338"/>
    <w:rsid w:val="006D4F25"/>
    <w:rsid w:val="006D52EC"/>
    <w:rsid w:val="006D5550"/>
    <w:rsid w:val="006D5AEE"/>
    <w:rsid w:val="006D61FE"/>
    <w:rsid w:val="006D6CEC"/>
    <w:rsid w:val="006D7535"/>
    <w:rsid w:val="006E05E6"/>
    <w:rsid w:val="006E0943"/>
    <w:rsid w:val="006E0DBF"/>
    <w:rsid w:val="006E14DE"/>
    <w:rsid w:val="006E1BD9"/>
    <w:rsid w:val="006E1FBA"/>
    <w:rsid w:val="006E2C4E"/>
    <w:rsid w:val="006E3AD9"/>
    <w:rsid w:val="006E40EC"/>
    <w:rsid w:val="006E5410"/>
    <w:rsid w:val="006E5A1F"/>
    <w:rsid w:val="006E6300"/>
    <w:rsid w:val="006E6319"/>
    <w:rsid w:val="006E6A3F"/>
    <w:rsid w:val="006F2BAB"/>
    <w:rsid w:val="006F2C67"/>
    <w:rsid w:val="006F2D08"/>
    <w:rsid w:val="006F3176"/>
    <w:rsid w:val="006F36A7"/>
    <w:rsid w:val="006F3FB5"/>
    <w:rsid w:val="006F46F0"/>
    <w:rsid w:val="006F4D31"/>
    <w:rsid w:val="006F4FC3"/>
    <w:rsid w:val="006F56B3"/>
    <w:rsid w:val="006F587B"/>
    <w:rsid w:val="006F5C02"/>
    <w:rsid w:val="006F5ED0"/>
    <w:rsid w:val="006F6598"/>
    <w:rsid w:val="006F663F"/>
    <w:rsid w:val="006F6877"/>
    <w:rsid w:val="006F6C5D"/>
    <w:rsid w:val="006F7024"/>
    <w:rsid w:val="006F7074"/>
    <w:rsid w:val="006F72CF"/>
    <w:rsid w:val="006F7695"/>
    <w:rsid w:val="006F7DA2"/>
    <w:rsid w:val="007007FA"/>
    <w:rsid w:val="00700F49"/>
    <w:rsid w:val="0070130E"/>
    <w:rsid w:val="00701876"/>
    <w:rsid w:val="00702458"/>
    <w:rsid w:val="007029EA"/>
    <w:rsid w:val="0070301F"/>
    <w:rsid w:val="007030F1"/>
    <w:rsid w:val="00703533"/>
    <w:rsid w:val="007037DE"/>
    <w:rsid w:val="007044EA"/>
    <w:rsid w:val="007048A2"/>
    <w:rsid w:val="00704B91"/>
    <w:rsid w:val="00704C5D"/>
    <w:rsid w:val="0070540E"/>
    <w:rsid w:val="00705606"/>
    <w:rsid w:val="00706256"/>
    <w:rsid w:val="00706B5E"/>
    <w:rsid w:val="00706E68"/>
    <w:rsid w:val="00706E90"/>
    <w:rsid w:val="007079B4"/>
    <w:rsid w:val="00710251"/>
    <w:rsid w:val="007105C2"/>
    <w:rsid w:val="0071065E"/>
    <w:rsid w:val="00710AAF"/>
    <w:rsid w:val="00711441"/>
    <w:rsid w:val="0071168D"/>
    <w:rsid w:val="007118F4"/>
    <w:rsid w:val="007119AD"/>
    <w:rsid w:val="00711A96"/>
    <w:rsid w:val="00711CD3"/>
    <w:rsid w:val="00711FB8"/>
    <w:rsid w:val="007121C7"/>
    <w:rsid w:val="00712608"/>
    <w:rsid w:val="007127E8"/>
    <w:rsid w:val="0071294E"/>
    <w:rsid w:val="00712EEA"/>
    <w:rsid w:val="0071468F"/>
    <w:rsid w:val="00714D04"/>
    <w:rsid w:val="0071520B"/>
    <w:rsid w:val="00715269"/>
    <w:rsid w:val="00715D74"/>
    <w:rsid w:val="007166AC"/>
    <w:rsid w:val="00716B10"/>
    <w:rsid w:val="00716C08"/>
    <w:rsid w:val="007171B1"/>
    <w:rsid w:val="00717A55"/>
    <w:rsid w:val="00720793"/>
    <w:rsid w:val="0072084D"/>
    <w:rsid w:val="00720C09"/>
    <w:rsid w:val="00720DDC"/>
    <w:rsid w:val="0072121B"/>
    <w:rsid w:val="00721692"/>
    <w:rsid w:val="0072187F"/>
    <w:rsid w:val="00723088"/>
    <w:rsid w:val="00723D3E"/>
    <w:rsid w:val="00724330"/>
    <w:rsid w:val="00724B48"/>
    <w:rsid w:val="00724C0A"/>
    <w:rsid w:val="00724F17"/>
    <w:rsid w:val="00724F9B"/>
    <w:rsid w:val="00724FB1"/>
    <w:rsid w:val="007253E0"/>
    <w:rsid w:val="0072549E"/>
    <w:rsid w:val="00725A12"/>
    <w:rsid w:val="00725B44"/>
    <w:rsid w:val="00726015"/>
    <w:rsid w:val="00727576"/>
    <w:rsid w:val="00727806"/>
    <w:rsid w:val="00727C5A"/>
    <w:rsid w:val="00727DB6"/>
    <w:rsid w:val="00730C53"/>
    <w:rsid w:val="00730E48"/>
    <w:rsid w:val="00731292"/>
    <w:rsid w:val="0073161F"/>
    <w:rsid w:val="00731A15"/>
    <w:rsid w:val="00732289"/>
    <w:rsid w:val="007325B3"/>
    <w:rsid w:val="00733220"/>
    <w:rsid w:val="00733B23"/>
    <w:rsid w:val="00734640"/>
    <w:rsid w:val="0073481F"/>
    <w:rsid w:val="00734C55"/>
    <w:rsid w:val="00735076"/>
    <w:rsid w:val="00735427"/>
    <w:rsid w:val="00735585"/>
    <w:rsid w:val="00737188"/>
    <w:rsid w:val="00737BEB"/>
    <w:rsid w:val="00737D5B"/>
    <w:rsid w:val="00737EFC"/>
    <w:rsid w:val="007406C3"/>
    <w:rsid w:val="00740FC8"/>
    <w:rsid w:val="0074123A"/>
    <w:rsid w:val="007412E0"/>
    <w:rsid w:val="00741E21"/>
    <w:rsid w:val="00742193"/>
    <w:rsid w:val="0074219C"/>
    <w:rsid w:val="00742370"/>
    <w:rsid w:val="00742CA4"/>
    <w:rsid w:val="007435DA"/>
    <w:rsid w:val="007436AD"/>
    <w:rsid w:val="007438BB"/>
    <w:rsid w:val="00744040"/>
    <w:rsid w:val="007442D6"/>
    <w:rsid w:val="00744D64"/>
    <w:rsid w:val="00744F3C"/>
    <w:rsid w:val="0074538D"/>
    <w:rsid w:val="0074667A"/>
    <w:rsid w:val="007467D9"/>
    <w:rsid w:val="00746F2D"/>
    <w:rsid w:val="00747B3C"/>
    <w:rsid w:val="00747ED4"/>
    <w:rsid w:val="0075068F"/>
    <w:rsid w:val="00750958"/>
    <w:rsid w:val="00750CC0"/>
    <w:rsid w:val="00750F1C"/>
    <w:rsid w:val="00751661"/>
    <w:rsid w:val="00751B2D"/>
    <w:rsid w:val="00751DD3"/>
    <w:rsid w:val="007520C2"/>
    <w:rsid w:val="0075239E"/>
    <w:rsid w:val="007532EB"/>
    <w:rsid w:val="00753B11"/>
    <w:rsid w:val="00753F5A"/>
    <w:rsid w:val="007544CA"/>
    <w:rsid w:val="0075467E"/>
    <w:rsid w:val="00754F4A"/>
    <w:rsid w:val="0075546C"/>
    <w:rsid w:val="00755673"/>
    <w:rsid w:val="00755E4C"/>
    <w:rsid w:val="007561C1"/>
    <w:rsid w:val="00756235"/>
    <w:rsid w:val="00756E63"/>
    <w:rsid w:val="00756EE7"/>
    <w:rsid w:val="007577E7"/>
    <w:rsid w:val="00757B10"/>
    <w:rsid w:val="00760039"/>
    <w:rsid w:val="00760E3E"/>
    <w:rsid w:val="007612F3"/>
    <w:rsid w:val="00762243"/>
    <w:rsid w:val="0076227A"/>
    <w:rsid w:val="0076243B"/>
    <w:rsid w:val="0076262E"/>
    <w:rsid w:val="00762C0A"/>
    <w:rsid w:val="00763328"/>
    <w:rsid w:val="00763631"/>
    <w:rsid w:val="00763B24"/>
    <w:rsid w:val="007651CE"/>
    <w:rsid w:val="00765273"/>
    <w:rsid w:val="00765339"/>
    <w:rsid w:val="0076578E"/>
    <w:rsid w:val="00765938"/>
    <w:rsid w:val="00765AD3"/>
    <w:rsid w:val="00765BCD"/>
    <w:rsid w:val="00765F0D"/>
    <w:rsid w:val="007665CC"/>
    <w:rsid w:val="00766EB4"/>
    <w:rsid w:val="00767777"/>
    <w:rsid w:val="00767ED9"/>
    <w:rsid w:val="00770013"/>
    <w:rsid w:val="0077009B"/>
    <w:rsid w:val="00770949"/>
    <w:rsid w:val="007709DE"/>
    <w:rsid w:val="007710EA"/>
    <w:rsid w:val="007722B0"/>
    <w:rsid w:val="007736E8"/>
    <w:rsid w:val="0077405C"/>
    <w:rsid w:val="0077423F"/>
    <w:rsid w:val="00774362"/>
    <w:rsid w:val="0077498F"/>
    <w:rsid w:val="00774B2B"/>
    <w:rsid w:val="0077526E"/>
    <w:rsid w:val="007753DD"/>
    <w:rsid w:val="00775CB9"/>
    <w:rsid w:val="00775D72"/>
    <w:rsid w:val="007762FF"/>
    <w:rsid w:val="00776362"/>
    <w:rsid w:val="007765BD"/>
    <w:rsid w:val="007767D8"/>
    <w:rsid w:val="007769E5"/>
    <w:rsid w:val="00776A5F"/>
    <w:rsid w:val="00776CCC"/>
    <w:rsid w:val="00777458"/>
    <w:rsid w:val="00777D1B"/>
    <w:rsid w:val="00780C97"/>
    <w:rsid w:val="00781477"/>
    <w:rsid w:val="00781775"/>
    <w:rsid w:val="00781A31"/>
    <w:rsid w:val="00781D67"/>
    <w:rsid w:val="00782D39"/>
    <w:rsid w:val="0078303D"/>
    <w:rsid w:val="007832E4"/>
    <w:rsid w:val="00783D83"/>
    <w:rsid w:val="0078581F"/>
    <w:rsid w:val="00785AB0"/>
    <w:rsid w:val="00785CEB"/>
    <w:rsid w:val="00785EB7"/>
    <w:rsid w:val="00785EDF"/>
    <w:rsid w:val="00786834"/>
    <w:rsid w:val="0078711B"/>
    <w:rsid w:val="007875BB"/>
    <w:rsid w:val="00787FBE"/>
    <w:rsid w:val="00790CF8"/>
    <w:rsid w:val="0079136E"/>
    <w:rsid w:val="0079162B"/>
    <w:rsid w:val="00791BB3"/>
    <w:rsid w:val="00791C41"/>
    <w:rsid w:val="00791DC4"/>
    <w:rsid w:val="00791F94"/>
    <w:rsid w:val="007921FE"/>
    <w:rsid w:val="0079279B"/>
    <w:rsid w:val="00793309"/>
    <w:rsid w:val="00793545"/>
    <w:rsid w:val="00794143"/>
    <w:rsid w:val="00794386"/>
    <w:rsid w:val="00794899"/>
    <w:rsid w:val="0079570E"/>
    <w:rsid w:val="00795DF3"/>
    <w:rsid w:val="00796714"/>
    <w:rsid w:val="00797027"/>
    <w:rsid w:val="00797D35"/>
    <w:rsid w:val="007A0255"/>
    <w:rsid w:val="007A09E4"/>
    <w:rsid w:val="007A0D16"/>
    <w:rsid w:val="007A0D1C"/>
    <w:rsid w:val="007A1983"/>
    <w:rsid w:val="007A3141"/>
    <w:rsid w:val="007A3643"/>
    <w:rsid w:val="007A4068"/>
    <w:rsid w:val="007A4396"/>
    <w:rsid w:val="007A4563"/>
    <w:rsid w:val="007A4A08"/>
    <w:rsid w:val="007A4B75"/>
    <w:rsid w:val="007A50CC"/>
    <w:rsid w:val="007A58F3"/>
    <w:rsid w:val="007A5983"/>
    <w:rsid w:val="007A6127"/>
    <w:rsid w:val="007A6168"/>
    <w:rsid w:val="007A6512"/>
    <w:rsid w:val="007A6A6F"/>
    <w:rsid w:val="007A6BF3"/>
    <w:rsid w:val="007A72E9"/>
    <w:rsid w:val="007A7344"/>
    <w:rsid w:val="007B0647"/>
    <w:rsid w:val="007B09B9"/>
    <w:rsid w:val="007B0D9E"/>
    <w:rsid w:val="007B0E33"/>
    <w:rsid w:val="007B0ED6"/>
    <w:rsid w:val="007B1A2F"/>
    <w:rsid w:val="007B1A8A"/>
    <w:rsid w:val="007B1DF6"/>
    <w:rsid w:val="007B2242"/>
    <w:rsid w:val="007B2311"/>
    <w:rsid w:val="007B296C"/>
    <w:rsid w:val="007B2C28"/>
    <w:rsid w:val="007B300D"/>
    <w:rsid w:val="007B3A3E"/>
    <w:rsid w:val="007B3A4E"/>
    <w:rsid w:val="007B3AD5"/>
    <w:rsid w:val="007B3CDD"/>
    <w:rsid w:val="007B4023"/>
    <w:rsid w:val="007B4067"/>
    <w:rsid w:val="007B4955"/>
    <w:rsid w:val="007B4B38"/>
    <w:rsid w:val="007B4E08"/>
    <w:rsid w:val="007B5A04"/>
    <w:rsid w:val="007B63A3"/>
    <w:rsid w:val="007B6E42"/>
    <w:rsid w:val="007B749C"/>
    <w:rsid w:val="007B7548"/>
    <w:rsid w:val="007C0031"/>
    <w:rsid w:val="007C0037"/>
    <w:rsid w:val="007C024B"/>
    <w:rsid w:val="007C04F8"/>
    <w:rsid w:val="007C0CC4"/>
    <w:rsid w:val="007C1128"/>
    <w:rsid w:val="007C14C6"/>
    <w:rsid w:val="007C1774"/>
    <w:rsid w:val="007C19D1"/>
    <w:rsid w:val="007C261D"/>
    <w:rsid w:val="007C2994"/>
    <w:rsid w:val="007C3390"/>
    <w:rsid w:val="007C3AE8"/>
    <w:rsid w:val="007C4D50"/>
    <w:rsid w:val="007C4F0F"/>
    <w:rsid w:val="007C4F7A"/>
    <w:rsid w:val="007C5B45"/>
    <w:rsid w:val="007C5C25"/>
    <w:rsid w:val="007C5EF1"/>
    <w:rsid w:val="007C6249"/>
    <w:rsid w:val="007C675C"/>
    <w:rsid w:val="007C6DCA"/>
    <w:rsid w:val="007C7858"/>
    <w:rsid w:val="007C7E68"/>
    <w:rsid w:val="007D042C"/>
    <w:rsid w:val="007D0877"/>
    <w:rsid w:val="007D0C3D"/>
    <w:rsid w:val="007D141B"/>
    <w:rsid w:val="007D14E4"/>
    <w:rsid w:val="007D1AA0"/>
    <w:rsid w:val="007D1E5E"/>
    <w:rsid w:val="007D1F5E"/>
    <w:rsid w:val="007D241E"/>
    <w:rsid w:val="007D2C69"/>
    <w:rsid w:val="007D2C8E"/>
    <w:rsid w:val="007D3702"/>
    <w:rsid w:val="007D3EBC"/>
    <w:rsid w:val="007D3F54"/>
    <w:rsid w:val="007D3FBD"/>
    <w:rsid w:val="007D44F5"/>
    <w:rsid w:val="007D46EB"/>
    <w:rsid w:val="007D4A35"/>
    <w:rsid w:val="007D4BFB"/>
    <w:rsid w:val="007D4CB9"/>
    <w:rsid w:val="007D5522"/>
    <w:rsid w:val="007D57AF"/>
    <w:rsid w:val="007D6905"/>
    <w:rsid w:val="007D6CBE"/>
    <w:rsid w:val="007D70B1"/>
    <w:rsid w:val="007D7671"/>
    <w:rsid w:val="007D76CC"/>
    <w:rsid w:val="007E0988"/>
    <w:rsid w:val="007E0C27"/>
    <w:rsid w:val="007E10A4"/>
    <w:rsid w:val="007E1359"/>
    <w:rsid w:val="007E1586"/>
    <w:rsid w:val="007E1C10"/>
    <w:rsid w:val="007E24D1"/>
    <w:rsid w:val="007E27D9"/>
    <w:rsid w:val="007E27E6"/>
    <w:rsid w:val="007E2F09"/>
    <w:rsid w:val="007E34C3"/>
    <w:rsid w:val="007E3B1F"/>
    <w:rsid w:val="007E3EF2"/>
    <w:rsid w:val="007E51B2"/>
    <w:rsid w:val="007E5BF2"/>
    <w:rsid w:val="007E653C"/>
    <w:rsid w:val="007E6A0A"/>
    <w:rsid w:val="007E6B77"/>
    <w:rsid w:val="007E76E5"/>
    <w:rsid w:val="007E7831"/>
    <w:rsid w:val="007E7973"/>
    <w:rsid w:val="007E7B48"/>
    <w:rsid w:val="007E7C79"/>
    <w:rsid w:val="007F0EB5"/>
    <w:rsid w:val="007F14C1"/>
    <w:rsid w:val="007F19EA"/>
    <w:rsid w:val="007F2238"/>
    <w:rsid w:val="007F2A5F"/>
    <w:rsid w:val="007F34C9"/>
    <w:rsid w:val="007F3D92"/>
    <w:rsid w:val="007F4DAA"/>
    <w:rsid w:val="007F54D7"/>
    <w:rsid w:val="007F5D67"/>
    <w:rsid w:val="007F6A02"/>
    <w:rsid w:val="007F6FF4"/>
    <w:rsid w:val="007F734F"/>
    <w:rsid w:val="007F7676"/>
    <w:rsid w:val="00801339"/>
    <w:rsid w:val="008014AF"/>
    <w:rsid w:val="0080197B"/>
    <w:rsid w:val="00801B3A"/>
    <w:rsid w:val="00801DAE"/>
    <w:rsid w:val="00802755"/>
    <w:rsid w:val="00803C3F"/>
    <w:rsid w:val="00803C88"/>
    <w:rsid w:val="00804254"/>
    <w:rsid w:val="0080443C"/>
    <w:rsid w:val="0080562D"/>
    <w:rsid w:val="008060DE"/>
    <w:rsid w:val="0080675E"/>
    <w:rsid w:val="00806A5E"/>
    <w:rsid w:val="00806B87"/>
    <w:rsid w:val="00807409"/>
    <w:rsid w:val="00807792"/>
    <w:rsid w:val="00807DDA"/>
    <w:rsid w:val="00807E43"/>
    <w:rsid w:val="00810DAE"/>
    <w:rsid w:val="00810E19"/>
    <w:rsid w:val="0081128F"/>
    <w:rsid w:val="0081138D"/>
    <w:rsid w:val="00811425"/>
    <w:rsid w:val="00811AFB"/>
    <w:rsid w:val="008126C9"/>
    <w:rsid w:val="00812B6B"/>
    <w:rsid w:val="008131D7"/>
    <w:rsid w:val="008134C7"/>
    <w:rsid w:val="00813C52"/>
    <w:rsid w:val="00813F12"/>
    <w:rsid w:val="008146C8"/>
    <w:rsid w:val="00815805"/>
    <w:rsid w:val="00815CF9"/>
    <w:rsid w:val="00816227"/>
    <w:rsid w:val="00816A37"/>
    <w:rsid w:val="00816BB8"/>
    <w:rsid w:val="00816E9F"/>
    <w:rsid w:val="0081738E"/>
    <w:rsid w:val="008177D9"/>
    <w:rsid w:val="00817818"/>
    <w:rsid w:val="00820E29"/>
    <w:rsid w:val="00820EFF"/>
    <w:rsid w:val="0082278D"/>
    <w:rsid w:val="00822CB5"/>
    <w:rsid w:val="00822FB1"/>
    <w:rsid w:val="008236A2"/>
    <w:rsid w:val="00823A5E"/>
    <w:rsid w:val="00823AC3"/>
    <w:rsid w:val="0082450A"/>
    <w:rsid w:val="0082511C"/>
    <w:rsid w:val="00825AC1"/>
    <w:rsid w:val="00826745"/>
    <w:rsid w:val="00826C62"/>
    <w:rsid w:val="0082715E"/>
    <w:rsid w:val="008274E8"/>
    <w:rsid w:val="00827783"/>
    <w:rsid w:val="00827AB4"/>
    <w:rsid w:val="00827B42"/>
    <w:rsid w:val="00827EFB"/>
    <w:rsid w:val="00830764"/>
    <w:rsid w:val="00831320"/>
    <w:rsid w:val="008321A6"/>
    <w:rsid w:val="008321DB"/>
    <w:rsid w:val="0083228A"/>
    <w:rsid w:val="00832947"/>
    <w:rsid w:val="00832A6E"/>
    <w:rsid w:val="0083332A"/>
    <w:rsid w:val="008335FD"/>
    <w:rsid w:val="00833D44"/>
    <w:rsid w:val="00833D8B"/>
    <w:rsid w:val="00833FEE"/>
    <w:rsid w:val="008347B0"/>
    <w:rsid w:val="00834A66"/>
    <w:rsid w:val="00834CE0"/>
    <w:rsid w:val="008356B4"/>
    <w:rsid w:val="00835935"/>
    <w:rsid w:val="00835A67"/>
    <w:rsid w:val="00835AC5"/>
    <w:rsid w:val="00835C69"/>
    <w:rsid w:val="00836C61"/>
    <w:rsid w:val="0083701E"/>
    <w:rsid w:val="00837EB0"/>
    <w:rsid w:val="00840D84"/>
    <w:rsid w:val="0084122C"/>
    <w:rsid w:val="0084147C"/>
    <w:rsid w:val="008419F3"/>
    <w:rsid w:val="008420C4"/>
    <w:rsid w:val="00842909"/>
    <w:rsid w:val="00842E9B"/>
    <w:rsid w:val="00843192"/>
    <w:rsid w:val="008431AC"/>
    <w:rsid w:val="00843714"/>
    <w:rsid w:val="00844BE9"/>
    <w:rsid w:val="00845325"/>
    <w:rsid w:val="00845581"/>
    <w:rsid w:val="008460E6"/>
    <w:rsid w:val="008461C1"/>
    <w:rsid w:val="008462D4"/>
    <w:rsid w:val="008463B2"/>
    <w:rsid w:val="00846401"/>
    <w:rsid w:val="008465B9"/>
    <w:rsid w:val="008466C9"/>
    <w:rsid w:val="00846821"/>
    <w:rsid w:val="008469CE"/>
    <w:rsid w:val="00846B95"/>
    <w:rsid w:val="008473D0"/>
    <w:rsid w:val="00847887"/>
    <w:rsid w:val="00847970"/>
    <w:rsid w:val="00847B2B"/>
    <w:rsid w:val="00847CEF"/>
    <w:rsid w:val="00850083"/>
    <w:rsid w:val="00850499"/>
    <w:rsid w:val="00850A36"/>
    <w:rsid w:val="00850A7D"/>
    <w:rsid w:val="008510EF"/>
    <w:rsid w:val="008512FA"/>
    <w:rsid w:val="00851504"/>
    <w:rsid w:val="00851627"/>
    <w:rsid w:val="00851981"/>
    <w:rsid w:val="00852144"/>
    <w:rsid w:val="00852224"/>
    <w:rsid w:val="0085226D"/>
    <w:rsid w:val="00853D4C"/>
    <w:rsid w:val="00853DBF"/>
    <w:rsid w:val="00853F60"/>
    <w:rsid w:val="00854497"/>
    <w:rsid w:val="00855073"/>
    <w:rsid w:val="008553C5"/>
    <w:rsid w:val="0085652F"/>
    <w:rsid w:val="00856B3B"/>
    <w:rsid w:val="00856E9A"/>
    <w:rsid w:val="00857298"/>
    <w:rsid w:val="0085732E"/>
    <w:rsid w:val="008577AD"/>
    <w:rsid w:val="008578F2"/>
    <w:rsid w:val="00857F2B"/>
    <w:rsid w:val="00857F33"/>
    <w:rsid w:val="008600C9"/>
    <w:rsid w:val="00861B4B"/>
    <w:rsid w:val="00862506"/>
    <w:rsid w:val="008626F7"/>
    <w:rsid w:val="00862950"/>
    <w:rsid w:val="00862C79"/>
    <w:rsid w:val="00862E2B"/>
    <w:rsid w:val="00863930"/>
    <w:rsid w:val="00863A55"/>
    <w:rsid w:val="0086411A"/>
    <w:rsid w:val="00864527"/>
    <w:rsid w:val="008649BA"/>
    <w:rsid w:val="00864A6F"/>
    <w:rsid w:val="00864D79"/>
    <w:rsid w:val="00864F30"/>
    <w:rsid w:val="00865958"/>
    <w:rsid w:val="00865F7D"/>
    <w:rsid w:val="00866185"/>
    <w:rsid w:val="008662AC"/>
    <w:rsid w:val="0086647F"/>
    <w:rsid w:val="008664BA"/>
    <w:rsid w:val="00866765"/>
    <w:rsid w:val="008673CC"/>
    <w:rsid w:val="0087004D"/>
    <w:rsid w:val="00870441"/>
    <w:rsid w:val="008707C8"/>
    <w:rsid w:val="00870908"/>
    <w:rsid w:val="00870AFC"/>
    <w:rsid w:val="008716F5"/>
    <w:rsid w:val="0087268D"/>
    <w:rsid w:val="00872AB8"/>
    <w:rsid w:val="00872FA1"/>
    <w:rsid w:val="00874086"/>
    <w:rsid w:val="0087418F"/>
    <w:rsid w:val="00874FD3"/>
    <w:rsid w:val="0087503D"/>
    <w:rsid w:val="00875AED"/>
    <w:rsid w:val="0087677B"/>
    <w:rsid w:val="00876935"/>
    <w:rsid w:val="00876D73"/>
    <w:rsid w:val="00877A84"/>
    <w:rsid w:val="00877A9F"/>
    <w:rsid w:val="00880177"/>
    <w:rsid w:val="00880285"/>
    <w:rsid w:val="00880D2C"/>
    <w:rsid w:val="008816BC"/>
    <w:rsid w:val="00881AE1"/>
    <w:rsid w:val="00881C5F"/>
    <w:rsid w:val="00882FEC"/>
    <w:rsid w:val="008839A6"/>
    <w:rsid w:val="00883BFC"/>
    <w:rsid w:val="00884167"/>
    <w:rsid w:val="00884330"/>
    <w:rsid w:val="0088438A"/>
    <w:rsid w:val="0088519F"/>
    <w:rsid w:val="00885CBE"/>
    <w:rsid w:val="00885D1C"/>
    <w:rsid w:val="00885D49"/>
    <w:rsid w:val="00887021"/>
    <w:rsid w:val="0088728E"/>
    <w:rsid w:val="008873FF"/>
    <w:rsid w:val="0088796E"/>
    <w:rsid w:val="00887B83"/>
    <w:rsid w:val="00890296"/>
    <w:rsid w:val="008902A1"/>
    <w:rsid w:val="00890846"/>
    <w:rsid w:val="008908B5"/>
    <w:rsid w:val="00890FFA"/>
    <w:rsid w:val="00891222"/>
    <w:rsid w:val="0089147D"/>
    <w:rsid w:val="00891CC8"/>
    <w:rsid w:val="00891E51"/>
    <w:rsid w:val="00892A7B"/>
    <w:rsid w:val="00894287"/>
    <w:rsid w:val="0089486F"/>
    <w:rsid w:val="00894904"/>
    <w:rsid w:val="0089499F"/>
    <w:rsid w:val="00894D69"/>
    <w:rsid w:val="00894F97"/>
    <w:rsid w:val="0089607C"/>
    <w:rsid w:val="00896F70"/>
    <w:rsid w:val="008970C7"/>
    <w:rsid w:val="0089724A"/>
    <w:rsid w:val="00897BC1"/>
    <w:rsid w:val="00897D04"/>
    <w:rsid w:val="008A0332"/>
    <w:rsid w:val="008A0520"/>
    <w:rsid w:val="008A0EB9"/>
    <w:rsid w:val="008A13C7"/>
    <w:rsid w:val="008A163C"/>
    <w:rsid w:val="008A1D1D"/>
    <w:rsid w:val="008A1E2B"/>
    <w:rsid w:val="008A28EE"/>
    <w:rsid w:val="008A2A8E"/>
    <w:rsid w:val="008A3267"/>
    <w:rsid w:val="008A35B6"/>
    <w:rsid w:val="008A35E7"/>
    <w:rsid w:val="008A3758"/>
    <w:rsid w:val="008A3A73"/>
    <w:rsid w:val="008A3C57"/>
    <w:rsid w:val="008A3DF3"/>
    <w:rsid w:val="008A3F3E"/>
    <w:rsid w:val="008A48DE"/>
    <w:rsid w:val="008A4ED5"/>
    <w:rsid w:val="008A4EF7"/>
    <w:rsid w:val="008A4FCF"/>
    <w:rsid w:val="008A5726"/>
    <w:rsid w:val="008A5D28"/>
    <w:rsid w:val="008A655B"/>
    <w:rsid w:val="008A6607"/>
    <w:rsid w:val="008A694F"/>
    <w:rsid w:val="008A6A37"/>
    <w:rsid w:val="008A7062"/>
    <w:rsid w:val="008A70A2"/>
    <w:rsid w:val="008A7153"/>
    <w:rsid w:val="008A7FC5"/>
    <w:rsid w:val="008B044F"/>
    <w:rsid w:val="008B08BC"/>
    <w:rsid w:val="008B0ACE"/>
    <w:rsid w:val="008B0C77"/>
    <w:rsid w:val="008B1574"/>
    <w:rsid w:val="008B1F4F"/>
    <w:rsid w:val="008B2653"/>
    <w:rsid w:val="008B2AF0"/>
    <w:rsid w:val="008B3468"/>
    <w:rsid w:val="008B34A0"/>
    <w:rsid w:val="008B39E7"/>
    <w:rsid w:val="008B3E09"/>
    <w:rsid w:val="008B40C2"/>
    <w:rsid w:val="008B4291"/>
    <w:rsid w:val="008B4967"/>
    <w:rsid w:val="008B4996"/>
    <w:rsid w:val="008B4FC3"/>
    <w:rsid w:val="008B5393"/>
    <w:rsid w:val="008B5B49"/>
    <w:rsid w:val="008B61CD"/>
    <w:rsid w:val="008B61ED"/>
    <w:rsid w:val="008B621E"/>
    <w:rsid w:val="008B6414"/>
    <w:rsid w:val="008B723A"/>
    <w:rsid w:val="008B72D5"/>
    <w:rsid w:val="008B7305"/>
    <w:rsid w:val="008B76CD"/>
    <w:rsid w:val="008B7C99"/>
    <w:rsid w:val="008C030C"/>
    <w:rsid w:val="008C1079"/>
    <w:rsid w:val="008C247B"/>
    <w:rsid w:val="008C2511"/>
    <w:rsid w:val="008C2954"/>
    <w:rsid w:val="008C2BAA"/>
    <w:rsid w:val="008C2F64"/>
    <w:rsid w:val="008C3437"/>
    <w:rsid w:val="008C3681"/>
    <w:rsid w:val="008C38B3"/>
    <w:rsid w:val="008C425B"/>
    <w:rsid w:val="008C44AA"/>
    <w:rsid w:val="008C491B"/>
    <w:rsid w:val="008C55CE"/>
    <w:rsid w:val="008C5D1B"/>
    <w:rsid w:val="008C7000"/>
    <w:rsid w:val="008C73C5"/>
    <w:rsid w:val="008C76B6"/>
    <w:rsid w:val="008C7CB5"/>
    <w:rsid w:val="008C7EBC"/>
    <w:rsid w:val="008D02D3"/>
    <w:rsid w:val="008D0617"/>
    <w:rsid w:val="008D0B52"/>
    <w:rsid w:val="008D1624"/>
    <w:rsid w:val="008D1C99"/>
    <w:rsid w:val="008D2B72"/>
    <w:rsid w:val="008D2CD4"/>
    <w:rsid w:val="008D2F78"/>
    <w:rsid w:val="008D35B8"/>
    <w:rsid w:val="008D3D88"/>
    <w:rsid w:val="008D41EE"/>
    <w:rsid w:val="008D4775"/>
    <w:rsid w:val="008D47CC"/>
    <w:rsid w:val="008D581D"/>
    <w:rsid w:val="008D5B40"/>
    <w:rsid w:val="008D5B62"/>
    <w:rsid w:val="008D5FAC"/>
    <w:rsid w:val="008D7DBC"/>
    <w:rsid w:val="008E0A07"/>
    <w:rsid w:val="008E0D12"/>
    <w:rsid w:val="008E0F7B"/>
    <w:rsid w:val="008E1299"/>
    <w:rsid w:val="008E18B9"/>
    <w:rsid w:val="008E1CE3"/>
    <w:rsid w:val="008E1E77"/>
    <w:rsid w:val="008E22F0"/>
    <w:rsid w:val="008E2A41"/>
    <w:rsid w:val="008E2F87"/>
    <w:rsid w:val="008E3FD6"/>
    <w:rsid w:val="008E3FE6"/>
    <w:rsid w:val="008E4771"/>
    <w:rsid w:val="008E4AAC"/>
    <w:rsid w:val="008E4F5E"/>
    <w:rsid w:val="008E506F"/>
    <w:rsid w:val="008E5114"/>
    <w:rsid w:val="008E5378"/>
    <w:rsid w:val="008E557A"/>
    <w:rsid w:val="008E59D4"/>
    <w:rsid w:val="008E63DD"/>
    <w:rsid w:val="008E65D2"/>
    <w:rsid w:val="008E6A64"/>
    <w:rsid w:val="008E6AF3"/>
    <w:rsid w:val="008E6D66"/>
    <w:rsid w:val="008F00A4"/>
    <w:rsid w:val="008F0715"/>
    <w:rsid w:val="008F0840"/>
    <w:rsid w:val="008F0855"/>
    <w:rsid w:val="008F0987"/>
    <w:rsid w:val="008F213F"/>
    <w:rsid w:val="008F23C2"/>
    <w:rsid w:val="008F26B4"/>
    <w:rsid w:val="008F2D96"/>
    <w:rsid w:val="008F30F0"/>
    <w:rsid w:val="008F3414"/>
    <w:rsid w:val="008F35CA"/>
    <w:rsid w:val="008F3BE1"/>
    <w:rsid w:val="008F40E0"/>
    <w:rsid w:val="008F4C0D"/>
    <w:rsid w:val="008F516F"/>
    <w:rsid w:val="008F55E5"/>
    <w:rsid w:val="008F5835"/>
    <w:rsid w:val="008F5FF6"/>
    <w:rsid w:val="008F6708"/>
    <w:rsid w:val="008F67C8"/>
    <w:rsid w:val="008F6B92"/>
    <w:rsid w:val="008F6F14"/>
    <w:rsid w:val="008F72EC"/>
    <w:rsid w:val="008F7809"/>
    <w:rsid w:val="0090016B"/>
    <w:rsid w:val="00900C53"/>
    <w:rsid w:val="00900DD2"/>
    <w:rsid w:val="00900E43"/>
    <w:rsid w:val="009011F8"/>
    <w:rsid w:val="009015F7"/>
    <w:rsid w:val="00901805"/>
    <w:rsid w:val="0090223A"/>
    <w:rsid w:val="00902478"/>
    <w:rsid w:val="00902B05"/>
    <w:rsid w:val="00902BC9"/>
    <w:rsid w:val="00902CA7"/>
    <w:rsid w:val="00902DFA"/>
    <w:rsid w:val="00902FAA"/>
    <w:rsid w:val="00902FF6"/>
    <w:rsid w:val="00903837"/>
    <w:rsid w:val="00903C3B"/>
    <w:rsid w:val="00903FAA"/>
    <w:rsid w:val="00904101"/>
    <w:rsid w:val="00904874"/>
    <w:rsid w:val="00904E4C"/>
    <w:rsid w:val="009054DA"/>
    <w:rsid w:val="009061A7"/>
    <w:rsid w:val="009067EE"/>
    <w:rsid w:val="00907312"/>
    <w:rsid w:val="00907644"/>
    <w:rsid w:val="0090770C"/>
    <w:rsid w:val="0090774A"/>
    <w:rsid w:val="009077AF"/>
    <w:rsid w:val="00907A19"/>
    <w:rsid w:val="00907AA5"/>
    <w:rsid w:val="00907C7A"/>
    <w:rsid w:val="00907CE5"/>
    <w:rsid w:val="00910E8C"/>
    <w:rsid w:val="00910EA0"/>
    <w:rsid w:val="00911A67"/>
    <w:rsid w:val="00911AB1"/>
    <w:rsid w:val="00911C4D"/>
    <w:rsid w:val="00911DED"/>
    <w:rsid w:val="00911F68"/>
    <w:rsid w:val="00912090"/>
    <w:rsid w:val="0091217C"/>
    <w:rsid w:val="009121D4"/>
    <w:rsid w:val="00912A37"/>
    <w:rsid w:val="009133FA"/>
    <w:rsid w:val="00913441"/>
    <w:rsid w:val="00913E1C"/>
    <w:rsid w:val="009147F2"/>
    <w:rsid w:val="00914909"/>
    <w:rsid w:val="009149CF"/>
    <w:rsid w:val="009151B0"/>
    <w:rsid w:val="00915898"/>
    <w:rsid w:val="00916034"/>
    <w:rsid w:val="0091682D"/>
    <w:rsid w:val="009171C1"/>
    <w:rsid w:val="00917431"/>
    <w:rsid w:val="009176B0"/>
    <w:rsid w:val="00917D1A"/>
    <w:rsid w:val="00917EB0"/>
    <w:rsid w:val="009203BA"/>
    <w:rsid w:val="009204A5"/>
    <w:rsid w:val="009211C2"/>
    <w:rsid w:val="00921EE3"/>
    <w:rsid w:val="009223D4"/>
    <w:rsid w:val="009225FC"/>
    <w:rsid w:val="00922E06"/>
    <w:rsid w:val="00923015"/>
    <w:rsid w:val="009231EA"/>
    <w:rsid w:val="00923544"/>
    <w:rsid w:val="00923AA9"/>
    <w:rsid w:val="009240EA"/>
    <w:rsid w:val="00924302"/>
    <w:rsid w:val="0092475B"/>
    <w:rsid w:val="00925DED"/>
    <w:rsid w:val="0092636B"/>
    <w:rsid w:val="0092653E"/>
    <w:rsid w:val="00926566"/>
    <w:rsid w:val="00926CAF"/>
    <w:rsid w:val="0092705C"/>
    <w:rsid w:val="00927C0B"/>
    <w:rsid w:val="00927CE7"/>
    <w:rsid w:val="00927D85"/>
    <w:rsid w:val="0093191A"/>
    <w:rsid w:val="00931B36"/>
    <w:rsid w:val="0093226A"/>
    <w:rsid w:val="00932499"/>
    <w:rsid w:val="00932B52"/>
    <w:rsid w:val="009330ED"/>
    <w:rsid w:val="009338FD"/>
    <w:rsid w:val="00933B52"/>
    <w:rsid w:val="00933CCD"/>
    <w:rsid w:val="00933CF6"/>
    <w:rsid w:val="00934663"/>
    <w:rsid w:val="009348A5"/>
    <w:rsid w:val="0093561A"/>
    <w:rsid w:val="00935675"/>
    <w:rsid w:val="00935B13"/>
    <w:rsid w:val="00936BE6"/>
    <w:rsid w:val="00937C8A"/>
    <w:rsid w:val="00937FDC"/>
    <w:rsid w:val="00940CFA"/>
    <w:rsid w:val="009412DF"/>
    <w:rsid w:val="00941305"/>
    <w:rsid w:val="00941396"/>
    <w:rsid w:val="0094186B"/>
    <w:rsid w:val="00941892"/>
    <w:rsid w:val="009418F2"/>
    <w:rsid w:val="00941BC5"/>
    <w:rsid w:val="009423B7"/>
    <w:rsid w:val="00942EF2"/>
    <w:rsid w:val="00943FC5"/>
    <w:rsid w:val="00943FCB"/>
    <w:rsid w:val="009440B5"/>
    <w:rsid w:val="0094417A"/>
    <w:rsid w:val="009444A6"/>
    <w:rsid w:val="00944817"/>
    <w:rsid w:val="00944829"/>
    <w:rsid w:val="00945503"/>
    <w:rsid w:val="00945A44"/>
    <w:rsid w:val="00945BA3"/>
    <w:rsid w:val="00945CD4"/>
    <w:rsid w:val="009463D7"/>
    <w:rsid w:val="00946677"/>
    <w:rsid w:val="009469A3"/>
    <w:rsid w:val="00947669"/>
    <w:rsid w:val="00947B85"/>
    <w:rsid w:val="00947BA6"/>
    <w:rsid w:val="009500D9"/>
    <w:rsid w:val="009503FA"/>
    <w:rsid w:val="0095061E"/>
    <w:rsid w:val="0095131C"/>
    <w:rsid w:val="00951E6D"/>
    <w:rsid w:val="009529C3"/>
    <w:rsid w:val="00952ED8"/>
    <w:rsid w:val="00953D07"/>
    <w:rsid w:val="00953D6B"/>
    <w:rsid w:val="00953EE2"/>
    <w:rsid w:val="00954596"/>
    <w:rsid w:val="009548FB"/>
    <w:rsid w:val="00955297"/>
    <w:rsid w:val="00955780"/>
    <w:rsid w:val="009560D3"/>
    <w:rsid w:val="0095667A"/>
    <w:rsid w:val="00956BA3"/>
    <w:rsid w:val="009571E2"/>
    <w:rsid w:val="00957255"/>
    <w:rsid w:val="0095750F"/>
    <w:rsid w:val="009608C8"/>
    <w:rsid w:val="00960942"/>
    <w:rsid w:val="009609A2"/>
    <w:rsid w:val="00960EA6"/>
    <w:rsid w:val="00960F25"/>
    <w:rsid w:val="009612F6"/>
    <w:rsid w:val="00961A47"/>
    <w:rsid w:val="00961E3B"/>
    <w:rsid w:val="00962915"/>
    <w:rsid w:val="00962C47"/>
    <w:rsid w:val="00963AF0"/>
    <w:rsid w:val="00964388"/>
    <w:rsid w:val="00964E9D"/>
    <w:rsid w:val="00965EB5"/>
    <w:rsid w:val="009663C1"/>
    <w:rsid w:val="00966FBC"/>
    <w:rsid w:val="00967062"/>
    <w:rsid w:val="009671F8"/>
    <w:rsid w:val="009673F8"/>
    <w:rsid w:val="00967460"/>
    <w:rsid w:val="00970111"/>
    <w:rsid w:val="0097071A"/>
    <w:rsid w:val="009709D7"/>
    <w:rsid w:val="00971071"/>
    <w:rsid w:val="00971671"/>
    <w:rsid w:val="009727D5"/>
    <w:rsid w:val="00972C0D"/>
    <w:rsid w:val="0097327D"/>
    <w:rsid w:val="00973397"/>
    <w:rsid w:val="009734B4"/>
    <w:rsid w:val="00973B61"/>
    <w:rsid w:val="009746ED"/>
    <w:rsid w:val="0097494C"/>
    <w:rsid w:val="00974D2C"/>
    <w:rsid w:val="0097542B"/>
    <w:rsid w:val="0097551E"/>
    <w:rsid w:val="00975A46"/>
    <w:rsid w:val="00975DC7"/>
    <w:rsid w:val="009761D7"/>
    <w:rsid w:val="00976261"/>
    <w:rsid w:val="00976BD1"/>
    <w:rsid w:val="00976C03"/>
    <w:rsid w:val="00977B8F"/>
    <w:rsid w:val="00977CB5"/>
    <w:rsid w:val="009802F5"/>
    <w:rsid w:val="00980418"/>
    <w:rsid w:val="0098059C"/>
    <w:rsid w:val="0098064F"/>
    <w:rsid w:val="009808FF"/>
    <w:rsid w:val="00980CF8"/>
    <w:rsid w:val="00981773"/>
    <w:rsid w:val="009818C4"/>
    <w:rsid w:val="00981A4A"/>
    <w:rsid w:val="00981ABF"/>
    <w:rsid w:val="00981D4D"/>
    <w:rsid w:val="00981E50"/>
    <w:rsid w:val="00981F32"/>
    <w:rsid w:val="00982957"/>
    <w:rsid w:val="00982A67"/>
    <w:rsid w:val="00982AD7"/>
    <w:rsid w:val="00982CD2"/>
    <w:rsid w:val="00982E15"/>
    <w:rsid w:val="009835E6"/>
    <w:rsid w:val="00983955"/>
    <w:rsid w:val="00983E0B"/>
    <w:rsid w:val="00983FB4"/>
    <w:rsid w:val="0098429F"/>
    <w:rsid w:val="0098451B"/>
    <w:rsid w:val="00984560"/>
    <w:rsid w:val="00984FBC"/>
    <w:rsid w:val="009856AE"/>
    <w:rsid w:val="00985BC8"/>
    <w:rsid w:val="009869EC"/>
    <w:rsid w:val="0098707F"/>
    <w:rsid w:val="0098716F"/>
    <w:rsid w:val="0098766B"/>
    <w:rsid w:val="00987A2B"/>
    <w:rsid w:val="00990000"/>
    <w:rsid w:val="00990615"/>
    <w:rsid w:val="00990A61"/>
    <w:rsid w:val="00990B0A"/>
    <w:rsid w:val="00990C18"/>
    <w:rsid w:val="00990C76"/>
    <w:rsid w:val="0099150C"/>
    <w:rsid w:val="009919B5"/>
    <w:rsid w:val="00991B58"/>
    <w:rsid w:val="00991F0F"/>
    <w:rsid w:val="0099252A"/>
    <w:rsid w:val="00992844"/>
    <w:rsid w:val="00993778"/>
    <w:rsid w:val="009938D7"/>
    <w:rsid w:val="009939BF"/>
    <w:rsid w:val="0099437B"/>
    <w:rsid w:val="009943FA"/>
    <w:rsid w:val="0099448F"/>
    <w:rsid w:val="00994967"/>
    <w:rsid w:val="00994C84"/>
    <w:rsid w:val="00994FA9"/>
    <w:rsid w:val="0099524D"/>
    <w:rsid w:val="00995506"/>
    <w:rsid w:val="009956A2"/>
    <w:rsid w:val="00995F35"/>
    <w:rsid w:val="00996284"/>
    <w:rsid w:val="00997E1D"/>
    <w:rsid w:val="009A060B"/>
    <w:rsid w:val="009A0790"/>
    <w:rsid w:val="009A0948"/>
    <w:rsid w:val="009A0C60"/>
    <w:rsid w:val="009A292F"/>
    <w:rsid w:val="009A2C4C"/>
    <w:rsid w:val="009A2C50"/>
    <w:rsid w:val="009A2D04"/>
    <w:rsid w:val="009A2F7E"/>
    <w:rsid w:val="009A3013"/>
    <w:rsid w:val="009A302C"/>
    <w:rsid w:val="009A317C"/>
    <w:rsid w:val="009A3464"/>
    <w:rsid w:val="009A34CD"/>
    <w:rsid w:val="009A39AD"/>
    <w:rsid w:val="009A3AC0"/>
    <w:rsid w:val="009A4045"/>
    <w:rsid w:val="009A407D"/>
    <w:rsid w:val="009A43C1"/>
    <w:rsid w:val="009A4B4C"/>
    <w:rsid w:val="009A54F8"/>
    <w:rsid w:val="009A54FF"/>
    <w:rsid w:val="009A558C"/>
    <w:rsid w:val="009A55F6"/>
    <w:rsid w:val="009A586E"/>
    <w:rsid w:val="009A5D38"/>
    <w:rsid w:val="009A5FBE"/>
    <w:rsid w:val="009A7205"/>
    <w:rsid w:val="009A73C7"/>
    <w:rsid w:val="009A7469"/>
    <w:rsid w:val="009A7577"/>
    <w:rsid w:val="009A7A26"/>
    <w:rsid w:val="009B0793"/>
    <w:rsid w:val="009B0894"/>
    <w:rsid w:val="009B163B"/>
    <w:rsid w:val="009B2BB6"/>
    <w:rsid w:val="009B3596"/>
    <w:rsid w:val="009B3A3A"/>
    <w:rsid w:val="009B45E8"/>
    <w:rsid w:val="009B5198"/>
    <w:rsid w:val="009B5201"/>
    <w:rsid w:val="009B52C0"/>
    <w:rsid w:val="009B5349"/>
    <w:rsid w:val="009B56AE"/>
    <w:rsid w:val="009B582A"/>
    <w:rsid w:val="009B5B82"/>
    <w:rsid w:val="009B5E7E"/>
    <w:rsid w:val="009B5F4D"/>
    <w:rsid w:val="009B6484"/>
    <w:rsid w:val="009B6659"/>
    <w:rsid w:val="009B6B41"/>
    <w:rsid w:val="009B70F5"/>
    <w:rsid w:val="009B71C6"/>
    <w:rsid w:val="009C0456"/>
    <w:rsid w:val="009C088E"/>
    <w:rsid w:val="009C1183"/>
    <w:rsid w:val="009C12AF"/>
    <w:rsid w:val="009C172F"/>
    <w:rsid w:val="009C1816"/>
    <w:rsid w:val="009C1AB7"/>
    <w:rsid w:val="009C221D"/>
    <w:rsid w:val="009C2D7D"/>
    <w:rsid w:val="009C2DA8"/>
    <w:rsid w:val="009C3763"/>
    <w:rsid w:val="009C3A3D"/>
    <w:rsid w:val="009C3E0A"/>
    <w:rsid w:val="009C4127"/>
    <w:rsid w:val="009C4154"/>
    <w:rsid w:val="009C42B9"/>
    <w:rsid w:val="009C4367"/>
    <w:rsid w:val="009C5007"/>
    <w:rsid w:val="009C5D89"/>
    <w:rsid w:val="009C5E3D"/>
    <w:rsid w:val="009D0320"/>
    <w:rsid w:val="009D1034"/>
    <w:rsid w:val="009D10D9"/>
    <w:rsid w:val="009D1270"/>
    <w:rsid w:val="009D15F7"/>
    <w:rsid w:val="009D1925"/>
    <w:rsid w:val="009D2F1E"/>
    <w:rsid w:val="009D2FDE"/>
    <w:rsid w:val="009D309D"/>
    <w:rsid w:val="009D3420"/>
    <w:rsid w:val="009D3717"/>
    <w:rsid w:val="009D3E1C"/>
    <w:rsid w:val="009D4BBE"/>
    <w:rsid w:val="009D4E21"/>
    <w:rsid w:val="009D54BE"/>
    <w:rsid w:val="009D5A9A"/>
    <w:rsid w:val="009D5FA7"/>
    <w:rsid w:val="009D66B9"/>
    <w:rsid w:val="009D67C0"/>
    <w:rsid w:val="009D67F7"/>
    <w:rsid w:val="009D6B3F"/>
    <w:rsid w:val="009D6CA6"/>
    <w:rsid w:val="009D7945"/>
    <w:rsid w:val="009E0D76"/>
    <w:rsid w:val="009E13FA"/>
    <w:rsid w:val="009E2422"/>
    <w:rsid w:val="009E2673"/>
    <w:rsid w:val="009E2748"/>
    <w:rsid w:val="009E2D6E"/>
    <w:rsid w:val="009E30FE"/>
    <w:rsid w:val="009E3343"/>
    <w:rsid w:val="009E44D2"/>
    <w:rsid w:val="009E4A4D"/>
    <w:rsid w:val="009E4F40"/>
    <w:rsid w:val="009E53CF"/>
    <w:rsid w:val="009E58FA"/>
    <w:rsid w:val="009E62E7"/>
    <w:rsid w:val="009E669F"/>
    <w:rsid w:val="009E733E"/>
    <w:rsid w:val="009E760B"/>
    <w:rsid w:val="009E7BE2"/>
    <w:rsid w:val="009F165B"/>
    <w:rsid w:val="009F1A52"/>
    <w:rsid w:val="009F1C92"/>
    <w:rsid w:val="009F1D37"/>
    <w:rsid w:val="009F1E63"/>
    <w:rsid w:val="009F2244"/>
    <w:rsid w:val="009F257A"/>
    <w:rsid w:val="009F31CC"/>
    <w:rsid w:val="009F3DB3"/>
    <w:rsid w:val="009F3F99"/>
    <w:rsid w:val="009F4172"/>
    <w:rsid w:val="009F49BD"/>
    <w:rsid w:val="009F53C9"/>
    <w:rsid w:val="009F5817"/>
    <w:rsid w:val="009F6445"/>
    <w:rsid w:val="009F6C85"/>
    <w:rsid w:val="009F7727"/>
    <w:rsid w:val="009F7C9E"/>
    <w:rsid w:val="009F7CC7"/>
    <w:rsid w:val="00A0169F"/>
    <w:rsid w:val="00A0248C"/>
    <w:rsid w:val="00A02A30"/>
    <w:rsid w:val="00A02D7A"/>
    <w:rsid w:val="00A03111"/>
    <w:rsid w:val="00A04CD6"/>
    <w:rsid w:val="00A055D9"/>
    <w:rsid w:val="00A05D54"/>
    <w:rsid w:val="00A0632A"/>
    <w:rsid w:val="00A0680B"/>
    <w:rsid w:val="00A07107"/>
    <w:rsid w:val="00A0775C"/>
    <w:rsid w:val="00A07C0A"/>
    <w:rsid w:val="00A10129"/>
    <w:rsid w:val="00A10913"/>
    <w:rsid w:val="00A114DF"/>
    <w:rsid w:val="00A11BB1"/>
    <w:rsid w:val="00A11C0F"/>
    <w:rsid w:val="00A127D3"/>
    <w:rsid w:val="00A12EB3"/>
    <w:rsid w:val="00A130E8"/>
    <w:rsid w:val="00A134F4"/>
    <w:rsid w:val="00A13FA8"/>
    <w:rsid w:val="00A14380"/>
    <w:rsid w:val="00A14EF7"/>
    <w:rsid w:val="00A151CF"/>
    <w:rsid w:val="00A15771"/>
    <w:rsid w:val="00A15BB7"/>
    <w:rsid w:val="00A15EE0"/>
    <w:rsid w:val="00A17811"/>
    <w:rsid w:val="00A17F45"/>
    <w:rsid w:val="00A200F8"/>
    <w:rsid w:val="00A20607"/>
    <w:rsid w:val="00A211F6"/>
    <w:rsid w:val="00A21729"/>
    <w:rsid w:val="00A21A6E"/>
    <w:rsid w:val="00A21DC7"/>
    <w:rsid w:val="00A221F4"/>
    <w:rsid w:val="00A2237B"/>
    <w:rsid w:val="00A225F8"/>
    <w:rsid w:val="00A22D91"/>
    <w:rsid w:val="00A23E3C"/>
    <w:rsid w:val="00A240EA"/>
    <w:rsid w:val="00A24DFA"/>
    <w:rsid w:val="00A2522A"/>
    <w:rsid w:val="00A2582D"/>
    <w:rsid w:val="00A25CEC"/>
    <w:rsid w:val="00A25E44"/>
    <w:rsid w:val="00A25F71"/>
    <w:rsid w:val="00A267F3"/>
    <w:rsid w:val="00A26AAF"/>
    <w:rsid w:val="00A26BDA"/>
    <w:rsid w:val="00A27064"/>
    <w:rsid w:val="00A2791C"/>
    <w:rsid w:val="00A308DB"/>
    <w:rsid w:val="00A31139"/>
    <w:rsid w:val="00A3133D"/>
    <w:rsid w:val="00A31C10"/>
    <w:rsid w:val="00A31ED2"/>
    <w:rsid w:val="00A31F4B"/>
    <w:rsid w:val="00A31F65"/>
    <w:rsid w:val="00A32135"/>
    <w:rsid w:val="00A333AA"/>
    <w:rsid w:val="00A3355E"/>
    <w:rsid w:val="00A336D6"/>
    <w:rsid w:val="00A336FD"/>
    <w:rsid w:val="00A33719"/>
    <w:rsid w:val="00A3374C"/>
    <w:rsid w:val="00A33D4C"/>
    <w:rsid w:val="00A34300"/>
    <w:rsid w:val="00A34773"/>
    <w:rsid w:val="00A35232"/>
    <w:rsid w:val="00A35A24"/>
    <w:rsid w:val="00A35F41"/>
    <w:rsid w:val="00A36082"/>
    <w:rsid w:val="00A36B07"/>
    <w:rsid w:val="00A36E83"/>
    <w:rsid w:val="00A3719E"/>
    <w:rsid w:val="00A37950"/>
    <w:rsid w:val="00A4035B"/>
    <w:rsid w:val="00A407B3"/>
    <w:rsid w:val="00A40E8B"/>
    <w:rsid w:val="00A41218"/>
    <w:rsid w:val="00A41306"/>
    <w:rsid w:val="00A41885"/>
    <w:rsid w:val="00A4215D"/>
    <w:rsid w:val="00A42903"/>
    <w:rsid w:val="00A43492"/>
    <w:rsid w:val="00A43A28"/>
    <w:rsid w:val="00A43C79"/>
    <w:rsid w:val="00A43ED0"/>
    <w:rsid w:val="00A44355"/>
    <w:rsid w:val="00A44D15"/>
    <w:rsid w:val="00A451F0"/>
    <w:rsid w:val="00A4564F"/>
    <w:rsid w:val="00A45F69"/>
    <w:rsid w:val="00A4650A"/>
    <w:rsid w:val="00A466E7"/>
    <w:rsid w:val="00A4676B"/>
    <w:rsid w:val="00A468F1"/>
    <w:rsid w:val="00A46F06"/>
    <w:rsid w:val="00A47EB7"/>
    <w:rsid w:val="00A50697"/>
    <w:rsid w:val="00A51C53"/>
    <w:rsid w:val="00A51C9E"/>
    <w:rsid w:val="00A52AD5"/>
    <w:rsid w:val="00A53037"/>
    <w:rsid w:val="00A53C56"/>
    <w:rsid w:val="00A554DA"/>
    <w:rsid w:val="00A554E8"/>
    <w:rsid w:val="00A55E76"/>
    <w:rsid w:val="00A5691D"/>
    <w:rsid w:val="00A56B36"/>
    <w:rsid w:val="00A570B3"/>
    <w:rsid w:val="00A57C67"/>
    <w:rsid w:val="00A57D3C"/>
    <w:rsid w:val="00A607CA"/>
    <w:rsid w:val="00A61822"/>
    <w:rsid w:val="00A61B5E"/>
    <w:rsid w:val="00A61CB2"/>
    <w:rsid w:val="00A62073"/>
    <w:rsid w:val="00A62212"/>
    <w:rsid w:val="00A6224E"/>
    <w:rsid w:val="00A6238D"/>
    <w:rsid w:val="00A62408"/>
    <w:rsid w:val="00A62425"/>
    <w:rsid w:val="00A62D18"/>
    <w:rsid w:val="00A635DF"/>
    <w:rsid w:val="00A63C26"/>
    <w:rsid w:val="00A63C7C"/>
    <w:rsid w:val="00A63CF0"/>
    <w:rsid w:val="00A6416B"/>
    <w:rsid w:val="00A659F3"/>
    <w:rsid w:val="00A66129"/>
    <w:rsid w:val="00A6614C"/>
    <w:rsid w:val="00A66DBA"/>
    <w:rsid w:val="00A670A4"/>
    <w:rsid w:val="00A67754"/>
    <w:rsid w:val="00A70522"/>
    <w:rsid w:val="00A70A5C"/>
    <w:rsid w:val="00A70D51"/>
    <w:rsid w:val="00A71474"/>
    <w:rsid w:val="00A722A3"/>
    <w:rsid w:val="00A7236A"/>
    <w:rsid w:val="00A7286B"/>
    <w:rsid w:val="00A728FD"/>
    <w:rsid w:val="00A73095"/>
    <w:rsid w:val="00A7335A"/>
    <w:rsid w:val="00A744D5"/>
    <w:rsid w:val="00A75333"/>
    <w:rsid w:val="00A754A0"/>
    <w:rsid w:val="00A755F9"/>
    <w:rsid w:val="00A761E6"/>
    <w:rsid w:val="00A76DCA"/>
    <w:rsid w:val="00A771AE"/>
    <w:rsid w:val="00A772FD"/>
    <w:rsid w:val="00A773E9"/>
    <w:rsid w:val="00A77555"/>
    <w:rsid w:val="00A77A81"/>
    <w:rsid w:val="00A8027B"/>
    <w:rsid w:val="00A805CF"/>
    <w:rsid w:val="00A805FD"/>
    <w:rsid w:val="00A813DE"/>
    <w:rsid w:val="00A81821"/>
    <w:rsid w:val="00A81F61"/>
    <w:rsid w:val="00A82269"/>
    <w:rsid w:val="00A8268D"/>
    <w:rsid w:val="00A82B27"/>
    <w:rsid w:val="00A82EC8"/>
    <w:rsid w:val="00A834FB"/>
    <w:rsid w:val="00A83A21"/>
    <w:rsid w:val="00A83CC4"/>
    <w:rsid w:val="00A84102"/>
    <w:rsid w:val="00A84113"/>
    <w:rsid w:val="00A84210"/>
    <w:rsid w:val="00A846EE"/>
    <w:rsid w:val="00A8495F"/>
    <w:rsid w:val="00A84A63"/>
    <w:rsid w:val="00A84DE7"/>
    <w:rsid w:val="00A84F01"/>
    <w:rsid w:val="00A84FA2"/>
    <w:rsid w:val="00A8533B"/>
    <w:rsid w:val="00A85525"/>
    <w:rsid w:val="00A85755"/>
    <w:rsid w:val="00A85A23"/>
    <w:rsid w:val="00A8660A"/>
    <w:rsid w:val="00A86EA1"/>
    <w:rsid w:val="00A86F46"/>
    <w:rsid w:val="00A87624"/>
    <w:rsid w:val="00A87976"/>
    <w:rsid w:val="00A902CB"/>
    <w:rsid w:val="00A906BD"/>
    <w:rsid w:val="00A90F48"/>
    <w:rsid w:val="00A922F4"/>
    <w:rsid w:val="00A925C4"/>
    <w:rsid w:val="00A929A7"/>
    <w:rsid w:val="00A93CED"/>
    <w:rsid w:val="00A94453"/>
    <w:rsid w:val="00A94CC0"/>
    <w:rsid w:val="00A95BDA"/>
    <w:rsid w:val="00A95CD2"/>
    <w:rsid w:val="00A964C5"/>
    <w:rsid w:val="00AA0555"/>
    <w:rsid w:val="00AA0AB1"/>
    <w:rsid w:val="00AA1921"/>
    <w:rsid w:val="00AA1A15"/>
    <w:rsid w:val="00AA1E0D"/>
    <w:rsid w:val="00AA20F7"/>
    <w:rsid w:val="00AA25A3"/>
    <w:rsid w:val="00AA32FE"/>
    <w:rsid w:val="00AA385A"/>
    <w:rsid w:val="00AA4463"/>
    <w:rsid w:val="00AA470E"/>
    <w:rsid w:val="00AA47B0"/>
    <w:rsid w:val="00AA4887"/>
    <w:rsid w:val="00AA4957"/>
    <w:rsid w:val="00AA5446"/>
    <w:rsid w:val="00AA5EA0"/>
    <w:rsid w:val="00AA65AF"/>
    <w:rsid w:val="00AA6638"/>
    <w:rsid w:val="00AA692C"/>
    <w:rsid w:val="00AA6B06"/>
    <w:rsid w:val="00AA77ED"/>
    <w:rsid w:val="00AB03A2"/>
    <w:rsid w:val="00AB0598"/>
    <w:rsid w:val="00AB1288"/>
    <w:rsid w:val="00AB2EE5"/>
    <w:rsid w:val="00AB3825"/>
    <w:rsid w:val="00AB3C2B"/>
    <w:rsid w:val="00AB4B79"/>
    <w:rsid w:val="00AB4B9E"/>
    <w:rsid w:val="00AB5C8E"/>
    <w:rsid w:val="00AB5EC6"/>
    <w:rsid w:val="00AB637F"/>
    <w:rsid w:val="00AB63C6"/>
    <w:rsid w:val="00AB63D2"/>
    <w:rsid w:val="00AB6D75"/>
    <w:rsid w:val="00AB6E8B"/>
    <w:rsid w:val="00AB761A"/>
    <w:rsid w:val="00AB78FA"/>
    <w:rsid w:val="00AB7937"/>
    <w:rsid w:val="00AB7CA8"/>
    <w:rsid w:val="00AC0035"/>
    <w:rsid w:val="00AC00E4"/>
    <w:rsid w:val="00AC142C"/>
    <w:rsid w:val="00AC2048"/>
    <w:rsid w:val="00AC23DF"/>
    <w:rsid w:val="00AC248F"/>
    <w:rsid w:val="00AC254E"/>
    <w:rsid w:val="00AC27C9"/>
    <w:rsid w:val="00AC2AB3"/>
    <w:rsid w:val="00AC2D56"/>
    <w:rsid w:val="00AC30BE"/>
    <w:rsid w:val="00AC3C98"/>
    <w:rsid w:val="00AC46B2"/>
    <w:rsid w:val="00AC4E31"/>
    <w:rsid w:val="00AC4FA3"/>
    <w:rsid w:val="00AC5521"/>
    <w:rsid w:val="00AC5A20"/>
    <w:rsid w:val="00AC5AF6"/>
    <w:rsid w:val="00AC5CF8"/>
    <w:rsid w:val="00AC5D35"/>
    <w:rsid w:val="00AC5F26"/>
    <w:rsid w:val="00AC6553"/>
    <w:rsid w:val="00AC6800"/>
    <w:rsid w:val="00AC6906"/>
    <w:rsid w:val="00AC6B2B"/>
    <w:rsid w:val="00AC704E"/>
    <w:rsid w:val="00AC762D"/>
    <w:rsid w:val="00AC778D"/>
    <w:rsid w:val="00AC7C72"/>
    <w:rsid w:val="00AD06E5"/>
    <w:rsid w:val="00AD06F5"/>
    <w:rsid w:val="00AD08BB"/>
    <w:rsid w:val="00AD0A63"/>
    <w:rsid w:val="00AD0C9A"/>
    <w:rsid w:val="00AD0CD1"/>
    <w:rsid w:val="00AD147D"/>
    <w:rsid w:val="00AD152E"/>
    <w:rsid w:val="00AD1896"/>
    <w:rsid w:val="00AD1E18"/>
    <w:rsid w:val="00AD24E2"/>
    <w:rsid w:val="00AD2AFD"/>
    <w:rsid w:val="00AD2D4C"/>
    <w:rsid w:val="00AD3CD5"/>
    <w:rsid w:val="00AD413E"/>
    <w:rsid w:val="00AD472F"/>
    <w:rsid w:val="00AD4F7E"/>
    <w:rsid w:val="00AD5097"/>
    <w:rsid w:val="00AD514A"/>
    <w:rsid w:val="00AD5305"/>
    <w:rsid w:val="00AD54F1"/>
    <w:rsid w:val="00AD5611"/>
    <w:rsid w:val="00AD5872"/>
    <w:rsid w:val="00AD597E"/>
    <w:rsid w:val="00AD6367"/>
    <w:rsid w:val="00AD680F"/>
    <w:rsid w:val="00AD68EE"/>
    <w:rsid w:val="00AD7301"/>
    <w:rsid w:val="00AD733B"/>
    <w:rsid w:val="00AD74AC"/>
    <w:rsid w:val="00AD7560"/>
    <w:rsid w:val="00AD76E0"/>
    <w:rsid w:val="00AD7CE4"/>
    <w:rsid w:val="00AE00DD"/>
    <w:rsid w:val="00AE02D0"/>
    <w:rsid w:val="00AE04B1"/>
    <w:rsid w:val="00AE0ADA"/>
    <w:rsid w:val="00AE1094"/>
    <w:rsid w:val="00AE1764"/>
    <w:rsid w:val="00AE18AD"/>
    <w:rsid w:val="00AE18D0"/>
    <w:rsid w:val="00AE1FAF"/>
    <w:rsid w:val="00AE27B5"/>
    <w:rsid w:val="00AE2B36"/>
    <w:rsid w:val="00AE2BFB"/>
    <w:rsid w:val="00AE311F"/>
    <w:rsid w:val="00AE31D9"/>
    <w:rsid w:val="00AE3226"/>
    <w:rsid w:val="00AE32F2"/>
    <w:rsid w:val="00AE330A"/>
    <w:rsid w:val="00AE35A1"/>
    <w:rsid w:val="00AE39A5"/>
    <w:rsid w:val="00AE3A9C"/>
    <w:rsid w:val="00AE48B4"/>
    <w:rsid w:val="00AE48E2"/>
    <w:rsid w:val="00AE4912"/>
    <w:rsid w:val="00AE4962"/>
    <w:rsid w:val="00AE4DA9"/>
    <w:rsid w:val="00AE4EE4"/>
    <w:rsid w:val="00AE5344"/>
    <w:rsid w:val="00AE562D"/>
    <w:rsid w:val="00AE5B15"/>
    <w:rsid w:val="00AE5D1A"/>
    <w:rsid w:val="00AE7442"/>
    <w:rsid w:val="00AE77F0"/>
    <w:rsid w:val="00AE7C56"/>
    <w:rsid w:val="00AE7E77"/>
    <w:rsid w:val="00AF0341"/>
    <w:rsid w:val="00AF09E8"/>
    <w:rsid w:val="00AF0CBD"/>
    <w:rsid w:val="00AF0D45"/>
    <w:rsid w:val="00AF1090"/>
    <w:rsid w:val="00AF163F"/>
    <w:rsid w:val="00AF2172"/>
    <w:rsid w:val="00AF2433"/>
    <w:rsid w:val="00AF32D1"/>
    <w:rsid w:val="00AF35BB"/>
    <w:rsid w:val="00AF361F"/>
    <w:rsid w:val="00AF3802"/>
    <w:rsid w:val="00AF385B"/>
    <w:rsid w:val="00AF3ACB"/>
    <w:rsid w:val="00AF3B98"/>
    <w:rsid w:val="00AF3E13"/>
    <w:rsid w:val="00AF428E"/>
    <w:rsid w:val="00AF454B"/>
    <w:rsid w:val="00AF4B84"/>
    <w:rsid w:val="00AF50F1"/>
    <w:rsid w:val="00AF57BC"/>
    <w:rsid w:val="00AF5AAF"/>
    <w:rsid w:val="00AF6080"/>
    <w:rsid w:val="00AF64BD"/>
    <w:rsid w:val="00AF690B"/>
    <w:rsid w:val="00AF6D1B"/>
    <w:rsid w:val="00AF72F4"/>
    <w:rsid w:val="00AF7E9F"/>
    <w:rsid w:val="00B003EE"/>
    <w:rsid w:val="00B008AB"/>
    <w:rsid w:val="00B008C3"/>
    <w:rsid w:val="00B008E0"/>
    <w:rsid w:val="00B00BB7"/>
    <w:rsid w:val="00B011E9"/>
    <w:rsid w:val="00B01614"/>
    <w:rsid w:val="00B022F4"/>
    <w:rsid w:val="00B024EA"/>
    <w:rsid w:val="00B02D49"/>
    <w:rsid w:val="00B03296"/>
    <w:rsid w:val="00B03812"/>
    <w:rsid w:val="00B03995"/>
    <w:rsid w:val="00B03D8E"/>
    <w:rsid w:val="00B052EF"/>
    <w:rsid w:val="00B05421"/>
    <w:rsid w:val="00B06127"/>
    <w:rsid w:val="00B06D39"/>
    <w:rsid w:val="00B0735E"/>
    <w:rsid w:val="00B075E7"/>
    <w:rsid w:val="00B10489"/>
    <w:rsid w:val="00B10B71"/>
    <w:rsid w:val="00B11018"/>
    <w:rsid w:val="00B113F1"/>
    <w:rsid w:val="00B11403"/>
    <w:rsid w:val="00B118A4"/>
    <w:rsid w:val="00B11F61"/>
    <w:rsid w:val="00B124C8"/>
    <w:rsid w:val="00B129D6"/>
    <w:rsid w:val="00B12AEC"/>
    <w:rsid w:val="00B12B0C"/>
    <w:rsid w:val="00B12CFD"/>
    <w:rsid w:val="00B12F38"/>
    <w:rsid w:val="00B131DE"/>
    <w:rsid w:val="00B13201"/>
    <w:rsid w:val="00B13207"/>
    <w:rsid w:val="00B135E2"/>
    <w:rsid w:val="00B137DD"/>
    <w:rsid w:val="00B1385E"/>
    <w:rsid w:val="00B13AC4"/>
    <w:rsid w:val="00B13B68"/>
    <w:rsid w:val="00B13C0F"/>
    <w:rsid w:val="00B14629"/>
    <w:rsid w:val="00B14A60"/>
    <w:rsid w:val="00B14AAC"/>
    <w:rsid w:val="00B151EF"/>
    <w:rsid w:val="00B15B70"/>
    <w:rsid w:val="00B16C8D"/>
    <w:rsid w:val="00B174F0"/>
    <w:rsid w:val="00B1764F"/>
    <w:rsid w:val="00B17929"/>
    <w:rsid w:val="00B200CA"/>
    <w:rsid w:val="00B200E2"/>
    <w:rsid w:val="00B20423"/>
    <w:rsid w:val="00B20CA4"/>
    <w:rsid w:val="00B211F1"/>
    <w:rsid w:val="00B21A92"/>
    <w:rsid w:val="00B22274"/>
    <w:rsid w:val="00B223ED"/>
    <w:rsid w:val="00B228C0"/>
    <w:rsid w:val="00B2318C"/>
    <w:rsid w:val="00B231EA"/>
    <w:rsid w:val="00B23660"/>
    <w:rsid w:val="00B237C1"/>
    <w:rsid w:val="00B23D33"/>
    <w:rsid w:val="00B242FC"/>
    <w:rsid w:val="00B246CD"/>
    <w:rsid w:val="00B248E3"/>
    <w:rsid w:val="00B2490A"/>
    <w:rsid w:val="00B24FC9"/>
    <w:rsid w:val="00B2547A"/>
    <w:rsid w:val="00B255FE"/>
    <w:rsid w:val="00B25786"/>
    <w:rsid w:val="00B25CDD"/>
    <w:rsid w:val="00B270B4"/>
    <w:rsid w:val="00B27262"/>
    <w:rsid w:val="00B2790B"/>
    <w:rsid w:val="00B30514"/>
    <w:rsid w:val="00B30FBE"/>
    <w:rsid w:val="00B31B52"/>
    <w:rsid w:val="00B31F49"/>
    <w:rsid w:val="00B32336"/>
    <w:rsid w:val="00B327D5"/>
    <w:rsid w:val="00B327DD"/>
    <w:rsid w:val="00B33430"/>
    <w:rsid w:val="00B33B8F"/>
    <w:rsid w:val="00B34122"/>
    <w:rsid w:val="00B343A2"/>
    <w:rsid w:val="00B348AF"/>
    <w:rsid w:val="00B359DF"/>
    <w:rsid w:val="00B35C17"/>
    <w:rsid w:val="00B36992"/>
    <w:rsid w:val="00B369C0"/>
    <w:rsid w:val="00B36A73"/>
    <w:rsid w:val="00B371AC"/>
    <w:rsid w:val="00B37C8D"/>
    <w:rsid w:val="00B37E63"/>
    <w:rsid w:val="00B402C0"/>
    <w:rsid w:val="00B404A9"/>
    <w:rsid w:val="00B40945"/>
    <w:rsid w:val="00B40ADF"/>
    <w:rsid w:val="00B40BDC"/>
    <w:rsid w:val="00B40BDE"/>
    <w:rsid w:val="00B412EB"/>
    <w:rsid w:val="00B41668"/>
    <w:rsid w:val="00B42D89"/>
    <w:rsid w:val="00B43706"/>
    <w:rsid w:val="00B437F2"/>
    <w:rsid w:val="00B439C0"/>
    <w:rsid w:val="00B44528"/>
    <w:rsid w:val="00B445DF"/>
    <w:rsid w:val="00B44BC6"/>
    <w:rsid w:val="00B459A5"/>
    <w:rsid w:val="00B45EFE"/>
    <w:rsid w:val="00B460F3"/>
    <w:rsid w:val="00B46794"/>
    <w:rsid w:val="00B46AE7"/>
    <w:rsid w:val="00B47ED8"/>
    <w:rsid w:val="00B5028B"/>
    <w:rsid w:val="00B5048D"/>
    <w:rsid w:val="00B507AF"/>
    <w:rsid w:val="00B50934"/>
    <w:rsid w:val="00B51178"/>
    <w:rsid w:val="00B51749"/>
    <w:rsid w:val="00B51920"/>
    <w:rsid w:val="00B52D8F"/>
    <w:rsid w:val="00B52DA7"/>
    <w:rsid w:val="00B54219"/>
    <w:rsid w:val="00B5494F"/>
    <w:rsid w:val="00B55F0B"/>
    <w:rsid w:val="00B5704B"/>
    <w:rsid w:val="00B575F2"/>
    <w:rsid w:val="00B57AAB"/>
    <w:rsid w:val="00B57D17"/>
    <w:rsid w:val="00B6004D"/>
    <w:rsid w:val="00B604E6"/>
    <w:rsid w:val="00B6082E"/>
    <w:rsid w:val="00B60B81"/>
    <w:rsid w:val="00B61B5E"/>
    <w:rsid w:val="00B62032"/>
    <w:rsid w:val="00B6216E"/>
    <w:rsid w:val="00B62501"/>
    <w:rsid w:val="00B6269F"/>
    <w:rsid w:val="00B632EB"/>
    <w:rsid w:val="00B6353C"/>
    <w:rsid w:val="00B63C44"/>
    <w:rsid w:val="00B63CCD"/>
    <w:rsid w:val="00B64175"/>
    <w:rsid w:val="00B64AFC"/>
    <w:rsid w:val="00B64C68"/>
    <w:rsid w:val="00B64C8F"/>
    <w:rsid w:val="00B660E9"/>
    <w:rsid w:val="00B66184"/>
    <w:rsid w:val="00B662AF"/>
    <w:rsid w:val="00B67030"/>
    <w:rsid w:val="00B67F23"/>
    <w:rsid w:val="00B70067"/>
    <w:rsid w:val="00B70157"/>
    <w:rsid w:val="00B70E35"/>
    <w:rsid w:val="00B721F0"/>
    <w:rsid w:val="00B728EE"/>
    <w:rsid w:val="00B731EF"/>
    <w:rsid w:val="00B7351F"/>
    <w:rsid w:val="00B73A11"/>
    <w:rsid w:val="00B7405D"/>
    <w:rsid w:val="00B74452"/>
    <w:rsid w:val="00B744EF"/>
    <w:rsid w:val="00B74C5C"/>
    <w:rsid w:val="00B752AD"/>
    <w:rsid w:val="00B75ABB"/>
    <w:rsid w:val="00B75E3F"/>
    <w:rsid w:val="00B75F2E"/>
    <w:rsid w:val="00B764C3"/>
    <w:rsid w:val="00B76627"/>
    <w:rsid w:val="00B767E5"/>
    <w:rsid w:val="00B76987"/>
    <w:rsid w:val="00B7738F"/>
    <w:rsid w:val="00B77541"/>
    <w:rsid w:val="00B775FF"/>
    <w:rsid w:val="00B77691"/>
    <w:rsid w:val="00B77DC1"/>
    <w:rsid w:val="00B77E0D"/>
    <w:rsid w:val="00B80375"/>
    <w:rsid w:val="00B80970"/>
    <w:rsid w:val="00B80BB3"/>
    <w:rsid w:val="00B810E9"/>
    <w:rsid w:val="00B81308"/>
    <w:rsid w:val="00B8185B"/>
    <w:rsid w:val="00B81BD2"/>
    <w:rsid w:val="00B821C2"/>
    <w:rsid w:val="00B82590"/>
    <w:rsid w:val="00B825E5"/>
    <w:rsid w:val="00B82835"/>
    <w:rsid w:val="00B82D3F"/>
    <w:rsid w:val="00B83FF3"/>
    <w:rsid w:val="00B8433C"/>
    <w:rsid w:val="00B8453D"/>
    <w:rsid w:val="00B85058"/>
    <w:rsid w:val="00B86100"/>
    <w:rsid w:val="00B86526"/>
    <w:rsid w:val="00B86568"/>
    <w:rsid w:val="00B90CA3"/>
    <w:rsid w:val="00B9119F"/>
    <w:rsid w:val="00B9199B"/>
    <w:rsid w:val="00B91D66"/>
    <w:rsid w:val="00B92047"/>
    <w:rsid w:val="00B925FB"/>
    <w:rsid w:val="00B9263D"/>
    <w:rsid w:val="00B9394B"/>
    <w:rsid w:val="00B93FA1"/>
    <w:rsid w:val="00B943D8"/>
    <w:rsid w:val="00B9511B"/>
    <w:rsid w:val="00B95342"/>
    <w:rsid w:val="00B95346"/>
    <w:rsid w:val="00B95BD6"/>
    <w:rsid w:val="00B95D6F"/>
    <w:rsid w:val="00B95DB0"/>
    <w:rsid w:val="00B961EF"/>
    <w:rsid w:val="00B9624B"/>
    <w:rsid w:val="00B968F0"/>
    <w:rsid w:val="00B9730E"/>
    <w:rsid w:val="00B9754A"/>
    <w:rsid w:val="00B9772F"/>
    <w:rsid w:val="00B97989"/>
    <w:rsid w:val="00BA0193"/>
    <w:rsid w:val="00BA0600"/>
    <w:rsid w:val="00BA07E2"/>
    <w:rsid w:val="00BA0F8E"/>
    <w:rsid w:val="00BA1207"/>
    <w:rsid w:val="00BA1851"/>
    <w:rsid w:val="00BA20B2"/>
    <w:rsid w:val="00BA2200"/>
    <w:rsid w:val="00BA2737"/>
    <w:rsid w:val="00BA3DBF"/>
    <w:rsid w:val="00BA5210"/>
    <w:rsid w:val="00BA56F8"/>
    <w:rsid w:val="00BA6582"/>
    <w:rsid w:val="00BA6EEF"/>
    <w:rsid w:val="00BA72A2"/>
    <w:rsid w:val="00BA766F"/>
    <w:rsid w:val="00BA7A67"/>
    <w:rsid w:val="00BB0017"/>
    <w:rsid w:val="00BB06CD"/>
    <w:rsid w:val="00BB0850"/>
    <w:rsid w:val="00BB0A88"/>
    <w:rsid w:val="00BB0BE3"/>
    <w:rsid w:val="00BB14E6"/>
    <w:rsid w:val="00BB1533"/>
    <w:rsid w:val="00BB15D6"/>
    <w:rsid w:val="00BB1A13"/>
    <w:rsid w:val="00BB1C20"/>
    <w:rsid w:val="00BB1C56"/>
    <w:rsid w:val="00BB1EC3"/>
    <w:rsid w:val="00BB2550"/>
    <w:rsid w:val="00BB32FF"/>
    <w:rsid w:val="00BB35EF"/>
    <w:rsid w:val="00BB3780"/>
    <w:rsid w:val="00BB3B8E"/>
    <w:rsid w:val="00BB4B86"/>
    <w:rsid w:val="00BB4FA1"/>
    <w:rsid w:val="00BB563D"/>
    <w:rsid w:val="00BB5A6C"/>
    <w:rsid w:val="00BB655F"/>
    <w:rsid w:val="00BB6604"/>
    <w:rsid w:val="00BC0095"/>
    <w:rsid w:val="00BC0762"/>
    <w:rsid w:val="00BC0D6D"/>
    <w:rsid w:val="00BC14E4"/>
    <w:rsid w:val="00BC19ED"/>
    <w:rsid w:val="00BC1C29"/>
    <w:rsid w:val="00BC249F"/>
    <w:rsid w:val="00BC25DA"/>
    <w:rsid w:val="00BC27C5"/>
    <w:rsid w:val="00BC290B"/>
    <w:rsid w:val="00BC2DEE"/>
    <w:rsid w:val="00BC2FB8"/>
    <w:rsid w:val="00BC307C"/>
    <w:rsid w:val="00BC32C1"/>
    <w:rsid w:val="00BC34FF"/>
    <w:rsid w:val="00BC37A8"/>
    <w:rsid w:val="00BC3BEB"/>
    <w:rsid w:val="00BC3D1D"/>
    <w:rsid w:val="00BC4330"/>
    <w:rsid w:val="00BC545D"/>
    <w:rsid w:val="00BC5923"/>
    <w:rsid w:val="00BC5B9B"/>
    <w:rsid w:val="00BC5C53"/>
    <w:rsid w:val="00BC5D35"/>
    <w:rsid w:val="00BC6240"/>
    <w:rsid w:val="00BC6C73"/>
    <w:rsid w:val="00BC7063"/>
    <w:rsid w:val="00BC79D3"/>
    <w:rsid w:val="00BD05E9"/>
    <w:rsid w:val="00BD078D"/>
    <w:rsid w:val="00BD0B5E"/>
    <w:rsid w:val="00BD1A76"/>
    <w:rsid w:val="00BD1C5B"/>
    <w:rsid w:val="00BD206A"/>
    <w:rsid w:val="00BD26F6"/>
    <w:rsid w:val="00BD3221"/>
    <w:rsid w:val="00BD3E36"/>
    <w:rsid w:val="00BD44EF"/>
    <w:rsid w:val="00BD4CB8"/>
    <w:rsid w:val="00BD5911"/>
    <w:rsid w:val="00BD5F98"/>
    <w:rsid w:val="00BD7467"/>
    <w:rsid w:val="00BD7CBD"/>
    <w:rsid w:val="00BD7CDA"/>
    <w:rsid w:val="00BE0082"/>
    <w:rsid w:val="00BE00EE"/>
    <w:rsid w:val="00BE041C"/>
    <w:rsid w:val="00BE07E0"/>
    <w:rsid w:val="00BE0867"/>
    <w:rsid w:val="00BE0ED4"/>
    <w:rsid w:val="00BE118E"/>
    <w:rsid w:val="00BE158B"/>
    <w:rsid w:val="00BE162D"/>
    <w:rsid w:val="00BE199E"/>
    <w:rsid w:val="00BE1E34"/>
    <w:rsid w:val="00BE1FE0"/>
    <w:rsid w:val="00BE2AA4"/>
    <w:rsid w:val="00BE303C"/>
    <w:rsid w:val="00BE30A3"/>
    <w:rsid w:val="00BE3A33"/>
    <w:rsid w:val="00BE3B6C"/>
    <w:rsid w:val="00BE3CC7"/>
    <w:rsid w:val="00BE439F"/>
    <w:rsid w:val="00BE4D9B"/>
    <w:rsid w:val="00BE4F3A"/>
    <w:rsid w:val="00BE68D9"/>
    <w:rsid w:val="00BE75D0"/>
    <w:rsid w:val="00BE7723"/>
    <w:rsid w:val="00BE780A"/>
    <w:rsid w:val="00BF0352"/>
    <w:rsid w:val="00BF0933"/>
    <w:rsid w:val="00BF0D2C"/>
    <w:rsid w:val="00BF0D86"/>
    <w:rsid w:val="00BF12B2"/>
    <w:rsid w:val="00BF1C5E"/>
    <w:rsid w:val="00BF32F9"/>
    <w:rsid w:val="00BF34C4"/>
    <w:rsid w:val="00BF34E7"/>
    <w:rsid w:val="00BF3A0B"/>
    <w:rsid w:val="00BF3B5F"/>
    <w:rsid w:val="00BF3F4D"/>
    <w:rsid w:val="00BF4B19"/>
    <w:rsid w:val="00BF4C2B"/>
    <w:rsid w:val="00BF50C2"/>
    <w:rsid w:val="00BF5480"/>
    <w:rsid w:val="00BF5C67"/>
    <w:rsid w:val="00BF5E66"/>
    <w:rsid w:val="00BF60EE"/>
    <w:rsid w:val="00BF6395"/>
    <w:rsid w:val="00BF6BCF"/>
    <w:rsid w:val="00BF7111"/>
    <w:rsid w:val="00BF75BF"/>
    <w:rsid w:val="00BF791A"/>
    <w:rsid w:val="00BF79F6"/>
    <w:rsid w:val="00BF7AFB"/>
    <w:rsid w:val="00BF7BB0"/>
    <w:rsid w:val="00BF7C80"/>
    <w:rsid w:val="00BF7D6C"/>
    <w:rsid w:val="00BF7FE5"/>
    <w:rsid w:val="00C004D3"/>
    <w:rsid w:val="00C0076B"/>
    <w:rsid w:val="00C008C3"/>
    <w:rsid w:val="00C0093C"/>
    <w:rsid w:val="00C00AA9"/>
    <w:rsid w:val="00C00B14"/>
    <w:rsid w:val="00C00F80"/>
    <w:rsid w:val="00C01D94"/>
    <w:rsid w:val="00C0239D"/>
    <w:rsid w:val="00C02E28"/>
    <w:rsid w:val="00C02FBB"/>
    <w:rsid w:val="00C0398A"/>
    <w:rsid w:val="00C03D73"/>
    <w:rsid w:val="00C03EE9"/>
    <w:rsid w:val="00C0456A"/>
    <w:rsid w:val="00C0488F"/>
    <w:rsid w:val="00C04E5B"/>
    <w:rsid w:val="00C04EA4"/>
    <w:rsid w:val="00C04EE0"/>
    <w:rsid w:val="00C058D5"/>
    <w:rsid w:val="00C05BC2"/>
    <w:rsid w:val="00C062FD"/>
    <w:rsid w:val="00C065F4"/>
    <w:rsid w:val="00C066D7"/>
    <w:rsid w:val="00C06CEF"/>
    <w:rsid w:val="00C07E21"/>
    <w:rsid w:val="00C10E6F"/>
    <w:rsid w:val="00C1179A"/>
    <w:rsid w:val="00C12D82"/>
    <w:rsid w:val="00C12F80"/>
    <w:rsid w:val="00C13923"/>
    <w:rsid w:val="00C13D55"/>
    <w:rsid w:val="00C148E7"/>
    <w:rsid w:val="00C15143"/>
    <w:rsid w:val="00C1527D"/>
    <w:rsid w:val="00C154E4"/>
    <w:rsid w:val="00C156CC"/>
    <w:rsid w:val="00C15EDC"/>
    <w:rsid w:val="00C1619F"/>
    <w:rsid w:val="00C16358"/>
    <w:rsid w:val="00C163EC"/>
    <w:rsid w:val="00C167FB"/>
    <w:rsid w:val="00C16EBE"/>
    <w:rsid w:val="00C17F7E"/>
    <w:rsid w:val="00C20209"/>
    <w:rsid w:val="00C20536"/>
    <w:rsid w:val="00C2137B"/>
    <w:rsid w:val="00C21424"/>
    <w:rsid w:val="00C219B0"/>
    <w:rsid w:val="00C21E14"/>
    <w:rsid w:val="00C21FFE"/>
    <w:rsid w:val="00C2239C"/>
    <w:rsid w:val="00C22B6B"/>
    <w:rsid w:val="00C239D0"/>
    <w:rsid w:val="00C23F21"/>
    <w:rsid w:val="00C23FCB"/>
    <w:rsid w:val="00C24066"/>
    <w:rsid w:val="00C2426D"/>
    <w:rsid w:val="00C24745"/>
    <w:rsid w:val="00C2511C"/>
    <w:rsid w:val="00C25890"/>
    <w:rsid w:val="00C25D89"/>
    <w:rsid w:val="00C25EB7"/>
    <w:rsid w:val="00C262B7"/>
    <w:rsid w:val="00C27417"/>
    <w:rsid w:val="00C274E4"/>
    <w:rsid w:val="00C27929"/>
    <w:rsid w:val="00C27CDE"/>
    <w:rsid w:val="00C308D5"/>
    <w:rsid w:val="00C30B60"/>
    <w:rsid w:val="00C30BD5"/>
    <w:rsid w:val="00C3135E"/>
    <w:rsid w:val="00C31987"/>
    <w:rsid w:val="00C31E22"/>
    <w:rsid w:val="00C31E80"/>
    <w:rsid w:val="00C32AE5"/>
    <w:rsid w:val="00C3310C"/>
    <w:rsid w:val="00C3368B"/>
    <w:rsid w:val="00C337F1"/>
    <w:rsid w:val="00C34302"/>
    <w:rsid w:val="00C344BF"/>
    <w:rsid w:val="00C34621"/>
    <w:rsid w:val="00C34A80"/>
    <w:rsid w:val="00C35011"/>
    <w:rsid w:val="00C35051"/>
    <w:rsid w:val="00C351E0"/>
    <w:rsid w:val="00C35782"/>
    <w:rsid w:val="00C35B14"/>
    <w:rsid w:val="00C404A1"/>
    <w:rsid w:val="00C404D3"/>
    <w:rsid w:val="00C40AB4"/>
    <w:rsid w:val="00C41A77"/>
    <w:rsid w:val="00C436A4"/>
    <w:rsid w:val="00C438A4"/>
    <w:rsid w:val="00C44058"/>
    <w:rsid w:val="00C44489"/>
    <w:rsid w:val="00C444A6"/>
    <w:rsid w:val="00C44C68"/>
    <w:rsid w:val="00C45092"/>
    <w:rsid w:val="00C45C07"/>
    <w:rsid w:val="00C45DB7"/>
    <w:rsid w:val="00C4632C"/>
    <w:rsid w:val="00C4642A"/>
    <w:rsid w:val="00C4689D"/>
    <w:rsid w:val="00C46A97"/>
    <w:rsid w:val="00C47050"/>
    <w:rsid w:val="00C470D1"/>
    <w:rsid w:val="00C47FD9"/>
    <w:rsid w:val="00C47FE0"/>
    <w:rsid w:val="00C504DF"/>
    <w:rsid w:val="00C50951"/>
    <w:rsid w:val="00C50C3F"/>
    <w:rsid w:val="00C51646"/>
    <w:rsid w:val="00C5253B"/>
    <w:rsid w:val="00C52CB8"/>
    <w:rsid w:val="00C52CD6"/>
    <w:rsid w:val="00C5329E"/>
    <w:rsid w:val="00C532BF"/>
    <w:rsid w:val="00C53C50"/>
    <w:rsid w:val="00C53DE5"/>
    <w:rsid w:val="00C54BE3"/>
    <w:rsid w:val="00C54C45"/>
    <w:rsid w:val="00C54DF2"/>
    <w:rsid w:val="00C54F5D"/>
    <w:rsid w:val="00C55600"/>
    <w:rsid w:val="00C5583E"/>
    <w:rsid w:val="00C55D8B"/>
    <w:rsid w:val="00C56012"/>
    <w:rsid w:val="00C5727C"/>
    <w:rsid w:val="00C57EB8"/>
    <w:rsid w:val="00C6032F"/>
    <w:rsid w:val="00C60539"/>
    <w:rsid w:val="00C6102D"/>
    <w:rsid w:val="00C61101"/>
    <w:rsid w:val="00C6114F"/>
    <w:rsid w:val="00C618A8"/>
    <w:rsid w:val="00C625FA"/>
    <w:rsid w:val="00C627B6"/>
    <w:rsid w:val="00C62F14"/>
    <w:rsid w:val="00C64539"/>
    <w:rsid w:val="00C64C47"/>
    <w:rsid w:val="00C64E09"/>
    <w:rsid w:val="00C65018"/>
    <w:rsid w:val="00C654B9"/>
    <w:rsid w:val="00C657DB"/>
    <w:rsid w:val="00C65840"/>
    <w:rsid w:val="00C65985"/>
    <w:rsid w:val="00C65CD5"/>
    <w:rsid w:val="00C66057"/>
    <w:rsid w:val="00C662AD"/>
    <w:rsid w:val="00C66F54"/>
    <w:rsid w:val="00C679AA"/>
    <w:rsid w:val="00C705F8"/>
    <w:rsid w:val="00C707F9"/>
    <w:rsid w:val="00C70D01"/>
    <w:rsid w:val="00C7274A"/>
    <w:rsid w:val="00C72F5D"/>
    <w:rsid w:val="00C7339B"/>
    <w:rsid w:val="00C73801"/>
    <w:rsid w:val="00C7387D"/>
    <w:rsid w:val="00C73CE1"/>
    <w:rsid w:val="00C73D00"/>
    <w:rsid w:val="00C73DFE"/>
    <w:rsid w:val="00C7439E"/>
    <w:rsid w:val="00C74EEB"/>
    <w:rsid w:val="00C752B5"/>
    <w:rsid w:val="00C7544C"/>
    <w:rsid w:val="00C76C20"/>
    <w:rsid w:val="00C770A6"/>
    <w:rsid w:val="00C77203"/>
    <w:rsid w:val="00C7739C"/>
    <w:rsid w:val="00C7753D"/>
    <w:rsid w:val="00C80451"/>
    <w:rsid w:val="00C80694"/>
    <w:rsid w:val="00C80CAA"/>
    <w:rsid w:val="00C80CB2"/>
    <w:rsid w:val="00C80FAC"/>
    <w:rsid w:val="00C81C8E"/>
    <w:rsid w:val="00C81F91"/>
    <w:rsid w:val="00C821EB"/>
    <w:rsid w:val="00C82680"/>
    <w:rsid w:val="00C8268B"/>
    <w:rsid w:val="00C82F52"/>
    <w:rsid w:val="00C83BE1"/>
    <w:rsid w:val="00C83C6D"/>
    <w:rsid w:val="00C840F5"/>
    <w:rsid w:val="00C84273"/>
    <w:rsid w:val="00C843C0"/>
    <w:rsid w:val="00C8451B"/>
    <w:rsid w:val="00C85109"/>
    <w:rsid w:val="00C851AF"/>
    <w:rsid w:val="00C863C1"/>
    <w:rsid w:val="00C86747"/>
    <w:rsid w:val="00C8744B"/>
    <w:rsid w:val="00C8767E"/>
    <w:rsid w:val="00C87978"/>
    <w:rsid w:val="00C87A64"/>
    <w:rsid w:val="00C87DAF"/>
    <w:rsid w:val="00C90007"/>
    <w:rsid w:val="00C90B8E"/>
    <w:rsid w:val="00C915CE"/>
    <w:rsid w:val="00C91639"/>
    <w:rsid w:val="00C917F0"/>
    <w:rsid w:val="00C91ADE"/>
    <w:rsid w:val="00C9296F"/>
    <w:rsid w:val="00C9306C"/>
    <w:rsid w:val="00C93C0F"/>
    <w:rsid w:val="00C94141"/>
    <w:rsid w:val="00C946DD"/>
    <w:rsid w:val="00C9493C"/>
    <w:rsid w:val="00C95012"/>
    <w:rsid w:val="00C955BC"/>
    <w:rsid w:val="00C955D1"/>
    <w:rsid w:val="00C95730"/>
    <w:rsid w:val="00C95D50"/>
    <w:rsid w:val="00C95DCF"/>
    <w:rsid w:val="00C96102"/>
    <w:rsid w:val="00C9798E"/>
    <w:rsid w:val="00C97C17"/>
    <w:rsid w:val="00C97C26"/>
    <w:rsid w:val="00C97C4A"/>
    <w:rsid w:val="00CA01FC"/>
    <w:rsid w:val="00CA02DF"/>
    <w:rsid w:val="00CA0377"/>
    <w:rsid w:val="00CA03C7"/>
    <w:rsid w:val="00CA0D77"/>
    <w:rsid w:val="00CA0F8F"/>
    <w:rsid w:val="00CA19EE"/>
    <w:rsid w:val="00CA1CBB"/>
    <w:rsid w:val="00CA37B7"/>
    <w:rsid w:val="00CA3C51"/>
    <w:rsid w:val="00CA5255"/>
    <w:rsid w:val="00CA5A6E"/>
    <w:rsid w:val="00CA5C2E"/>
    <w:rsid w:val="00CA5C6A"/>
    <w:rsid w:val="00CA5E54"/>
    <w:rsid w:val="00CA5F61"/>
    <w:rsid w:val="00CA6006"/>
    <w:rsid w:val="00CA6BD6"/>
    <w:rsid w:val="00CA7C1A"/>
    <w:rsid w:val="00CB067A"/>
    <w:rsid w:val="00CB0A09"/>
    <w:rsid w:val="00CB11DD"/>
    <w:rsid w:val="00CB24BF"/>
    <w:rsid w:val="00CB27B0"/>
    <w:rsid w:val="00CB2834"/>
    <w:rsid w:val="00CB3002"/>
    <w:rsid w:val="00CB38E0"/>
    <w:rsid w:val="00CB4330"/>
    <w:rsid w:val="00CB498E"/>
    <w:rsid w:val="00CB4BF2"/>
    <w:rsid w:val="00CB527A"/>
    <w:rsid w:val="00CB56A0"/>
    <w:rsid w:val="00CB63AC"/>
    <w:rsid w:val="00CB6654"/>
    <w:rsid w:val="00CB6937"/>
    <w:rsid w:val="00CB7248"/>
    <w:rsid w:val="00CB749F"/>
    <w:rsid w:val="00CB76A6"/>
    <w:rsid w:val="00CC02FB"/>
    <w:rsid w:val="00CC0548"/>
    <w:rsid w:val="00CC0E0E"/>
    <w:rsid w:val="00CC15DB"/>
    <w:rsid w:val="00CC1DC8"/>
    <w:rsid w:val="00CC1FDB"/>
    <w:rsid w:val="00CC227B"/>
    <w:rsid w:val="00CC2846"/>
    <w:rsid w:val="00CC2AC4"/>
    <w:rsid w:val="00CC2D34"/>
    <w:rsid w:val="00CC301F"/>
    <w:rsid w:val="00CC32D6"/>
    <w:rsid w:val="00CC34E0"/>
    <w:rsid w:val="00CC3673"/>
    <w:rsid w:val="00CC3E8C"/>
    <w:rsid w:val="00CC404D"/>
    <w:rsid w:val="00CC40B3"/>
    <w:rsid w:val="00CC4D21"/>
    <w:rsid w:val="00CC5737"/>
    <w:rsid w:val="00CC57A2"/>
    <w:rsid w:val="00CC5E0B"/>
    <w:rsid w:val="00CC6370"/>
    <w:rsid w:val="00CC6648"/>
    <w:rsid w:val="00CC7CDE"/>
    <w:rsid w:val="00CC7D14"/>
    <w:rsid w:val="00CC7ED0"/>
    <w:rsid w:val="00CD04E5"/>
    <w:rsid w:val="00CD064F"/>
    <w:rsid w:val="00CD0F66"/>
    <w:rsid w:val="00CD112D"/>
    <w:rsid w:val="00CD16EF"/>
    <w:rsid w:val="00CD20D7"/>
    <w:rsid w:val="00CD2782"/>
    <w:rsid w:val="00CD28D2"/>
    <w:rsid w:val="00CD3D50"/>
    <w:rsid w:val="00CD438C"/>
    <w:rsid w:val="00CD45A9"/>
    <w:rsid w:val="00CD5394"/>
    <w:rsid w:val="00CD54A0"/>
    <w:rsid w:val="00CD5F4A"/>
    <w:rsid w:val="00CD608A"/>
    <w:rsid w:val="00CD696F"/>
    <w:rsid w:val="00CD69C3"/>
    <w:rsid w:val="00CD6A32"/>
    <w:rsid w:val="00CD6D97"/>
    <w:rsid w:val="00CD7175"/>
    <w:rsid w:val="00CD72F3"/>
    <w:rsid w:val="00CD7BE6"/>
    <w:rsid w:val="00CD7D17"/>
    <w:rsid w:val="00CD7E57"/>
    <w:rsid w:val="00CE05F2"/>
    <w:rsid w:val="00CE1704"/>
    <w:rsid w:val="00CE2125"/>
    <w:rsid w:val="00CE22E0"/>
    <w:rsid w:val="00CE23A1"/>
    <w:rsid w:val="00CE2550"/>
    <w:rsid w:val="00CE25CB"/>
    <w:rsid w:val="00CE2AF5"/>
    <w:rsid w:val="00CE2C0B"/>
    <w:rsid w:val="00CE379F"/>
    <w:rsid w:val="00CE3A86"/>
    <w:rsid w:val="00CE3ACD"/>
    <w:rsid w:val="00CE3D9A"/>
    <w:rsid w:val="00CE4374"/>
    <w:rsid w:val="00CE49A9"/>
    <w:rsid w:val="00CE4B58"/>
    <w:rsid w:val="00CE4BA3"/>
    <w:rsid w:val="00CE54CB"/>
    <w:rsid w:val="00CE6962"/>
    <w:rsid w:val="00CE6AD5"/>
    <w:rsid w:val="00CE7E45"/>
    <w:rsid w:val="00CF03CA"/>
    <w:rsid w:val="00CF04E3"/>
    <w:rsid w:val="00CF0B4F"/>
    <w:rsid w:val="00CF0C15"/>
    <w:rsid w:val="00CF0DB5"/>
    <w:rsid w:val="00CF16AD"/>
    <w:rsid w:val="00CF1CD0"/>
    <w:rsid w:val="00CF1EDB"/>
    <w:rsid w:val="00CF23BF"/>
    <w:rsid w:val="00CF2A0B"/>
    <w:rsid w:val="00CF2C53"/>
    <w:rsid w:val="00CF2EC7"/>
    <w:rsid w:val="00CF3005"/>
    <w:rsid w:val="00CF30EE"/>
    <w:rsid w:val="00CF39CA"/>
    <w:rsid w:val="00CF3C67"/>
    <w:rsid w:val="00CF4299"/>
    <w:rsid w:val="00CF44F2"/>
    <w:rsid w:val="00CF4968"/>
    <w:rsid w:val="00CF5719"/>
    <w:rsid w:val="00CF591E"/>
    <w:rsid w:val="00CF6354"/>
    <w:rsid w:val="00CF6668"/>
    <w:rsid w:val="00CF6D72"/>
    <w:rsid w:val="00CF713E"/>
    <w:rsid w:val="00CF769D"/>
    <w:rsid w:val="00CF7D8A"/>
    <w:rsid w:val="00CF7EB3"/>
    <w:rsid w:val="00CF7F31"/>
    <w:rsid w:val="00D003AF"/>
    <w:rsid w:val="00D008C3"/>
    <w:rsid w:val="00D00971"/>
    <w:rsid w:val="00D00995"/>
    <w:rsid w:val="00D01830"/>
    <w:rsid w:val="00D01E7D"/>
    <w:rsid w:val="00D03731"/>
    <w:rsid w:val="00D03A2C"/>
    <w:rsid w:val="00D0415E"/>
    <w:rsid w:val="00D0428A"/>
    <w:rsid w:val="00D045C4"/>
    <w:rsid w:val="00D048E6"/>
    <w:rsid w:val="00D049BF"/>
    <w:rsid w:val="00D04ABF"/>
    <w:rsid w:val="00D04E18"/>
    <w:rsid w:val="00D0559E"/>
    <w:rsid w:val="00D056F5"/>
    <w:rsid w:val="00D05CC9"/>
    <w:rsid w:val="00D05DA3"/>
    <w:rsid w:val="00D05DFE"/>
    <w:rsid w:val="00D06051"/>
    <w:rsid w:val="00D07106"/>
    <w:rsid w:val="00D07E9F"/>
    <w:rsid w:val="00D07FF6"/>
    <w:rsid w:val="00D10243"/>
    <w:rsid w:val="00D103C9"/>
    <w:rsid w:val="00D10784"/>
    <w:rsid w:val="00D109DA"/>
    <w:rsid w:val="00D11503"/>
    <w:rsid w:val="00D11AE2"/>
    <w:rsid w:val="00D1272C"/>
    <w:rsid w:val="00D13B1C"/>
    <w:rsid w:val="00D13CF4"/>
    <w:rsid w:val="00D1423C"/>
    <w:rsid w:val="00D14C9A"/>
    <w:rsid w:val="00D14D1F"/>
    <w:rsid w:val="00D159B7"/>
    <w:rsid w:val="00D16192"/>
    <w:rsid w:val="00D16A8B"/>
    <w:rsid w:val="00D16BD5"/>
    <w:rsid w:val="00D16F22"/>
    <w:rsid w:val="00D17759"/>
    <w:rsid w:val="00D2025F"/>
    <w:rsid w:val="00D203BE"/>
    <w:rsid w:val="00D20788"/>
    <w:rsid w:val="00D207F6"/>
    <w:rsid w:val="00D2162B"/>
    <w:rsid w:val="00D21E74"/>
    <w:rsid w:val="00D22036"/>
    <w:rsid w:val="00D2269F"/>
    <w:rsid w:val="00D22845"/>
    <w:rsid w:val="00D22FB4"/>
    <w:rsid w:val="00D23BF4"/>
    <w:rsid w:val="00D23F51"/>
    <w:rsid w:val="00D243CB"/>
    <w:rsid w:val="00D2486A"/>
    <w:rsid w:val="00D251AF"/>
    <w:rsid w:val="00D25A8D"/>
    <w:rsid w:val="00D261E2"/>
    <w:rsid w:val="00D265CC"/>
    <w:rsid w:val="00D26AF3"/>
    <w:rsid w:val="00D26E30"/>
    <w:rsid w:val="00D27A79"/>
    <w:rsid w:val="00D305DE"/>
    <w:rsid w:val="00D30E5E"/>
    <w:rsid w:val="00D30F07"/>
    <w:rsid w:val="00D30FC7"/>
    <w:rsid w:val="00D318EF"/>
    <w:rsid w:val="00D31C01"/>
    <w:rsid w:val="00D31D37"/>
    <w:rsid w:val="00D31EEA"/>
    <w:rsid w:val="00D32CAB"/>
    <w:rsid w:val="00D3377D"/>
    <w:rsid w:val="00D33B3B"/>
    <w:rsid w:val="00D33BD7"/>
    <w:rsid w:val="00D33CE0"/>
    <w:rsid w:val="00D33F9B"/>
    <w:rsid w:val="00D34160"/>
    <w:rsid w:val="00D34176"/>
    <w:rsid w:val="00D34278"/>
    <w:rsid w:val="00D34584"/>
    <w:rsid w:val="00D34739"/>
    <w:rsid w:val="00D3596E"/>
    <w:rsid w:val="00D35984"/>
    <w:rsid w:val="00D359DD"/>
    <w:rsid w:val="00D36D53"/>
    <w:rsid w:val="00D36DB9"/>
    <w:rsid w:val="00D36FDF"/>
    <w:rsid w:val="00D3778D"/>
    <w:rsid w:val="00D37ADD"/>
    <w:rsid w:val="00D37C85"/>
    <w:rsid w:val="00D402F2"/>
    <w:rsid w:val="00D409C5"/>
    <w:rsid w:val="00D40E93"/>
    <w:rsid w:val="00D416B9"/>
    <w:rsid w:val="00D4187C"/>
    <w:rsid w:val="00D41973"/>
    <w:rsid w:val="00D41D8B"/>
    <w:rsid w:val="00D41E98"/>
    <w:rsid w:val="00D42BB0"/>
    <w:rsid w:val="00D42C92"/>
    <w:rsid w:val="00D42D65"/>
    <w:rsid w:val="00D43EBF"/>
    <w:rsid w:val="00D43FA8"/>
    <w:rsid w:val="00D44298"/>
    <w:rsid w:val="00D44691"/>
    <w:rsid w:val="00D44712"/>
    <w:rsid w:val="00D449A2"/>
    <w:rsid w:val="00D44E8F"/>
    <w:rsid w:val="00D45117"/>
    <w:rsid w:val="00D451ED"/>
    <w:rsid w:val="00D4549B"/>
    <w:rsid w:val="00D4591E"/>
    <w:rsid w:val="00D46152"/>
    <w:rsid w:val="00D46237"/>
    <w:rsid w:val="00D46238"/>
    <w:rsid w:val="00D4679E"/>
    <w:rsid w:val="00D472D0"/>
    <w:rsid w:val="00D4764F"/>
    <w:rsid w:val="00D47D34"/>
    <w:rsid w:val="00D5002F"/>
    <w:rsid w:val="00D50188"/>
    <w:rsid w:val="00D5079A"/>
    <w:rsid w:val="00D5086C"/>
    <w:rsid w:val="00D510F2"/>
    <w:rsid w:val="00D5132A"/>
    <w:rsid w:val="00D51983"/>
    <w:rsid w:val="00D5225B"/>
    <w:rsid w:val="00D5266D"/>
    <w:rsid w:val="00D527C3"/>
    <w:rsid w:val="00D52B08"/>
    <w:rsid w:val="00D52CC3"/>
    <w:rsid w:val="00D5349B"/>
    <w:rsid w:val="00D53B3F"/>
    <w:rsid w:val="00D54462"/>
    <w:rsid w:val="00D544AD"/>
    <w:rsid w:val="00D54666"/>
    <w:rsid w:val="00D548CC"/>
    <w:rsid w:val="00D549AE"/>
    <w:rsid w:val="00D549EB"/>
    <w:rsid w:val="00D554E3"/>
    <w:rsid w:val="00D556F6"/>
    <w:rsid w:val="00D55DAB"/>
    <w:rsid w:val="00D56302"/>
    <w:rsid w:val="00D56523"/>
    <w:rsid w:val="00D56D3D"/>
    <w:rsid w:val="00D56E44"/>
    <w:rsid w:val="00D56E64"/>
    <w:rsid w:val="00D56EB9"/>
    <w:rsid w:val="00D573CF"/>
    <w:rsid w:val="00D57A64"/>
    <w:rsid w:val="00D60458"/>
    <w:rsid w:val="00D60723"/>
    <w:rsid w:val="00D60AD3"/>
    <w:rsid w:val="00D6174D"/>
    <w:rsid w:val="00D61AA8"/>
    <w:rsid w:val="00D61BF8"/>
    <w:rsid w:val="00D62534"/>
    <w:rsid w:val="00D62861"/>
    <w:rsid w:val="00D6295D"/>
    <w:rsid w:val="00D633A1"/>
    <w:rsid w:val="00D6390B"/>
    <w:rsid w:val="00D6608A"/>
    <w:rsid w:val="00D666DE"/>
    <w:rsid w:val="00D66A12"/>
    <w:rsid w:val="00D677DF"/>
    <w:rsid w:val="00D67DC7"/>
    <w:rsid w:val="00D70460"/>
    <w:rsid w:val="00D7063F"/>
    <w:rsid w:val="00D70760"/>
    <w:rsid w:val="00D714D7"/>
    <w:rsid w:val="00D717D5"/>
    <w:rsid w:val="00D71C28"/>
    <w:rsid w:val="00D72F21"/>
    <w:rsid w:val="00D72F9A"/>
    <w:rsid w:val="00D74322"/>
    <w:rsid w:val="00D74A0F"/>
    <w:rsid w:val="00D7520B"/>
    <w:rsid w:val="00D752F2"/>
    <w:rsid w:val="00D754E9"/>
    <w:rsid w:val="00D7552A"/>
    <w:rsid w:val="00D7575F"/>
    <w:rsid w:val="00D75841"/>
    <w:rsid w:val="00D75CD3"/>
    <w:rsid w:val="00D76178"/>
    <w:rsid w:val="00D76545"/>
    <w:rsid w:val="00D76771"/>
    <w:rsid w:val="00D7681E"/>
    <w:rsid w:val="00D76ADA"/>
    <w:rsid w:val="00D77615"/>
    <w:rsid w:val="00D77AE1"/>
    <w:rsid w:val="00D804EA"/>
    <w:rsid w:val="00D80538"/>
    <w:rsid w:val="00D8092B"/>
    <w:rsid w:val="00D80DCD"/>
    <w:rsid w:val="00D812A6"/>
    <w:rsid w:val="00D818B6"/>
    <w:rsid w:val="00D81D92"/>
    <w:rsid w:val="00D824AC"/>
    <w:rsid w:val="00D827F6"/>
    <w:rsid w:val="00D828CB"/>
    <w:rsid w:val="00D82A31"/>
    <w:rsid w:val="00D82BE8"/>
    <w:rsid w:val="00D830F5"/>
    <w:rsid w:val="00D8354E"/>
    <w:rsid w:val="00D84313"/>
    <w:rsid w:val="00D84A4B"/>
    <w:rsid w:val="00D84B1E"/>
    <w:rsid w:val="00D86625"/>
    <w:rsid w:val="00D86722"/>
    <w:rsid w:val="00D86B3D"/>
    <w:rsid w:val="00D86D66"/>
    <w:rsid w:val="00D8727C"/>
    <w:rsid w:val="00D87541"/>
    <w:rsid w:val="00D87D2F"/>
    <w:rsid w:val="00D90660"/>
    <w:rsid w:val="00D90CF7"/>
    <w:rsid w:val="00D91269"/>
    <w:rsid w:val="00D9126F"/>
    <w:rsid w:val="00D91C43"/>
    <w:rsid w:val="00D93268"/>
    <w:rsid w:val="00D93903"/>
    <w:rsid w:val="00D94782"/>
    <w:rsid w:val="00D947DC"/>
    <w:rsid w:val="00D9570B"/>
    <w:rsid w:val="00D95A24"/>
    <w:rsid w:val="00D95AE6"/>
    <w:rsid w:val="00D96046"/>
    <w:rsid w:val="00D96390"/>
    <w:rsid w:val="00D96412"/>
    <w:rsid w:val="00D96724"/>
    <w:rsid w:val="00D96745"/>
    <w:rsid w:val="00D97A59"/>
    <w:rsid w:val="00D97D0F"/>
    <w:rsid w:val="00DA024C"/>
    <w:rsid w:val="00DA033F"/>
    <w:rsid w:val="00DA07EE"/>
    <w:rsid w:val="00DA0B11"/>
    <w:rsid w:val="00DA0DCF"/>
    <w:rsid w:val="00DA1E1A"/>
    <w:rsid w:val="00DA2390"/>
    <w:rsid w:val="00DA27F2"/>
    <w:rsid w:val="00DA2DD6"/>
    <w:rsid w:val="00DA3130"/>
    <w:rsid w:val="00DA3DEE"/>
    <w:rsid w:val="00DA3FC2"/>
    <w:rsid w:val="00DA45E1"/>
    <w:rsid w:val="00DA47DC"/>
    <w:rsid w:val="00DA66E2"/>
    <w:rsid w:val="00DA6ECC"/>
    <w:rsid w:val="00DA755F"/>
    <w:rsid w:val="00DA7791"/>
    <w:rsid w:val="00DA7941"/>
    <w:rsid w:val="00DA7AD6"/>
    <w:rsid w:val="00DA7D1F"/>
    <w:rsid w:val="00DB0396"/>
    <w:rsid w:val="00DB0EE4"/>
    <w:rsid w:val="00DB129E"/>
    <w:rsid w:val="00DB1ECA"/>
    <w:rsid w:val="00DB28A8"/>
    <w:rsid w:val="00DB303E"/>
    <w:rsid w:val="00DB3D82"/>
    <w:rsid w:val="00DB42EB"/>
    <w:rsid w:val="00DB464B"/>
    <w:rsid w:val="00DB4E73"/>
    <w:rsid w:val="00DB500F"/>
    <w:rsid w:val="00DB56AC"/>
    <w:rsid w:val="00DB5A4E"/>
    <w:rsid w:val="00DB5CD1"/>
    <w:rsid w:val="00DB5FA0"/>
    <w:rsid w:val="00DB62AA"/>
    <w:rsid w:val="00DB6484"/>
    <w:rsid w:val="00DB6DC8"/>
    <w:rsid w:val="00DB704C"/>
    <w:rsid w:val="00DC00A0"/>
    <w:rsid w:val="00DC017E"/>
    <w:rsid w:val="00DC0939"/>
    <w:rsid w:val="00DC1001"/>
    <w:rsid w:val="00DC1A6A"/>
    <w:rsid w:val="00DC3175"/>
    <w:rsid w:val="00DC3660"/>
    <w:rsid w:val="00DC3973"/>
    <w:rsid w:val="00DC415D"/>
    <w:rsid w:val="00DC4B32"/>
    <w:rsid w:val="00DC52A4"/>
    <w:rsid w:val="00DC5832"/>
    <w:rsid w:val="00DC5EF2"/>
    <w:rsid w:val="00DC60F9"/>
    <w:rsid w:val="00DC665A"/>
    <w:rsid w:val="00DC6F18"/>
    <w:rsid w:val="00DC718D"/>
    <w:rsid w:val="00DC77F0"/>
    <w:rsid w:val="00DC799D"/>
    <w:rsid w:val="00DC7C70"/>
    <w:rsid w:val="00DD03C0"/>
    <w:rsid w:val="00DD068E"/>
    <w:rsid w:val="00DD0AE5"/>
    <w:rsid w:val="00DD1614"/>
    <w:rsid w:val="00DD1D6E"/>
    <w:rsid w:val="00DD1E27"/>
    <w:rsid w:val="00DD23B8"/>
    <w:rsid w:val="00DD2921"/>
    <w:rsid w:val="00DD2A85"/>
    <w:rsid w:val="00DD2FA1"/>
    <w:rsid w:val="00DD3E65"/>
    <w:rsid w:val="00DD4131"/>
    <w:rsid w:val="00DD4223"/>
    <w:rsid w:val="00DD4297"/>
    <w:rsid w:val="00DD44AE"/>
    <w:rsid w:val="00DD45F8"/>
    <w:rsid w:val="00DD4C78"/>
    <w:rsid w:val="00DD4CB6"/>
    <w:rsid w:val="00DD5652"/>
    <w:rsid w:val="00DD5AB7"/>
    <w:rsid w:val="00DD5CC8"/>
    <w:rsid w:val="00DD5CE6"/>
    <w:rsid w:val="00DD5F01"/>
    <w:rsid w:val="00DD741E"/>
    <w:rsid w:val="00DD747C"/>
    <w:rsid w:val="00DD7661"/>
    <w:rsid w:val="00DD780E"/>
    <w:rsid w:val="00DE0AE7"/>
    <w:rsid w:val="00DE0F67"/>
    <w:rsid w:val="00DE144D"/>
    <w:rsid w:val="00DE2890"/>
    <w:rsid w:val="00DE3D70"/>
    <w:rsid w:val="00DE4256"/>
    <w:rsid w:val="00DE4556"/>
    <w:rsid w:val="00DE4A6A"/>
    <w:rsid w:val="00DE4FED"/>
    <w:rsid w:val="00DE5727"/>
    <w:rsid w:val="00DE589C"/>
    <w:rsid w:val="00DE5CCC"/>
    <w:rsid w:val="00DE5CE4"/>
    <w:rsid w:val="00DE5E9C"/>
    <w:rsid w:val="00DE6541"/>
    <w:rsid w:val="00DE7084"/>
    <w:rsid w:val="00DE72A3"/>
    <w:rsid w:val="00DE72D0"/>
    <w:rsid w:val="00DE73D1"/>
    <w:rsid w:val="00DE7668"/>
    <w:rsid w:val="00DE78A4"/>
    <w:rsid w:val="00DE7E8D"/>
    <w:rsid w:val="00DF0103"/>
    <w:rsid w:val="00DF1BCB"/>
    <w:rsid w:val="00DF2044"/>
    <w:rsid w:val="00DF208D"/>
    <w:rsid w:val="00DF25B8"/>
    <w:rsid w:val="00DF3A03"/>
    <w:rsid w:val="00DF4296"/>
    <w:rsid w:val="00DF44AD"/>
    <w:rsid w:val="00DF4511"/>
    <w:rsid w:val="00DF4785"/>
    <w:rsid w:val="00DF4CCB"/>
    <w:rsid w:val="00DF4D8F"/>
    <w:rsid w:val="00DF4D96"/>
    <w:rsid w:val="00DF62CD"/>
    <w:rsid w:val="00DF6606"/>
    <w:rsid w:val="00DF733D"/>
    <w:rsid w:val="00DF740D"/>
    <w:rsid w:val="00DF7E47"/>
    <w:rsid w:val="00E00B1F"/>
    <w:rsid w:val="00E00BA5"/>
    <w:rsid w:val="00E01732"/>
    <w:rsid w:val="00E018CE"/>
    <w:rsid w:val="00E01CC4"/>
    <w:rsid w:val="00E01D48"/>
    <w:rsid w:val="00E022E6"/>
    <w:rsid w:val="00E02D8F"/>
    <w:rsid w:val="00E0324F"/>
    <w:rsid w:val="00E03397"/>
    <w:rsid w:val="00E0364C"/>
    <w:rsid w:val="00E03725"/>
    <w:rsid w:val="00E03D1D"/>
    <w:rsid w:val="00E04207"/>
    <w:rsid w:val="00E04978"/>
    <w:rsid w:val="00E04B90"/>
    <w:rsid w:val="00E04D68"/>
    <w:rsid w:val="00E04E33"/>
    <w:rsid w:val="00E0535B"/>
    <w:rsid w:val="00E05946"/>
    <w:rsid w:val="00E0624C"/>
    <w:rsid w:val="00E0674D"/>
    <w:rsid w:val="00E06864"/>
    <w:rsid w:val="00E06E41"/>
    <w:rsid w:val="00E07439"/>
    <w:rsid w:val="00E07A66"/>
    <w:rsid w:val="00E07C5C"/>
    <w:rsid w:val="00E1014E"/>
    <w:rsid w:val="00E10150"/>
    <w:rsid w:val="00E102FB"/>
    <w:rsid w:val="00E10440"/>
    <w:rsid w:val="00E104EF"/>
    <w:rsid w:val="00E10B71"/>
    <w:rsid w:val="00E10DC7"/>
    <w:rsid w:val="00E11909"/>
    <w:rsid w:val="00E11BB7"/>
    <w:rsid w:val="00E11D86"/>
    <w:rsid w:val="00E11F9A"/>
    <w:rsid w:val="00E12C88"/>
    <w:rsid w:val="00E130F7"/>
    <w:rsid w:val="00E1338D"/>
    <w:rsid w:val="00E140F9"/>
    <w:rsid w:val="00E14D43"/>
    <w:rsid w:val="00E15272"/>
    <w:rsid w:val="00E152B2"/>
    <w:rsid w:val="00E15D81"/>
    <w:rsid w:val="00E15DF2"/>
    <w:rsid w:val="00E172A3"/>
    <w:rsid w:val="00E175B5"/>
    <w:rsid w:val="00E17738"/>
    <w:rsid w:val="00E1782C"/>
    <w:rsid w:val="00E17DB5"/>
    <w:rsid w:val="00E17DDD"/>
    <w:rsid w:val="00E17E55"/>
    <w:rsid w:val="00E206DE"/>
    <w:rsid w:val="00E20E8E"/>
    <w:rsid w:val="00E21D48"/>
    <w:rsid w:val="00E22DBD"/>
    <w:rsid w:val="00E22FBD"/>
    <w:rsid w:val="00E23051"/>
    <w:rsid w:val="00E235A6"/>
    <w:rsid w:val="00E23CCC"/>
    <w:rsid w:val="00E25595"/>
    <w:rsid w:val="00E25AA2"/>
    <w:rsid w:val="00E25E56"/>
    <w:rsid w:val="00E26814"/>
    <w:rsid w:val="00E26AC7"/>
    <w:rsid w:val="00E303C8"/>
    <w:rsid w:val="00E30A71"/>
    <w:rsid w:val="00E313E8"/>
    <w:rsid w:val="00E314BE"/>
    <w:rsid w:val="00E31770"/>
    <w:rsid w:val="00E31AE6"/>
    <w:rsid w:val="00E31F09"/>
    <w:rsid w:val="00E31F0B"/>
    <w:rsid w:val="00E32CA4"/>
    <w:rsid w:val="00E33EAA"/>
    <w:rsid w:val="00E34256"/>
    <w:rsid w:val="00E34278"/>
    <w:rsid w:val="00E36190"/>
    <w:rsid w:val="00E36289"/>
    <w:rsid w:val="00E3632B"/>
    <w:rsid w:val="00E3655C"/>
    <w:rsid w:val="00E367C2"/>
    <w:rsid w:val="00E37D8E"/>
    <w:rsid w:val="00E406B2"/>
    <w:rsid w:val="00E408A9"/>
    <w:rsid w:val="00E40A49"/>
    <w:rsid w:val="00E41634"/>
    <w:rsid w:val="00E41DE4"/>
    <w:rsid w:val="00E4212D"/>
    <w:rsid w:val="00E42DAA"/>
    <w:rsid w:val="00E42F8F"/>
    <w:rsid w:val="00E43B5A"/>
    <w:rsid w:val="00E43EAD"/>
    <w:rsid w:val="00E43FFD"/>
    <w:rsid w:val="00E441D2"/>
    <w:rsid w:val="00E445C0"/>
    <w:rsid w:val="00E44A50"/>
    <w:rsid w:val="00E45152"/>
    <w:rsid w:val="00E45871"/>
    <w:rsid w:val="00E458AC"/>
    <w:rsid w:val="00E460D6"/>
    <w:rsid w:val="00E46329"/>
    <w:rsid w:val="00E465FC"/>
    <w:rsid w:val="00E47A03"/>
    <w:rsid w:val="00E50173"/>
    <w:rsid w:val="00E50892"/>
    <w:rsid w:val="00E509ED"/>
    <w:rsid w:val="00E51B4B"/>
    <w:rsid w:val="00E51D8E"/>
    <w:rsid w:val="00E52388"/>
    <w:rsid w:val="00E523D5"/>
    <w:rsid w:val="00E52CE8"/>
    <w:rsid w:val="00E530AE"/>
    <w:rsid w:val="00E53144"/>
    <w:rsid w:val="00E53B80"/>
    <w:rsid w:val="00E53BE5"/>
    <w:rsid w:val="00E53C19"/>
    <w:rsid w:val="00E543CC"/>
    <w:rsid w:val="00E54BCB"/>
    <w:rsid w:val="00E54C5B"/>
    <w:rsid w:val="00E556D3"/>
    <w:rsid w:val="00E5593D"/>
    <w:rsid w:val="00E55B0B"/>
    <w:rsid w:val="00E55C5A"/>
    <w:rsid w:val="00E56658"/>
    <w:rsid w:val="00E566DC"/>
    <w:rsid w:val="00E5758A"/>
    <w:rsid w:val="00E57902"/>
    <w:rsid w:val="00E60A8B"/>
    <w:rsid w:val="00E60AF1"/>
    <w:rsid w:val="00E60E1D"/>
    <w:rsid w:val="00E61B3F"/>
    <w:rsid w:val="00E61BB4"/>
    <w:rsid w:val="00E6239D"/>
    <w:rsid w:val="00E6262D"/>
    <w:rsid w:val="00E6275F"/>
    <w:rsid w:val="00E62BB8"/>
    <w:rsid w:val="00E63095"/>
    <w:rsid w:val="00E638FE"/>
    <w:rsid w:val="00E63F55"/>
    <w:rsid w:val="00E64337"/>
    <w:rsid w:val="00E647D9"/>
    <w:rsid w:val="00E64C0F"/>
    <w:rsid w:val="00E652E2"/>
    <w:rsid w:val="00E66E23"/>
    <w:rsid w:val="00E66F69"/>
    <w:rsid w:val="00E6706E"/>
    <w:rsid w:val="00E677B7"/>
    <w:rsid w:val="00E70313"/>
    <w:rsid w:val="00E71039"/>
    <w:rsid w:val="00E716E1"/>
    <w:rsid w:val="00E71FED"/>
    <w:rsid w:val="00E72027"/>
    <w:rsid w:val="00E72086"/>
    <w:rsid w:val="00E720D0"/>
    <w:rsid w:val="00E721D9"/>
    <w:rsid w:val="00E73024"/>
    <w:rsid w:val="00E73847"/>
    <w:rsid w:val="00E739FF"/>
    <w:rsid w:val="00E74C27"/>
    <w:rsid w:val="00E74C64"/>
    <w:rsid w:val="00E757BE"/>
    <w:rsid w:val="00E75BEF"/>
    <w:rsid w:val="00E75DCE"/>
    <w:rsid w:val="00E76112"/>
    <w:rsid w:val="00E7669B"/>
    <w:rsid w:val="00E772FB"/>
    <w:rsid w:val="00E774C7"/>
    <w:rsid w:val="00E774D7"/>
    <w:rsid w:val="00E77536"/>
    <w:rsid w:val="00E77AF0"/>
    <w:rsid w:val="00E77B65"/>
    <w:rsid w:val="00E80721"/>
    <w:rsid w:val="00E80B21"/>
    <w:rsid w:val="00E80DC0"/>
    <w:rsid w:val="00E80EC4"/>
    <w:rsid w:val="00E81849"/>
    <w:rsid w:val="00E818D1"/>
    <w:rsid w:val="00E81A38"/>
    <w:rsid w:val="00E81E9D"/>
    <w:rsid w:val="00E837EB"/>
    <w:rsid w:val="00E8380D"/>
    <w:rsid w:val="00E83C8D"/>
    <w:rsid w:val="00E83D01"/>
    <w:rsid w:val="00E84201"/>
    <w:rsid w:val="00E84CBA"/>
    <w:rsid w:val="00E84D8F"/>
    <w:rsid w:val="00E84F93"/>
    <w:rsid w:val="00E85620"/>
    <w:rsid w:val="00E85659"/>
    <w:rsid w:val="00E85E48"/>
    <w:rsid w:val="00E85E71"/>
    <w:rsid w:val="00E860DF"/>
    <w:rsid w:val="00E86D5B"/>
    <w:rsid w:val="00E87DFC"/>
    <w:rsid w:val="00E87E56"/>
    <w:rsid w:val="00E90595"/>
    <w:rsid w:val="00E905E2"/>
    <w:rsid w:val="00E90D66"/>
    <w:rsid w:val="00E9177D"/>
    <w:rsid w:val="00E91E1C"/>
    <w:rsid w:val="00E920CE"/>
    <w:rsid w:val="00E92B09"/>
    <w:rsid w:val="00E93387"/>
    <w:rsid w:val="00E93AB4"/>
    <w:rsid w:val="00E93C17"/>
    <w:rsid w:val="00E94116"/>
    <w:rsid w:val="00E94D8D"/>
    <w:rsid w:val="00E9599D"/>
    <w:rsid w:val="00E96642"/>
    <w:rsid w:val="00E9774E"/>
    <w:rsid w:val="00E97A05"/>
    <w:rsid w:val="00E97B78"/>
    <w:rsid w:val="00E97D25"/>
    <w:rsid w:val="00EA03CE"/>
    <w:rsid w:val="00EA0A98"/>
    <w:rsid w:val="00EA0C51"/>
    <w:rsid w:val="00EA0DA4"/>
    <w:rsid w:val="00EA0FAB"/>
    <w:rsid w:val="00EA11A0"/>
    <w:rsid w:val="00EA11C3"/>
    <w:rsid w:val="00EA1314"/>
    <w:rsid w:val="00EA1560"/>
    <w:rsid w:val="00EA1E97"/>
    <w:rsid w:val="00EA23CF"/>
    <w:rsid w:val="00EA2874"/>
    <w:rsid w:val="00EA31DD"/>
    <w:rsid w:val="00EA3779"/>
    <w:rsid w:val="00EA3789"/>
    <w:rsid w:val="00EA3794"/>
    <w:rsid w:val="00EA4498"/>
    <w:rsid w:val="00EA4BE2"/>
    <w:rsid w:val="00EA53A1"/>
    <w:rsid w:val="00EA5679"/>
    <w:rsid w:val="00EA5F17"/>
    <w:rsid w:val="00EA6771"/>
    <w:rsid w:val="00EA7574"/>
    <w:rsid w:val="00EA7834"/>
    <w:rsid w:val="00EA793F"/>
    <w:rsid w:val="00EB0DAA"/>
    <w:rsid w:val="00EB0F98"/>
    <w:rsid w:val="00EB155F"/>
    <w:rsid w:val="00EB170E"/>
    <w:rsid w:val="00EB1D31"/>
    <w:rsid w:val="00EB27AC"/>
    <w:rsid w:val="00EB2A35"/>
    <w:rsid w:val="00EB2D93"/>
    <w:rsid w:val="00EB36CD"/>
    <w:rsid w:val="00EB499B"/>
    <w:rsid w:val="00EB4F97"/>
    <w:rsid w:val="00EB5079"/>
    <w:rsid w:val="00EB53AA"/>
    <w:rsid w:val="00EB5BB9"/>
    <w:rsid w:val="00EB5D02"/>
    <w:rsid w:val="00EB5E7C"/>
    <w:rsid w:val="00EB5F25"/>
    <w:rsid w:val="00EB5FC4"/>
    <w:rsid w:val="00EB719B"/>
    <w:rsid w:val="00EB7792"/>
    <w:rsid w:val="00EB7F00"/>
    <w:rsid w:val="00EC0402"/>
    <w:rsid w:val="00EC0C7C"/>
    <w:rsid w:val="00EC15B1"/>
    <w:rsid w:val="00EC19BD"/>
    <w:rsid w:val="00EC2C81"/>
    <w:rsid w:val="00EC2F0A"/>
    <w:rsid w:val="00EC2FD8"/>
    <w:rsid w:val="00EC2FDE"/>
    <w:rsid w:val="00EC353D"/>
    <w:rsid w:val="00EC35CA"/>
    <w:rsid w:val="00EC3B68"/>
    <w:rsid w:val="00EC461C"/>
    <w:rsid w:val="00EC47C7"/>
    <w:rsid w:val="00EC48AA"/>
    <w:rsid w:val="00EC494A"/>
    <w:rsid w:val="00EC4C18"/>
    <w:rsid w:val="00EC4CEF"/>
    <w:rsid w:val="00EC582F"/>
    <w:rsid w:val="00EC5903"/>
    <w:rsid w:val="00EC5965"/>
    <w:rsid w:val="00EC6285"/>
    <w:rsid w:val="00EC665D"/>
    <w:rsid w:val="00EC6DB4"/>
    <w:rsid w:val="00EC6E4F"/>
    <w:rsid w:val="00ED014E"/>
    <w:rsid w:val="00ED06BE"/>
    <w:rsid w:val="00ED0912"/>
    <w:rsid w:val="00ED0A5D"/>
    <w:rsid w:val="00ED10DB"/>
    <w:rsid w:val="00ED15C6"/>
    <w:rsid w:val="00ED161E"/>
    <w:rsid w:val="00ED191B"/>
    <w:rsid w:val="00ED1A94"/>
    <w:rsid w:val="00ED2758"/>
    <w:rsid w:val="00ED2A24"/>
    <w:rsid w:val="00ED2FEC"/>
    <w:rsid w:val="00ED34B3"/>
    <w:rsid w:val="00ED3653"/>
    <w:rsid w:val="00ED385C"/>
    <w:rsid w:val="00ED3C27"/>
    <w:rsid w:val="00ED3DD6"/>
    <w:rsid w:val="00ED44A1"/>
    <w:rsid w:val="00ED49A4"/>
    <w:rsid w:val="00ED5B36"/>
    <w:rsid w:val="00ED679E"/>
    <w:rsid w:val="00ED6DF5"/>
    <w:rsid w:val="00ED6E81"/>
    <w:rsid w:val="00ED7720"/>
    <w:rsid w:val="00ED7D52"/>
    <w:rsid w:val="00EE02B4"/>
    <w:rsid w:val="00EE0FCB"/>
    <w:rsid w:val="00EE113E"/>
    <w:rsid w:val="00EE11B5"/>
    <w:rsid w:val="00EE163C"/>
    <w:rsid w:val="00EE28BC"/>
    <w:rsid w:val="00EE2951"/>
    <w:rsid w:val="00EE298B"/>
    <w:rsid w:val="00EE2ADC"/>
    <w:rsid w:val="00EE2DF6"/>
    <w:rsid w:val="00EE2E22"/>
    <w:rsid w:val="00EE2EE4"/>
    <w:rsid w:val="00EE380B"/>
    <w:rsid w:val="00EE3DC4"/>
    <w:rsid w:val="00EE4F4B"/>
    <w:rsid w:val="00EE50ED"/>
    <w:rsid w:val="00EE51E4"/>
    <w:rsid w:val="00EE5AE9"/>
    <w:rsid w:val="00EE5D74"/>
    <w:rsid w:val="00EE6569"/>
    <w:rsid w:val="00EE6F3E"/>
    <w:rsid w:val="00EE781C"/>
    <w:rsid w:val="00EE7AC8"/>
    <w:rsid w:val="00EF0325"/>
    <w:rsid w:val="00EF034D"/>
    <w:rsid w:val="00EF06DE"/>
    <w:rsid w:val="00EF0C20"/>
    <w:rsid w:val="00EF0DA0"/>
    <w:rsid w:val="00EF0EEA"/>
    <w:rsid w:val="00EF1141"/>
    <w:rsid w:val="00EF1597"/>
    <w:rsid w:val="00EF2A01"/>
    <w:rsid w:val="00EF2A7F"/>
    <w:rsid w:val="00EF3E54"/>
    <w:rsid w:val="00EF4175"/>
    <w:rsid w:val="00EF4547"/>
    <w:rsid w:val="00EF507A"/>
    <w:rsid w:val="00EF5360"/>
    <w:rsid w:val="00EF555A"/>
    <w:rsid w:val="00EF690C"/>
    <w:rsid w:val="00EF6F68"/>
    <w:rsid w:val="00EF6FD4"/>
    <w:rsid w:val="00EF71DD"/>
    <w:rsid w:val="00EF751A"/>
    <w:rsid w:val="00EF755E"/>
    <w:rsid w:val="00EF792C"/>
    <w:rsid w:val="00EF7A2C"/>
    <w:rsid w:val="00F00073"/>
    <w:rsid w:val="00F01441"/>
    <w:rsid w:val="00F01EEB"/>
    <w:rsid w:val="00F02D0C"/>
    <w:rsid w:val="00F030D9"/>
    <w:rsid w:val="00F031CD"/>
    <w:rsid w:val="00F0321B"/>
    <w:rsid w:val="00F03A7E"/>
    <w:rsid w:val="00F03B9C"/>
    <w:rsid w:val="00F04F24"/>
    <w:rsid w:val="00F054FA"/>
    <w:rsid w:val="00F0569F"/>
    <w:rsid w:val="00F05B5D"/>
    <w:rsid w:val="00F06430"/>
    <w:rsid w:val="00F075F7"/>
    <w:rsid w:val="00F0777F"/>
    <w:rsid w:val="00F07DE5"/>
    <w:rsid w:val="00F10072"/>
    <w:rsid w:val="00F10DB6"/>
    <w:rsid w:val="00F11329"/>
    <w:rsid w:val="00F1155F"/>
    <w:rsid w:val="00F11583"/>
    <w:rsid w:val="00F117DA"/>
    <w:rsid w:val="00F11AF9"/>
    <w:rsid w:val="00F11B73"/>
    <w:rsid w:val="00F11CCE"/>
    <w:rsid w:val="00F12EFC"/>
    <w:rsid w:val="00F1307E"/>
    <w:rsid w:val="00F13641"/>
    <w:rsid w:val="00F1415A"/>
    <w:rsid w:val="00F141D0"/>
    <w:rsid w:val="00F14E4D"/>
    <w:rsid w:val="00F15455"/>
    <w:rsid w:val="00F15EE6"/>
    <w:rsid w:val="00F160DF"/>
    <w:rsid w:val="00F172E0"/>
    <w:rsid w:val="00F17E31"/>
    <w:rsid w:val="00F20564"/>
    <w:rsid w:val="00F2085E"/>
    <w:rsid w:val="00F20B46"/>
    <w:rsid w:val="00F2191F"/>
    <w:rsid w:val="00F21A93"/>
    <w:rsid w:val="00F21D69"/>
    <w:rsid w:val="00F22222"/>
    <w:rsid w:val="00F22555"/>
    <w:rsid w:val="00F22871"/>
    <w:rsid w:val="00F23671"/>
    <w:rsid w:val="00F2367D"/>
    <w:rsid w:val="00F23D45"/>
    <w:rsid w:val="00F24090"/>
    <w:rsid w:val="00F24298"/>
    <w:rsid w:val="00F249D5"/>
    <w:rsid w:val="00F269BE"/>
    <w:rsid w:val="00F27230"/>
    <w:rsid w:val="00F27D10"/>
    <w:rsid w:val="00F27D69"/>
    <w:rsid w:val="00F3002E"/>
    <w:rsid w:val="00F304F1"/>
    <w:rsid w:val="00F31512"/>
    <w:rsid w:val="00F31563"/>
    <w:rsid w:val="00F3180B"/>
    <w:rsid w:val="00F31D24"/>
    <w:rsid w:val="00F3284A"/>
    <w:rsid w:val="00F3346B"/>
    <w:rsid w:val="00F34473"/>
    <w:rsid w:val="00F34CD1"/>
    <w:rsid w:val="00F350AD"/>
    <w:rsid w:val="00F352EC"/>
    <w:rsid w:val="00F357C5"/>
    <w:rsid w:val="00F357F8"/>
    <w:rsid w:val="00F360CE"/>
    <w:rsid w:val="00F36681"/>
    <w:rsid w:val="00F37064"/>
    <w:rsid w:val="00F371AE"/>
    <w:rsid w:val="00F37BC0"/>
    <w:rsid w:val="00F40D46"/>
    <w:rsid w:val="00F410E7"/>
    <w:rsid w:val="00F411CB"/>
    <w:rsid w:val="00F414F8"/>
    <w:rsid w:val="00F415BB"/>
    <w:rsid w:val="00F41666"/>
    <w:rsid w:val="00F429E6"/>
    <w:rsid w:val="00F43149"/>
    <w:rsid w:val="00F433D1"/>
    <w:rsid w:val="00F44328"/>
    <w:rsid w:val="00F45576"/>
    <w:rsid w:val="00F4640C"/>
    <w:rsid w:val="00F464CC"/>
    <w:rsid w:val="00F467D7"/>
    <w:rsid w:val="00F46B2D"/>
    <w:rsid w:val="00F46B4A"/>
    <w:rsid w:val="00F46BBF"/>
    <w:rsid w:val="00F46D34"/>
    <w:rsid w:val="00F47206"/>
    <w:rsid w:val="00F4794F"/>
    <w:rsid w:val="00F5036A"/>
    <w:rsid w:val="00F50393"/>
    <w:rsid w:val="00F5048B"/>
    <w:rsid w:val="00F5057D"/>
    <w:rsid w:val="00F50C29"/>
    <w:rsid w:val="00F50E15"/>
    <w:rsid w:val="00F51278"/>
    <w:rsid w:val="00F52121"/>
    <w:rsid w:val="00F52212"/>
    <w:rsid w:val="00F526A4"/>
    <w:rsid w:val="00F529F0"/>
    <w:rsid w:val="00F52CC3"/>
    <w:rsid w:val="00F5321D"/>
    <w:rsid w:val="00F53B65"/>
    <w:rsid w:val="00F53D4A"/>
    <w:rsid w:val="00F54101"/>
    <w:rsid w:val="00F5418C"/>
    <w:rsid w:val="00F54FA8"/>
    <w:rsid w:val="00F555F7"/>
    <w:rsid w:val="00F55A10"/>
    <w:rsid w:val="00F55DCB"/>
    <w:rsid w:val="00F566A0"/>
    <w:rsid w:val="00F56710"/>
    <w:rsid w:val="00F56936"/>
    <w:rsid w:val="00F569BD"/>
    <w:rsid w:val="00F57237"/>
    <w:rsid w:val="00F579DD"/>
    <w:rsid w:val="00F57B15"/>
    <w:rsid w:val="00F6006A"/>
    <w:rsid w:val="00F612E5"/>
    <w:rsid w:val="00F61623"/>
    <w:rsid w:val="00F6182F"/>
    <w:rsid w:val="00F62622"/>
    <w:rsid w:val="00F63405"/>
    <w:rsid w:val="00F640CF"/>
    <w:rsid w:val="00F64421"/>
    <w:rsid w:val="00F64443"/>
    <w:rsid w:val="00F64B07"/>
    <w:rsid w:val="00F64F7D"/>
    <w:rsid w:val="00F6530A"/>
    <w:rsid w:val="00F66ABB"/>
    <w:rsid w:val="00F66EBC"/>
    <w:rsid w:val="00F67B17"/>
    <w:rsid w:val="00F703B8"/>
    <w:rsid w:val="00F70494"/>
    <w:rsid w:val="00F70E1B"/>
    <w:rsid w:val="00F71474"/>
    <w:rsid w:val="00F71988"/>
    <w:rsid w:val="00F71ADD"/>
    <w:rsid w:val="00F7202E"/>
    <w:rsid w:val="00F7210B"/>
    <w:rsid w:val="00F726EC"/>
    <w:rsid w:val="00F72990"/>
    <w:rsid w:val="00F73487"/>
    <w:rsid w:val="00F737FA"/>
    <w:rsid w:val="00F73D8B"/>
    <w:rsid w:val="00F7446D"/>
    <w:rsid w:val="00F74B9A"/>
    <w:rsid w:val="00F75070"/>
    <w:rsid w:val="00F75602"/>
    <w:rsid w:val="00F75847"/>
    <w:rsid w:val="00F7597B"/>
    <w:rsid w:val="00F76075"/>
    <w:rsid w:val="00F764CD"/>
    <w:rsid w:val="00F766EB"/>
    <w:rsid w:val="00F774D8"/>
    <w:rsid w:val="00F80501"/>
    <w:rsid w:val="00F81905"/>
    <w:rsid w:val="00F81EFA"/>
    <w:rsid w:val="00F8208B"/>
    <w:rsid w:val="00F82259"/>
    <w:rsid w:val="00F826B8"/>
    <w:rsid w:val="00F8379E"/>
    <w:rsid w:val="00F83974"/>
    <w:rsid w:val="00F83B37"/>
    <w:rsid w:val="00F8409D"/>
    <w:rsid w:val="00F84CE1"/>
    <w:rsid w:val="00F84E4A"/>
    <w:rsid w:val="00F85915"/>
    <w:rsid w:val="00F85AC0"/>
    <w:rsid w:val="00F86126"/>
    <w:rsid w:val="00F86602"/>
    <w:rsid w:val="00F867C3"/>
    <w:rsid w:val="00F87886"/>
    <w:rsid w:val="00F879BF"/>
    <w:rsid w:val="00F900CE"/>
    <w:rsid w:val="00F9048D"/>
    <w:rsid w:val="00F916DF"/>
    <w:rsid w:val="00F92BEA"/>
    <w:rsid w:val="00F92F4F"/>
    <w:rsid w:val="00F945FA"/>
    <w:rsid w:val="00F94F69"/>
    <w:rsid w:val="00F95269"/>
    <w:rsid w:val="00F95F04"/>
    <w:rsid w:val="00F968F2"/>
    <w:rsid w:val="00F9690C"/>
    <w:rsid w:val="00F96B93"/>
    <w:rsid w:val="00F96BA7"/>
    <w:rsid w:val="00F96FF6"/>
    <w:rsid w:val="00F9715D"/>
    <w:rsid w:val="00F97A4B"/>
    <w:rsid w:val="00FA00DD"/>
    <w:rsid w:val="00FA0289"/>
    <w:rsid w:val="00FA06D1"/>
    <w:rsid w:val="00FA078D"/>
    <w:rsid w:val="00FA09D2"/>
    <w:rsid w:val="00FA0FFD"/>
    <w:rsid w:val="00FA29E2"/>
    <w:rsid w:val="00FA2D98"/>
    <w:rsid w:val="00FA2E1C"/>
    <w:rsid w:val="00FA421F"/>
    <w:rsid w:val="00FA474E"/>
    <w:rsid w:val="00FA50BC"/>
    <w:rsid w:val="00FA5836"/>
    <w:rsid w:val="00FA58AF"/>
    <w:rsid w:val="00FA68A5"/>
    <w:rsid w:val="00FA6CD3"/>
    <w:rsid w:val="00FB054F"/>
    <w:rsid w:val="00FB0A61"/>
    <w:rsid w:val="00FB1403"/>
    <w:rsid w:val="00FB1BCF"/>
    <w:rsid w:val="00FB1F6D"/>
    <w:rsid w:val="00FB21FA"/>
    <w:rsid w:val="00FB2632"/>
    <w:rsid w:val="00FB2911"/>
    <w:rsid w:val="00FB2FA3"/>
    <w:rsid w:val="00FB390D"/>
    <w:rsid w:val="00FB41C7"/>
    <w:rsid w:val="00FB4944"/>
    <w:rsid w:val="00FB4B47"/>
    <w:rsid w:val="00FB5259"/>
    <w:rsid w:val="00FB5DAB"/>
    <w:rsid w:val="00FB5DF9"/>
    <w:rsid w:val="00FB6C96"/>
    <w:rsid w:val="00FB7626"/>
    <w:rsid w:val="00FB7A05"/>
    <w:rsid w:val="00FB7B3F"/>
    <w:rsid w:val="00FC00C5"/>
    <w:rsid w:val="00FC06DF"/>
    <w:rsid w:val="00FC0ABB"/>
    <w:rsid w:val="00FC0B6A"/>
    <w:rsid w:val="00FC0D40"/>
    <w:rsid w:val="00FC0F39"/>
    <w:rsid w:val="00FC186F"/>
    <w:rsid w:val="00FC2017"/>
    <w:rsid w:val="00FC2272"/>
    <w:rsid w:val="00FC2D7D"/>
    <w:rsid w:val="00FC2EE7"/>
    <w:rsid w:val="00FC2FEF"/>
    <w:rsid w:val="00FC30D5"/>
    <w:rsid w:val="00FC395F"/>
    <w:rsid w:val="00FC3DC6"/>
    <w:rsid w:val="00FC4411"/>
    <w:rsid w:val="00FC4457"/>
    <w:rsid w:val="00FC5D01"/>
    <w:rsid w:val="00FC6EC8"/>
    <w:rsid w:val="00FC6FFC"/>
    <w:rsid w:val="00FC795E"/>
    <w:rsid w:val="00FD0448"/>
    <w:rsid w:val="00FD0AF4"/>
    <w:rsid w:val="00FD0D49"/>
    <w:rsid w:val="00FD0F7F"/>
    <w:rsid w:val="00FD2AF9"/>
    <w:rsid w:val="00FD2D1B"/>
    <w:rsid w:val="00FD317D"/>
    <w:rsid w:val="00FD3EA2"/>
    <w:rsid w:val="00FD5227"/>
    <w:rsid w:val="00FD54A3"/>
    <w:rsid w:val="00FD64A1"/>
    <w:rsid w:val="00FD69F6"/>
    <w:rsid w:val="00FD7002"/>
    <w:rsid w:val="00FD77EA"/>
    <w:rsid w:val="00FD7C20"/>
    <w:rsid w:val="00FD7EE7"/>
    <w:rsid w:val="00FE0C41"/>
    <w:rsid w:val="00FE0F54"/>
    <w:rsid w:val="00FE14CF"/>
    <w:rsid w:val="00FE1769"/>
    <w:rsid w:val="00FE1EA1"/>
    <w:rsid w:val="00FE38DA"/>
    <w:rsid w:val="00FE3D07"/>
    <w:rsid w:val="00FE3FB4"/>
    <w:rsid w:val="00FE4061"/>
    <w:rsid w:val="00FE4DF8"/>
    <w:rsid w:val="00FE5F6C"/>
    <w:rsid w:val="00FE5FE2"/>
    <w:rsid w:val="00FE63DC"/>
    <w:rsid w:val="00FE73EF"/>
    <w:rsid w:val="00FE7A92"/>
    <w:rsid w:val="00FF01E1"/>
    <w:rsid w:val="00FF0347"/>
    <w:rsid w:val="00FF041A"/>
    <w:rsid w:val="00FF08E5"/>
    <w:rsid w:val="00FF0EFA"/>
    <w:rsid w:val="00FF107A"/>
    <w:rsid w:val="00FF1272"/>
    <w:rsid w:val="00FF28FB"/>
    <w:rsid w:val="00FF3453"/>
    <w:rsid w:val="00FF4053"/>
    <w:rsid w:val="00FF462E"/>
    <w:rsid w:val="00FF4702"/>
    <w:rsid w:val="00FF4A41"/>
    <w:rsid w:val="00FF4DBA"/>
    <w:rsid w:val="00FF57A1"/>
    <w:rsid w:val="00FF5EF1"/>
    <w:rsid w:val="00FF6018"/>
    <w:rsid w:val="00FF63AB"/>
    <w:rsid w:val="00FF6E17"/>
    <w:rsid w:val="00FF7473"/>
    <w:rsid w:val="00FF79A8"/>
    <w:rsid w:val="00FF7BC0"/>
    <w:rsid w:val="00FF7E32"/>
    <w:rsid w:val="01192C1F"/>
    <w:rsid w:val="017E71B3"/>
    <w:rsid w:val="01853999"/>
    <w:rsid w:val="02E5725D"/>
    <w:rsid w:val="034F0AEC"/>
    <w:rsid w:val="04172B32"/>
    <w:rsid w:val="045F2434"/>
    <w:rsid w:val="04621D54"/>
    <w:rsid w:val="046626E0"/>
    <w:rsid w:val="04902F5F"/>
    <w:rsid w:val="0570011C"/>
    <w:rsid w:val="061F18D8"/>
    <w:rsid w:val="06316315"/>
    <w:rsid w:val="07A6076F"/>
    <w:rsid w:val="07E43F56"/>
    <w:rsid w:val="08730E67"/>
    <w:rsid w:val="0876629A"/>
    <w:rsid w:val="08A30046"/>
    <w:rsid w:val="09556158"/>
    <w:rsid w:val="095567BF"/>
    <w:rsid w:val="09A1656F"/>
    <w:rsid w:val="09C92FBF"/>
    <w:rsid w:val="09D83299"/>
    <w:rsid w:val="09E6231C"/>
    <w:rsid w:val="09FC6561"/>
    <w:rsid w:val="0ADE7EF5"/>
    <w:rsid w:val="0AEF7130"/>
    <w:rsid w:val="0B5A33E3"/>
    <w:rsid w:val="0B6078B2"/>
    <w:rsid w:val="0BD60DD5"/>
    <w:rsid w:val="0C4E4D82"/>
    <w:rsid w:val="0C572706"/>
    <w:rsid w:val="0C8B35F2"/>
    <w:rsid w:val="0CAA3FF3"/>
    <w:rsid w:val="10B62239"/>
    <w:rsid w:val="1148528B"/>
    <w:rsid w:val="115367BF"/>
    <w:rsid w:val="11C07D61"/>
    <w:rsid w:val="122B3E89"/>
    <w:rsid w:val="129324FD"/>
    <w:rsid w:val="12A4443A"/>
    <w:rsid w:val="1383390E"/>
    <w:rsid w:val="151551AA"/>
    <w:rsid w:val="152F1E12"/>
    <w:rsid w:val="16032E73"/>
    <w:rsid w:val="161A4C9D"/>
    <w:rsid w:val="1649432E"/>
    <w:rsid w:val="16842FA7"/>
    <w:rsid w:val="16F23920"/>
    <w:rsid w:val="17190E2C"/>
    <w:rsid w:val="190622E1"/>
    <w:rsid w:val="190B442F"/>
    <w:rsid w:val="19283EAA"/>
    <w:rsid w:val="19462CB5"/>
    <w:rsid w:val="19CA1C19"/>
    <w:rsid w:val="19CD118A"/>
    <w:rsid w:val="1AC020E9"/>
    <w:rsid w:val="1B4F6AC1"/>
    <w:rsid w:val="1B94128E"/>
    <w:rsid w:val="1BA2131C"/>
    <w:rsid w:val="1BD63692"/>
    <w:rsid w:val="1D2C4385"/>
    <w:rsid w:val="1D6E17A5"/>
    <w:rsid w:val="1D721AFA"/>
    <w:rsid w:val="1DEA37D0"/>
    <w:rsid w:val="1DEC729A"/>
    <w:rsid w:val="20D25A3E"/>
    <w:rsid w:val="2129074C"/>
    <w:rsid w:val="217C0CE7"/>
    <w:rsid w:val="22543660"/>
    <w:rsid w:val="22787355"/>
    <w:rsid w:val="22EB1154"/>
    <w:rsid w:val="23495C32"/>
    <w:rsid w:val="23B95F8F"/>
    <w:rsid w:val="245B6EEB"/>
    <w:rsid w:val="25665B84"/>
    <w:rsid w:val="27475901"/>
    <w:rsid w:val="27594503"/>
    <w:rsid w:val="275D7D96"/>
    <w:rsid w:val="278A50D5"/>
    <w:rsid w:val="28D7528B"/>
    <w:rsid w:val="28E01E84"/>
    <w:rsid w:val="2A7A1790"/>
    <w:rsid w:val="2AAA11FC"/>
    <w:rsid w:val="2AB51923"/>
    <w:rsid w:val="2AF25618"/>
    <w:rsid w:val="2B3F1D11"/>
    <w:rsid w:val="2C131631"/>
    <w:rsid w:val="2C534988"/>
    <w:rsid w:val="2DE44790"/>
    <w:rsid w:val="2E276335"/>
    <w:rsid w:val="2E3A7BAD"/>
    <w:rsid w:val="2E447804"/>
    <w:rsid w:val="2F264FA8"/>
    <w:rsid w:val="2F8D6403"/>
    <w:rsid w:val="2FBC6931"/>
    <w:rsid w:val="312A215B"/>
    <w:rsid w:val="3171695A"/>
    <w:rsid w:val="31C27F2E"/>
    <w:rsid w:val="32017127"/>
    <w:rsid w:val="32DB1E83"/>
    <w:rsid w:val="33746A02"/>
    <w:rsid w:val="33ED3BB6"/>
    <w:rsid w:val="34944D24"/>
    <w:rsid w:val="3700570C"/>
    <w:rsid w:val="376D446E"/>
    <w:rsid w:val="37E87464"/>
    <w:rsid w:val="38D36D6C"/>
    <w:rsid w:val="38E7731C"/>
    <w:rsid w:val="3905791D"/>
    <w:rsid w:val="396343C2"/>
    <w:rsid w:val="398268AC"/>
    <w:rsid w:val="3A254736"/>
    <w:rsid w:val="3A3A4614"/>
    <w:rsid w:val="3A485F9C"/>
    <w:rsid w:val="3A880C73"/>
    <w:rsid w:val="3AAD1140"/>
    <w:rsid w:val="3ACA22B9"/>
    <w:rsid w:val="3B363183"/>
    <w:rsid w:val="3B997AE8"/>
    <w:rsid w:val="3BA80B64"/>
    <w:rsid w:val="3C451DDB"/>
    <w:rsid w:val="3CAE4C7F"/>
    <w:rsid w:val="3CE5495E"/>
    <w:rsid w:val="3D1A605B"/>
    <w:rsid w:val="3DB57251"/>
    <w:rsid w:val="3DD40718"/>
    <w:rsid w:val="3DF11B49"/>
    <w:rsid w:val="3E901C8A"/>
    <w:rsid w:val="3E904184"/>
    <w:rsid w:val="3ED12478"/>
    <w:rsid w:val="3EFD2865"/>
    <w:rsid w:val="3F7E18C4"/>
    <w:rsid w:val="3F80388E"/>
    <w:rsid w:val="3F841CFC"/>
    <w:rsid w:val="402A4F39"/>
    <w:rsid w:val="402C6110"/>
    <w:rsid w:val="41834CA6"/>
    <w:rsid w:val="41A013B3"/>
    <w:rsid w:val="41EF37D2"/>
    <w:rsid w:val="41FA78CF"/>
    <w:rsid w:val="42E232E5"/>
    <w:rsid w:val="4386547E"/>
    <w:rsid w:val="43912FC7"/>
    <w:rsid w:val="45075D21"/>
    <w:rsid w:val="4510761C"/>
    <w:rsid w:val="463179A9"/>
    <w:rsid w:val="46321926"/>
    <w:rsid w:val="46C2133A"/>
    <w:rsid w:val="49C85905"/>
    <w:rsid w:val="4A9961AC"/>
    <w:rsid w:val="4AC56B02"/>
    <w:rsid w:val="4B7E4E41"/>
    <w:rsid w:val="4B9F4179"/>
    <w:rsid w:val="4C00040D"/>
    <w:rsid w:val="4C936B9D"/>
    <w:rsid w:val="4CC11F3D"/>
    <w:rsid w:val="4D122B50"/>
    <w:rsid w:val="4D1B2795"/>
    <w:rsid w:val="4D39639D"/>
    <w:rsid w:val="4D7A5D81"/>
    <w:rsid w:val="4E8B1DD6"/>
    <w:rsid w:val="4EE82E9A"/>
    <w:rsid w:val="50E23338"/>
    <w:rsid w:val="50F06BE8"/>
    <w:rsid w:val="511A6BDC"/>
    <w:rsid w:val="51714356"/>
    <w:rsid w:val="528052EC"/>
    <w:rsid w:val="529E36CC"/>
    <w:rsid w:val="5371008B"/>
    <w:rsid w:val="539B083F"/>
    <w:rsid w:val="53BC2CAC"/>
    <w:rsid w:val="54A559D7"/>
    <w:rsid w:val="54A84FC1"/>
    <w:rsid w:val="5519159B"/>
    <w:rsid w:val="552C5BF2"/>
    <w:rsid w:val="55946209"/>
    <w:rsid w:val="559900C8"/>
    <w:rsid w:val="568B6949"/>
    <w:rsid w:val="57260F4D"/>
    <w:rsid w:val="58BC28DC"/>
    <w:rsid w:val="58E0355F"/>
    <w:rsid w:val="59050A43"/>
    <w:rsid w:val="5A94302F"/>
    <w:rsid w:val="5A9618D2"/>
    <w:rsid w:val="5B5639C9"/>
    <w:rsid w:val="5B8055AB"/>
    <w:rsid w:val="5BB50D81"/>
    <w:rsid w:val="5BB60E5B"/>
    <w:rsid w:val="5C214B27"/>
    <w:rsid w:val="5D5B2B0C"/>
    <w:rsid w:val="5DE16789"/>
    <w:rsid w:val="5E585A81"/>
    <w:rsid w:val="5E860A33"/>
    <w:rsid w:val="5EE425B0"/>
    <w:rsid w:val="5F196D9D"/>
    <w:rsid w:val="5FC65E5B"/>
    <w:rsid w:val="5FF852A7"/>
    <w:rsid w:val="602675CE"/>
    <w:rsid w:val="604018D4"/>
    <w:rsid w:val="605E4CD8"/>
    <w:rsid w:val="622374D4"/>
    <w:rsid w:val="625B3673"/>
    <w:rsid w:val="629762BF"/>
    <w:rsid w:val="62B66AFB"/>
    <w:rsid w:val="633778C5"/>
    <w:rsid w:val="63D74F7B"/>
    <w:rsid w:val="640D4FA2"/>
    <w:rsid w:val="640E3D5C"/>
    <w:rsid w:val="64DE2339"/>
    <w:rsid w:val="65863EA6"/>
    <w:rsid w:val="6639797D"/>
    <w:rsid w:val="66A839F6"/>
    <w:rsid w:val="66B17C12"/>
    <w:rsid w:val="67175E43"/>
    <w:rsid w:val="677615B2"/>
    <w:rsid w:val="679E5D59"/>
    <w:rsid w:val="68AF296B"/>
    <w:rsid w:val="68CF0AA9"/>
    <w:rsid w:val="69086BC2"/>
    <w:rsid w:val="6A50799A"/>
    <w:rsid w:val="6A572BF4"/>
    <w:rsid w:val="6AF87EAF"/>
    <w:rsid w:val="6B2C6B7C"/>
    <w:rsid w:val="6BBD0EFB"/>
    <w:rsid w:val="6C0D0C0A"/>
    <w:rsid w:val="6D373701"/>
    <w:rsid w:val="6D852BAE"/>
    <w:rsid w:val="6D9A2CA0"/>
    <w:rsid w:val="6E0E31C8"/>
    <w:rsid w:val="6E26667B"/>
    <w:rsid w:val="6E702D0B"/>
    <w:rsid w:val="6ED02D34"/>
    <w:rsid w:val="6FEF4FD6"/>
    <w:rsid w:val="702C7417"/>
    <w:rsid w:val="714B7705"/>
    <w:rsid w:val="72006D43"/>
    <w:rsid w:val="72DB610A"/>
    <w:rsid w:val="74E94603"/>
    <w:rsid w:val="750867A0"/>
    <w:rsid w:val="750E1D2B"/>
    <w:rsid w:val="759C6025"/>
    <w:rsid w:val="768E4430"/>
    <w:rsid w:val="782F431C"/>
    <w:rsid w:val="7A6F1F5A"/>
    <w:rsid w:val="7ADA0F41"/>
    <w:rsid w:val="7B0531D1"/>
    <w:rsid w:val="7C7A7811"/>
    <w:rsid w:val="7CB12BEE"/>
    <w:rsid w:val="7D4D3663"/>
    <w:rsid w:val="7DD057FB"/>
    <w:rsid w:val="7E9E0AA1"/>
    <w:rsid w:val="7EA62CDF"/>
    <w:rsid w:val="7EAB14CB"/>
    <w:rsid w:val="7EE16AB0"/>
    <w:rsid w:val="7F6D38F5"/>
    <w:rsid w:val="7F720204"/>
    <w:rsid w:val="7FB1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numPr>
        <w:ilvl w:val="0"/>
        <w:numId w:val="2"/>
      </w:numPr>
      <w:spacing w:before="260" w:after="260" w:line="416" w:lineRule="auto"/>
      <w:outlineLvl w:val="1"/>
    </w:pPr>
    <w:rPr>
      <w:rFonts w:ascii="Arial" w:hAnsi="Arial" w:eastAsia="仿宋_GB2312"/>
      <w:b/>
      <w:bCs/>
      <w:sz w:val="30"/>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6">
    <w:name w:val="toc 7"/>
    <w:basedOn w:val="1"/>
    <w:next w:val="1"/>
    <w:autoRedefine/>
    <w:semiHidden/>
    <w:qFormat/>
    <w:uiPriority w:val="0"/>
    <w:pPr>
      <w:ind w:left="1260"/>
      <w:jc w:val="left"/>
    </w:pPr>
    <w:rPr>
      <w:rFonts w:ascii="Calibri" w:hAnsi="Calibri" w:cs="Calibri"/>
      <w:sz w:val="18"/>
      <w:szCs w:val="18"/>
    </w:rPr>
  </w:style>
  <w:style w:type="paragraph" w:styleId="7">
    <w:name w:val="caption"/>
    <w:basedOn w:val="1"/>
    <w:next w:val="1"/>
    <w:autoRedefine/>
    <w:qFormat/>
    <w:uiPriority w:val="0"/>
    <w:rPr>
      <w:rFonts w:ascii="Arial" w:hAnsi="Arial" w:eastAsia="黑体" w:cs="Arial"/>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link w:val="81"/>
    <w:autoRedefine/>
    <w:qFormat/>
    <w:uiPriority w:val="0"/>
    <w:pPr>
      <w:jc w:val="left"/>
    </w:pPr>
    <w:rPr>
      <w:lang w:val="zh-CN"/>
    </w:rPr>
  </w:style>
  <w:style w:type="paragraph" w:styleId="10">
    <w:name w:val="Body Text"/>
    <w:basedOn w:val="1"/>
    <w:autoRedefine/>
    <w:semiHidden/>
    <w:qFormat/>
    <w:uiPriority w:val="0"/>
    <w:pPr>
      <w:spacing w:after="120"/>
    </w:pPr>
  </w:style>
  <w:style w:type="paragraph" w:styleId="11">
    <w:name w:val="toc 5"/>
    <w:basedOn w:val="1"/>
    <w:next w:val="1"/>
    <w:autoRedefine/>
    <w:semiHidden/>
    <w:qFormat/>
    <w:uiPriority w:val="0"/>
    <w:pPr>
      <w:ind w:left="840"/>
      <w:jc w:val="left"/>
    </w:pPr>
    <w:rPr>
      <w:rFonts w:ascii="Calibri" w:hAnsi="Calibri" w:cs="Calibri"/>
      <w:sz w:val="18"/>
      <w:szCs w:val="18"/>
    </w:rPr>
  </w:style>
  <w:style w:type="paragraph" w:styleId="12">
    <w:name w:val="toc 3"/>
    <w:basedOn w:val="1"/>
    <w:next w:val="1"/>
    <w:autoRedefine/>
    <w:qFormat/>
    <w:uiPriority w:val="39"/>
    <w:pPr>
      <w:ind w:left="420"/>
      <w:jc w:val="left"/>
    </w:pPr>
    <w:rPr>
      <w:rFonts w:ascii="Calibri" w:hAnsi="Calibri" w:cs="Calibri"/>
      <w:i/>
      <w:iCs/>
      <w:sz w:val="20"/>
      <w:szCs w:val="20"/>
    </w:rPr>
  </w:style>
  <w:style w:type="paragraph" w:styleId="13">
    <w:name w:val="toc 8"/>
    <w:basedOn w:val="1"/>
    <w:next w:val="1"/>
    <w:autoRedefine/>
    <w:semiHidden/>
    <w:qFormat/>
    <w:uiPriority w:val="0"/>
    <w:pPr>
      <w:ind w:left="1470"/>
      <w:jc w:val="left"/>
    </w:pPr>
    <w:rPr>
      <w:rFonts w:ascii="Calibri" w:hAnsi="Calibri" w:cs="Calibri"/>
      <w:sz w:val="18"/>
      <w:szCs w:val="18"/>
    </w:rPr>
  </w:style>
  <w:style w:type="paragraph" w:styleId="14">
    <w:name w:val="Balloon Text"/>
    <w:basedOn w:val="1"/>
    <w:link w:val="79"/>
    <w:autoRedefine/>
    <w:qFormat/>
    <w:uiPriority w:val="0"/>
    <w:rPr>
      <w:sz w:val="18"/>
      <w:szCs w:val="18"/>
      <w:lang w:val="zh-CN"/>
    </w:rPr>
  </w:style>
  <w:style w:type="paragraph" w:styleId="15">
    <w:name w:val="footer"/>
    <w:basedOn w:val="1"/>
    <w:link w:val="38"/>
    <w:autoRedefine/>
    <w:qFormat/>
    <w:uiPriority w:val="99"/>
    <w:pPr>
      <w:tabs>
        <w:tab w:val="center" w:pos="4153"/>
        <w:tab w:val="right" w:pos="8306"/>
      </w:tabs>
      <w:snapToGrid w:val="0"/>
      <w:jc w:val="left"/>
    </w:pPr>
    <w:rPr>
      <w:sz w:val="18"/>
      <w:szCs w:val="18"/>
      <w:lang w:val="zh-CN"/>
    </w:rPr>
  </w:style>
  <w:style w:type="paragraph" w:styleId="16">
    <w:name w:val="header"/>
    <w:basedOn w:val="1"/>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spacing w:before="120" w:after="120"/>
      <w:jc w:val="left"/>
    </w:pPr>
    <w:rPr>
      <w:rFonts w:ascii="Calibri" w:hAnsi="Calibri" w:cs="Calibri"/>
      <w:b/>
      <w:bCs/>
      <w:caps/>
      <w:sz w:val="20"/>
      <w:szCs w:val="20"/>
    </w:rPr>
  </w:style>
  <w:style w:type="paragraph" w:styleId="18">
    <w:name w:val="toc 4"/>
    <w:basedOn w:val="1"/>
    <w:next w:val="1"/>
    <w:autoRedefine/>
    <w:semiHidden/>
    <w:qFormat/>
    <w:uiPriority w:val="0"/>
    <w:pPr>
      <w:ind w:left="630"/>
      <w:jc w:val="left"/>
    </w:pPr>
    <w:rPr>
      <w:rFonts w:ascii="Calibri" w:hAnsi="Calibri" w:cs="Calibri"/>
      <w:sz w:val="18"/>
      <w:szCs w:val="18"/>
    </w:rPr>
  </w:style>
  <w:style w:type="paragraph" w:styleId="19">
    <w:name w:val="Subtitle"/>
    <w:basedOn w:val="1"/>
    <w:next w:val="1"/>
    <w:link w:val="41"/>
    <w:autoRedefine/>
    <w:qFormat/>
    <w:uiPriority w:val="0"/>
    <w:pPr>
      <w:spacing w:line="312" w:lineRule="auto"/>
      <w:jc w:val="left"/>
      <w:outlineLvl w:val="1"/>
    </w:pPr>
    <w:rPr>
      <w:rFonts w:ascii="Cambria" w:hAnsi="Cambria"/>
      <w:b/>
      <w:bCs/>
      <w:kern w:val="28"/>
      <w:sz w:val="30"/>
      <w:szCs w:val="32"/>
      <w:lang w:val="zh-CN"/>
    </w:rPr>
  </w:style>
  <w:style w:type="paragraph" w:styleId="20">
    <w:name w:val="toc 6"/>
    <w:basedOn w:val="1"/>
    <w:next w:val="1"/>
    <w:autoRedefine/>
    <w:semiHidden/>
    <w:qFormat/>
    <w:uiPriority w:val="0"/>
    <w:pPr>
      <w:ind w:left="1050"/>
      <w:jc w:val="left"/>
    </w:pPr>
    <w:rPr>
      <w:rFonts w:ascii="Calibri" w:hAnsi="Calibri" w:cs="Calibri"/>
      <w:sz w:val="18"/>
      <w:szCs w:val="18"/>
    </w:rPr>
  </w:style>
  <w:style w:type="paragraph" w:styleId="21">
    <w:name w:val="toc 2"/>
    <w:basedOn w:val="1"/>
    <w:next w:val="1"/>
    <w:autoRedefine/>
    <w:qFormat/>
    <w:uiPriority w:val="39"/>
    <w:pPr>
      <w:ind w:left="210"/>
      <w:jc w:val="left"/>
    </w:pPr>
    <w:rPr>
      <w:rFonts w:ascii="Calibri" w:hAnsi="Calibri" w:cs="Calibri"/>
      <w:smallCaps/>
      <w:sz w:val="20"/>
      <w:szCs w:val="20"/>
    </w:rPr>
  </w:style>
  <w:style w:type="paragraph" w:styleId="22">
    <w:name w:val="toc 9"/>
    <w:basedOn w:val="1"/>
    <w:next w:val="1"/>
    <w:autoRedefine/>
    <w:semiHidden/>
    <w:qFormat/>
    <w:uiPriority w:val="0"/>
    <w:pPr>
      <w:ind w:left="1680"/>
      <w:jc w:val="left"/>
    </w:pPr>
    <w:rPr>
      <w:rFonts w:ascii="Calibri" w:hAnsi="Calibri" w:cs="Calibri"/>
      <w:sz w:val="18"/>
      <w:szCs w:val="18"/>
    </w:rPr>
  </w:style>
  <w:style w:type="paragraph" w:styleId="23">
    <w:name w:val="Normal (Web)"/>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9"/>
    <w:next w:val="9"/>
    <w:link w:val="82"/>
    <w:autoRedefine/>
    <w:qFormat/>
    <w:uiPriority w:val="0"/>
    <w:rPr>
      <w:b/>
      <w:bCs/>
    </w:rPr>
  </w:style>
  <w:style w:type="table" w:styleId="26">
    <w:name w:val="Table Grid"/>
    <w:basedOn w:val="2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basedOn w:val="27"/>
    <w:autoRedefine/>
    <w:qFormat/>
    <w:uiPriority w:val="0"/>
    <w:rPr>
      <w:b/>
    </w:rPr>
  </w:style>
  <w:style w:type="character" w:styleId="29">
    <w:name w:val="page number"/>
    <w:basedOn w:val="27"/>
    <w:autoRedefine/>
    <w:semiHidden/>
    <w:qFormat/>
    <w:uiPriority w:val="0"/>
  </w:style>
  <w:style w:type="character" w:styleId="30">
    <w:name w:val="FollowedHyperlink"/>
    <w:autoRedefine/>
    <w:unhideWhenUsed/>
    <w:qFormat/>
    <w:uiPriority w:val="99"/>
    <w:rPr>
      <w:color w:val="800080"/>
      <w:u w:val="single"/>
    </w:rPr>
  </w:style>
  <w:style w:type="character" w:styleId="31">
    <w:name w:val="Emphasis"/>
    <w:autoRedefine/>
    <w:qFormat/>
    <w:uiPriority w:val="0"/>
    <w:rPr>
      <w:i/>
      <w:iCs/>
    </w:rPr>
  </w:style>
  <w:style w:type="character" w:styleId="32">
    <w:name w:val="Hyperlink"/>
    <w:autoRedefine/>
    <w:qFormat/>
    <w:uiPriority w:val="99"/>
    <w:rPr>
      <w:color w:val="0000FF"/>
      <w:u w:val="single"/>
    </w:rPr>
  </w:style>
  <w:style w:type="character" w:styleId="33">
    <w:name w:val="annotation reference"/>
    <w:autoRedefine/>
    <w:qFormat/>
    <w:uiPriority w:val="0"/>
    <w:rPr>
      <w:sz w:val="21"/>
      <w:szCs w:val="21"/>
    </w:rPr>
  </w:style>
  <w:style w:type="paragraph" w:customStyle="1" w:styleId="34">
    <w:name w:val="正文+宋体"/>
    <w:basedOn w:val="10"/>
    <w:autoRedefine/>
    <w:semiHidden/>
    <w:qFormat/>
    <w:uiPriority w:val="0"/>
    <w:pPr>
      <w:spacing w:after="0" w:line="360" w:lineRule="auto"/>
      <w:ind w:firstLine="200" w:firstLineChars="200"/>
    </w:pPr>
    <w:rPr>
      <w:rFonts w:ascii="楷体_GB2312" w:hAnsi="宋体"/>
      <w:b/>
      <w:bCs/>
      <w:sz w:val="24"/>
      <w:szCs w:val="20"/>
    </w:rPr>
  </w:style>
  <w:style w:type="paragraph" w:customStyle="1" w:styleId="35">
    <w:name w:val="Char Char Char"/>
    <w:basedOn w:val="1"/>
    <w:autoRedefine/>
    <w:semiHidden/>
    <w:qFormat/>
    <w:uiPriority w:val="0"/>
    <w:rPr>
      <w:rFonts w:ascii="Tahoma" w:hAnsi="Tahoma"/>
      <w:sz w:val="24"/>
      <w:szCs w:val="20"/>
    </w:rPr>
  </w:style>
  <w:style w:type="paragraph" w:customStyle="1" w:styleId="36">
    <w:name w:val="样式 标题 1 +"/>
    <w:basedOn w:val="3"/>
    <w:autoRedefine/>
    <w:semiHidden/>
    <w:qFormat/>
    <w:uiPriority w:val="0"/>
    <w:pPr>
      <w:spacing w:before="0" w:after="0" w:line="360" w:lineRule="auto"/>
    </w:pPr>
    <w:rPr>
      <w:kern w:val="0"/>
      <w:sz w:val="28"/>
    </w:rPr>
  </w:style>
  <w:style w:type="paragraph" w:customStyle="1" w:styleId="37">
    <w:name w:val="Char Char Char Char"/>
    <w:basedOn w:val="1"/>
    <w:autoRedefine/>
    <w:qFormat/>
    <w:uiPriority w:val="0"/>
    <w:rPr>
      <w:rFonts w:ascii="Tahoma" w:hAnsi="Tahoma"/>
      <w:sz w:val="24"/>
      <w:szCs w:val="20"/>
    </w:rPr>
  </w:style>
  <w:style w:type="character" w:customStyle="1" w:styleId="38">
    <w:name w:val="页脚 字符"/>
    <w:link w:val="15"/>
    <w:autoRedefine/>
    <w:qFormat/>
    <w:uiPriority w:val="99"/>
    <w:rPr>
      <w:kern w:val="2"/>
      <w:sz w:val="18"/>
      <w:szCs w:val="18"/>
    </w:rPr>
  </w:style>
  <w:style w:type="character" w:customStyle="1" w:styleId="39">
    <w:name w:val="lawsitemtext1"/>
    <w:autoRedefine/>
    <w:semiHidden/>
    <w:qFormat/>
    <w:uiPriority w:val="0"/>
    <w:rPr>
      <w:color w:val="303030"/>
      <w:sz w:val="18"/>
      <w:szCs w:val="18"/>
    </w:rPr>
  </w:style>
  <w:style w:type="character" w:customStyle="1" w:styleId="40">
    <w:name w:val="lawsitemtitle1"/>
    <w:autoRedefine/>
    <w:semiHidden/>
    <w:qFormat/>
    <w:uiPriority w:val="0"/>
    <w:rPr>
      <w:b/>
      <w:bCs/>
      <w:color w:val="FF0000"/>
      <w:sz w:val="27"/>
      <w:szCs w:val="27"/>
    </w:rPr>
  </w:style>
  <w:style w:type="character" w:customStyle="1" w:styleId="41">
    <w:name w:val="副标题 字符"/>
    <w:link w:val="19"/>
    <w:autoRedefine/>
    <w:qFormat/>
    <w:uiPriority w:val="0"/>
    <w:rPr>
      <w:rFonts w:ascii="Cambria" w:hAnsi="Cambria"/>
      <w:b/>
      <w:bCs/>
      <w:kern w:val="28"/>
      <w:sz w:val="30"/>
      <w:szCs w:val="32"/>
    </w:rPr>
  </w:style>
  <w:style w:type="paragraph" w:customStyle="1" w:styleId="4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4">
    <w:name w:val="xl67"/>
    <w:basedOn w:val="1"/>
    <w:autoRedefine/>
    <w:qFormat/>
    <w:uiPriority w:val="0"/>
    <w:pPr>
      <w:widowControl/>
      <w:spacing w:before="100" w:beforeAutospacing="1" w:after="100" w:afterAutospacing="1"/>
      <w:jc w:val="left"/>
    </w:pPr>
    <w:rPr>
      <w:rFonts w:ascii="仿宋_GB2312" w:hAnsi="宋体" w:eastAsia="仿宋_GB2312" w:cs="宋体"/>
      <w:kern w:val="0"/>
      <w:sz w:val="24"/>
    </w:rPr>
  </w:style>
  <w:style w:type="paragraph" w:customStyle="1" w:styleId="45">
    <w:name w:val="xl6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46">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48">
    <w:name w:val="xl71"/>
    <w:basedOn w:val="1"/>
    <w:autoRedefine/>
    <w:qFormat/>
    <w:uiPriority w:val="0"/>
    <w:pPr>
      <w:widowControl/>
      <w:spacing w:before="100" w:beforeAutospacing="1" w:after="100" w:afterAutospacing="1"/>
      <w:jc w:val="left"/>
    </w:pPr>
    <w:rPr>
      <w:rFonts w:ascii="仿宋_GB2312" w:hAnsi="宋体" w:eastAsia="仿宋_GB2312" w:cs="宋体"/>
      <w:color w:val="800000"/>
      <w:kern w:val="0"/>
      <w:sz w:val="24"/>
    </w:rPr>
  </w:style>
  <w:style w:type="paragraph" w:customStyle="1" w:styleId="49">
    <w:name w:val="xl72"/>
    <w:basedOn w:val="1"/>
    <w:autoRedefine/>
    <w:qFormat/>
    <w:uiPriority w:val="0"/>
    <w:pPr>
      <w:widowControl/>
      <w:spacing w:before="100" w:beforeAutospacing="1" w:after="100" w:afterAutospacing="1"/>
      <w:jc w:val="left"/>
    </w:pPr>
    <w:rPr>
      <w:rFonts w:ascii="仿宋_GB2312" w:hAnsi="宋体" w:eastAsia="仿宋_GB2312" w:cs="宋体"/>
      <w:color w:val="FF0000"/>
      <w:kern w:val="0"/>
      <w:sz w:val="24"/>
    </w:rPr>
  </w:style>
  <w:style w:type="paragraph" w:customStyle="1" w:styleId="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51">
    <w:name w:val="xl7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52">
    <w:name w:val="xl75"/>
    <w:basedOn w:val="1"/>
    <w:autoRedefine/>
    <w:qFormat/>
    <w:uiPriority w:val="0"/>
    <w:pPr>
      <w:widowControl/>
      <w:spacing w:before="100" w:beforeAutospacing="1" w:after="100" w:afterAutospacing="1"/>
      <w:jc w:val="left"/>
    </w:pPr>
    <w:rPr>
      <w:rFonts w:ascii="仿宋_GB2312" w:hAnsi="宋体" w:eastAsia="仿宋_GB2312" w:cs="宋体"/>
      <w:color w:val="993300"/>
      <w:kern w:val="0"/>
      <w:sz w:val="24"/>
    </w:rPr>
  </w:style>
  <w:style w:type="paragraph" w:customStyle="1" w:styleId="5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54">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55">
    <w:name w:val="xl78"/>
    <w:basedOn w:val="1"/>
    <w:autoRedefine/>
    <w:qFormat/>
    <w:uiPriority w:val="0"/>
    <w:pPr>
      <w:widowControl/>
      <w:spacing w:before="100" w:beforeAutospacing="1" w:after="100" w:afterAutospacing="1"/>
      <w:jc w:val="left"/>
    </w:pPr>
    <w:rPr>
      <w:rFonts w:ascii="仿宋_GB2312" w:hAnsi="宋体" w:eastAsia="仿宋_GB2312" w:cs="宋体"/>
      <w:color w:val="FF6600"/>
      <w:kern w:val="0"/>
      <w:sz w:val="24"/>
    </w:rPr>
  </w:style>
  <w:style w:type="paragraph" w:customStyle="1" w:styleId="56">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57">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58">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59">
    <w:name w:val="xl82"/>
    <w:basedOn w:val="1"/>
    <w:autoRedefine/>
    <w:qFormat/>
    <w:uiPriority w:val="0"/>
    <w:pPr>
      <w:widowControl/>
      <w:spacing w:before="100" w:beforeAutospacing="1" w:after="100" w:afterAutospacing="1"/>
      <w:jc w:val="left"/>
    </w:pPr>
    <w:rPr>
      <w:rFonts w:ascii="仿宋_GB2312" w:hAnsi="宋体" w:eastAsia="仿宋_GB2312" w:cs="宋体"/>
      <w:b/>
      <w:bCs/>
      <w:kern w:val="0"/>
      <w:sz w:val="24"/>
    </w:rPr>
  </w:style>
  <w:style w:type="paragraph" w:customStyle="1" w:styleId="60">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2B2B2"/>
      <w:spacing w:before="100" w:beforeAutospacing="1" w:after="100" w:afterAutospacing="1"/>
      <w:jc w:val="center"/>
    </w:pPr>
    <w:rPr>
      <w:rFonts w:ascii="仿宋_GB2312" w:hAnsi="宋体" w:eastAsia="仿宋_GB2312" w:cs="宋体"/>
      <w:kern w:val="0"/>
      <w:sz w:val="20"/>
      <w:szCs w:val="20"/>
    </w:rPr>
  </w:style>
  <w:style w:type="paragraph" w:customStyle="1" w:styleId="61">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2B2B2"/>
      <w:spacing w:before="100" w:beforeAutospacing="1" w:after="100" w:afterAutospacing="1"/>
      <w:jc w:val="center"/>
    </w:pPr>
    <w:rPr>
      <w:rFonts w:ascii="仿宋_GB2312" w:hAnsi="宋体" w:eastAsia="仿宋_GB2312" w:cs="宋体"/>
      <w:kern w:val="0"/>
      <w:sz w:val="20"/>
      <w:szCs w:val="20"/>
    </w:rPr>
  </w:style>
  <w:style w:type="paragraph" w:customStyle="1" w:styleId="62">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2B2B2"/>
      <w:spacing w:before="100" w:beforeAutospacing="1" w:after="100" w:afterAutospacing="1"/>
      <w:jc w:val="center"/>
    </w:pPr>
    <w:rPr>
      <w:rFonts w:ascii="仿宋_GB2312" w:hAnsi="宋体" w:eastAsia="仿宋_GB2312" w:cs="宋体"/>
      <w:kern w:val="0"/>
      <w:sz w:val="20"/>
      <w:szCs w:val="20"/>
    </w:rPr>
  </w:style>
  <w:style w:type="paragraph" w:customStyle="1" w:styleId="63">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2B2B2"/>
      <w:spacing w:before="100" w:beforeAutospacing="1" w:after="100" w:afterAutospacing="1"/>
      <w:jc w:val="center"/>
    </w:pPr>
    <w:rPr>
      <w:rFonts w:ascii="仿宋_GB2312" w:hAnsi="宋体" w:eastAsia="仿宋_GB2312" w:cs="宋体"/>
      <w:kern w:val="0"/>
      <w:sz w:val="20"/>
      <w:szCs w:val="20"/>
    </w:rPr>
  </w:style>
  <w:style w:type="paragraph" w:customStyle="1" w:styleId="64">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2B2B2"/>
      <w:spacing w:before="100" w:beforeAutospacing="1" w:after="100" w:afterAutospacing="1"/>
      <w:jc w:val="center"/>
    </w:pPr>
    <w:rPr>
      <w:rFonts w:ascii="仿宋_GB2312" w:hAnsi="宋体" w:eastAsia="仿宋_GB2312" w:cs="宋体"/>
      <w:b/>
      <w:bCs/>
      <w:kern w:val="0"/>
      <w:sz w:val="20"/>
      <w:szCs w:val="20"/>
    </w:rPr>
  </w:style>
  <w:style w:type="paragraph" w:customStyle="1" w:styleId="65">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2B2B2"/>
      <w:spacing w:before="100" w:beforeAutospacing="1" w:after="100" w:afterAutospacing="1"/>
      <w:jc w:val="center"/>
    </w:pPr>
    <w:rPr>
      <w:rFonts w:ascii="仿宋_GB2312" w:hAnsi="宋体" w:eastAsia="仿宋_GB2312" w:cs="宋体"/>
      <w:b/>
      <w:bCs/>
      <w:kern w:val="0"/>
      <w:sz w:val="20"/>
      <w:szCs w:val="20"/>
    </w:rPr>
  </w:style>
  <w:style w:type="paragraph" w:customStyle="1" w:styleId="66">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2B2B2"/>
      <w:spacing w:before="100" w:beforeAutospacing="1" w:after="100" w:afterAutospacing="1"/>
      <w:jc w:val="center"/>
    </w:pPr>
    <w:rPr>
      <w:rFonts w:ascii="仿宋_GB2312" w:hAnsi="宋体" w:eastAsia="仿宋_GB2312" w:cs="宋体"/>
      <w:b/>
      <w:bCs/>
      <w:kern w:val="0"/>
      <w:sz w:val="20"/>
      <w:szCs w:val="20"/>
    </w:rPr>
  </w:style>
  <w:style w:type="paragraph" w:customStyle="1" w:styleId="67">
    <w:name w:val="xl90"/>
    <w:basedOn w:val="1"/>
    <w:autoRedefine/>
    <w:qFormat/>
    <w:uiPriority w:val="0"/>
    <w:pPr>
      <w:widowControl/>
      <w:spacing w:before="100" w:beforeAutospacing="1" w:after="100" w:afterAutospacing="1"/>
      <w:jc w:val="left"/>
    </w:pPr>
    <w:rPr>
      <w:rFonts w:ascii="仿宋_GB2312" w:hAnsi="宋体" w:eastAsia="仿宋_GB2312" w:cs="宋体"/>
      <w:b/>
      <w:bCs/>
      <w:kern w:val="0"/>
      <w:sz w:val="24"/>
    </w:rPr>
  </w:style>
  <w:style w:type="paragraph" w:customStyle="1" w:styleId="6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69">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70">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71">
    <w:name w:val="xl94"/>
    <w:basedOn w:val="1"/>
    <w:autoRedefine/>
    <w:qFormat/>
    <w:uiPriority w:val="0"/>
    <w:pPr>
      <w:widowControl/>
      <w:pBdr>
        <w:top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72">
    <w:name w:val="xl95"/>
    <w:basedOn w:val="1"/>
    <w:autoRedefine/>
    <w:qFormat/>
    <w:uiPriority w:val="0"/>
    <w:pPr>
      <w:widowControl/>
      <w:pBdr>
        <w:top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73">
    <w:name w:val="xl96"/>
    <w:basedOn w:val="1"/>
    <w:autoRedefine/>
    <w:qFormat/>
    <w:uiPriority w:val="0"/>
    <w:pPr>
      <w:widowControl/>
      <w:pBdr>
        <w:top w:val="single" w:color="auto" w:sz="4" w:space="0"/>
        <w:left w:val="single" w:color="auto" w:sz="4" w:space="0"/>
        <w:bottom w:val="single" w:color="auto" w:sz="4" w:space="0"/>
      </w:pBdr>
      <w:shd w:val="clear" w:color="000000" w:fill="B2B2B2"/>
      <w:spacing w:before="100" w:beforeAutospacing="1" w:after="100" w:afterAutospacing="1"/>
      <w:jc w:val="center"/>
    </w:pPr>
    <w:rPr>
      <w:rFonts w:ascii="仿宋_GB2312" w:hAnsi="宋体" w:eastAsia="仿宋_GB2312" w:cs="宋体"/>
      <w:b/>
      <w:bCs/>
      <w:kern w:val="0"/>
      <w:sz w:val="20"/>
      <w:szCs w:val="20"/>
    </w:rPr>
  </w:style>
  <w:style w:type="paragraph" w:customStyle="1" w:styleId="74">
    <w:name w:val="xl97"/>
    <w:basedOn w:val="1"/>
    <w:autoRedefine/>
    <w:qFormat/>
    <w:uiPriority w:val="0"/>
    <w:pPr>
      <w:widowControl/>
      <w:pBdr>
        <w:top w:val="single" w:color="auto" w:sz="4" w:space="0"/>
        <w:bottom w:val="single" w:color="auto" w:sz="4" w:space="0"/>
      </w:pBdr>
      <w:shd w:val="clear" w:color="000000" w:fill="B2B2B2"/>
      <w:spacing w:before="100" w:beforeAutospacing="1" w:after="100" w:afterAutospacing="1"/>
      <w:jc w:val="center"/>
    </w:pPr>
    <w:rPr>
      <w:rFonts w:ascii="仿宋_GB2312" w:hAnsi="宋体" w:eastAsia="仿宋_GB2312" w:cs="宋体"/>
      <w:b/>
      <w:bCs/>
      <w:kern w:val="0"/>
      <w:sz w:val="20"/>
      <w:szCs w:val="20"/>
    </w:rPr>
  </w:style>
  <w:style w:type="paragraph" w:customStyle="1" w:styleId="75">
    <w:name w:val="xl98"/>
    <w:basedOn w:val="1"/>
    <w:autoRedefine/>
    <w:qFormat/>
    <w:uiPriority w:val="0"/>
    <w:pPr>
      <w:widowControl/>
      <w:pBdr>
        <w:top w:val="single" w:color="auto" w:sz="4" w:space="0"/>
        <w:bottom w:val="single" w:color="auto" w:sz="4" w:space="0"/>
        <w:right w:val="single" w:color="auto" w:sz="4" w:space="0"/>
      </w:pBdr>
      <w:shd w:val="clear" w:color="000000" w:fill="B2B2B2"/>
      <w:spacing w:before="100" w:beforeAutospacing="1" w:after="100" w:afterAutospacing="1"/>
      <w:jc w:val="center"/>
    </w:pPr>
    <w:rPr>
      <w:rFonts w:ascii="仿宋_GB2312" w:hAnsi="宋体" w:eastAsia="仿宋_GB2312" w:cs="宋体"/>
      <w:b/>
      <w:bCs/>
      <w:kern w:val="0"/>
      <w:sz w:val="20"/>
      <w:szCs w:val="20"/>
    </w:rPr>
  </w:style>
  <w:style w:type="paragraph" w:customStyle="1" w:styleId="76">
    <w:name w:val="xl9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77">
    <w:name w:val="xl100"/>
    <w:basedOn w:val="1"/>
    <w:autoRedefine/>
    <w:qFormat/>
    <w:uiPriority w:val="0"/>
    <w:pPr>
      <w:widowControl/>
      <w:pBdr>
        <w:top w:val="single" w:color="auto" w:sz="4" w:space="0"/>
        <w:bottom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78">
    <w:name w:val="xl10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character" w:customStyle="1" w:styleId="79">
    <w:name w:val="批注框文本 字符"/>
    <w:link w:val="14"/>
    <w:autoRedefine/>
    <w:qFormat/>
    <w:uiPriority w:val="0"/>
    <w:rPr>
      <w:kern w:val="2"/>
      <w:sz w:val="18"/>
      <w:szCs w:val="18"/>
    </w:rPr>
  </w:style>
  <w:style w:type="paragraph" w:customStyle="1" w:styleId="80">
    <w:name w:val="TOC 标题1"/>
    <w:basedOn w:val="3"/>
    <w:next w:val="1"/>
    <w:autoRedefine/>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81">
    <w:name w:val="批注文字 字符"/>
    <w:link w:val="9"/>
    <w:autoRedefine/>
    <w:qFormat/>
    <w:uiPriority w:val="0"/>
    <w:rPr>
      <w:kern w:val="2"/>
      <w:sz w:val="21"/>
      <w:szCs w:val="24"/>
    </w:rPr>
  </w:style>
  <w:style w:type="character" w:customStyle="1" w:styleId="82">
    <w:name w:val="批注主题 字符"/>
    <w:link w:val="24"/>
    <w:autoRedefine/>
    <w:qFormat/>
    <w:uiPriority w:val="0"/>
    <w:rPr>
      <w:b/>
      <w:bCs/>
      <w:kern w:val="2"/>
      <w:sz w:val="21"/>
      <w:szCs w:val="24"/>
    </w:rPr>
  </w:style>
  <w:style w:type="paragraph" w:customStyle="1" w:styleId="83">
    <w:name w:val="样式 标题 2 + (西文) 宋体 四号 段前: 5 磅 段后: 5 磅 行距: 1.5 倍行距 + 首行缩进:  2 字符 +...1"/>
    <w:basedOn w:val="1"/>
    <w:autoRedefine/>
    <w:qFormat/>
    <w:uiPriority w:val="0"/>
    <w:pPr>
      <w:keepNext/>
      <w:keepLines/>
      <w:tabs>
        <w:tab w:val="left" w:pos="840"/>
      </w:tabs>
      <w:spacing w:line="360" w:lineRule="auto"/>
      <w:ind w:left="840" w:hanging="420"/>
      <w:outlineLvl w:val="1"/>
    </w:pPr>
    <w:rPr>
      <w:rFonts w:ascii="Arial" w:hAnsi="Arial" w:eastAsia="楷体_GB2312" w:cs="宋体"/>
      <w:b/>
      <w:bCs/>
      <w:sz w:val="32"/>
      <w:szCs w:val="20"/>
      <w:lang w:val="zh-CN"/>
    </w:rPr>
  </w:style>
  <w:style w:type="paragraph" w:customStyle="1" w:styleId="84">
    <w:name w:val="样式 标题 1 + + (西文) 黑体 (中文) 黑体 小三 非加粗 左侧:  0 厘米 首行缩进:  0 厘米"/>
    <w:basedOn w:val="1"/>
    <w:next w:val="1"/>
    <w:autoRedefine/>
    <w:qFormat/>
    <w:uiPriority w:val="0"/>
    <w:pPr>
      <w:keepNext/>
      <w:keepLines/>
      <w:tabs>
        <w:tab w:val="left" w:pos="2580"/>
      </w:tabs>
      <w:spacing w:beforeLines="50" w:afterLines="50" w:line="360" w:lineRule="auto"/>
      <w:ind w:left="2580" w:hanging="420"/>
      <w:outlineLvl w:val="0"/>
    </w:pPr>
    <w:rPr>
      <w:rFonts w:ascii="黑体" w:eastAsia="黑体" w:cs="宋体"/>
      <w:kern w:val="0"/>
      <w:sz w:val="32"/>
      <w:szCs w:val="20"/>
    </w:rPr>
  </w:style>
  <w:style w:type="paragraph" w:customStyle="1" w:styleId="85">
    <w:name w:val="样式 标题 2 + 首行缩进:  2 字符"/>
    <w:basedOn w:val="4"/>
    <w:autoRedefine/>
    <w:qFormat/>
    <w:uiPriority w:val="0"/>
    <w:pPr>
      <w:numPr>
        <w:numId w:val="0"/>
      </w:numPr>
      <w:spacing w:before="0" w:after="0" w:line="415" w:lineRule="auto"/>
      <w:ind w:firstLine="200" w:firstLineChars="200"/>
    </w:pPr>
    <w:rPr>
      <w:rFonts w:eastAsia="楷体_GB2312" w:cs="宋体"/>
      <w:sz w:val="32"/>
      <w:szCs w:val="20"/>
    </w:rPr>
  </w:style>
  <w:style w:type="table" w:customStyle="1" w:styleId="86">
    <w:name w:val="网格型1"/>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CB02F-E9F6-4054-A384-0D310667B4C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7773</Words>
  <Characters>9760</Characters>
  <Lines>85</Lines>
  <Paragraphs>24</Paragraphs>
  <TotalTime>20</TotalTime>
  <ScaleCrop>false</ScaleCrop>
  <LinksUpToDate>false</LinksUpToDate>
  <CharactersWithSpaces>9869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2021-03-11T13:20:00Z</dcterms:created>
  <dc:creator>雨林木风</dc:creator>
  <cp:lastModifiedBy>梁辉</cp:lastModifiedBy>
  <cp:lastPrinted>2023-03-20T23:50:00Z</cp:lastPrinted>
  <dcterms:modified xsi:type="dcterms:W3CDTF">2025-04-24T10:59:49Z</dcterms:modified>
  <dc:title>博罗县2017年度国有建设用地</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480C74A0F44841558C79B1BEBBFDE6CD</vt:lpwstr>
  </property>
  <property fmtid="{D5CDD505-2E9C-101B-9397-08002B2CF9AE}" pid="4" name="KSOTemplateDocerSaveRecord">
    <vt:lpwstr>eyJoZGlkIjoiMTRmNDRkOGNjZGYzMDJlZTIyOTMzNjM5ZmNkZTlkNzUifQ==</vt:lpwstr>
  </property>
</Properties>
</file>