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mbeddings/Microsoft_Visio___2.vsdx" ContentType="application/vnd.ms-visio.drawing"/>
  <Override PartName="/word/embeddings/Microsoft_Visio___3.vsdx" ContentType="application/vnd.ms-visio.drawing"/>
  <Override PartName="/word/embeddings/Microsoft_Visio___4.vsdx" ContentType="application/vnd.ms-visio.drawing"/>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9501EB8">
      <w:pPr>
        <w:ind w:firstLine="0" w:firstLineChars="0"/>
        <w:rPr>
          <w:rFonts w:eastAsia="仿宋_GB2312"/>
          <w:sz w:val="36"/>
          <w:szCs w:val="36"/>
        </w:rPr>
      </w:pPr>
    </w:p>
    <w:p w14:paraId="11E48322">
      <w:pPr>
        <w:pStyle w:val="42"/>
        <w:ind w:firstLine="480"/>
        <w:rPr>
          <w:color w:val="auto"/>
        </w:rPr>
      </w:pPr>
    </w:p>
    <w:p w14:paraId="38DF0C24">
      <w:pPr>
        <w:ind w:firstLine="0" w:firstLineChars="0"/>
        <w:rPr>
          <w:rFonts w:eastAsia="仿宋_GB2312"/>
          <w:sz w:val="36"/>
          <w:szCs w:val="36"/>
        </w:rPr>
      </w:pPr>
    </w:p>
    <w:p w14:paraId="56F5545D">
      <w:pPr>
        <w:adjustRightInd w:val="0"/>
        <w:snapToGrid w:val="0"/>
        <w:ind w:firstLine="0" w:firstLineChars="0"/>
        <w:jc w:val="center"/>
        <w:rPr>
          <w:rFonts w:eastAsia="方正小标宋_GBK"/>
          <w:bCs/>
          <w:sz w:val="72"/>
          <w:szCs w:val="72"/>
        </w:rPr>
      </w:pPr>
      <w:bookmarkStart w:id="0" w:name="_Toc31341"/>
      <w:bookmarkStart w:id="1" w:name="_Toc26389"/>
      <w:bookmarkStart w:id="2" w:name="_Toc4631"/>
      <w:bookmarkStart w:id="3" w:name="_Toc612"/>
      <w:bookmarkStart w:id="4" w:name="_Toc10272"/>
      <w:bookmarkStart w:id="5" w:name="_Toc25052"/>
      <w:bookmarkStart w:id="6" w:name="_Toc5850"/>
      <w:bookmarkStart w:id="7" w:name="_Toc2632"/>
      <w:bookmarkStart w:id="8" w:name="_Toc17187"/>
      <w:bookmarkStart w:id="9" w:name="_Toc6314"/>
      <w:bookmarkStart w:id="10" w:name="_Toc22453"/>
      <w:bookmarkStart w:id="11" w:name="_Toc17091"/>
      <w:bookmarkStart w:id="12" w:name="_Toc28704"/>
      <w:bookmarkStart w:id="13" w:name="_Toc28826"/>
      <w:r>
        <w:rPr>
          <w:rFonts w:eastAsia="方正小标宋_GBK"/>
          <w:bCs/>
          <w:sz w:val="72"/>
          <w:szCs w:val="72"/>
        </w:rPr>
        <w:t>建设项目环境影响报告表</w:t>
      </w:r>
      <w:bookmarkEnd w:id="0"/>
      <w:bookmarkEnd w:id="1"/>
      <w:bookmarkEnd w:id="2"/>
      <w:bookmarkEnd w:id="3"/>
      <w:bookmarkEnd w:id="4"/>
      <w:bookmarkEnd w:id="5"/>
      <w:bookmarkEnd w:id="6"/>
      <w:bookmarkEnd w:id="7"/>
      <w:bookmarkEnd w:id="8"/>
      <w:bookmarkEnd w:id="9"/>
      <w:bookmarkEnd w:id="10"/>
      <w:bookmarkEnd w:id="11"/>
      <w:bookmarkEnd w:id="12"/>
      <w:bookmarkEnd w:id="13"/>
    </w:p>
    <w:p w14:paraId="46D537DC">
      <w:pPr>
        <w:adjustRightInd w:val="0"/>
        <w:snapToGrid w:val="0"/>
        <w:ind w:firstLine="0" w:firstLineChars="0"/>
        <w:jc w:val="center"/>
        <w:rPr>
          <w:rFonts w:eastAsia="楷体_GB2312"/>
          <w:bCs/>
          <w:sz w:val="48"/>
          <w:szCs w:val="48"/>
        </w:rPr>
      </w:pPr>
      <w:r>
        <w:rPr>
          <w:rFonts w:eastAsia="楷体_GB2312"/>
          <w:bCs/>
          <w:sz w:val="48"/>
          <w:szCs w:val="48"/>
        </w:rPr>
        <w:t>（污染影响类）</w:t>
      </w:r>
    </w:p>
    <w:p w14:paraId="77F05EEA">
      <w:pPr>
        <w:adjustRightInd w:val="0"/>
        <w:snapToGrid w:val="0"/>
        <w:spacing w:line="288" w:lineRule="auto"/>
        <w:ind w:firstLine="0" w:firstLineChars="0"/>
        <w:jc w:val="center"/>
        <w:rPr>
          <w:rFonts w:eastAsia="华文仿宋"/>
          <w:kern w:val="44"/>
          <w:sz w:val="44"/>
          <w:szCs w:val="44"/>
        </w:rPr>
      </w:pPr>
    </w:p>
    <w:p w14:paraId="52A61063">
      <w:pPr>
        <w:ind w:firstLine="0" w:firstLineChars="0"/>
        <w:jc w:val="center"/>
        <w:rPr>
          <w:rFonts w:eastAsia="仿宋"/>
          <w:sz w:val="52"/>
          <w:szCs w:val="52"/>
        </w:rPr>
      </w:pPr>
    </w:p>
    <w:p w14:paraId="560D77DD">
      <w:pPr>
        <w:ind w:firstLine="0" w:firstLineChars="0"/>
        <w:rPr>
          <w:rFonts w:eastAsia="仿宋"/>
          <w:sz w:val="44"/>
          <w:szCs w:val="44"/>
        </w:rPr>
      </w:pPr>
    </w:p>
    <w:p w14:paraId="4D67224D">
      <w:pPr>
        <w:ind w:firstLine="0" w:firstLineChars="0"/>
        <w:rPr>
          <w:rFonts w:eastAsia="仿宋"/>
          <w:sz w:val="44"/>
          <w:szCs w:val="44"/>
        </w:rPr>
      </w:pPr>
    </w:p>
    <w:p w14:paraId="7B93D641">
      <w:pPr>
        <w:ind w:firstLine="0" w:firstLineChars="0"/>
        <w:rPr>
          <w:rFonts w:eastAsia="仿宋"/>
          <w:sz w:val="44"/>
          <w:szCs w:val="44"/>
        </w:rPr>
      </w:pPr>
    </w:p>
    <w:p w14:paraId="18F0000D">
      <w:pPr>
        <w:adjustRightInd w:val="0"/>
        <w:snapToGrid w:val="0"/>
        <w:spacing w:line="288" w:lineRule="auto"/>
        <w:ind w:firstLine="0" w:firstLineChars="0"/>
        <w:jc w:val="center"/>
        <w:rPr>
          <w:sz w:val="32"/>
          <w:szCs w:val="32"/>
          <w:u w:val="single"/>
        </w:rPr>
      </w:pPr>
      <w:r>
        <w:rPr>
          <w:sz w:val="32"/>
          <w:szCs w:val="32"/>
        </w:rPr>
        <w:t>项目名称：</w:t>
      </w:r>
      <w:bookmarkStart w:id="14" w:name="OLE_LINK335"/>
      <w:r>
        <w:rPr>
          <w:rFonts w:hint="eastAsia"/>
          <w:sz w:val="32"/>
          <w:szCs w:val="32"/>
          <w:u w:val="single"/>
          <w:lang w:eastAsia="zh-CN"/>
        </w:rPr>
        <w:t>惠州市巨禾新材料科技有限公司</w:t>
      </w:r>
      <w:bookmarkEnd w:id="14"/>
      <w:r>
        <w:rPr>
          <w:rFonts w:hint="eastAsia"/>
          <w:sz w:val="32"/>
          <w:szCs w:val="32"/>
          <w:u w:val="single"/>
        </w:rPr>
        <w:t>年产1000吨TPE热塑性弹性体、200吨仿真娃娃迁扩建项目</w:t>
      </w:r>
    </w:p>
    <w:p w14:paraId="69B31130">
      <w:pPr>
        <w:adjustRightInd w:val="0"/>
        <w:snapToGrid w:val="0"/>
        <w:spacing w:line="288" w:lineRule="auto"/>
        <w:ind w:firstLine="0" w:firstLineChars="0"/>
        <w:jc w:val="center"/>
        <w:rPr>
          <w:rFonts w:hint="eastAsia" w:eastAsia="宋体"/>
          <w:sz w:val="32"/>
          <w:szCs w:val="32"/>
          <w:lang w:eastAsia="zh-CN"/>
        </w:rPr>
      </w:pPr>
      <w:r>
        <w:rPr>
          <w:sz w:val="32"/>
          <w:szCs w:val="32"/>
        </w:rPr>
        <w:t>建设单位（盖章）：</w:t>
      </w:r>
      <w:r>
        <w:rPr>
          <w:rFonts w:hint="eastAsia"/>
          <w:sz w:val="32"/>
          <w:szCs w:val="32"/>
          <w:u w:val="single"/>
          <w:lang w:eastAsia="zh-CN"/>
        </w:rPr>
        <w:t>惠州市巨禾新材料科技有限公司</w:t>
      </w:r>
    </w:p>
    <w:p w14:paraId="2704726C">
      <w:pPr>
        <w:adjustRightInd w:val="0"/>
        <w:snapToGrid w:val="0"/>
        <w:spacing w:line="288" w:lineRule="auto"/>
        <w:ind w:firstLine="0" w:firstLineChars="0"/>
        <w:jc w:val="center"/>
        <w:rPr>
          <w:sz w:val="32"/>
          <w:szCs w:val="32"/>
        </w:rPr>
      </w:pPr>
    </w:p>
    <w:p w14:paraId="7C9099F5">
      <w:pPr>
        <w:adjustRightInd w:val="0"/>
        <w:snapToGrid w:val="0"/>
        <w:spacing w:line="288" w:lineRule="auto"/>
        <w:ind w:firstLine="0" w:firstLineChars="0"/>
        <w:jc w:val="center"/>
        <w:rPr>
          <w:sz w:val="32"/>
          <w:szCs w:val="32"/>
          <w:u w:val="single"/>
        </w:rPr>
      </w:pPr>
      <w:r>
        <w:rPr>
          <w:sz w:val="32"/>
          <w:szCs w:val="32"/>
        </w:rPr>
        <w:t>编制日期：</w:t>
      </w:r>
      <w:r>
        <w:rPr>
          <w:sz w:val="32"/>
          <w:szCs w:val="32"/>
          <w:u w:val="single"/>
        </w:rPr>
        <w:t>202</w:t>
      </w:r>
      <w:r>
        <w:rPr>
          <w:rFonts w:hint="eastAsia"/>
          <w:sz w:val="32"/>
          <w:szCs w:val="32"/>
          <w:u w:val="single"/>
        </w:rPr>
        <w:t>5</w:t>
      </w:r>
      <w:r>
        <w:rPr>
          <w:sz w:val="32"/>
          <w:szCs w:val="32"/>
          <w:u w:val="single"/>
        </w:rPr>
        <w:t>年</w:t>
      </w:r>
      <w:r>
        <w:rPr>
          <w:rFonts w:hint="eastAsia"/>
          <w:sz w:val="32"/>
          <w:szCs w:val="32"/>
          <w:u w:val="single"/>
          <w:lang w:val="en-US" w:eastAsia="zh-CN"/>
        </w:rPr>
        <w:t>5</w:t>
      </w:r>
      <w:r>
        <w:rPr>
          <w:sz w:val="32"/>
          <w:szCs w:val="32"/>
          <w:u w:val="single"/>
        </w:rPr>
        <w:t>月</w:t>
      </w:r>
    </w:p>
    <w:p w14:paraId="0246D1F6">
      <w:pPr>
        <w:adjustRightInd w:val="0"/>
        <w:snapToGrid w:val="0"/>
        <w:spacing w:line="288" w:lineRule="auto"/>
        <w:ind w:firstLine="640"/>
        <w:rPr>
          <w:sz w:val="32"/>
          <w:szCs w:val="32"/>
          <w:u w:val="single"/>
        </w:rPr>
      </w:pPr>
      <w:bookmarkStart w:id="15" w:name="_Hlk57884087"/>
    </w:p>
    <w:p w14:paraId="64AF2FBC">
      <w:pPr>
        <w:adjustRightInd w:val="0"/>
        <w:snapToGrid w:val="0"/>
        <w:spacing w:line="288" w:lineRule="auto"/>
        <w:ind w:firstLine="640"/>
        <w:rPr>
          <w:sz w:val="32"/>
          <w:szCs w:val="32"/>
        </w:rPr>
      </w:pPr>
    </w:p>
    <w:bookmarkEnd w:id="15"/>
    <w:p w14:paraId="743D9DBB">
      <w:pPr>
        <w:adjustRightInd w:val="0"/>
        <w:snapToGrid w:val="0"/>
        <w:spacing w:line="288" w:lineRule="auto"/>
        <w:ind w:firstLine="640"/>
        <w:jc w:val="center"/>
        <w:rPr>
          <w:sz w:val="32"/>
          <w:szCs w:val="32"/>
        </w:rPr>
      </w:pPr>
    </w:p>
    <w:p w14:paraId="0EEDDCF4">
      <w:pPr>
        <w:adjustRightInd w:val="0"/>
        <w:snapToGrid w:val="0"/>
        <w:spacing w:line="288" w:lineRule="auto"/>
        <w:ind w:firstLine="640"/>
        <w:jc w:val="center"/>
        <w:rPr>
          <w:sz w:val="32"/>
          <w:szCs w:val="32"/>
        </w:rPr>
      </w:pPr>
    </w:p>
    <w:p w14:paraId="2C89C2AC">
      <w:pPr>
        <w:adjustRightInd w:val="0"/>
        <w:snapToGrid w:val="0"/>
        <w:spacing w:line="288" w:lineRule="auto"/>
        <w:ind w:firstLine="640"/>
        <w:jc w:val="center"/>
        <w:rPr>
          <w:sz w:val="32"/>
          <w:szCs w:val="32"/>
        </w:rPr>
      </w:pPr>
    </w:p>
    <w:p w14:paraId="500BECD9">
      <w:pPr>
        <w:adjustRightInd w:val="0"/>
        <w:snapToGrid w:val="0"/>
        <w:spacing w:line="288" w:lineRule="auto"/>
        <w:ind w:firstLine="640"/>
        <w:jc w:val="center"/>
        <w:rPr>
          <w:sz w:val="36"/>
          <w:szCs w:val="36"/>
        </w:rPr>
      </w:pPr>
      <w:bookmarkStart w:id="16" w:name="_Toc4053"/>
      <w:r>
        <w:rPr>
          <w:sz w:val="32"/>
          <w:szCs w:val="32"/>
        </w:rPr>
        <w:t>中华人民共和国生态环境部制</w:t>
      </w:r>
      <w:bookmarkEnd w:id="16"/>
    </w:p>
    <w:p w14:paraId="2E7D5816">
      <w:pPr>
        <w:adjustRightInd w:val="0"/>
        <w:snapToGrid w:val="0"/>
        <w:spacing w:line="288" w:lineRule="auto"/>
        <w:rPr>
          <w:sz w:val="36"/>
          <w:szCs w:val="36"/>
        </w:rPr>
        <w:sectPr>
          <w:headerReference r:id="rId7" w:type="first"/>
          <w:footerReference r:id="rId10" w:type="first"/>
          <w:headerReference r:id="rId5" w:type="default"/>
          <w:footerReference r:id="rId8" w:type="default"/>
          <w:headerReference r:id="rId6" w:type="even"/>
          <w:footerReference r:id="rId9" w:type="even"/>
          <w:pgSz w:w="11906" w:h="16838"/>
          <w:pgMar w:top="1440" w:right="1440" w:bottom="1440" w:left="1440" w:header="851" w:footer="1077" w:gutter="0"/>
          <w:pgNumType w:start="3"/>
          <w:cols w:space="720" w:num="1"/>
          <w:docGrid w:linePitch="312" w:charSpace="0"/>
        </w:sectPr>
      </w:pPr>
    </w:p>
    <w:p w14:paraId="6FBF3095">
      <w:pPr>
        <w:spacing w:line="288" w:lineRule="auto"/>
        <w:ind w:firstLine="0" w:firstLineChars="0"/>
        <w:jc w:val="center"/>
        <w:rPr>
          <w:rFonts w:ascii="Times New Roman" w:hAnsi="Times New Roman" w:eastAsia="宋体" w:cs="Times New Roman"/>
          <w:b/>
          <w:kern w:val="2"/>
          <w:sz w:val="24"/>
          <w:szCs w:val="28"/>
          <w:lang w:val="en-US" w:eastAsia="zh-CN" w:bidi="ar-SA"/>
        </w:rPr>
      </w:pPr>
      <w:bookmarkStart w:id="17" w:name="_Toc25981"/>
      <w:bookmarkStart w:id="18" w:name="_Toc2006"/>
      <w:bookmarkStart w:id="19" w:name="_Toc10951"/>
      <w:bookmarkStart w:id="20" w:name="_Toc5813"/>
      <w:bookmarkStart w:id="21" w:name="_Toc13211"/>
      <w:bookmarkStart w:id="22" w:name="_Toc18099"/>
      <w:bookmarkStart w:id="23" w:name="_Toc21147"/>
      <w:bookmarkStart w:id="24" w:name="_Toc22259"/>
      <w:bookmarkStart w:id="25" w:name="_Toc5272"/>
      <w:r>
        <w:rPr>
          <w:b/>
          <w:bCs/>
          <w:snapToGrid w:val="0"/>
          <w:sz w:val="28"/>
          <w:szCs w:val="28"/>
        </w:rPr>
        <w:t>目  录</w:t>
      </w:r>
      <w:bookmarkEnd w:id="17"/>
      <w:bookmarkEnd w:id="18"/>
      <w:bookmarkEnd w:id="19"/>
      <w:bookmarkEnd w:id="20"/>
      <w:bookmarkEnd w:id="21"/>
      <w:bookmarkEnd w:id="22"/>
      <w:bookmarkEnd w:id="23"/>
      <w:bookmarkEnd w:id="24"/>
      <w:bookmarkEnd w:id="25"/>
      <w:r>
        <w:rPr>
          <w:b/>
          <w:sz w:val="28"/>
          <w:szCs w:val="28"/>
        </w:rPr>
        <w:fldChar w:fldCharType="begin"/>
      </w:r>
      <w:r>
        <w:rPr>
          <w:b/>
          <w:sz w:val="28"/>
          <w:szCs w:val="28"/>
        </w:rPr>
        <w:instrText xml:space="preserve">TOC \o "1-1" \h \u </w:instrText>
      </w:r>
      <w:r>
        <w:rPr>
          <w:b/>
          <w:sz w:val="28"/>
          <w:szCs w:val="28"/>
        </w:rPr>
        <w:fldChar w:fldCharType="separate"/>
      </w:r>
    </w:p>
    <w:p w14:paraId="58A88C85">
      <w:pPr>
        <w:pStyle w:val="25"/>
        <w:keepNext w:val="0"/>
        <w:keepLines w:val="0"/>
        <w:pageBreakBefore w:val="0"/>
        <w:widowControl w:val="0"/>
        <w:tabs>
          <w:tab w:val="right" w:leader="dot" w:pos="9026"/>
        </w:tabs>
        <w:kinsoku/>
        <w:wordWrap/>
        <w:overflowPunct/>
        <w:topLinePunct w:val="0"/>
        <w:autoSpaceDE/>
        <w:autoSpaceDN/>
        <w:bidi w:val="0"/>
        <w:adjustRightInd/>
        <w:snapToGrid/>
        <w:spacing w:line="288" w:lineRule="auto"/>
        <w:ind w:firstLine="0" w:firstLineChars="0"/>
        <w:textAlignment w:val="auto"/>
      </w:pPr>
      <w:r>
        <w:rPr>
          <w:szCs w:val="28"/>
        </w:rPr>
        <w:fldChar w:fldCharType="begin"/>
      </w:r>
      <w:r>
        <w:rPr>
          <w:szCs w:val="28"/>
        </w:rPr>
        <w:instrText xml:space="preserve"> HYPERLINK \l _Toc25027 </w:instrText>
      </w:r>
      <w:r>
        <w:rPr>
          <w:szCs w:val="28"/>
        </w:rPr>
        <w:fldChar w:fldCharType="separate"/>
      </w:r>
      <w:r>
        <w:rPr>
          <w:rFonts w:eastAsia="宋体"/>
        </w:rPr>
        <w:t>一、建设项目基本情况</w:t>
      </w:r>
      <w:r>
        <w:tab/>
      </w:r>
      <w:r>
        <w:fldChar w:fldCharType="begin"/>
      </w:r>
      <w:r>
        <w:instrText xml:space="preserve"> PAGEREF _Toc25027 \h </w:instrText>
      </w:r>
      <w:r>
        <w:fldChar w:fldCharType="separate"/>
      </w:r>
      <w:r>
        <w:t>1</w:t>
      </w:r>
      <w:r>
        <w:fldChar w:fldCharType="end"/>
      </w:r>
      <w:r>
        <w:rPr>
          <w:szCs w:val="28"/>
        </w:rPr>
        <w:fldChar w:fldCharType="end"/>
      </w:r>
    </w:p>
    <w:p w14:paraId="30690C6E">
      <w:pPr>
        <w:pStyle w:val="25"/>
        <w:keepNext w:val="0"/>
        <w:keepLines w:val="0"/>
        <w:pageBreakBefore w:val="0"/>
        <w:widowControl w:val="0"/>
        <w:tabs>
          <w:tab w:val="right" w:leader="dot" w:pos="9026"/>
        </w:tabs>
        <w:kinsoku/>
        <w:wordWrap/>
        <w:overflowPunct/>
        <w:topLinePunct w:val="0"/>
        <w:autoSpaceDE/>
        <w:autoSpaceDN/>
        <w:bidi w:val="0"/>
        <w:adjustRightInd/>
        <w:snapToGrid/>
        <w:spacing w:line="288" w:lineRule="auto"/>
        <w:ind w:firstLine="0" w:firstLineChars="0"/>
        <w:textAlignment w:val="auto"/>
      </w:pPr>
      <w:r>
        <w:rPr>
          <w:szCs w:val="28"/>
        </w:rPr>
        <w:fldChar w:fldCharType="begin"/>
      </w:r>
      <w:r>
        <w:rPr>
          <w:szCs w:val="28"/>
        </w:rPr>
        <w:instrText xml:space="preserve"> HYPERLINK \l _Toc13535 </w:instrText>
      </w:r>
      <w:r>
        <w:rPr>
          <w:szCs w:val="28"/>
        </w:rPr>
        <w:fldChar w:fldCharType="separate"/>
      </w:r>
      <w:r>
        <w:rPr>
          <w:rFonts w:ascii="Times New Roman" w:hAnsi="Times New Roman"/>
          <w:bCs/>
          <w:kern w:val="44"/>
          <w:szCs w:val="30"/>
        </w:rPr>
        <w:t>二、建设项目工程分析</w:t>
      </w:r>
      <w:r>
        <w:tab/>
      </w:r>
      <w:r>
        <w:fldChar w:fldCharType="begin"/>
      </w:r>
      <w:r>
        <w:instrText xml:space="preserve"> PAGEREF _Toc13535 \h </w:instrText>
      </w:r>
      <w:r>
        <w:fldChar w:fldCharType="separate"/>
      </w:r>
      <w:r>
        <w:t>18</w:t>
      </w:r>
      <w:r>
        <w:fldChar w:fldCharType="end"/>
      </w:r>
      <w:r>
        <w:rPr>
          <w:szCs w:val="28"/>
        </w:rPr>
        <w:fldChar w:fldCharType="end"/>
      </w:r>
    </w:p>
    <w:p w14:paraId="2303565F">
      <w:pPr>
        <w:pStyle w:val="25"/>
        <w:keepNext w:val="0"/>
        <w:keepLines w:val="0"/>
        <w:pageBreakBefore w:val="0"/>
        <w:widowControl w:val="0"/>
        <w:tabs>
          <w:tab w:val="right" w:leader="dot" w:pos="9026"/>
        </w:tabs>
        <w:kinsoku/>
        <w:wordWrap/>
        <w:overflowPunct/>
        <w:topLinePunct w:val="0"/>
        <w:autoSpaceDE/>
        <w:autoSpaceDN/>
        <w:bidi w:val="0"/>
        <w:adjustRightInd/>
        <w:snapToGrid/>
        <w:spacing w:line="288" w:lineRule="auto"/>
        <w:ind w:firstLine="0" w:firstLineChars="0"/>
        <w:textAlignment w:val="auto"/>
      </w:pPr>
      <w:r>
        <w:rPr>
          <w:szCs w:val="28"/>
        </w:rPr>
        <w:fldChar w:fldCharType="begin"/>
      </w:r>
      <w:r>
        <w:rPr>
          <w:szCs w:val="28"/>
        </w:rPr>
        <w:instrText xml:space="preserve"> HYPERLINK \l _Toc23192 </w:instrText>
      </w:r>
      <w:r>
        <w:rPr>
          <w:szCs w:val="28"/>
        </w:rPr>
        <w:fldChar w:fldCharType="separate"/>
      </w:r>
      <w:r>
        <w:rPr>
          <w:rFonts w:ascii="Times New Roman" w:hAnsi="Times New Roman"/>
          <w:bCs/>
          <w:kern w:val="44"/>
          <w:szCs w:val="30"/>
        </w:rPr>
        <w:t>三、区域环境质量现状、环境保护目标及评价标准</w:t>
      </w:r>
      <w:r>
        <w:tab/>
      </w:r>
      <w:r>
        <w:fldChar w:fldCharType="begin"/>
      </w:r>
      <w:r>
        <w:instrText xml:space="preserve"> PAGEREF _Toc23192 \h </w:instrText>
      </w:r>
      <w:r>
        <w:fldChar w:fldCharType="separate"/>
      </w:r>
      <w:r>
        <w:t>33</w:t>
      </w:r>
      <w:r>
        <w:fldChar w:fldCharType="end"/>
      </w:r>
      <w:r>
        <w:rPr>
          <w:szCs w:val="28"/>
        </w:rPr>
        <w:fldChar w:fldCharType="end"/>
      </w:r>
    </w:p>
    <w:p w14:paraId="308FAEDE">
      <w:pPr>
        <w:pStyle w:val="25"/>
        <w:keepNext w:val="0"/>
        <w:keepLines w:val="0"/>
        <w:pageBreakBefore w:val="0"/>
        <w:widowControl w:val="0"/>
        <w:tabs>
          <w:tab w:val="right" w:leader="dot" w:pos="9026"/>
        </w:tabs>
        <w:kinsoku/>
        <w:wordWrap/>
        <w:overflowPunct/>
        <w:topLinePunct w:val="0"/>
        <w:autoSpaceDE/>
        <w:autoSpaceDN/>
        <w:bidi w:val="0"/>
        <w:adjustRightInd/>
        <w:snapToGrid/>
        <w:spacing w:line="288" w:lineRule="auto"/>
        <w:ind w:firstLine="0" w:firstLineChars="0"/>
        <w:textAlignment w:val="auto"/>
      </w:pPr>
      <w:r>
        <w:rPr>
          <w:szCs w:val="28"/>
        </w:rPr>
        <w:fldChar w:fldCharType="begin"/>
      </w:r>
      <w:r>
        <w:rPr>
          <w:szCs w:val="28"/>
        </w:rPr>
        <w:instrText xml:space="preserve"> HYPERLINK \l _Toc21489 </w:instrText>
      </w:r>
      <w:r>
        <w:rPr>
          <w:szCs w:val="28"/>
        </w:rPr>
        <w:fldChar w:fldCharType="separate"/>
      </w:r>
      <w:r>
        <w:rPr>
          <w:rFonts w:ascii="Times New Roman" w:hAnsi="Times New Roman"/>
          <w:bCs/>
          <w:snapToGrid w:val="0"/>
          <w:szCs w:val="30"/>
        </w:rPr>
        <w:t>四、主要环境影响和保护措施</w:t>
      </w:r>
      <w:r>
        <w:tab/>
      </w:r>
      <w:r>
        <w:fldChar w:fldCharType="begin"/>
      </w:r>
      <w:r>
        <w:instrText xml:space="preserve"> PAGEREF _Toc21489 \h </w:instrText>
      </w:r>
      <w:r>
        <w:fldChar w:fldCharType="separate"/>
      </w:r>
      <w:r>
        <w:t>40</w:t>
      </w:r>
      <w:r>
        <w:fldChar w:fldCharType="end"/>
      </w:r>
      <w:r>
        <w:rPr>
          <w:szCs w:val="28"/>
        </w:rPr>
        <w:fldChar w:fldCharType="end"/>
      </w:r>
    </w:p>
    <w:p w14:paraId="725C0797">
      <w:pPr>
        <w:pStyle w:val="25"/>
        <w:keepNext w:val="0"/>
        <w:keepLines w:val="0"/>
        <w:pageBreakBefore w:val="0"/>
        <w:widowControl w:val="0"/>
        <w:tabs>
          <w:tab w:val="right" w:leader="dot" w:pos="9026"/>
        </w:tabs>
        <w:kinsoku/>
        <w:wordWrap/>
        <w:overflowPunct/>
        <w:topLinePunct w:val="0"/>
        <w:autoSpaceDE/>
        <w:autoSpaceDN/>
        <w:bidi w:val="0"/>
        <w:adjustRightInd/>
        <w:snapToGrid/>
        <w:spacing w:line="288" w:lineRule="auto"/>
        <w:ind w:firstLine="0" w:firstLineChars="0"/>
        <w:textAlignment w:val="auto"/>
      </w:pPr>
      <w:r>
        <w:rPr>
          <w:szCs w:val="28"/>
        </w:rPr>
        <w:fldChar w:fldCharType="begin"/>
      </w:r>
      <w:r>
        <w:rPr>
          <w:szCs w:val="28"/>
        </w:rPr>
        <w:instrText xml:space="preserve"> HYPERLINK \l _Toc4422 </w:instrText>
      </w:r>
      <w:r>
        <w:rPr>
          <w:szCs w:val="28"/>
        </w:rPr>
        <w:fldChar w:fldCharType="separate"/>
      </w:r>
      <w:r>
        <w:rPr>
          <w:bCs/>
          <w:snapToGrid w:val="0"/>
          <w:kern w:val="0"/>
          <w:szCs w:val="30"/>
        </w:rPr>
        <w:t>五、环境保护措施监督检查清单</w:t>
      </w:r>
      <w:r>
        <w:tab/>
      </w:r>
      <w:r>
        <w:fldChar w:fldCharType="begin"/>
      </w:r>
      <w:r>
        <w:instrText xml:space="preserve"> PAGEREF _Toc4422 \h </w:instrText>
      </w:r>
      <w:r>
        <w:fldChar w:fldCharType="separate"/>
      </w:r>
      <w:r>
        <w:t>62</w:t>
      </w:r>
      <w:r>
        <w:fldChar w:fldCharType="end"/>
      </w:r>
      <w:r>
        <w:rPr>
          <w:szCs w:val="28"/>
        </w:rPr>
        <w:fldChar w:fldCharType="end"/>
      </w:r>
    </w:p>
    <w:p w14:paraId="117B1C25">
      <w:pPr>
        <w:pStyle w:val="25"/>
        <w:keepNext w:val="0"/>
        <w:keepLines w:val="0"/>
        <w:pageBreakBefore w:val="0"/>
        <w:widowControl w:val="0"/>
        <w:tabs>
          <w:tab w:val="right" w:leader="dot" w:pos="9026"/>
        </w:tabs>
        <w:kinsoku/>
        <w:wordWrap/>
        <w:overflowPunct/>
        <w:topLinePunct w:val="0"/>
        <w:autoSpaceDE/>
        <w:autoSpaceDN/>
        <w:bidi w:val="0"/>
        <w:adjustRightInd/>
        <w:snapToGrid/>
        <w:spacing w:line="288" w:lineRule="auto"/>
        <w:ind w:firstLine="0" w:firstLineChars="0"/>
        <w:textAlignment w:val="auto"/>
      </w:pPr>
      <w:r>
        <w:rPr>
          <w:szCs w:val="28"/>
        </w:rPr>
        <w:fldChar w:fldCharType="begin"/>
      </w:r>
      <w:r>
        <w:rPr>
          <w:szCs w:val="28"/>
        </w:rPr>
        <w:instrText xml:space="preserve"> HYPERLINK \l _Toc25177 </w:instrText>
      </w:r>
      <w:r>
        <w:rPr>
          <w:szCs w:val="28"/>
        </w:rPr>
        <w:fldChar w:fldCharType="separate"/>
      </w:r>
      <w:r>
        <w:rPr>
          <w:rFonts w:ascii="Times New Roman" w:hAnsi="Times New Roman"/>
          <w:bCs/>
          <w:snapToGrid w:val="0"/>
          <w:szCs w:val="30"/>
        </w:rPr>
        <w:t>六、结论</w:t>
      </w:r>
      <w:r>
        <w:tab/>
      </w:r>
      <w:r>
        <w:fldChar w:fldCharType="begin"/>
      </w:r>
      <w:r>
        <w:instrText xml:space="preserve"> PAGEREF _Toc25177 \h </w:instrText>
      </w:r>
      <w:r>
        <w:fldChar w:fldCharType="separate"/>
      </w:r>
      <w:r>
        <w:t>64</w:t>
      </w:r>
      <w:r>
        <w:fldChar w:fldCharType="end"/>
      </w:r>
      <w:r>
        <w:rPr>
          <w:szCs w:val="28"/>
        </w:rPr>
        <w:fldChar w:fldCharType="end"/>
      </w:r>
    </w:p>
    <w:p w14:paraId="4B07AA21">
      <w:pPr>
        <w:pStyle w:val="25"/>
        <w:keepNext w:val="0"/>
        <w:keepLines w:val="0"/>
        <w:pageBreakBefore w:val="0"/>
        <w:widowControl w:val="0"/>
        <w:tabs>
          <w:tab w:val="right" w:leader="dot" w:pos="9026"/>
        </w:tabs>
        <w:kinsoku/>
        <w:wordWrap/>
        <w:overflowPunct/>
        <w:topLinePunct w:val="0"/>
        <w:autoSpaceDE/>
        <w:autoSpaceDN/>
        <w:bidi w:val="0"/>
        <w:adjustRightInd/>
        <w:snapToGrid/>
        <w:spacing w:line="288" w:lineRule="auto"/>
        <w:ind w:firstLine="0" w:firstLineChars="0"/>
        <w:textAlignment w:val="auto"/>
      </w:pPr>
      <w:r>
        <w:rPr>
          <w:szCs w:val="28"/>
        </w:rPr>
        <w:fldChar w:fldCharType="begin"/>
      </w:r>
      <w:r>
        <w:rPr>
          <w:szCs w:val="28"/>
        </w:rPr>
        <w:instrText xml:space="preserve"> HYPERLINK \l _Toc1117 </w:instrText>
      </w:r>
      <w:r>
        <w:rPr>
          <w:szCs w:val="28"/>
        </w:rPr>
        <w:fldChar w:fldCharType="separate"/>
      </w:r>
      <w:r>
        <w:rPr>
          <w:rFonts w:ascii="Times New Roman" w:hAnsi="Times New Roman"/>
          <w:bCs/>
          <w:snapToGrid w:val="0"/>
          <w:szCs w:val="32"/>
        </w:rPr>
        <w:t>附表</w:t>
      </w:r>
      <w:r>
        <w:tab/>
      </w:r>
      <w:r>
        <w:fldChar w:fldCharType="begin"/>
      </w:r>
      <w:r>
        <w:instrText xml:space="preserve"> PAGEREF _Toc1117 \h </w:instrText>
      </w:r>
      <w:r>
        <w:fldChar w:fldCharType="separate"/>
      </w:r>
      <w:r>
        <w:t>65</w:t>
      </w:r>
      <w:r>
        <w:fldChar w:fldCharType="end"/>
      </w:r>
      <w:r>
        <w:rPr>
          <w:szCs w:val="28"/>
        </w:rPr>
        <w:fldChar w:fldCharType="end"/>
      </w:r>
    </w:p>
    <w:p w14:paraId="065AA8D7">
      <w:pPr>
        <w:pStyle w:val="25"/>
        <w:keepNext w:val="0"/>
        <w:keepLines w:val="0"/>
        <w:pageBreakBefore w:val="0"/>
        <w:widowControl w:val="0"/>
        <w:tabs>
          <w:tab w:val="right" w:leader="dot" w:pos="9026"/>
        </w:tabs>
        <w:kinsoku/>
        <w:wordWrap/>
        <w:overflowPunct/>
        <w:topLinePunct w:val="0"/>
        <w:autoSpaceDE/>
        <w:autoSpaceDN/>
        <w:bidi w:val="0"/>
        <w:adjustRightInd/>
        <w:snapToGrid/>
        <w:spacing w:line="288" w:lineRule="auto"/>
        <w:ind w:firstLine="0" w:firstLineChars="0"/>
        <w:textAlignment w:val="auto"/>
      </w:pPr>
      <w:r>
        <w:rPr>
          <w:szCs w:val="28"/>
        </w:rPr>
        <w:fldChar w:fldCharType="begin"/>
      </w:r>
      <w:r>
        <w:rPr>
          <w:szCs w:val="28"/>
        </w:rPr>
        <w:instrText xml:space="preserve"> HYPERLINK \l _Toc3403 </w:instrText>
      </w:r>
      <w:r>
        <w:rPr>
          <w:szCs w:val="28"/>
        </w:rPr>
        <w:fldChar w:fldCharType="separate"/>
      </w:r>
      <w:r>
        <w:rPr>
          <w:rFonts w:eastAsia="宋体"/>
          <w:kern w:val="2"/>
          <w:szCs w:val="21"/>
        </w:rPr>
        <w:t>附图1 项目地理位置图</w:t>
      </w:r>
      <w:r>
        <w:tab/>
      </w:r>
      <w:r>
        <w:fldChar w:fldCharType="begin"/>
      </w:r>
      <w:r>
        <w:instrText xml:space="preserve"> PAGEREF _Toc3403 \h </w:instrText>
      </w:r>
      <w:r>
        <w:fldChar w:fldCharType="separate"/>
      </w:r>
      <w:r>
        <w:t>66</w:t>
      </w:r>
      <w:r>
        <w:fldChar w:fldCharType="end"/>
      </w:r>
      <w:r>
        <w:rPr>
          <w:szCs w:val="28"/>
        </w:rPr>
        <w:fldChar w:fldCharType="end"/>
      </w:r>
    </w:p>
    <w:p w14:paraId="3484BBEE">
      <w:pPr>
        <w:pStyle w:val="25"/>
        <w:keepNext w:val="0"/>
        <w:keepLines w:val="0"/>
        <w:pageBreakBefore w:val="0"/>
        <w:widowControl w:val="0"/>
        <w:tabs>
          <w:tab w:val="right" w:leader="dot" w:pos="9026"/>
        </w:tabs>
        <w:kinsoku/>
        <w:wordWrap/>
        <w:overflowPunct/>
        <w:topLinePunct w:val="0"/>
        <w:autoSpaceDE/>
        <w:autoSpaceDN/>
        <w:bidi w:val="0"/>
        <w:adjustRightInd/>
        <w:snapToGrid/>
        <w:spacing w:line="288" w:lineRule="auto"/>
        <w:ind w:firstLine="0" w:firstLineChars="0"/>
        <w:textAlignment w:val="auto"/>
      </w:pPr>
      <w:r>
        <w:rPr>
          <w:szCs w:val="28"/>
        </w:rPr>
        <w:fldChar w:fldCharType="begin"/>
      </w:r>
      <w:r>
        <w:rPr>
          <w:szCs w:val="28"/>
        </w:rPr>
        <w:instrText xml:space="preserve"> HYPERLINK \l _Toc22908 </w:instrText>
      </w:r>
      <w:r>
        <w:rPr>
          <w:szCs w:val="28"/>
        </w:rPr>
        <w:fldChar w:fldCharType="separate"/>
      </w:r>
      <w:r>
        <w:rPr>
          <w:rFonts w:eastAsia="宋体"/>
          <w:kern w:val="2"/>
          <w:szCs w:val="21"/>
        </w:rPr>
        <w:t>附图</w:t>
      </w:r>
      <w:r>
        <w:rPr>
          <w:rFonts w:hint="eastAsia" w:eastAsia="宋体"/>
          <w:kern w:val="2"/>
          <w:szCs w:val="21"/>
        </w:rPr>
        <w:t>2</w:t>
      </w:r>
      <w:r>
        <w:rPr>
          <w:rFonts w:eastAsia="宋体"/>
          <w:kern w:val="2"/>
          <w:szCs w:val="21"/>
        </w:rPr>
        <w:t xml:space="preserve"> 项目</w:t>
      </w:r>
      <w:r>
        <w:rPr>
          <w:rFonts w:hint="eastAsia" w:eastAsia="宋体"/>
          <w:kern w:val="2"/>
          <w:szCs w:val="21"/>
        </w:rPr>
        <w:t>四邻关系</w:t>
      </w:r>
      <w:r>
        <w:rPr>
          <w:rFonts w:eastAsia="宋体"/>
          <w:kern w:val="2"/>
          <w:szCs w:val="21"/>
        </w:rPr>
        <w:t>图</w:t>
      </w:r>
      <w:r>
        <w:tab/>
      </w:r>
      <w:r>
        <w:fldChar w:fldCharType="begin"/>
      </w:r>
      <w:r>
        <w:instrText xml:space="preserve"> PAGEREF _Toc22908 \h </w:instrText>
      </w:r>
      <w:r>
        <w:fldChar w:fldCharType="separate"/>
      </w:r>
      <w:r>
        <w:t>67</w:t>
      </w:r>
      <w:r>
        <w:fldChar w:fldCharType="end"/>
      </w:r>
      <w:r>
        <w:rPr>
          <w:szCs w:val="28"/>
        </w:rPr>
        <w:fldChar w:fldCharType="end"/>
      </w:r>
    </w:p>
    <w:p w14:paraId="2084B283">
      <w:pPr>
        <w:pStyle w:val="25"/>
        <w:keepNext w:val="0"/>
        <w:keepLines w:val="0"/>
        <w:pageBreakBefore w:val="0"/>
        <w:widowControl w:val="0"/>
        <w:tabs>
          <w:tab w:val="right" w:leader="dot" w:pos="9026"/>
        </w:tabs>
        <w:kinsoku/>
        <w:wordWrap/>
        <w:overflowPunct/>
        <w:topLinePunct w:val="0"/>
        <w:autoSpaceDE/>
        <w:autoSpaceDN/>
        <w:bidi w:val="0"/>
        <w:adjustRightInd/>
        <w:snapToGrid/>
        <w:spacing w:line="288" w:lineRule="auto"/>
        <w:ind w:firstLine="0" w:firstLineChars="0"/>
        <w:textAlignment w:val="auto"/>
      </w:pPr>
      <w:r>
        <w:rPr>
          <w:szCs w:val="28"/>
        </w:rPr>
        <w:fldChar w:fldCharType="begin"/>
      </w:r>
      <w:r>
        <w:rPr>
          <w:szCs w:val="28"/>
        </w:rPr>
        <w:instrText xml:space="preserve"> HYPERLINK \l _Toc25639 </w:instrText>
      </w:r>
      <w:r>
        <w:rPr>
          <w:szCs w:val="28"/>
        </w:rPr>
        <w:fldChar w:fldCharType="separate"/>
      </w:r>
      <w:r>
        <w:rPr>
          <w:bCs/>
          <w:szCs w:val="21"/>
          <w:highlight w:val="none"/>
        </w:rPr>
        <w:t>附图</w:t>
      </w:r>
      <w:r>
        <w:rPr>
          <w:rFonts w:hint="eastAsia"/>
          <w:bCs/>
          <w:szCs w:val="21"/>
          <w:highlight w:val="none"/>
        </w:rPr>
        <w:t>3</w:t>
      </w:r>
      <w:r>
        <w:rPr>
          <w:bCs/>
          <w:szCs w:val="21"/>
          <w:highlight w:val="none"/>
        </w:rPr>
        <w:t xml:space="preserve"> </w:t>
      </w:r>
      <w:r>
        <w:rPr>
          <w:rFonts w:hint="eastAsia"/>
          <w:bCs/>
          <w:szCs w:val="21"/>
          <w:highlight w:val="none"/>
        </w:rPr>
        <w:t>现场勘查图</w:t>
      </w:r>
      <w:r>
        <w:tab/>
      </w:r>
      <w:r>
        <w:fldChar w:fldCharType="begin"/>
      </w:r>
      <w:r>
        <w:instrText xml:space="preserve"> PAGEREF _Toc25639 \h </w:instrText>
      </w:r>
      <w:r>
        <w:fldChar w:fldCharType="separate"/>
      </w:r>
      <w:r>
        <w:t>68</w:t>
      </w:r>
      <w:r>
        <w:fldChar w:fldCharType="end"/>
      </w:r>
      <w:r>
        <w:rPr>
          <w:szCs w:val="28"/>
        </w:rPr>
        <w:fldChar w:fldCharType="end"/>
      </w:r>
    </w:p>
    <w:p w14:paraId="72CF3BD4">
      <w:pPr>
        <w:pStyle w:val="25"/>
        <w:keepNext w:val="0"/>
        <w:keepLines w:val="0"/>
        <w:pageBreakBefore w:val="0"/>
        <w:widowControl w:val="0"/>
        <w:tabs>
          <w:tab w:val="right" w:leader="dot" w:pos="9026"/>
        </w:tabs>
        <w:kinsoku/>
        <w:wordWrap/>
        <w:overflowPunct/>
        <w:topLinePunct w:val="0"/>
        <w:autoSpaceDE/>
        <w:autoSpaceDN/>
        <w:bidi w:val="0"/>
        <w:adjustRightInd/>
        <w:snapToGrid/>
        <w:spacing w:line="288" w:lineRule="auto"/>
        <w:ind w:firstLine="0" w:firstLineChars="0"/>
        <w:textAlignment w:val="auto"/>
      </w:pPr>
      <w:r>
        <w:rPr>
          <w:szCs w:val="28"/>
        </w:rPr>
        <w:fldChar w:fldCharType="begin"/>
      </w:r>
      <w:r>
        <w:rPr>
          <w:szCs w:val="28"/>
        </w:rPr>
        <w:instrText xml:space="preserve"> HYPERLINK \l _Toc18909 </w:instrText>
      </w:r>
      <w:r>
        <w:rPr>
          <w:szCs w:val="28"/>
        </w:rPr>
        <w:fldChar w:fldCharType="separate"/>
      </w:r>
      <w:r>
        <w:rPr>
          <w:bCs/>
          <w:szCs w:val="21"/>
        </w:rPr>
        <w:t>附图</w:t>
      </w:r>
      <w:r>
        <w:rPr>
          <w:rFonts w:hint="eastAsia"/>
          <w:bCs/>
          <w:szCs w:val="21"/>
        </w:rPr>
        <w:t>4</w:t>
      </w:r>
      <w:r>
        <w:rPr>
          <w:bCs/>
          <w:szCs w:val="21"/>
        </w:rPr>
        <w:t xml:space="preserve"> 项目</w:t>
      </w:r>
      <w:r>
        <w:rPr>
          <w:rFonts w:hint="eastAsia"/>
          <w:bCs/>
          <w:szCs w:val="21"/>
        </w:rPr>
        <w:t>厂房</w:t>
      </w:r>
      <w:r>
        <w:rPr>
          <w:bCs/>
          <w:szCs w:val="21"/>
        </w:rPr>
        <w:t>平面布置图</w:t>
      </w:r>
      <w:r>
        <w:tab/>
      </w:r>
      <w:r>
        <w:fldChar w:fldCharType="begin"/>
      </w:r>
      <w:r>
        <w:instrText xml:space="preserve"> PAGEREF _Toc18909 \h </w:instrText>
      </w:r>
      <w:r>
        <w:fldChar w:fldCharType="separate"/>
      </w:r>
      <w:r>
        <w:t>71</w:t>
      </w:r>
      <w:r>
        <w:fldChar w:fldCharType="end"/>
      </w:r>
      <w:r>
        <w:rPr>
          <w:szCs w:val="28"/>
        </w:rPr>
        <w:fldChar w:fldCharType="end"/>
      </w:r>
    </w:p>
    <w:p w14:paraId="6FDF58D2">
      <w:pPr>
        <w:pStyle w:val="25"/>
        <w:keepNext w:val="0"/>
        <w:keepLines w:val="0"/>
        <w:pageBreakBefore w:val="0"/>
        <w:widowControl w:val="0"/>
        <w:tabs>
          <w:tab w:val="right" w:leader="dot" w:pos="9026"/>
        </w:tabs>
        <w:kinsoku/>
        <w:wordWrap/>
        <w:overflowPunct/>
        <w:topLinePunct w:val="0"/>
        <w:autoSpaceDE/>
        <w:autoSpaceDN/>
        <w:bidi w:val="0"/>
        <w:adjustRightInd/>
        <w:snapToGrid/>
        <w:spacing w:line="288" w:lineRule="auto"/>
        <w:ind w:firstLine="0" w:firstLineChars="0"/>
        <w:textAlignment w:val="auto"/>
      </w:pPr>
      <w:r>
        <w:rPr>
          <w:szCs w:val="28"/>
        </w:rPr>
        <w:fldChar w:fldCharType="begin"/>
      </w:r>
      <w:r>
        <w:rPr>
          <w:szCs w:val="28"/>
        </w:rPr>
        <w:instrText xml:space="preserve"> HYPERLINK \l _Toc19787 </w:instrText>
      </w:r>
      <w:r>
        <w:rPr>
          <w:szCs w:val="28"/>
        </w:rPr>
        <w:fldChar w:fldCharType="separate"/>
      </w:r>
      <w:r>
        <w:rPr>
          <w:bCs/>
          <w:szCs w:val="21"/>
        </w:rPr>
        <w:t>附图</w:t>
      </w:r>
      <w:r>
        <w:rPr>
          <w:rFonts w:hint="eastAsia"/>
          <w:bCs/>
          <w:szCs w:val="21"/>
        </w:rPr>
        <w:t>5</w:t>
      </w:r>
      <w:r>
        <w:rPr>
          <w:bCs/>
          <w:szCs w:val="21"/>
        </w:rPr>
        <w:t xml:space="preserve"> 项目</w:t>
      </w:r>
      <w:r>
        <w:rPr>
          <w:rFonts w:hint="eastAsia"/>
          <w:bCs/>
          <w:szCs w:val="21"/>
        </w:rPr>
        <w:t>环境保护目标图</w:t>
      </w:r>
      <w:r>
        <w:tab/>
      </w:r>
      <w:r>
        <w:fldChar w:fldCharType="begin"/>
      </w:r>
      <w:r>
        <w:instrText xml:space="preserve"> PAGEREF _Toc19787 \h </w:instrText>
      </w:r>
      <w:r>
        <w:fldChar w:fldCharType="separate"/>
      </w:r>
      <w:r>
        <w:t>72</w:t>
      </w:r>
      <w:r>
        <w:fldChar w:fldCharType="end"/>
      </w:r>
      <w:r>
        <w:rPr>
          <w:szCs w:val="28"/>
        </w:rPr>
        <w:fldChar w:fldCharType="end"/>
      </w:r>
    </w:p>
    <w:p w14:paraId="68DF71F5">
      <w:pPr>
        <w:pStyle w:val="25"/>
        <w:keepNext w:val="0"/>
        <w:keepLines w:val="0"/>
        <w:pageBreakBefore w:val="0"/>
        <w:widowControl w:val="0"/>
        <w:tabs>
          <w:tab w:val="right" w:leader="dot" w:pos="9026"/>
        </w:tabs>
        <w:kinsoku/>
        <w:wordWrap/>
        <w:overflowPunct/>
        <w:topLinePunct w:val="0"/>
        <w:autoSpaceDE/>
        <w:autoSpaceDN/>
        <w:bidi w:val="0"/>
        <w:adjustRightInd/>
        <w:snapToGrid/>
        <w:spacing w:line="288" w:lineRule="auto"/>
        <w:ind w:firstLine="0" w:firstLineChars="0"/>
        <w:textAlignment w:val="auto"/>
      </w:pPr>
      <w:r>
        <w:rPr>
          <w:szCs w:val="28"/>
        </w:rPr>
        <w:fldChar w:fldCharType="begin"/>
      </w:r>
      <w:r>
        <w:rPr>
          <w:szCs w:val="28"/>
        </w:rPr>
        <w:instrText xml:space="preserve"> HYPERLINK \l _Toc5187 </w:instrText>
      </w:r>
      <w:r>
        <w:rPr>
          <w:szCs w:val="28"/>
        </w:rPr>
        <w:fldChar w:fldCharType="separate"/>
      </w:r>
      <w:r>
        <w:rPr>
          <w:bCs/>
          <w:szCs w:val="21"/>
        </w:rPr>
        <w:t>附图</w:t>
      </w:r>
      <w:r>
        <w:rPr>
          <w:rFonts w:hint="eastAsia"/>
          <w:bCs/>
          <w:szCs w:val="21"/>
        </w:rPr>
        <w:t>6</w:t>
      </w:r>
      <w:r>
        <w:rPr>
          <w:bCs/>
          <w:szCs w:val="21"/>
        </w:rPr>
        <w:t xml:space="preserve"> </w:t>
      </w:r>
      <w:r>
        <w:rPr>
          <w:rFonts w:hint="eastAsia"/>
          <w:bCs/>
          <w:szCs w:val="21"/>
        </w:rPr>
        <w:t>卫生防护距离包络线图</w:t>
      </w:r>
      <w:r>
        <w:tab/>
      </w:r>
      <w:r>
        <w:fldChar w:fldCharType="begin"/>
      </w:r>
      <w:r>
        <w:instrText xml:space="preserve"> PAGEREF _Toc5187 \h </w:instrText>
      </w:r>
      <w:r>
        <w:fldChar w:fldCharType="separate"/>
      </w:r>
      <w:r>
        <w:t>73</w:t>
      </w:r>
      <w:r>
        <w:fldChar w:fldCharType="end"/>
      </w:r>
      <w:r>
        <w:rPr>
          <w:szCs w:val="28"/>
        </w:rPr>
        <w:fldChar w:fldCharType="end"/>
      </w:r>
    </w:p>
    <w:p w14:paraId="0DE25758">
      <w:pPr>
        <w:pStyle w:val="25"/>
        <w:keepNext w:val="0"/>
        <w:keepLines w:val="0"/>
        <w:pageBreakBefore w:val="0"/>
        <w:widowControl w:val="0"/>
        <w:tabs>
          <w:tab w:val="right" w:leader="dot" w:pos="9026"/>
        </w:tabs>
        <w:kinsoku/>
        <w:wordWrap/>
        <w:overflowPunct/>
        <w:topLinePunct w:val="0"/>
        <w:autoSpaceDE/>
        <w:autoSpaceDN/>
        <w:bidi w:val="0"/>
        <w:adjustRightInd/>
        <w:snapToGrid/>
        <w:spacing w:line="288" w:lineRule="auto"/>
        <w:ind w:firstLine="0" w:firstLineChars="0"/>
        <w:textAlignment w:val="auto"/>
      </w:pPr>
      <w:r>
        <w:rPr>
          <w:szCs w:val="28"/>
        </w:rPr>
        <w:fldChar w:fldCharType="begin"/>
      </w:r>
      <w:r>
        <w:rPr>
          <w:szCs w:val="28"/>
        </w:rPr>
        <w:instrText xml:space="preserve"> HYPERLINK \l _Toc16067 </w:instrText>
      </w:r>
      <w:r>
        <w:rPr>
          <w:szCs w:val="28"/>
        </w:rPr>
        <w:fldChar w:fldCharType="separate"/>
      </w:r>
      <w:r>
        <w:rPr>
          <w:rFonts w:hint="eastAsia" w:ascii="Times New Roman"/>
          <w:bCs/>
          <w:kern w:val="2"/>
          <w:szCs w:val="21"/>
        </w:rPr>
        <w:t>附图7 项目所在地区地表水环境功能区划图</w:t>
      </w:r>
      <w:r>
        <w:tab/>
      </w:r>
      <w:r>
        <w:fldChar w:fldCharType="begin"/>
      </w:r>
      <w:r>
        <w:instrText xml:space="preserve"> PAGEREF _Toc16067 \h </w:instrText>
      </w:r>
      <w:r>
        <w:fldChar w:fldCharType="separate"/>
      </w:r>
      <w:r>
        <w:t>74</w:t>
      </w:r>
      <w:r>
        <w:fldChar w:fldCharType="end"/>
      </w:r>
      <w:r>
        <w:rPr>
          <w:szCs w:val="28"/>
        </w:rPr>
        <w:fldChar w:fldCharType="end"/>
      </w:r>
    </w:p>
    <w:p w14:paraId="0F9FD492">
      <w:pPr>
        <w:pStyle w:val="25"/>
        <w:keepNext w:val="0"/>
        <w:keepLines w:val="0"/>
        <w:pageBreakBefore w:val="0"/>
        <w:widowControl w:val="0"/>
        <w:tabs>
          <w:tab w:val="right" w:leader="dot" w:pos="9026"/>
        </w:tabs>
        <w:kinsoku/>
        <w:wordWrap/>
        <w:overflowPunct/>
        <w:topLinePunct w:val="0"/>
        <w:autoSpaceDE/>
        <w:autoSpaceDN/>
        <w:bidi w:val="0"/>
        <w:adjustRightInd/>
        <w:snapToGrid/>
        <w:spacing w:line="288" w:lineRule="auto"/>
        <w:ind w:firstLine="0" w:firstLineChars="0"/>
        <w:textAlignment w:val="auto"/>
      </w:pPr>
      <w:r>
        <w:rPr>
          <w:szCs w:val="28"/>
        </w:rPr>
        <w:fldChar w:fldCharType="begin"/>
      </w:r>
      <w:r>
        <w:rPr>
          <w:szCs w:val="28"/>
        </w:rPr>
        <w:instrText xml:space="preserve"> HYPERLINK \l _Toc10110 </w:instrText>
      </w:r>
      <w:r>
        <w:rPr>
          <w:szCs w:val="28"/>
        </w:rPr>
        <w:fldChar w:fldCharType="separate"/>
      </w:r>
      <w:r>
        <w:rPr>
          <w:rFonts w:hint="eastAsia" w:ascii="Times New Roman" w:cs="Times New Roman"/>
          <w:bCs/>
          <w:kern w:val="2"/>
          <w:szCs w:val="21"/>
        </w:rPr>
        <w:t>附图8 项目所在区域污水管网分布图</w:t>
      </w:r>
      <w:r>
        <w:tab/>
      </w:r>
      <w:r>
        <w:fldChar w:fldCharType="begin"/>
      </w:r>
      <w:r>
        <w:instrText xml:space="preserve"> PAGEREF _Toc10110 \h </w:instrText>
      </w:r>
      <w:r>
        <w:fldChar w:fldCharType="separate"/>
      </w:r>
      <w:r>
        <w:t>75</w:t>
      </w:r>
      <w:r>
        <w:fldChar w:fldCharType="end"/>
      </w:r>
      <w:r>
        <w:rPr>
          <w:szCs w:val="28"/>
        </w:rPr>
        <w:fldChar w:fldCharType="end"/>
      </w:r>
    </w:p>
    <w:p w14:paraId="591C226E">
      <w:pPr>
        <w:pStyle w:val="25"/>
        <w:keepNext w:val="0"/>
        <w:keepLines w:val="0"/>
        <w:pageBreakBefore w:val="0"/>
        <w:widowControl w:val="0"/>
        <w:tabs>
          <w:tab w:val="right" w:leader="dot" w:pos="9026"/>
        </w:tabs>
        <w:kinsoku/>
        <w:wordWrap/>
        <w:overflowPunct/>
        <w:topLinePunct w:val="0"/>
        <w:autoSpaceDE/>
        <w:autoSpaceDN/>
        <w:bidi w:val="0"/>
        <w:adjustRightInd/>
        <w:snapToGrid/>
        <w:spacing w:line="288" w:lineRule="auto"/>
        <w:ind w:firstLine="0" w:firstLineChars="0"/>
        <w:textAlignment w:val="auto"/>
      </w:pPr>
      <w:r>
        <w:rPr>
          <w:szCs w:val="28"/>
        </w:rPr>
        <w:fldChar w:fldCharType="begin"/>
      </w:r>
      <w:r>
        <w:rPr>
          <w:szCs w:val="28"/>
        </w:rPr>
        <w:instrText xml:space="preserve"> HYPERLINK \l _Toc16714 </w:instrText>
      </w:r>
      <w:r>
        <w:rPr>
          <w:szCs w:val="28"/>
        </w:rPr>
        <w:fldChar w:fldCharType="separate"/>
      </w:r>
      <w:r>
        <w:rPr>
          <w:rFonts w:hint="eastAsia"/>
          <w:bCs/>
          <w:szCs w:val="21"/>
        </w:rPr>
        <w:t>附图9 项目所在区域</w:t>
      </w:r>
      <w:r>
        <w:rPr>
          <w:bCs/>
          <w:szCs w:val="21"/>
        </w:rPr>
        <w:t>大气环境功能区划图</w:t>
      </w:r>
      <w:r>
        <w:tab/>
      </w:r>
      <w:r>
        <w:fldChar w:fldCharType="begin"/>
      </w:r>
      <w:r>
        <w:instrText xml:space="preserve"> PAGEREF _Toc16714 \h </w:instrText>
      </w:r>
      <w:r>
        <w:fldChar w:fldCharType="separate"/>
      </w:r>
      <w:r>
        <w:t>76</w:t>
      </w:r>
      <w:r>
        <w:fldChar w:fldCharType="end"/>
      </w:r>
      <w:r>
        <w:rPr>
          <w:szCs w:val="28"/>
        </w:rPr>
        <w:fldChar w:fldCharType="end"/>
      </w:r>
    </w:p>
    <w:p w14:paraId="27A526DE">
      <w:pPr>
        <w:pStyle w:val="25"/>
        <w:keepNext w:val="0"/>
        <w:keepLines w:val="0"/>
        <w:pageBreakBefore w:val="0"/>
        <w:widowControl w:val="0"/>
        <w:tabs>
          <w:tab w:val="right" w:leader="dot" w:pos="9026"/>
        </w:tabs>
        <w:kinsoku/>
        <w:wordWrap/>
        <w:overflowPunct/>
        <w:topLinePunct w:val="0"/>
        <w:autoSpaceDE/>
        <w:autoSpaceDN/>
        <w:bidi w:val="0"/>
        <w:adjustRightInd/>
        <w:snapToGrid/>
        <w:spacing w:line="288" w:lineRule="auto"/>
        <w:ind w:firstLine="0" w:firstLineChars="0"/>
        <w:textAlignment w:val="auto"/>
      </w:pPr>
      <w:r>
        <w:rPr>
          <w:szCs w:val="28"/>
        </w:rPr>
        <w:fldChar w:fldCharType="begin"/>
      </w:r>
      <w:r>
        <w:rPr>
          <w:szCs w:val="28"/>
        </w:rPr>
        <w:instrText xml:space="preserve"> HYPERLINK \l _Toc4571 </w:instrText>
      </w:r>
      <w:r>
        <w:rPr>
          <w:szCs w:val="28"/>
        </w:rPr>
        <w:fldChar w:fldCharType="separate"/>
      </w:r>
      <w:r>
        <w:rPr>
          <w:rFonts w:hint="eastAsia" w:ascii="Times New Roman" w:cs="Times New Roman"/>
          <w:bCs/>
          <w:szCs w:val="21"/>
        </w:rPr>
        <w:t>附图10-1</w:t>
      </w:r>
      <w:r>
        <w:rPr>
          <w:rFonts w:ascii="Times New Roman" w:cs="Times New Roman"/>
          <w:bCs/>
          <w:szCs w:val="21"/>
        </w:rPr>
        <w:t xml:space="preserve"> </w:t>
      </w:r>
      <w:r>
        <w:rPr>
          <w:rFonts w:hint="eastAsia" w:ascii="Times New Roman" w:cs="Times New Roman"/>
          <w:bCs/>
          <w:szCs w:val="21"/>
        </w:rPr>
        <w:t>项目与广东省“三线一单”生态环境分区管控区位置关系</w:t>
      </w:r>
      <w:r>
        <w:tab/>
      </w:r>
      <w:r>
        <w:fldChar w:fldCharType="begin"/>
      </w:r>
      <w:r>
        <w:instrText xml:space="preserve"> PAGEREF _Toc4571 \h </w:instrText>
      </w:r>
      <w:r>
        <w:fldChar w:fldCharType="separate"/>
      </w:r>
      <w:r>
        <w:t>77</w:t>
      </w:r>
      <w:r>
        <w:fldChar w:fldCharType="end"/>
      </w:r>
      <w:r>
        <w:rPr>
          <w:szCs w:val="28"/>
        </w:rPr>
        <w:fldChar w:fldCharType="end"/>
      </w:r>
    </w:p>
    <w:p w14:paraId="749ECEF2">
      <w:pPr>
        <w:pStyle w:val="25"/>
        <w:keepNext w:val="0"/>
        <w:keepLines w:val="0"/>
        <w:pageBreakBefore w:val="0"/>
        <w:widowControl w:val="0"/>
        <w:tabs>
          <w:tab w:val="right" w:leader="dot" w:pos="9026"/>
        </w:tabs>
        <w:kinsoku/>
        <w:wordWrap/>
        <w:overflowPunct/>
        <w:topLinePunct w:val="0"/>
        <w:autoSpaceDE/>
        <w:autoSpaceDN/>
        <w:bidi w:val="0"/>
        <w:adjustRightInd/>
        <w:snapToGrid/>
        <w:spacing w:line="288" w:lineRule="auto"/>
        <w:ind w:firstLine="0" w:firstLineChars="0"/>
        <w:textAlignment w:val="auto"/>
      </w:pPr>
      <w:r>
        <w:rPr>
          <w:szCs w:val="28"/>
        </w:rPr>
        <w:fldChar w:fldCharType="begin"/>
      </w:r>
      <w:r>
        <w:rPr>
          <w:szCs w:val="28"/>
        </w:rPr>
        <w:instrText xml:space="preserve"> HYPERLINK \l _Toc14452 </w:instrText>
      </w:r>
      <w:r>
        <w:rPr>
          <w:szCs w:val="28"/>
        </w:rPr>
        <w:fldChar w:fldCharType="separate"/>
      </w:r>
      <w:r>
        <w:rPr>
          <w:rFonts w:hint="eastAsia" w:ascii="Times New Roman" w:cs="Times New Roman"/>
          <w:bCs/>
          <w:szCs w:val="21"/>
        </w:rPr>
        <w:t>附图10-2</w:t>
      </w:r>
      <w:r>
        <w:rPr>
          <w:rFonts w:ascii="Times New Roman" w:cs="Times New Roman"/>
          <w:bCs/>
          <w:szCs w:val="21"/>
        </w:rPr>
        <w:t xml:space="preserve"> </w:t>
      </w:r>
      <w:r>
        <w:rPr>
          <w:rFonts w:hint="eastAsia" w:ascii="Times New Roman" w:cs="Times New Roman"/>
          <w:bCs/>
          <w:szCs w:val="21"/>
        </w:rPr>
        <w:t>博罗县生态空间最终划定情况</w:t>
      </w:r>
      <w:r>
        <w:tab/>
      </w:r>
      <w:r>
        <w:fldChar w:fldCharType="begin"/>
      </w:r>
      <w:r>
        <w:instrText xml:space="preserve"> PAGEREF _Toc14452 \h </w:instrText>
      </w:r>
      <w:r>
        <w:fldChar w:fldCharType="separate"/>
      </w:r>
      <w:r>
        <w:t>78</w:t>
      </w:r>
      <w:r>
        <w:fldChar w:fldCharType="end"/>
      </w:r>
      <w:r>
        <w:rPr>
          <w:szCs w:val="28"/>
        </w:rPr>
        <w:fldChar w:fldCharType="end"/>
      </w:r>
    </w:p>
    <w:p w14:paraId="7EE87294">
      <w:pPr>
        <w:pStyle w:val="25"/>
        <w:keepNext w:val="0"/>
        <w:keepLines w:val="0"/>
        <w:pageBreakBefore w:val="0"/>
        <w:widowControl w:val="0"/>
        <w:tabs>
          <w:tab w:val="right" w:leader="dot" w:pos="9026"/>
        </w:tabs>
        <w:kinsoku/>
        <w:wordWrap/>
        <w:overflowPunct/>
        <w:topLinePunct w:val="0"/>
        <w:autoSpaceDE/>
        <w:autoSpaceDN/>
        <w:bidi w:val="0"/>
        <w:adjustRightInd/>
        <w:snapToGrid/>
        <w:spacing w:line="288" w:lineRule="auto"/>
        <w:ind w:firstLine="0" w:firstLineChars="0"/>
        <w:textAlignment w:val="auto"/>
      </w:pPr>
      <w:r>
        <w:rPr>
          <w:szCs w:val="28"/>
        </w:rPr>
        <w:fldChar w:fldCharType="begin"/>
      </w:r>
      <w:r>
        <w:rPr>
          <w:szCs w:val="28"/>
        </w:rPr>
        <w:instrText xml:space="preserve"> HYPERLINK \l _Toc25912 </w:instrText>
      </w:r>
      <w:r>
        <w:rPr>
          <w:szCs w:val="28"/>
        </w:rPr>
        <w:fldChar w:fldCharType="separate"/>
      </w:r>
      <w:r>
        <w:rPr>
          <w:rFonts w:hint="eastAsia"/>
          <w:bCs/>
          <w:szCs w:val="21"/>
        </w:rPr>
        <w:t>附图10-3</w:t>
      </w:r>
      <w:r>
        <w:rPr>
          <w:bCs/>
          <w:szCs w:val="21"/>
        </w:rPr>
        <w:t xml:space="preserve"> </w:t>
      </w:r>
      <w:r>
        <w:rPr>
          <w:rFonts w:hint="eastAsia"/>
          <w:bCs/>
          <w:szCs w:val="21"/>
        </w:rPr>
        <w:t>博罗县水环境质量底线管控分区划定情况</w:t>
      </w:r>
      <w:r>
        <w:tab/>
      </w:r>
      <w:r>
        <w:fldChar w:fldCharType="begin"/>
      </w:r>
      <w:r>
        <w:instrText xml:space="preserve"> PAGEREF _Toc25912 \h </w:instrText>
      </w:r>
      <w:r>
        <w:fldChar w:fldCharType="separate"/>
      </w:r>
      <w:r>
        <w:t>79</w:t>
      </w:r>
      <w:r>
        <w:fldChar w:fldCharType="end"/>
      </w:r>
      <w:r>
        <w:rPr>
          <w:szCs w:val="28"/>
        </w:rPr>
        <w:fldChar w:fldCharType="end"/>
      </w:r>
    </w:p>
    <w:p w14:paraId="65570374">
      <w:pPr>
        <w:pStyle w:val="25"/>
        <w:keepNext w:val="0"/>
        <w:keepLines w:val="0"/>
        <w:pageBreakBefore w:val="0"/>
        <w:widowControl w:val="0"/>
        <w:tabs>
          <w:tab w:val="right" w:leader="dot" w:pos="9026"/>
        </w:tabs>
        <w:kinsoku/>
        <w:wordWrap/>
        <w:overflowPunct/>
        <w:topLinePunct w:val="0"/>
        <w:autoSpaceDE/>
        <w:autoSpaceDN/>
        <w:bidi w:val="0"/>
        <w:adjustRightInd/>
        <w:snapToGrid/>
        <w:spacing w:line="288" w:lineRule="auto"/>
        <w:ind w:firstLine="0" w:firstLineChars="0"/>
        <w:textAlignment w:val="auto"/>
      </w:pPr>
      <w:r>
        <w:rPr>
          <w:szCs w:val="28"/>
        </w:rPr>
        <w:fldChar w:fldCharType="begin"/>
      </w:r>
      <w:r>
        <w:rPr>
          <w:szCs w:val="28"/>
        </w:rPr>
        <w:instrText xml:space="preserve"> HYPERLINK \l _Toc245 </w:instrText>
      </w:r>
      <w:r>
        <w:rPr>
          <w:szCs w:val="28"/>
        </w:rPr>
        <w:fldChar w:fldCharType="separate"/>
      </w:r>
      <w:r>
        <w:rPr>
          <w:rFonts w:hint="eastAsia"/>
          <w:bCs/>
          <w:szCs w:val="21"/>
        </w:rPr>
        <w:t>附图10-4</w:t>
      </w:r>
      <w:r>
        <w:rPr>
          <w:bCs/>
          <w:szCs w:val="21"/>
        </w:rPr>
        <w:t xml:space="preserve"> </w:t>
      </w:r>
      <w:r>
        <w:rPr>
          <w:rFonts w:hint="eastAsia"/>
          <w:bCs/>
          <w:szCs w:val="21"/>
        </w:rPr>
        <w:t>博罗县大气环境质量底线管控分区划定情况</w:t>
      </w:r>
      <w:r>
        <w:tab/>
      </w:r>
      <w:r>
        <w:fldChar w:fldCharType="begin"/>
      </w:r>
      <w:r>
        <w:instrText xml:space="preserve"> PAGEREF _Toc245 \h </w:instrText>
      </w:r>
      <w:r>
        <w:fldChar w:fldCharType="separate"/>
      </w:r>
      <w:r>
        <w:t>80</w:t>
      </w:r>
      <w:r>
        <w:fldChar w:fldCharType="end"/>
      </w:r>
      <w:r>
        <w:rPr>
          <w:szCs w:val="28"/>
        </w:rPr>
        <w:fldChar w:fldCharType="end"/>
      </w:r>
    </w:p>
    <w:p w14:paraId="384D08E1">
      <w:pPr>
        <w:pStyle w:val="25"/>
        <w:keepNext w:val="0"/>
        <w:keepLines w:val="0"/>
        <w:pageBreakBefore w:val="0"/>
        <w:widowControl w:val="0"/>
        <w:tabs>
          <w:tab w:val="right" w:leader="dot" w:pos="9026"/>
        </w:tabs>
        <w:kinsoku/>
        <w:wordWrap/>
        <w:overflowPunct/>
        <w:topLinePunct w:val="0"/>
        <w:autoSpaceDE/>
        <w:autoSpaceDN/>
        <w:bidi w:val="0"/>
        <w:adjustRightInd/>
        <w:snapToGrid/>
        <w:spacing w:line="288" w:lineRule="auto"/>
        <w:ind w:firstLine="0" w:firstLineChars="0"/>
        <w:textAlignment w:val="auto"/>
      </w:pPr>
      <w:r>
        <w:rPr>
          <w:szCs w:val="28"/>
        </w:rPr>
        <w:fldChar w:fldCharType="begin"/>
      </w:r>
      <w:r>
        <w:rPr>
          <w:szCs w:val="28"/>
        </w:rPr>
        <w:instrText xml:space="preserve"> HYPERLINK \l _Toc31891 </w:instrText>
      </w:r>
      <w:r>
        <w:rPr>
          <w:szCs w:val="28"/>
        </w:rPr>
        <w:fldChar w:fldCharType="separate"/>
      </w:r>
      <w:r>
        <w:rPr>
          <w:rFonts w:hint="eastAsia"/>
          <w:bCs/>
          <w:szCs w:val="21"/>
        </w:rPr>
        <w:t>附图10-5</w:t>
      </w:r>
      <w:r>
        <w:rPr>
          <w:bCs/>
          <w:szCs w:val="21"/>
        </w:rPr>
        <w:t xml:space="preserve"> </w:t>
      </w:r>
      <w:r>
        <w:rPr>
          <w:rFonts w:hint="eastAsia"/>
          <w:bCs/>
          <w:szCs w:val="21"/>
        </w:rPr>
        <w:t>博罗县建设用地土壤管控分区划定情况</w:t>
      </w:r>
      <w:r>
        <w:tab/>
      </w:r>
      <w:r>
        <w:fldChar w:fldCharType="begin"/>
      </w:r>
      <w:r>
        <w:instrText xml:space="preserve"> PAGEREF _Toc31891 \h </w:instrText>
      </w:r>
      <w:r>
        <w:fldChar w:fldCharType="separate"/>
      </w:r>
      <w:r>
        <w:t>81</w:t>
      </w:r>
      <w:r>
        <w:fldChar w:fldCharType="end"/>
      </w:r>
      <w:r>
        <w:rPr>
          <w:szCs w:val="28"/>
        </w:rPr>
        <w:fldChar w:fldCharType="end"/>
      </w:r>
    </w:p>
    <w:p w14:paraId="2F548874">
      <w:pPr>
        <w:pStyle w:val="25"/>
        <w:keepNext w:val="0"/>
        <w:keepLines w:val="0"/>
        <w:pageBreakBefore w:val="0"/>
        <w:widowControl w:val="0"/>
        <w:tabs>
          <w:tab w:val="right" w:leader="dot" w:pos="9026"/>
        </w:tabs>
        <w:kinsoku/>
        <w:wordWrap/>
        <w:overflowPunct/>
        <w:topLinePunct w:val="0"/>
        <w:autoSpaceDE/>
        <w:autoSpaceDN/>
        <w:bidi w:val="0"/>
        <w:adjustRightInd/>
        <w:snapToGrid/>
        <w:spacing w:line="288" w:lineRule="auto"/>
        <w:ind w:firstLine="0" w:firstLineChars="0"/>
        <w:textAlignment w:val="auto"/>
      </w:pPr>
      <w:r>
        <w:rPr>
          <w:szCs w:val="28"/>
        </w:rPr>
        <w:fldChar w:fldCharType="begin"/>
      </w:r>
      <w:r>
        <w:rPr>
          <w:szCs w:val="28"/>
        </w:rPr>
        <w:instrText xml:space="preserve"> HYPERLINK \l _Toc15975 </w:instrText>
      </w:r>
      <w:r>
        <w:rPr>
          <w:szCs w:val="28"/>
        </w:rPr>
        <w:fldChar w:fldCharType="separate"/>
      </w:r>
      <w:r>
        <w:rPr>
          <w:rFonts w:hint="eastAsia"/>
          <w:bCs/>
          <w:szCs w:val="21"/>
        </w:rPr>
        <w:t>附图10-6</w:t>
      </w:r>
      <w:r>
        <w:rPr>
          <w:bCs/>
          <w:szCs w:val="21"/>
        </w:rPr>
        <w:t xml:space="preserve"> </w:t>
      </w:r>
      <w:r>
        <w:rPr>
          <w:rFonts w:hint="eastAsia"/>
          <w:bCs/>
          <w:szCs w:val="21"/>
        </w:rPr>
        <w:t>博罗县资源利用上线-土地资源优先保护区划定情况</w:t>
      </w:r>
      <w:r>
        <w:tab/>
      </w:r>
      <w:r>
        <w:fldChar w:fldCharType="begin"/>
      </w:r>
      <w:r>
        <w:instrText xml:space="preserve"> PAGEREF _Toc15975 \h </w:instrText>
      </w:r>
      <w:r>
        <w:fldChar w:fldCharType="separate"/>
      </w:r>
      <w:r>
        <w:t>82</w:t>
      </w:r>
      <w:r>
        <w:fldChar w:fldCharType="end"/>
      </w:r>
      <w:r>
        <w:rPr>
          <w:szCs w:val="28"/>
        </w:rPr>
        <w:fldChar w:fldCharType="end"/>
      </w:r>
    </w:p>
    <w:p w14:paraId="430FAA7A">
      <w:pPr>
        <w:pStyle w:val="25"/>
        <w:keepNext w:val="0"/>
        <w:keepLines w:val="0"/>
        <w:pageBreakBefore w:val="0"/>
        <w:widowControl w:val="0"/>
        <w:tabs>
          <w:tab w:val="right" w:leader="dot" w:pos="9026"/>
        </w:tabs>
        <w:kinsoku/>
        <w:wordWrap/>
        <w:overflowPunct/>
        <w:topLinePunct w:val="0"/>
        <w:autoSpaceDE/>
        <w:autoSpaceDN/>
        <w:bidi w:val="0"/>
        <w:adjustRightInd/>
        <w:snapToGrid/>
        <w:spacing w:line="288" w:lineRule="auto"/>
        <w:ind w:firstLine="0" w:firstLineChars="0"/>
        <w:textAlignment w:val="auto"/>
      </w:pPr>
      <w:r>
        <w:rPr>
          <w:szCs w:val="28"/>
        </w:rPr>
        <w:fldChar w:fldCharType="begin"/>
      </w:r>
      <w:r>
        <w:rPr>
          <w:szCs w:val="28"/>
        </w:rPr>
        <w:instrText xml:space="preserve"> HYPERLINK \l _Toc14164 </w:instrText>
      </w:r>
      <w:r>
        <w:rPr>
          <w:szCs w:val="28"/>
        </w:rPr>
        <w:fldChar w:fldCharType="separate"/>
      </w:r>
      <w:r>
        <w:rPr>
          <w:rFonts w:hint="eastAsia"/>
          <w:bCs/>
          <w:szCs w:val="21"/>
        </w:rPr>
        <w:t>附图10-7</w:t>
      </w:r>
      <w:r>
        <w:rPr>
          <w:bCs/>
          <w:szCs w:val="21"/>
        </w:rPr>
        <w:t xml:space="preserve"> </w:t>
      </w:r>
      <w:r>
        <w:rPr>
          <w:rFonts w:hint="eastAsia"/>
          <w:bCs/>
          <w:szCs w:val="21"/>
        </w:rPr>
        <w:t>博罗县资源利用上线-高污染燃料禁燃区划定情况</w:t>
      </w:r>
      <w:r>
        <w:tab/>
      </w:r>
      <w:r>
        <w:fldChar w:fldCharType="begin"/>
      </w:r>
      <w:r>
        <w:instrText xml:space="preserve"> PAGEREF _Toc14164 \h </w:instrText>
      </w:r>
      <w:r>
        <w:fldChar w:fldCharType="separate"/>
      </w:r>
      <w:r>
        <w:t>83</w:t>
      </w:r>
      <w:r>
        <w:fldChar w:fldCharType="end"/>
      </w:r>
      <w:r>
        <w:rPr>
          <w:szCs w:val="28"/>
        </w:rPr>
        <w:fldChar w:fldCharType="end"/>
      </w:r>
    </w:p>
    <w:p w14:paraId="731841B4">
      <w:pPr>
        <w:pStyle w:val="25"/>
        <w:keepNext w:val="0"/>
        <w:keepLines w:val="0"/>
        <w:pageBreakBefore w:val="0"/>
        <w:widowControl w:val="0"/>
        <w:tabs>
          <w:tab w:val="right" w:leader="dot" w:pos="9026"/>
        </w:tabs>
        <w:kinsoku/>
        <w:wordWrap/>
        <w:overflowPunct/>
        <w:topLinePunct w:val="0"/>
        <w:autoSpaceDE/>
        <w:autoSpaceDN/>
        <w:bidi w:val="0"/>
        <w:adjustRightInd/>
        <w:snapToGrid/>
        <w:spacing w:line="288" w:lineRule="auto"/>
        <w:ind w:firstLine="0" w:firstLineChars="0"/>
        <w:textAlignment w:val="auto"/>
      </w:pPr>
      <w:r>
        <w:rPr>
          <w:szCs w:val="28"/>
        </w:rPr>
        <w:fldChar w:fldCharType="begin"/>
      </w:r>
      <w:r>
        <w:rPr>
          <w:szCs w:val="28"/>
        </w:rPr>
        <w:instrText xml:space="preserve"> HYPERLINK \l _Toc15358 </w:instrText>
      </w:r>
      <w:r>
        <w:rPr>
          <w:szCs w:val="28"/>
        </w:rPr>
        <w:fldChar w:fldCharType="separate"/>
      </w:r>
      <w:r>
        <w:rPr>
          <w:rFonts w:hint="eastAsia"/>
          <w:bCs/>
          <w:szCs w:val="21"/>
        </w:rPr>
        <w:t>附图10-8</w:t>
      </w:r>
      <w:r>
        <w:rPr>
          <w:bCs/>
          <w:szCs w:val="21"/>
        </w:rPr>
        <w:t xml:space="preserve"> </w:t>
      </w:r>
      <w:r>
        <w:rPr>
          <w:rFonts w:hint="eastAsia"/>
          <w:bCs/>
          <w:szCs w:val="21"/>
        </w:rPr>
        <w:t>博罗县资源利用上线-矿产资源开发敏感区划定情况</w:t>
      </w:r>
      <w:r>
        <w:tab/>
      </w:r>
      <w:r>
        <w:fldChar w:fldCharType="begin"/>
      </w:r>
      <w:r>
        <w:instrText xml:space="preserve"> PAGEREF _Toc15358 \h </w:instrText>
      </w:r>
      <w:r>
        <w:fldChar w:fldCharType="separate"/>
      </w:r>
      <w:r>
        <w:t>84</w:t>
      </w:r>
      <w:r>
        <w:fldChar w:fldCharType="end"/>
      </w:r>
      <w:r>
        <w:rPr>
          <w:szCs w:val="28"/>
        </w:rPr>
        <w:fldChar w:fldCharType="end"/>
      </w:r>
    </w:p>
    <w:p w14:paraId="17D1A4DB">
      <w:pPr>
        <w:pStyle w:val="25"/>
        <w:keepNext w:val="0"/>
        <w:keepLines w:val="0"/>
        <w:pageBreakBefore w:val="0"/>
        <w:widowControl w:val="0"/>
        <w:tabs>
          <w:tab w:val="right" w:leader="dot" w:pos="9026"/>
        </w:tabs>
        <w:kinsoku/>
        <w:wordWrap/>
        <w:overflowPunct/>
        <w:topLinePunct w:val="0"/>
        <w:autoSpaceDE/>
        <w:autoSpaceDN/>
        <w:bidi w:val="0"/>
        <w:adjustRightInd/>
        <w:snapToGrid/>
        <w:spacing w:line="288" w:lineRule="auto"/>
        <w:ind w:firstLine="0" w:firstLineChars="0"/>
        <w:textAlignment w:val="auto"/>
      </w:pPr>
      <w:r>
        <w:rPr>
          <w:szCs w:val="28"/>
        </w:rPr>
        <w:fldChar w:fldCharType="begin"/>
      </w:r>
      <w:r>
        <w:rPr>
          <w:szCs w:val="28"/>
        </w:rPr>
        <w:instrText xml:space="preserve"> HYPERLINK \l _Toc8097 </w:instrText>
      </w:r>
      <w:r>
        <w:rPr>
          <w:szCs w:val="28"/>
        </w:rPr>
        <w:fldChar w:fldCharType="separate"/>
      </w:r>
      <w:r>
        <w:rPr>
          <w:rFonts w:eastAsia="宋体"/>
          <w:szCs w:val="24"/>
          <w:highlight w:val="none"/>
        </w:rPr>
        <w:t>附件</w:t>
      </w:r>
      <w:r>
        <w:rPr>
          <w:rFonts w:hint="eastAsia" w:eastAsia="宋体"/>
          <w:szCs w:val="24"/>
          <w:highlight w:val="none"/>
        </w:rPr>
        <w:t xml:space="preserve">1 </w:t>
      </w:r>
      <w:r>
        <w:rPr>
          <w:rFonts w:eastAsia="宋体"/>
          <w:szCs w:val="24"/>
          <w:highlight w:val="none"/>
        </w:rPr>
        <w:t>营业执照</w:t>
      </w:r>
      <w:r>
        <w:rPr>
          <w:rFonts w:hint="eastAsia" w:eastAsia="宋体"/>
          <w:szCs w:val="24"/>
          <w:highlight w:val="none"/>
          <w:lang w:val="en-US" w:eastAsia="zh-CN"/>
        </w:rPr>
        <w:t>及变更证明</w:t>
      </w:r>
      <w:r>
        <w:tab/>
      </w:r>
      <w:r>
        <w:fldChar w:fldCharType="begin"/>
      </w:r>
      <w:r>
        <w:instrText xml:space="preserve"> PAGEREF _Toc8097 \h </w:instrText>
      </w:r>
      <w:r>
        <w:fldChar w:fldCharType="separate"/>
      </w:r>
      <w:r>
        <w:t>85</w:t>
      </w:r>
      <w:r>
        <w:fldChar w:fldCharType="end"/>
      </w:r>
      <w:r>
        <w:rPr>
          <w:szCs w:val="28"/>
        </w:rPr>
        <w:fldChar w:fldCharType="end"/>
      </w:r>
    </w:p>
    <w:p w14:paraId="26C2233F">
      <w:pPr>
        <w:pStyle w:val="25"/>
        <w:keepNext w:val="0"/>
        <w:keepLines w:val="0"/>
        <w:pageBreakBefore w:val="0"/>
        <w:widowControl w:val="0"/>
        <w:tabs>
          <w:tab w:val="right" w:leader="dot" w:pos="9026"/>
        </w:tabs>
        <w:kinsoku/>
        <w:wordWrap/>
        <w:overflowPunct/>
        <w:topLinePunct w:val="0"/>
        <w:autoSpaceDE/>
        <w:autoSpaceDN/>
        <w:bidi w:val="0"/>
        <w:adjustRightInd/>
        <w:snapToGrid/>
        <w:spacing w:line="288" w:lineRule="auto"/>
        <w:ind w:firstLine="0" w:firstLineChars="0"/>
        <w:textAlignment w:val="auto"/>
      </w:pPr>
      <w:r>
        <w:rPr>
          <w:szCs w:val="28"/>
        </w:rPr>
        <w:fldChar w:fldCharType="begin"/>
      </w:r>
      <w:r>
        <w:rPr>
          <w:szCs w:val="28"/>
        </w:rPr>
        <w:instrText xml:space="preserve"> HYPERLINK \l _Toc8194 </w:instrText>
      </w:r>
      <w:r>
        <w:rPr>
          <w:szCs w:val="28"/>
        </w:rPr>
        <w:fldChar w:fldCharType="separate"/>
      </w:r>
      <w:r>
        <w:rPr>
          <w:rFonts w:eastAsia="宋体"/>
          <w:szCs w:val="24"/>
        </w:rPr>
        <w:t>附件</w:t>
      </w:r>
      <w:r>
        <w:rPr>
          <w:rFonts w:hint="eastAsia" w:eastAsia="宋体"/>
          <w:szCs w:val="24"/>
        </w:rPr>
        <w:t xml:space="preserve">2 </w:t>
      </w:r>
      <w:r>
        <w:rPr>
          <w:rFonts w:eastAsia="宋体"/>
          <w:szCs w:val="24"/>
        </w:rPr>
        <w:t>法人身份证</w:t>
      </w:r>
      <w:r>
        <w:tab/>
      </w:r>
      <w:r>
        <w:fldChar w:fldCharType="begin"/>
      </w:r>
      <w:r>
        <w:instrText xml:space="preserve"> PAGEREF _Toc8194 \h </w:instrText>
      </w:r>
      <w:r>
        <w:fldChar w:fldCharType="separate"/>
      </w:r>
      <w:r>
        <w:t>87</w:t>
      </w:r>
      <w:r>
        <w:fldChar w:fldCharType="end"/>
      </w:r>
      <w:r>
        <w:rPr>
          <w:szCs w:val="28"/>
        </w:rPr>
        <w:fldChar w:fldCharType="end"/>
      </w:r>
    </w:p>
    <w:p w14:paraId="04E16DF1">
      <w:pPr>
        <w:pStyle w:val="25"/>
        <w:keepNext w:val="0"/>
        <w:keepLines w:val="0"/>
        <w:pageBreakBefore w:val="0"/>
        <w:widowControl w:val="0"/>
        <w:tabs>
          <w:tab w:val="right" w:leader="dot" w:pos="9026"/>
        </w:tabs>
        <w:kinsoku/>
        <w:wordWrap/>
        <w:overflowPunct/>
        <w:topLinePunct w:val="0"/>
        <w:autoSpaceDE/>
        <w:autoSpaceDN/>
        <w:bidi w:val="0"/>
        <w:adjustRightInd/>
        <w:snapToGrid/>
        <w:spacing w:line="288" w:lineRule="auto"/>
        <w:ind w:firstLine="0" w:firstLineChars="0"/>
        <w:textAlignment w:val="auto"/>
      </w:pPr>
      <w:r>
        <w:rPr>
          <w:szCs w:val="28"/>
        </w:rPr>
        <w:fldChar w:fldCharType="begin"/>
      </w:r>
      <w:r>
        <w:rPr>
          <w:szCs w:val="28"/>
        </w:rPr>
        <w:instrText xml:space="preserve"> HYPERLINK \l _Toc23667 </w:instrText>
      </w:r>
      <w:r>
        <w:rPr>
          <w:szCs w:val="28"/>
        </w:rPr>
        <w:fldChar w:fldCharType="separate"/>
      </w:r>
      <w:r>
        <w:rPr>
          <w:rFonts w:eastAsia="宋体"/>
          <w:szCs w:val="24"/>
          <w:highlight w:val="none"/>
        </w:rPr>
        <w:t>附件</w:t>
      </w:r>
      <w:r>
        <w:rPr>
          <w:rFonts w:hint="eastAsia" w:eastAsia="宋体"/>
          <w:szCs w:val="24"/>
          <w:highlight w:val="none"/>
        </w:rPr>
        <w:t>3 广东省投资项目代码</w:t>
      </w:r>
      <w:r>
        <w:tab/>
      </w:r>
      <w:r>
        <w:fldChar w:fldCharType="begin"/>
      </w:r>
      <w:r>
        <w:instrText xml:space="preserve"> PAGEREF _Toc23667 \h </w:instrText>
      </w:r>
      <w:r>
        <w:fldChar w:fldCharType="separate"/>
      </w:r>
      <w:r>
        <w:t>88</w:t>
      </w:r>
      <w:r>
        <w:fldChar w:fldCharType="end"/>
      </w:r>
      <w:r>
        <w:rPr>
          <w:szCs w:val="28"/>
        </w:rPr>
        <w:fldChar w:fldCharType="end"/>
      </w:r>
    </w:p>
    <w:p w14:paraId="6ECEE316">
      <w:pPr>
        <w:pStyle w:val="25"/>
        <w:keepNext w:val="0"/>
        <w:keepLines w:val="0"/>
        <w:pageBreakBefore w:val="0"/>
        <w:widowControl w:val="0"/>
        <w:tabs>
          <w:tab w:val="right" w:leader="dot" w:pos="9026"/>
        </w:tabs>
        <w:kinsoku/>
        <w:wordWrap/>
        <w:overflowPunct/>
        <w:topLinePunct w:val="0"/>
        <w:autoSpaceDE/>
        <w:autoSpaceDN/>
        <w:bidi w:val="0"/>
        <w:adjustRightInd/>
        <w:snapToGrid/>
        <w:spacing w:line="288" w:lineRule="auto"/>
        <w:ind w:firstLine="0" w:firstLineChars="0"/>
        <w:textAlignment w:val="auto"/>
      </w:pPr>
      <w:r>
        <w:rPr>
          <w:szCs w:val="28"/>
        </w:rPr>
        <w:fldChar w:fldCharType="begin"/>
      </w:r>
      <w:r>
        <w:rPr>
          <w:szCs w:val="28"/>
        </w:rPr>
        <w:instrText xml:space="preserve"> HYPERLINK \l _Toc28690 </w:instrText>
      </w:r>
      <w:r>
        <w:rPr>
          <w:szCs w:val="28"/>
        </w:rPr>
        <w:fldChar w:fldCharType="separate"/>
      </w:r>
      <w:r>
        <w:rPr>
          <w:bCs/>
          <w:kern w:val="44"/>
          <w:highlight w:val="none"/>
        </w:rPr>
        <w:t>附件</w:t>
      </w:r>
      <w:r>
        <w:rPr>
          <w:rFonts w:hint="eastAsia"/>
          <w:bCs/>
          <w:kern w:val="44"/>
          <w:highlight w:val="none"/>
        </w:rPr>
        <w:t>4 广东省企业投资项目备案证</w:t>
      </w:r>
      <w:r>
        <w:tab/>
      </w:r>
      <w:r>
        <w:fldChar w:fldCharType="begin"/>
      </w:r>
      <w:r>
        <w:instrText xml:space="preserve"> PAGEREF _Toc28690 \h </w:instrText>
      </w:r>
      <w:r>
        <w:fldChar w:fldCharType="separate"/>
      </w:r>
      <w:r>
        <w:t>89</w:t>
      </w:r>
      <w:r>
        <w:fldChar w:fldCharType="end"/>
      </w:r>
      <w:r>
        <w:rPr>
          <w:szCs w:val="28"/>
        </w:rPr>
        <w:fldChar w:fldCharType="end"/>
      </w:r>
    </w:p>
    <w:p w14:paraId="735AA2E3">
      <w:pPr>
        <w:pStyle w:val="25"/>
        <w:keepNext w:val="0"/>
        <w:keepLines w:val="0"/>
        <w:pageBreakBefore w:val="0"/>
        <w:widowControl w:val="0"/>
        <w:tabs>
          <w:tab w:val="right" w:leader="dot" w:pos="9026"/>
        </w:tabs>
        <w:kinsoku/>
        <w:wordWrap/>
        <w:overflowPunct/>
        <w:topLinePunct w:val="0"/>
        <w:autoSpaceDE/>
        <w:autoSpaceDN/>
        <w:bidi w:val="0"/>
        <w:adjustRightInd/>
        <w:snapToGrid/>
        <w:spacing w:line="288" w:lineRule="auto"/>
        <w:ind w:firstLine="0" w:firstLineChars="0"/>
        <w:textAlignment w:val="auto"/>
      </w:pPr>
      <w:r>
        <w:rPr>
          <w:szCs w:val="28"/>
        </w:rPr>
        <w:fldChar w:fldCharType="begin"/>
      </w:r>
      <w:r>
        <w:rPr>
          <w:szCs w:val="28"/>
        </w:rPr>
        <w:instrText xml:space="preserve"> HYPERLINK \l _Toc5457 </w:instrText>
      </w:r>
      <w:r>
        <w:rPr>
          <w:szCs w:val="28"/>
        </w:rPr>
        <w:fldChar w:fldCharType="separate"/>
      </w:r>
      <w:r>
        <w:rPr>
          <w:rFonts w:hint="eastAsia" w:eastAsia="宋体"/>
          <w:szCs w:val="24"/>
          <w:highlight w:val="none"/>
        </w:rPr>
        <w:t>附件5 项目厂房租赁合同及土地产权证</w:t>
      </w:r>
      <w:r>
        <w:tab/>
      </w:r>
      <w:r>
        <w:fldChar w:fldCharType="begin"/>
      </w:r>
      <w:r>
        <w:instrText xml:space="preserve"> PAGEREF _Toc5457 \h </w:instrText>
      </w:r>
      <w:r>
        <w:fldChar w:fldCharType="separate"/>
      </w:r>
      <w:r>
        <w:t>90</w:t>
      </w:r>
      <w:r>
        <w:fldChar w:fldCharType="end"/>
      </w:r>
      <w:r>
        <w:rPr>
          <w:szCs w:val="28"/>
        </w:rPr>
        <w:fldChar w:fldCharType="end"/>
      </w:r>
    </w:p>
    <w:p w14:paraId="555AE9A1">
      <w:pPr>
        <w:pStyle w:val="25"/>
        <w:keepNext w:val="0"/>
        <w:keepLines w:val="0"/>
        <w:pageBreakBefore w:val="0"/>
        <w:widowControl w:val="0"/>
        <w:tabs>
          <w:tab w:val="right" w:leader="dot" w:pos="9026"/>
        </w:tabs>
        <w:kinsoku/>
        <w:wordWrap/>
        <w:overflowPunct/>
        <w:topLinePunct w:val="0"/>
        <w:autoSpaceDE/>
        <w:autoSpaceDN/>
        <w:bidi w:val="0"/>
        <w:adjustRightInd/>
        <w:snapToGrid/>
        <w:spacing w:line="288" w:lineRule="auto"/>
        <w:ind w:firstLine="0" w:firstLineChars="0"/>
        <w:textAlignment w:val="auto"/>
      </w:pPr>
      <w:r>
        <w:rPr>
          <w:szCs w:val="28"/>
        </w:rPr>
        <w:fldChar w:fldCharType="begin"/>
      </w:r>
      <w:r>
        <w:rPr>
          <w:szCs w:val="28"/>
        </w:rPr>
        <w:instrText xml:space="preserve"> HYPERLINK \l _Toc5237 </w:instrText>
      </w:r>
      <w:r>
        <w:rPr>
          <w:szCs w:val="28"/>
        </w:rPr>
        <w:fldChar w:fldCharType="separate"/>
      </w:r>
      <w:r>
        <w:rPr>
          <w:rFonts w:hint="eastAsia" w:eastAsia="宋体"/>
          <w:szCs w:val="24"/>
        </w:rPr>
        <w:t>附件6 现有项目环评批复</w:t>
      </w:r>
      <w:r>
        <w:tab/>
      </w:r>
      <w:r>
        <w:fldChar w:fldCharType="begin"/>
      </w:r>
      <w:r>
        <w:instrText xml:space="preserve"> PAGEREF _Toc5237 \h </w:instrText>
      </w:r>
      <w:r>
        <w:fldChar w:fldCharType="separate"/>
      </w:r>
      <w:r>
        <w:t>95</w:t>
      </w:r>
      <w:r>
        <w:fldChar w:fldCharType="end"/>
      </w:r>
      <w:r>
        <w:rPr>
          <w:szCs w:val="28"/>
        </w:rPr>
        <w:fldChar w:fldCharType="end"/>
      </w:r>
    </w:p>
    <w:p w14:paraId="1DB4AA4E">
      <w:pPr>
        <w:pStyle w:val="25"/>
        <w:keepNext w:val="0"/>
        <w:keepLines w:val="0"/>
        <w:pageBreakBefore w:val="0"/>
        <w:widowControl w:val="0"/>
        <w:tabs>
          <w:tab w:val="right" w:leader="dot" w:pos="9026"/>
        </w:tabs>
        <w:kinsoku/>
        <w:wordWrap/>
        <w:overflowPunct/>
        <w:topLinePunct w:val="0"/>
        <w:autoSpaceDE/>
        <w:autoSpaceDN/>
        <w:bidi w:val="0"/>
        <w:adjustRightInd/>
        <w:snapToGrid/>
        <w:spacing w:line="288" w:lineRule="auto"/>
        <w:ind w:firstLine="0" w:firstLineChars="0"/>
        <w:textAlignment w:val="auto"/>
      </w:pPr>
      <w:r>
        <w:rPr>
          <w:szCs w:val="28"/>
        </w:rPr>
        <w:fldChar w:fldCharType="begin"/>
      </w:r>
      <w:r>
        <w:rPr>
          <w:szCs w:val="28"/>
        </w:rPr>
        <w:instrText xml:space="preserve"> HYPERLINK \l _Toc23763 </w:instrText>
      </w:r>
      <w:r>
        <w:rPr>
          <w:szCs w:val="28"/>
        </w:rPr>
        <w:fldChar w:fldCharType="separate"/>
      </w:r>
      <w:r>
        <w:rPr>
          <w:rFonts w:hint="eastAsia" w:eastAsia="宋体"/>
          <w:szCs w:val="24"/>
        </w:rPr>
        <w:t>附件</w:t>
      </w:r>
      <w:r>
        <w:rPr>
          <w:rFonts w:hint="eastAsia" w:eastAsia="宋体"/>
          <w:szCs w:val="24"/>
          <w:lang w:val="en-US" w:eastAsia="zh-CN"/>
        </w:rPr>
        <w:t>7</w:t>
      </w:r>
      <w:r>
        <w:rPr>
          <w:rFonts w:hint="eastAsia" w:eastAsia="宋体"/>
          <w:szCs w:val="24"/>
        </w:rPr>
        <w:t xml:space="preserve"> 固定污染源排污登记回执及登记表</w:t>
      </w:r>
      <w:r>
        <w:tab/>
      </w:r>
      <w:r>
        <w:fldChar w:fldCharType="begin"/>
      </w:r>
      <w:r>
        <w:instrText xml:space="preserve"> PAGEREF _Toc23763 \h </w:instrText>
      </w:r>
      <w:r>
        <w:fldChar w:fldCharType="separate"/>
      </w:r>
      <w:r>
        <w:t>99</w:t>
      </w:r>
      <w:r>
        <w:fldChar w:fldCharType="end"/>
      </w:r>
      <w:r>
        <w:rPr>
          <w:szCs w:val="28"/>
        </w:rPr>
        <w:fldChar w:fldCharType="end"/>
      </w:r>
    </w:p>
    <w:p w14:paraId="423D299E">
      <w:pPr>
        <w:pStyle w:val="25"/>
        <w:keepNext w:val="0"/>
        <w:keepLines w:val="0"/>
        <w:pageBreakBefore w:val="0"/>
        <w:widowControl w:val="0"/>
        <w:tabs>
          <w:tab w:val="right" w:leader="dot" w:pos="9026"/>
        </w:tabs>
        <w:kinsoku/>
        <w:wordWrap/>
        <w:overflowPunct/>
        <w:topLinePunct w:val="0"/>
        <w:autoSpaceDE/>
        <w:autoSpaceDN/>
        <w:bidi w:val="0"/>
        <w:adjustRightInd/>
        <w:snapToGrid/>
        <w:spacing w:line="288" w:lineRule="auto"/>
        <w:ind w:firstLine="0" w:firstLineChars="0"/>
        <w:textAlignment w:val="auto"/>
      </w:pPr>
      <w:r>
        <w:rPr>
          <w:szCs w:val="28"/>
        </w:rPr>
        <w:fldChar w:fldCharType="begin"/>
      </w:r>
      <w:r>
        <w:rPr>
          <w:szCs w:val="28"/>
        </w:rPr>
        <w:instrText xml:space="preserve"> HYPERLINK \l _Toc15114 </w:instrText>
      </w:r>
      <w:r>
        <w:rPr>
          <w:szCs w:val="28"/>
        </w:rPr>
        <w:fldChar w:fldCharType="separate"/>
      </w:r>
      <w:r>
        <w:rPr>
          <w:rFonts w:hint="eastAsia" w:eastAsia="宋体"/>
          <w:szCs w:val="24"/>
        </w:rPr>
        <w:t>附件</w:t>
      </w:r>
      <w:r>
        <w:rPr>
          <w:rFonts w:hint="eastAsia" w:eastAsia="宋体"/>
          <w:szCs w:val="24"/>
          <w:lang w:val="en-US" w:eastAsia="zh-CN"/>
        </w:rPr>
        <w:t>8</w:t>
      </w:r>
      <w:r>
        <w:rPr>
          <w:rFonts w:hint="eastAsia" w:eastAsia="宋体"/>
          <w:szCs w:val="24"/>
        </w:rPr>
        <w:t xml:space="preserve"> 现有项目验收意见</w:t>
      </w:r>
      <w:r>
        <w:tab/>
      </w:r>
      <w:r>
        <w:fldChar w:fldCharType="begin"/>
      </w:r>
      <w:r>
        <w:instrText xml:space="preserve"> PAGEREF _Toc15114 \h </w:instrText>
      </w:r>
      <w:r>
        <w:fldChar w:fldCharType="separate"/>
      </w:r>
      <w:r>
        <w:t>103</w:t>
      </w:r>
      <w:r>
        <w:fldChar w:fldCharType="end"/>
      </w:r>
      <w:r>
        <w:rPr>
          <w:szCs w:val="28"/>
        </w:rPr>
        <w:fldChar w:fldCharType="end"/>
      </w:r>
    </w:p>
    <w:p w14:paraId="51A70870">
      <w:pPr>
        <w:pStyle w:val="25"/>
        <w:keepNext w:val="0"/>
        <w:keepLines w:val="0"/>
        <w:pageBreakBefore w:val="0"/>
        <w:widowControl w:val="0"/>
        <w:tabs>
          <w:tab w:val="right" w:leader="dot" w:pos="9026"/>
        </w:tabs>
        <w:kinsoku/>
        <w:wordWrap/>
        <w:overflowPunct/>
        <w:topLinePunct w:val="0"/>
        <w:autoSpaceDE/>
        <w:autoSpaceDN/>
        <w:bidi w:val="0"/>
        <w:adjustRightInd/>
        <w:snapToGrid/>
        <w:spacing w:line="288" w:lineRule="auto"/>
        <w:ind w:firstLine="0" w:firstLineChars="0"/>
        <w:textAlignment w:val="auto"/>
      </w:pPr>
      <w:r>
        <w:rPr>
          <w:szCs w:val="28"/>
        </w:rPr>
        <w:fldChar w:fldCharType="begin"/>
      </w:r>
      <w:r>
        <w:rPr>
          <w:szCs w:val="28"/>
        </w:rPr>
        <w:instrText xml:space="preserve"> HYPERLINK \l _Toc8290 </w:instrText>
      </w:r>
      <w:r>
        <w:rPr>
          <w:szCs w:val="28"/>
        </w:rPr>
        <w:fldChar w:fldCharType="separate"/>
      </w:r>
      <w:r>
        <w:rPr>
          <w:rFonts w:hint="eastAsia" w:eastAsia="宋体"/>
          <w:szCs w:val="24"/>
        </w:rPr>
        <w:t>附件9 现有项目监测报告</w:t>
      </w:r>
      <w:r>
        <w:tab/>
      </w:r>
      <w:r>
        <w:fldChar w:fldCharType="begin"/>
      </w:r>
      <w:r>
        <w:instrText xml:space="preserve"> PAGEREF _Toc8290 \h </w:instrText>
      </w:r>
      <w:r>
        <w:fldChar w:fldCharType="separate"/>
      </w:r>
      <w:r>
        <w:t>106</w:t>
      </w:r>
      <w:r>
        <w:fldChar w:fldCharType="end"/>
      </w:r>
      <w:r>
        <w:rPr>
          <w:szCs w:val="28"/>
        </w:rPr>
        <w:fldChar w:fldCharType="end"/>
      </w:r>
    </w:p>
    <w:p w14:paraId="319BCE2E">
      <w:pPr>
        <w:pStyle w:val="25"/>
        <w:keepNext w:val="0"/>
        <w:keepLines w:val="0"/>
        <w:pageBreakBefore w:val="0"/>
        <w:widowControl w:val="0"/>
        <w:tabs>
          <w:tab w:val="right" w:leader="dot" w:pos="9026"/>
        </w:tabs>
        <w:kinsoku/>
        <w:wordWrap/>
        <w:overflowPunct/>
        <w:topLinePunct w:val="0"/>
        <w:autoSpaceDE/>
        <w:autoSpaceDN/>
        <w:bidi w:val="0"/>
        <w:adjustRightInd/>
        <w:snapToGrid/>
        <w:spacing w:line="288" w:lineRule="auto"/>
        <w:ind w:firstLine="0" w:firstLineChars="0"/>
        <w:textAlignment w:val="auto"/>
      </w:pPr>
      <w:r>
        <w:rPr>
          <w:szCs w:val="28"/>
        </w:rPr>
        <w:fldChar w:fldCharType="begin"/>
      </w:r>
      <w:r>
        <w:rPr>
          <w:szCs w:val="28"/>
        </w:rPr>
        <w:instrText xml:space="preserve"> HYPERLINK \l _Toc16018 </w:instrText>
      </w:r>
      <w:r>
        <w:rPr>
          <w:szCs w:val="28"/>
        </w:rPr>
        <w:fldChar w:fldCharType="separate"/>
      </w:r>
      <w:r>
        <w:rPr>
          <w:rFonts w:hint="eastAsia"/>
          <w:bCs/>
          <w:kern w:val="44"/>
        </w:rPr>
        <w:t>附件10 现有项目危险废物处置合同</w:t>
      </w:r>
      <w:r>
        <w:tab/>
      </w:r>
      <w:r>
        <w:fldChar w:fldCharType="begin"/>
      </w:r>
      <w:r>
        <w:instrText xml:space="preserve"> PAGEREF _Toc16018 \h </w:instrText>
      </w:r>
      <w:r>
        <w:fldChar w:fldCharType="separate"/>
      </w:r>
      <w:r>
        <w:t>120</w:t>
      </w:r>
      <w:r>
        <w:fldChar w:fldCharType="end"/>
      </w:r>
      <w:r>
        <w:rPr>
          <w:szCs w:val="28"/>
        </w:rPr>
        <w:fldChar w:fldCharType="end"/>
      </w:r>
    </w:p>
    <w:p w14:paraId="23B1C04C">
      <w:pPr>
        <w:pStyle w:val="25"/>
        <w:keepNext w:val="0"/>
        <w:keepLines w:val="0"/>
        <w:pageBreakBefore w:val="0"/>
        <w:widowControl w:val="0"/>
        <w:tabs>
          <w:tab w:val="right" w:leader="dot" w:pos="9026"/>
        </w:tabs>
        <w:kinsoku/>
        <w:wordWrap/>
        <w:overflowPunct/>
        <w:topLinePunct w:val="0"/>
        <w:autoSpaceDE/>
        <w:autoSpaceDN/>
        <w:bidi w:val="0"/>
        <w:adjustRightInd/>
        <w:snapToGrid/>
        <w:spacing w:line="288" w:lineRule="auto"/>
        <w:ind w:firstLine="0" w:firstLineChars="0"/>
        <w:textAlignment w:val="auto"/>
      </w:pPr>
      <w:r>
        <w:rPr>
          <w:szCs w:val="28"/>
        </w:rPr>
        <w:fldChar w:fldCharType="begin"/>
      </w:r>
      <w:r>
        <w:rPr>
          <w:szCs w:val="28"/>
        </w:rPr>
        <w:instrText xml:space="preserve"> HYPERLINK \l _Toc20174 </w:instrText>
      </w:r>
      <w:r>
        <w:rPr>
          <w:szCs w:val="28"/>
        </w:rPr>
        <w:fldChar w:fldCharType="separate"/>
      </w:r>
      <w:r>
        <w:rPr>
          <w:rFonts w:hint="eastAsia" w:eastAsia="宋体"/>
          <w:szCs w:val="24"/>
        </w:rPr>
        <w:t>附件11 原辅料MSDS报告</w:t>
      </w:r>
      <w:r>
        <w:tab/>
      </w:r>
      <w:r>
        <w:fldChar w:fldCharType="begin"/>
      </w:r>
      <w:r>
        <w:instrText xml:space="preserve"> PAGEREF _Toc20174 \h </w:instrText>
      </w:r>
      <w:r>
        <w:fldChar w:fldCharType="separate"/>
      </w:r>
      <w:r>
        <w:t>122</w:t>
      </w:r>
      <w:r>
        <w:fldChar w:fldCharType="end"/>
      </w:r>
      <w:r>
        <w:rPr>
          <w:szCs w:val="28"/>
        </w:rPr>
        <w:fldChar w:fldCharType="end"/>
      </w:r>
    </w:p>
    <w:p w14:paraId="1693413B">
      <w:pPr>
        <w:spacing w:line="288" w:lineRule="auto"/>
        <w:ind w:firstLine="0" w:firstLineChars="0"/>
        <w:jc w:val="center"/>
        <w:rPr>
          <w:b/>
        </w:rPr>
      </w:pPr>
      <w:r>
        <w:rPr>
          <w:b/>
          <w:szCs w:val="28"/>
        </w:rPr>
        <w:fldChar w:fldCharType="end"/>
      </w:r>
    </w:p>
    <w:p w14:paraId="2A7A6C4E">
      <w:pPr>
        <w:pStyle w:val="30"/>
        <w:spacing w:before="0" w:beforeAutospacing="0" w:after="0" w:afterAutospacing="0"/>
        <w:ind w:firstLine="600"/>
        <w:rPr>
          <w:rFonts w:ascii="Times New Roman" w:hAnsi="Times New Roman"/>
          <w:snapToGrid w:val="0"/>
          <w:sz w:val="30"/>
          <w:szCs w:val="30"/>
        </w:rPr>
        <w:sectPr>
          <w:footerReference r:id="rId11" w:type="default"/>
          <w:pgSz w:w="11906" w:h="16838"/>
          <w:pgMar w:top="1440" w:right="1440" w:bottom="1440" w:left="1440" w:header="851" w:footer="1077" w:gutter="0"/>
          <w:cols w:space="720" w:num="1"/>
          <w:docGrid w:linePitch="312" w:charSpace="0"/>
        </w:sectPr>
      </w:pPr>
    </w:p>
    <w:p w14:paraId="1F298233">
      <w:pPr>
        <w:pStyle w:val="2"/>
        <w:spacing w:before="0" w:after="0" w:line="240" w:lineRule="auto"/>
        <w:ind w:left="0" w:firstLine="0" w:firstLineChars="0"/>
        <w:jc w:val="center"/>
        <w:rPr>
          <w:rFonts w:eastAsia="宋体"/>
          <w:color w:val="auto"/>
        </w:rPr>
      </w:pPr>
      <w:bookmarkStart w:id="26" w:name="_Toc26168"/>
      <w:bookmarkStart w:id="27" w:name="_Toc8646"/>
      <w:bookmarkStart w:id="28" w:name="_Toc167267307"/>
      <w:bookmarkStart w:id="29" w:name="_Toc15207"/>
      <w:bookmarkStart w:id="30" w:name="_Toc14891"/>
      <w:bookmarkStart w:id="31" w:name="_Toc25027"/>
      <w:r>
        <w:rPr>
          <w:rFonts w:eastAsia="宋体"/>
          <w:color w:val="auto"/>
        </w:rPr>
        <w:t>一、建设项目基本情况</w:t>
      </w:r>
      <w:bookmarkEnd w:id="26"/>
      <w:bookmarkEnd w:id="27"/>
      <w:bookmarkEnd w:id="28"/>
      <w:bookmarkEnd w:id="29"/>
      <w:bookmarkEnd w:id="30"/>
      <w:bookmarkEnd w:id="31"/>
    </w:p>
    <w:tbl>
      <w:tblPr>
        <w:tblStyle w:val="3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220"/>
        <w:gridCol w:w="2701"/>
        <w:gridCol w:w="2188"/>
        <w:gridCol w:w="2943"/>
      </w:tblGrid>
      <w:tr w14:paraId="135AB77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40" w:type="dxa"/>
            <w:tcMar>
              <w:top w:w="16" w:type="dxa"/>
              <w:left w:w="16" w:type="dxa"/>
              <w:right w:w="16" w:type="dxa"/>
            </w:tcMar>
            <w:vAlign w:val="center"/>
          </w:tcPr>
          <w:p w14:paraId="60F640E9">
            <w:pPr>
              <w:adjustRightInd w:val="0"/>
              <w:snapToGrid w:val="0"/>
              <w:spacing w:line="240" w:lineRule="auto"/>
              <w:ind w:firstLine="0" w:firstLineChars="0"/>
              <w:jc w:val="center"/>
            </w:pPr>
            <w:r>
              <w:t>建设项目名称</w:t>
            </w:r>
          </w:p>
        </w:tc>
        <w:tc>
          <w:tcPr>
            <w:tcW w:w="7530" w:type="dxa"/>
            <w:gridSpan w:val="3"/>
            <w:vAlign w:val="center"/>
          </w:tcPr>
          <w:p w14:paraId="661C9887">
            <w:pPr>
              <w:adjustRightInd w:val="0"/>
              <w:snapToGrid w:val="0"/>
              <w:spacing w:line="240" w:lineRule="auto"/>
              <w:ind w:firstLine="0" w:firstLineChars="0"/>
              <w:jc w:val="center"/>
            </w:pPr>
            <w:r>
              <w:rPr>
                <w:rFonts w:hint="eastAsia"/>
                <w:lang w:eastAsia="zh-CN"/>
              </w:rPr>
              <w:t>惠州市巨禾新材料科技有限公司</w:t>
            </w:r>
            <w:r>
              <w:rPr>
                <w:rFonts w:hint="eastAsia"/>
              </w:rPr>
              <w:t>年产1000吨TPE热塑性弹性体、200吨仿真娃娃迁扩建项目</w:t>
            </w:r>
          </w:p>
        </w:tc>
      </w:tr>
      <w:tr w14:paraId="75887E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40" w:type="dxa"/>
            <w:tcMar>
              <w:top w:w="16" w:type="dxa"/>
              <w:left w:w="16" w:type="dxa"/>
              <w:right w:w="16" w:type="dxa"/>
            </w:tcMar>
            <w:vAlign w:val="center"/>
          </w:tcPr>
          <w:p w14:paraId="4360F068">
            <w:pPr>
              <w:adjustRightInd w:val="0"/>
              <w:snapToGrid w:val="0"/>
              <w:spacing w:line="240" w:lineRule="auto"/>
              <w:ind w:firstLine="0" w:firstLineChars="0"/>
              <w:jc w:val="center"/>
              <w:rPr>
                <w:highlight w:val="none"/>
              </w:rPr>
            </w:pPr>
            <w:r>
              <w:rPr>
                <w:highlight w:val="none"/>
              </w:rPr>
              <w:t>项目代码</w:t>
            </w:r>
          </w:p>
        </w:tc>
        <w:tc>
          <w:tcPr>
            <w:tcW w:w="7530" w:type="dxa"/>
            <w:gridSpan w:val="3"/>
            <w:vAlign w:val="center"/>
          </w:tcPr>
          <w:p w14:paraId="638E51FA">
            <w:pPr>
              <w:adjustRightInd w:val="0"/>
              <w:snapToGrid w:val="0"/>
              <w:spacing w:line="240" w:lineRule="auto"/>
              <w:ind w:firstLine="0" w:firstLineChars="0"/>
              <w:jc w:val="center"/>
              <w:rPr>
                <w:highlight w:val="none"/>
              </w:rPr>
            </w:pPr>
            <w:r>
              <w:rPr>
                <w:highlight w:val="none"/>
              </w:rPr>
              <w:t>2505-441322-04-01-773913</w:t>
            </w:r>
          </w:p>
        </w:tc>
      </w:tr>
      <w:tr w14:paraId="115E40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40" w:type="dxa"/>
            <w:tcMar>
              <w:top w:w="16" w:type="dxa"/>
              <w:left w:w="16" w:type="dxa"/>
              <w:right w:w="16" w:type="dxa"/>
            </w:tcMar>
            <w:vAlign w:val="center"/>
          </w:tcPr>
          <w:p w14:paraId="453002DA">
            <w:pPr>
              <w:adjustRightInd w:val="0"/>
              <w:snapToGrid w:val="0"/>
              <w:spacing w:line="240" w:lineRule="auto"/>
              <w:ind w:firstLine="0" w:firstLineChars="0"/>
              <w:jc w:val="center"/>
            </w:pPr>
            <w:r>
              <w:t>建设单位联系人</w:t>
            </w:r>
          </w:p>
        </w:tc>
        <w:tc>
          <w:tcPr>
            <w:tcW w:w="2679" w:type="dxa"/>
            <w:vAlign w:val="center"/>
          </w:tcPr>
          <w:p w14:paraId="0AE0E5A9">
            <w:pPr>
              <w:adjustRightInd w:val="0"/>
              <w:snapToGrid w:val="0"/>
              <w:spacing w:line="240" w:lineRule="auto"/>
              <w:ind w:firstLine="0" w:firstLineChars="0"/>
              <w:jc w:val="center"/>
            </w:pPr>
          </w:p>
        </w:tc>
        <w:tc>
          <w:tcPr>
            <w:tcW w:w="1957" w:type="dxa"/>
            <w:vAlign w:val="center"/>
          </w:tcPr>
          <w:p w14:paraId="5B442C26">
            <w:pPr>
              <w:adjustRightInd w:val="0"/>
              <w:snapToGrid w:val="0"/>
              <w:spacing w:line="240" w:lineRule="auto"/>
              <w:ind w:firstLine="0" w:firstLineChars="0"/>
              <w:jc w:val="center"/>
            </w:pPr>
            <w:r>
              <w:t>联系方式</w:t>
            </w:r>
          </w:p>
        </w:tc>
        <w:tc>
          <w:tcPr>
            <w:tcW w:w="2894" w:type="dxa"/>
            <w:vAlign w:val="center"/>
          </w:tcPr>
          <w:p w14:paraId="5ABF3252">
            <w:pPr>
              <w:adjustRightInd w:val="0"/>
              <w:snapToGrid w:val="0"/>
              <w:spacing w:line="240" w:lineRule="auto"/>
              <w:ind w:firstLine="0" w:firstLineChars="0"/>
              <w:jc w:val="center"/>
              <w:rPr>
                <w:highlight w:val="yellow"/>
              </w:rPr>
            </w:pPr>
          </w:p>
        </w:tc>
      </w:tr>
      <w:tr w14:paraId="468CBBE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12" w:hRule="atLeast"/>
          <w:jc w:val="center"/>
        </w:trPr>
        <w:tc>
          <w:tcPr>
            <w:tcW w:w="1340" w:type="dxa"/>
            <w:tcMar>
              <w:top w:w="16" w:type="dxa"/>
              <w:left w:w="16" w:type="dxa"/>
              <w:right w:w="16" w:type="dxa"/>
            </w:tcMar>
            <w:vAlign w:val="center"/>
          </w:tcPr>
          <w:p w14:paraId="40E78A47">
            <w:pPr>
              <w:adjustRightInd w:val="0"/>
              <w:snapToGrid w:val="0"/>
              <w:spacing w:line="240" w:lineRule="auto"/>
              <w:ind w:firstLine="0" w:firstLineChars="0"/>
              <w:jc w:val="center"/>
            </w:pPr>
            <w:r>
              <w:t>建设地点</w:t>
            </w:r>
          </w:p>
        </w:tc>
        <w:tc>
          <w:tcPr>
            <w:tcW w:w="7530" w:type="dxa"/>
            <w:gridSpan w:val="3"/>
            <w:vAlign w:val="center"/>
          </w:tcPr>
          <w:p w14:paraId="587C994B">
            <w:pPr>
              <w:adjustRightInd w:val="0"/>
              <w:snapToGrid w:val="0"/>
              <w:spacing w:line="240" w:lineRule="auto"/>
              <w:ind w:firstLine="0" w:firstLineChars="0"/>
              <w:jc w:val="center"/>
            </w:pPr>
            <w:r>
              <w:rPr>
                <w:rFonts w:hint="eastAsia"/>
                <w:szCs w:val="21"/>
              </w:rPr>
              <w:t>惠州市博罗县园洲镇博罗智能装备产业园东片区绿化北路3号20号厂房101、201</w:t>
            </w:r>
          </w:p>
        </w:tc>
      </w:tr>
      <w:tr w14:paraId="3F083A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40" w:type="dxa"/>
            <w:tcMar>
              <w:top w:w="16" w:type="dxa"/>
              <w:left w:w="16" w:type="dxa"/>
              <w:right w:w="16" w:type="dxa"/>
            </w:tcMar>
            <w:vAlign w:val="center"/>
          </w:tcPr>
          <w:p w14:paraId="6163A8C7">
            <w:pPr>
              <w:adjustRightInd w:val="0"/>
              <w:snapToGrid w:val="0"/>
              <w:spacing w:line="240" w:lineRule="auto"/>
              <w:ind w:firstLine="0" w:firstLineChars="0"/>
              <w:jc w:val="center"/>
            </w:pPr>
            <w:r>
              <w:t>地理坐标</w:t>
            </w:r>
          </w:p>
        </w:tc>
        <w:tc>
          <w:tcPr>
            <w:tcW w:w="7530" w:type="dxa"/>
            <w:gridSpan w:val="3"/>
            <w:vAlign w:val="center"/>
          </w:tcPr>
          <w:p w14:paraId="75C173D0">
            <w:pPr>
              <w:spacing w:line="240" w:lineRule="auto"/>
              <w:ind w:firstLine="0" w:firstLineChars="0"/>
              <w:jc w:val="center"/>
            </w:pPr>
            <w:r>
              <w:t>（</w:t>
            </w:r>
            <w:r>
              <w:rPr>
                <w:color w:val="000000"/>
                <w:kern w:val="0"/>
              </w:rPr>
              <w:t>114º</w:t>
            </w:r>
            <w:r>
              <w:rPr>
                <w:rFonts w:hint="eastAsia"/>
                <w:color w:val="000000"/>
                <w:kern w:val="0"/>
              </w:rPr>
              <w:t>0</w:t>
            </w:r>
            <w:r>
              <w:rPr>
                <w:color w:val="000000"/>
                <w:kern w:val="0"/>
              </w:rPr>
              <w:t>′</w:t>
            </w:r>
            <w:r>
              <w:rPr>
                <w:rFonts w:hint="eastAsia"/>
                <w:color w:val="000000"/>
                <w:kern w:val="0"/>
              </w:rPr>
              <w:t>45.158</w:t>
            </w:r>
            <w:r>
              <w:t>″E，</w:t>
            </w:r>
            <w:r>
              <w:rPr>
                <w:rFonts w:hint="eastAsia"/>
                <w:color w:val="000000"/>
                <w:kern w:val="0"/>
              </w:rPr>
              <w:t>23</w:t>
            </w:r>
            <w:r>
              <w:rPr>
                <w:color w:val="000000"/>
                <w:kern w:val="0"/>
              </w:rPr>
              <w:t xml:space="preserve">º </w:t>
            </w:r>
            <w:r>
              <w:rPr>
                <w:rFonts w:hint="eastAsia"/>
                <w:color w:val="000000"/>
                <w:kern w:val="0"/>
              </w:rPr>
              <w:t>6</w:t>
            </w:r>
            <w:r>
              <w:rPr>
                <w:color w:val="000000"/>
                <w:kern w:val="0"/>
              </w:rPr>
              <w:t>′</w:t>
            </w:r>
            <w:r>
              <w:rPr>
                <w:rFonts w:hint="eastAsia"/>
                <w:color w:val="000000"/>
                <w:kern w:val="0"/>
              </w:rPr>
              <w:t>30.672</w:t>
            </w:r>
            <w:r>
              <w:rPr>
                <w:color w:val="000000"/>
                <w:kern w:val="0"/>
              </w:rPr>
              <w:t xml:space="preserve">″ </w:t>
            </w:r>
            <w:r>
              <w:t>N）</w:t>
            </w:r>
          </w:p>
        </w:tc>
      </w:tr>
      <w:tr w14:paraId="7E49CF6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68" w:hRule="atLeast"/>
          <w:jc w:val="center"/>
        </w:trPr>
        <w:tc>
          <w:tcPr>
            <w:tcW w:w="1340" w:type="dxa"/>
            <w:tcMar>
              <w:top w:w="16" w:type="dxa"/>
              <w:left w:w="16" w:type="dxa"/>
              <w:right w:w="16" w:type="dxa"/>
            </w:tcMar>
            <w:vAlign w:val="center"/>
          </w:tcPr>
          <w:p w14:paraId="34DF7DD6">
            <w:pPr>
              <w:adjustRightInd w:val="0"/>
              <w:snapToGrid w:val="0"/>
              <w:spacing w:line="240" w:lineRule="auto"/>
              <w:ind w:firstLine="0" w:firstLineChars="0"/>
              <w:jc w:val="center"/>
            </w:pPr>
            <w:r>
              <w:t>国民经济</w:t>
            </w:r>
          </w:p>
          <w:p w14:paraId="4C3AAC47">
            <w:pPr>
              <w:adjustRightInd w:val="0"/>
              <w:snapToGrid w:val="0"/>
              <w:spacing w:line="240" w:lineRule="auto"/>
              <w:ind w:firstLine="0" w:firstLineChars="0"/>
              <w:jc w:val="center"/>
            </w:pPr>
            <w:r>
              <w:t>行业类别</w:t>
            </w:r>
          </w:p>
        </w:tc>
        <w:tc>
          <w:tcPr>
            <w:tcW w:w="2679" w:type="dxa"/>
            <w:vAlign w:val="center"/>
          </w:tcPr>
          <w:p w14:paraId="5E7A5124">
            <w:pPr>
              <w:adjustRightInd w:val="0"/>
              <w:snapToGrid w:val="0"/>
              <w:spacing w:line="240" w:lineRule="auto"/>
              <w:ind w:firstLine="0" w:firstLineChars="0"/>
            </w:pPr>
            <w:r>
              <w:rPr>
                <w:rFonts w:hint="eastAsia"/>
              </w:rPr>
              <w:t>C2929塑料零件及其他塑料制品制造</w:t>
            </w:r>
          </w:p>
        </w:tc>
        <w:tc>
          <w:tcPr>
            <w:tcW w:w="1957" w:type="dxa"/>
            <w:vAlign w:val="center"/>
          </w:tcPr>
          <w:p w14:paraId="26238AB5">
            <w:pPr>
              <w:adjustRightInd w:val="0"/>
              <w:snapToGrid w:val="0"/>
              <w:spacing w:line="240" w:lineRule="auto"/>
              <w:ind w:firstLine="0" w:firstLineChars="0"/>
              <w:jc w:val="center"/>
              <w:rPr>
                <w:rFonts w:cs="宋体"/>
              </w:rPr>
            </w:pPr>
            <w:bookmarkStart w:id="32" w:name="_Hlk49843745"/>
            <w:r>
              <w:rPr>
                <w:rFonts w:cs="宋体"/>
              </w:rPr>
              <w:t>建设项目</w:t>
            </w:r>
          </w:p>
          <w:p w14:paraId="532B9515">
            <w:pPr>
              <w:adjustRightInd w:val="0"/>
              <w:snapToGrid w:val="0"/>
              <w:spacing w:line="240" w:lineRule="auto"/>
              <w:ind w:firstLine="0" w:firstLineChars="0"/>
              <w:jc w:val="center"/>
              <w:rPr>
                <w:rFonts w:cs="宋体"/>
              </w:rPr>
            </w:pPr>
            <w:r>
              <w:rPr>
                <w:rFonts w:cs="宋体"/>
              </w:rPr>
              <w:t>行业类别</w:t>
            </w:r>
            <w:bookmarkEnd w:id="32"/>
          </w:p>
        </w:tc>
        <w:tc>
          <w:tcPr>
            <w:tcW w:w="2894" w:type="dxa"/>
            <w:vAlign w:val="center"/>
          </w:tcPr>
          <w:p w14:paraId="368860CA">
            <w:pPr>
              <w:adjustRightInd w:val="0"/>
              <w:snapToGrid w:val="0"/>
              <w:spacing w:line="240" w:lineRule="auto"/>
              <w:ind w:firstLine="0" w:firstLineChars="0"/>
              <w:rPr>
                <w:rFonts w:cs="宋体"/>
              </w:rPr>
            </w:pPr>
            <w:r>
              <w:rPr>
                <w:rFonts w:hint="eastAsia" w:cs="宋体"/>
              </w:rPr>
              <w:t>二十六、橡胶和塑料制品业 29</w:t>
            </w:r>
            <w:r>
              <w:rPr>
                <w:rFonts w:cs="宋体"/>
              </w:rPr>
              <w:t>—</w:t>
            </w:r>
            <w:r>
              <w:rPr>
                <w:rFonts w:hint="eastAsia" w:cs="宋体"/>
              </w:rPr>
              <w:t>53塑料制品业 292</w:t>
            </w:r>
          </w:p>
        </w:tc>
      </w:tr>
      <w:tr w14:paraId="7891CC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340" w:type="dxa"/>
            <w:tcMar>
              <w:top w:w="16" w:type="dxa"/>
              <w:left w:w="16" w:type="dxa"/>
              <w:right w:w="16" w:type="dxa"/>
            </w:tcMar>
            <w:vAlign w:val="center"/>
          </w:tcPr>
          <w:p w14:paraId="0A37BDCE">
            <w:pPr>
              <w:adjustRightInd w:val="0"/>
              <w:snapToGrid w:val="0"/>
              <w:spacing w:line="240" w:lineRule="auto"/>
              <w:ind w:firstLine="0" w:firstLineChars="0"/>
              <w:jc w:val="center"/>
            </w:pPr>
            <w:r>
              <w:t>建设性质</w:t>
            </w:r>
          </w:p>
        </w:tc>
        <w:tc>
          <w:tcPr>
            <w:tcW w:w="2679" w:type="dxa"/>
            <w:vAlign w:val="center"/>
          </w:tcPr>
          <w:p w14:paraId="6D01C394">
            <w:pPr>
              <w:spacing w:line="240" w:lineRule="auto"/>
              <w:ind w:firstLine="0" w:firstLineChars="0"/>
            </w:pPr>
            <w:r>
              <w:rPr>
                <w:rFonts w:hint="eastAsia"/>
              </w:rPr>
              <w:t>☑</w:t>
            </w:r>
            <w:r>
              <w:t>新建（迁建）</w:t>
            </w:r>
          </w:p>
          <w:p w14:paraId="73A3F404">
            <w:pPr>
              <w:spacing w:line="240" w:lineRule="auto"/>
              <w:ind w:firstLine="0" w:firstLineChars="0"/>
            </w:pPr>
            <w:r>
              <w:rPr>
                <w:rFonts w:hint="eastAsia"/>
              </w:rPr>
              <w:t>□</w:t>
            </w:r>
            <w:r>
              <w:t>改建</w:t>
            </w:r>
          </w:p>
          <w:p w14:paraId="206B1213">
            <w:pPr>
              <w:spacing w:line="240" w:lineRule="auto"/>
              <w:ind w:firstLine="0" w:firstLineChars="0"/>
            </w:pPr>
            <w:r>
              <w:rPr>
                <w:rFonts w:hint="eastAsia"/>
              </w:rPr>
              <w:t>☑</w:t>
            </w:r>
            <w:r>
              <w:t>扩建</w:t>
            </w:r>
          </w:p>
          <w:p w14:paraId="4A4761C8">
            <w:pPr>
              <w:spacing w:line="240" w:lineRule="auto"/>
              <w:ind w:firstLine="0" w:firstLineChars="0"/>
            </w:pPr>
            <w:r>
              <w:rPr>
                <w:rFonts w:hint="eastAsia"/>
              </w:rPr>
              <w:t>□</w:t>
            </w:r>
            <w:r>
              <w:t>技术改造</w:t>
            </w:r>
          </w:p>
        </w:tc>
        <w:tc>
          <w:tcPr>
            <w:tcW w:w="1957" w:type="dxa"/>
            <w:vAlign w:val="center"/>
          </w:tcPr>
          <w:p w14:paraId="376089D1">
            <w:pPr>
              <w:adjustRightInd w:val="0"/>
              <w:snapToGrid w:val="0"/>
              <w:spacing w:line="240" w:lineRule="auto"/>
              <w:ind w:firstLine="0" w:firstLineChars="0"/>
              <w:jc w:val="center"/>
            </w:pPr>
            <w:r>
              <w:t>建设项目</w:t>
            </w:r>
          </w:p>
          <w:p w14:paraId="0FF3789B">
            <w:pPr>
              <w:adjustRightInd w:val="0"/>
              <w:snapToGrid w:val="0"/>
              <w:spacing w:line="240" w:lineRule="auto"/>
              <w:ind w:firstLine="0" w:firstLineChars="0"/>
              <w:jc w:val="center"/>
            </w:pPr>
            <w:r>
              <w:t>申报情形</w:t>
            </w:r>
          </w:p>
        </w:tc>
        <w:tc>
          <w:tcPr>
            <w:tcW w:w="2894" w:type="dxa"/>
            <w:vAlign w:val="center"/>
          </w:tcPr>
          <w:p w14:paraId="2D72B4F8">
            <w:pPr>
              <w:spacing w:line="240" w:lineRule="auto"/>
              <w:ind w:firstLine="0" w:firstLineChars="0"/>
            </w:pPr>
            <w:r>
              <w:t xml:space="preserve">☑首次申报项目             </w:t>
            </w:r>
          </w:p>
          <w:p w14:paraId="73CA77E1">
            <w:pPr>
              <w:spacing w:line="240" w:lineRule="auto"/>
              <w:ind w:firstLine="0" w:firstLineChars="0"/>
            </w:pPr>
            <w:r>
              <w:t>□不予批准后再次申报项目</w:t>
            </w:r>
          </w:p>
          <w:p w14:paraId="76182039">
            <w:pPr>
              <w:spacing w:line="240" w:lineRule="auto"/>
              <w:ind w:firstLine="0" w:firstLineChars="0"/>
            </w:pPr>
            <w:r>
              <w:t xml:space="preserve">□超五年重新审核项目     </w:t>
            </w:r>
          </w:p>
          <w:p w14:paraId="7C1C0C9F">
            <w:pPr>
              <w:spacing w:line="240" w:lineRule="auto"/>
              <w:ind w:firstLine="0" w:firstLineChars="0"/>
            </w:pPr>
            <w:r>
              <w:t>□重大变动重新报批项目</w:t>
            </w:r>
          </w:p>
        </w:tc>
      </w:tr>
      <w:tr w14:paraId="0B72957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340" w:type="dxa"/>
            <w:tcMar>
              <w:top w:w="16" w:type="dxa"/>
              <w:left w:w="16" w:type="dxa"/>
              <w:right w:w="16" w:type="dxa"/>
            </w:tcMar>
            <w:vAlign w:val="center"/>
          </w:tcPr>
          <w:p w14:paraId="56BECEA0">
            <w:pPr>
              <w:adjustRightInd w:val="0"/>
              <w:snapToGrid w:val="0"/>
              <w:spacing w:line="240" w:lineRule="auto"/>
              <w:ind w:firstLine="0" w:firstLineChars="0"/>
              <w:jc w:val="center"/>
            </w:pPr>
            <w:r>
              <w:t>项目审批（核准/备案）部门（选填）</w:t>
            </w:r>
          </w:p>
        </w:tc>
        <w:tc>
          <w:tcPr>
            <w:tcW w:w="2679" w:type="dxa"/>
            <w:vAlign w:val="center"/>
          </w:tcPr>
          <w:p w14:paraId="1109C3D7">
            <w:pPr>
              <w:adjustRightInd w:val="0"/>
              <w:snapToGrid w:val="0"/>
              <w:spacing w:line="240" w:lineRule="auto"/>
              <w:ind w:firstLine="0" w:firstLineChars="0"/>
              <w:jc w:val="center"/>
            </w:pPr>
            <w:r>
              <w:t>/</w:t>
            </w:r>
          </w:p>
        </w:tc>
        <w:tc>
          <w:tcPr>
            <w:tcW w:w="1957" w:type="dxa"/>
            <w:vAlign w:val="center"/>
          </w:tcPr>
          <w:p w14:paraId="50D4AB41">
            <w:pPr>
              <w:adjustRightInd w:val="0"/>
              <w:snapToGrid w:val="0"/>
              <w:spacing w:line="240" w:lineRule="auto"/>
              <w:ind w:firstLine="0" w:firstLineChars="0"/>
              <w:jc w:val="center"/>
            </w:pPr>
            <w:r>
              <w:t>项目审批（核准/</w:t>
            </w:r>
          </w:p>
          <w:p w14:paraId="010DCBCE">
            <w:pPr>
              <w:adjustRightInd w:val="0"/>
              <w:snapToGrid w:val="0"/>
              <w:spacing w:line="240" w:lineRule="auto"/>
              <w:ind w:firstLine="0" w:firstLineChars="0"/>
              <w:jc w:val="center"/>
            </w:pPr>
            <w:r>
              <w:t>备案）文号（选填）</w:t>
            </w:r>
          </w:p>
        </w:tc>
        <w:tc>
          <w:tcPr>
            <w:tcW w:w="2894" w:type="dxa"/>
            <w:vAlign w:val="center"/>
          </w:tcPr>
          <w:p w14:paraId="65C8EDBB">
            <w:pPr>
              <w:adjustRightInd w:val="0"/>
              <w:snapToGrid w:val="0"/>
              <w:spacing w:line="240" w:lineRule="auto"/>
              <w:ind w:firstLine="0" w:firstLineChars="0"/>
              <w:jc w:val="center"/>
            </w:pPr>
            <w:r>
              <w:t>/</w:t>
            </w:r>
          </w:p>
        </w:tc>
      </w:tr>
      <w:tr w14:paraId="7429814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40" w:type="dxa"/>
            <w:tcMar>
              <w:top w:w="16" w:type="dxa"/>
              <w:left w:w="16" w:type="dxa"/>
              <w:right w:w="16" w:type="dxa"/>
            </w:tcMar>
            <w:vAlign w:val="center"/>
          </w:tcPr>
          <w:p w14:paraId="4172E4A6">
            <w:pPr>
              <w:adjustRightInd w:val="0"/>
              <w:snapToGrid w:val="0"/>
              <w:spacing w:line="240" w:lineRule="auto"/>
              <w:ind w:firstLine="0" w:firstLineChars="0"/>
              <w:jc w:val="center"/>
            </w:pPr>
            <w:r>
              <w:t>总投资（万元）</w:t>
            </w:r>
          </w:p>
        </w:tc>
        <w:tc>
          <w:tcPr>
            <w:tcW w:w="2679" w:type="dxa"/>
            <w:vAlign w:val="center"/>
          </w:tcPr>
          <w:p w14:paraId="15F5F4C9">
            <w:pPr>
              <w:adjustRightInd w:val="0"/>
              <w:snapToGrid w:val="0"/>
              <w:spacing w:line="240" w:lineRule="auto"/>
              <w:ind w:firstLine="0" w:firstLineChars="0"/>
              <w:jc w:val="center"/>
            </w:pPr>
            <w:r>
              <w:rPr>
                <w:rFonts w:hint="eastAsia"/>
                <w:spacing w:val="-16"/>
              </w:rPr>
              <w:t>200</w:t>
            </w:r>
          </w:p>
        </w:tc>
        <w:tc>
          <w:tcPr>
            <w:tcW w:w="1957" w:type="dxa"/>
            <w:tcMar>
              <w:top w:w="16" w:type="dxa"/>
              <w:left w:w="16" w:type="dxa"/>
              <w:right w:w="16" w:type="dxa"/>
            </w:tcMar>
            <w:vAlign w:val="center"/>
          </w:tcPr>
          <w:p w14:paraId="67A4C05D">
            <w:pPr>
              <w:adjustRightInd w:val="0"/>
              <w:snapToGrid w:val="0"/>
              <w:spacing w:line="240" w:lineRule="auto"/>
              <w:ind w:firstLine="0" w:firstLineChars="0"/>
              <w:jc w:val="center"/>
            </w:pPr>
            <w:r>
              <w:t>环保投资（万元）</w:t>
            </w:r>
          </w:p>
        </w:tc>
        <w:tc>
          <w:tcPr>
            <w:tcW w:w="2894" w:type="dxa"/>
            <w:vAlign w:val="center"/>
          </w:tcPr>
          <w:p w14:paraId="036611AF">
            <w:pPr>
              <w:adjustRightInd w:val="0"/>
              <w:snapToGrid w:val="0"/>
              <w:spacing w:line="240" w:lineRule="auto"/>
              <w:ind w:firstLine="0" w:firstLineChars="0"/>
              <w:jc w:val="center"/>
            </w:pPr>
            <w:r>
              <w:rPr>
                <w:rFonts w:hint="eastAsia"/>
              </w:rPr>
              <w:t>20</w:t>
            </w:r>
          </w:p>
        </w:tc>
      </w:tr>
      <w:tr w14:paraId="58EB2CC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40" w:type="dxa"/>
            <w:tcMar>
              <w:top w:w="16" w:type="dxa"/>
              <w:left w:w="16" w:type="dxa"/>
              <w:right w:w="16" w:type="dxa"/>
            </w:tcMar>
            <w:vAlign w:val="center"/>
          </w:tcPr>
          <w:p w14:paraId="22AF81A4">
            <w:pPr>
              <w:adjustRightInd w:val="0"/>
              <w:snapToGrid w:val="0"/>
              <w:spacing w:line="240" w:lineRule="auto"/>
              <w:ind w:firstLine="0" w:firstLineChars="0"/>
              <w:jc w:val="center"/>
            </w:pPr>
            <w:r>
              <w:t>环保投资占比（%）</w:t>
            </w:r>
          </w:p>
        </w:tc>
        <w:tc>
          <w:tcPr>
            <w:tcW w:w="2679" w:type="dxa"/>
            <w:vAlign w:val="center"/>
          </w:tcPr>
          <w:p w14:paraId="54FBF144">
            <w:pPr>
              <w:adjustRightInd w:val="0"/>
              <w:snapToGrid w:val="0"/>
              <w:spacing w:line="240" w:lineRule="auto"/>
              <w:ind w:firstLine="0" w:firstLineChars="0"/>
              <w:jc w:val="center"/>
            </w:pPr>
            <w:r>
              <w:rPr>
                <w:rFonts w:hint="eastAsia"/>
              </w:rPr>
              <w:t>10%</w:t>
            </w:r>
          </w:p>
        </w:tc>
        <w:tc>
          <w:tcPr>
            <w:tcW w:w="1957" w:type="dxa"/>
            <w:tcMar>
              <w:top w:w="16" w:type="dxa"/>
              <w:left w:w="16" w:type="dxa"/>
              <w:right w:w="16" w:type="dxa"/>
            </w:tcMar>
            <w:vAlign w:val="center"/>
          </w:tcPr>
          <w:p w14:paraId="47F92A29">
            <w:pPr>
              <w:adjustRightInd w:val="0"/>
              <w:snapToGrid w:val="0"/>
              <w:spacing w:line="240" w:lineRule="auto"/>
              <w:ind w:firstLine="0" w:firstLineChars="0"/>
              <w:jc w:val="center"/>
              <w:rPr>
                <w:highlight w:val="yellow"/>
              </w:rPr>
            </w:pPr>
            <w:r>
              <w:t>施工工期</w:t>
            </w:r>
          </w:p>
        </w:tc>
        <w:tc>
          <w:tcPr>
            <w:tcW w:w="2894" w:type="dxa"/>
            <w:vAlign w:val="center"/>
          </w:tcPr>
          <w:p w14:paraId="52EB7ED3">
            <w:pPr>
              <w:adjustRightInd w:val="0"/>
              <w:snapToGrid w:val="0"/>
              <w:spacing w:line="240" w:lineRule="auto"/>
              <w:ind w:firstLine="0" w:firstLineChars="0"/>
              <w:jc w:val="center"/>
            </w:pPr>
            <w:r>
              <w:rPr>
                <w:rFonts w:hint="eastAsia"/>
              </w:rPr>
              <w:t>/</w:t>
            </w:r>
          </w:p>
        </w:tc>
      </w:tr>
      <w:tr w14:paraId="5155BD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340" w:type="dxa"/>
            <w:tcMar>
              <w:top w:w="16" w:type="dxa"/>
              <w:left w:w="16" w:type="dxa"/>
              <w:right w:w="16" w:type="dxa"/>
            </w:tcMar>
            <w:vAlign w:val="center"/>
          </w:tcPr>
          <w:p w14:paraId="5C5A06B2">
            <w:pPr>
              <w:adjustRightInd w:val="0"/>
              <w:snapToGrid w:val="0"/>
              <w:spacing w:line="240" w:lineRule="auto"/>
              <w:ind w:firstLine="0" w:firstLineChars="0"/>
              <w:jc w:val="center"/>
            </w:pPr>
            <w:r>
              <w:t>是否开工建设</w:t>
            </w:r>
          </w:p>
        </w:tc>
        <w:tc>
          <w:tcPr>
            <w:tcW w:w="2679" w:type="dxa"/>
            <w:vAlign w:val="center"/>
          </w:tcPr>
          <w:p w14:paraId="1A69751B">
            <w:pPr>
              <w:adjustRightInd w:val="0"/>
              <w:snapToGrid w:val="0"/>
              <w:spacing w:line="240" w:lineRule="auto"/>
              <w:ind w:firstLine="0" w:firstLineChars="0"/>
            </w:pPr>
            <w:r>
              <w:t>☑否</w:t>
            </w:r>
          </w:p>
          <w:p w14:paraId="2533F1FF">
            <w:pPr>
              <w:adjustRightInd w:val="0"/>
              <w:snapToGrid w:val="0"/>
              <w:spacing w:line="240" w:lineRule="auto"/>
              <w:ind w:firstLine="0" w:firstLineChars="0"/>
              <w:rPr>
                <w:u w:val="single"/>
              </w:rPr>
            </w:pPr>
            <w:r>
              <w:t>□是：</w:t>
            </w:r>
            <w:r>
              <w:rPr>
                <w:u w:val="single"/>
              </w:rPr>
              <w:t xml:space="preserve">            </w:t>
            </w:r>
          </w:p>
        </w:tc>
        <w:tc>
          <w:tcPr>
            <w:tcW w:w="1957" w:type="dxa"/>
            <w:tcMar>
              <w:top w:w="16" w:type="dxa"/>
              <w:left w:w="16" w:type="dxa"/>
              <w:right w:w="16" w:type="dxa"/>
            </w:tcMar>
            <w:vAlign w:val="center"/>
          </w:tcPr>
          <w:p w14:paraId="488171B0">
            <w:pPr>
              <w:adjustRightInd w:val="0"/>
              <w:snapToGrid w:val="0"/>
              <w:spacing w:line="240" w:lineRule="auto"/>
              <w:ind w:firstLine="0" w:firstLineChars="0"/>
              <w:jc w:val="center"/>
              <w:rPr>
                <w:spacing w:val="-6"/>
              </w:rPr>
            </w:pPr>
            <w:r>
              <w:rPr>
                <w:spacing w:val="-6"/>
              </w:rPr>
              <w:t>用地（用海）</w:t>
            </w:r>
          </w:p>
          <w:p w14:paraId="39A82A4A">
            <w:pPr>
              <w:adjustRightInd w:val="0"/>
              <w:snapToGrid w:val="0"/>
              <w:spacing w:line="240" w:lineRule="auto"/>
              <w:ind w:firstLine="0" w:firstLineChars="0"/>
              <w:jc w:val="center"/>
            </w:pPr>
            <w:r>
              <w:rPr>
                <w:spacing w:val="-6"/>
              </w:rPr>
              <w:t>面积（m</w:t>
            </w:r>
            <w:r>
              <w:rPr>
                <w:spacing w:val="-6"/>
                <w:vertAlign w:val="superscript"/>
              </w:rPr>
              <w:t>2</w:t>
            </w:r>
            <w:r>
              <w:rPr>
                <w:spacing w:val="-6"/>
              </w:rPr>
              <w:t>）</w:t>
            </w:r>
          </w:p>
        </w:tc>
        <w:tc>
          <w:tcPr>
            <w:tcW w:w="2894" w:type="dxa"/>
            <w:vAlign w:val="center"/>
          </w:tcPr>
          <w:p w14:paraId="74E8E772">
            <w:pPr>
              <w:adjustRightInd w:val="0"/>
              <w:snapToGrid w:val="0"/>
              <w:spacing w:line="240" w:lineRule="auto"/>
              <w:ind w:firstLine="0" w:firstLineChars="0"/>
              <w:jc w:val="center"/>
            </w:pPr>
            <w:r>
              <w:rPr>
                <w:rFonts w:hint="eastAsia"/>
              </w:rPr>
              <w:t>2000</w:t>
            </w:r>
          </w:p>
        </w:tc>
      </w:tr>
      <w:tr w14:paraId="6150D4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40" w:type="dxa"/>
            <w:vAlign w:val="center"/>
          </w:tcPr>
          <w:p w14:paraId="4ED6E728">
            <w:pPr>
              <w:autoSpaceDE w:val="0"/>
              <w:autoSpaceDN w:val="0"/>
              <w:adjustRightInd w:val="0"/>
              <w:snapToGrid w:val="0"/>
              <w:spacing w:line="240" w:lineRule="auto"/>
              <w:ind w:firstLine="0" w:firstLineChars="0"/>
              <w:jc w:val="center"/>
              <w:rPr>
                <w:kern w:val="0"/>
              </w:rPr>
            </w:pPr>
            <w:r>
              <w:rPr>
                <w:kern w:val="0"/>
              </w:rPr>
              <w:t>专项评价设置情况</w:t>
            </w:r>
          </w:p>
        </w:tc>
        <w:tc>
          <w:tcPr>
            <w:tcW w:w="7530" w:type="dxa"/>
            <w:gridSpan w:val="3"/>
            <w:vAlign w:val="center"/>
          </w:tcPr>
          <w:p w14:paraId="53FBDBB0">
            <w:pPr>
              <w:autoSpaceDE w:val="0"/>
              <w:autoSpaceDN w:val="0"/>
              <w:spacing w:line="240" w:lineRule="auto"/>
              <w:ind w:firstLine="0" w:firstLineChars="0"/>
              <w:jc w:val="center"/>
              <w:rPr>
                <w:kern w:val="0"/>
              </w:rPr>
            </w:pPr>
            <w:r>
              <w:rPr>
                <w:rFonts w:hint="eastAsia" w:cs="宋体"/>
                <w:kern w:val="0"/>
                <w:szCs w:val="21"/>
              </w:rPr>
              <w:t>无</w:t>
            </w:r>
          </w:p>
        </w:tc>
      </w:tr>
      <w:tr w14:paraId="5C5BFF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1" w:hRule="atLeast"/>
          <w:jc w:val="center"/>
        </w:trPr>
        <w:tc>
          <w:tcPr>
            <w:tcW w:w="1340" w:type="dxa"/>
            <w:vAlign w:val="center"/>
          </w:tcPr>
          <w:p w14:paraId="0820D35D">
            <w:pPr>
              <w:autoSpaceDE w:val="0"/>
              <w:autoSpaceDN w:val="0"/>
              <w:adjustRightInd w:val="0"/>
              <w:snapToGrid w:val="0"/>
              <w:spacing w:line="240" w:lineRule="auto"/>
              <w:ind w:firstLine="0" w:firstLineChars="0"/>
              <w:jc w:val="center"/>
              <w:rPr>
                <w:kern w:val="0"/>
              </w:rPr>
            </w:pPr>
            <w:r>
              <w:t>规划情况</w:t>
            </w:r>
          </w:p>
        </w:tc>
        <w:tc>
          <w:tcPr>
            <w:tcW w:w="7530" w:type="dxa"/>
            <w:gridSpan w:val="3"/>
            <w:vAlign w:val="center"/>
          </w:tcPr>
          <w:p w14:paraId="5BE3F7AE">
            <w:pPr>
              <w:spacing w:line="240" w:lineRule="auto"/>
              <w:ind w:firstLine="0" w:firstLineChars="0"/>
              <w:jc w:val="center"/>
              <w:rPr>
                <w:kern w:val="0"/>
              </w:rPr>
            </w:pPr>
            <w:r>
              <w:rPr>
                <w:rFonts w:hint="eastAsia" w:cs="宋体"/>
                <w:kern w:val="0"/>
                <w:szCs w:val="21"/>
              </w:rPr>
              <w:t>无</w:t>
            </w:r>
          </w:p>
        </w:tc>
      </w:tr>
      <w:tr w14:paraId="13ADE49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5" w:hRule="atLeast"/>
          <w:jc w:val="center"/>
        </w:trPr>
        <w:tc>
          <w:tcPr>
            <w:tcW w:w="1340" w:type="dxa"/>
            <w:vAlign w:val="center"/>
          </w:tcPr>
          <w:p w14:paraId="18A22B74">
            <w:pPr>
              <w:adjustRightInd w:val="0"/>
              <w:snapToGrid w:val="0"/>
              <w:spacing w:line="240" w:lineRule="auto"/>
              <w:ind w:firstLine="0" w:firstLineChars="0"/>
              <w:jc w:val="center"/>
              <w:rPr>
                <w:kern w:val="0"/>
              </w:rPr>
            </w:pPr>
            <w:r>
              <w:t>规划环境影响评价情况</w:t>
            </w:r>
          </w:p>
        </w:tc>
        <w:tc>
          <w:tcPr>
            <w:tcW w:w="7530" w:type="dxa"/>
            <w:gridSpan w:val="3"/>
            <w:vAlign w:val="center"/>
          </w:tcPr>
          <w:p w14:paraId="331FC3E4">
            <w:pPr>
              <w:spacing w:line="240" w:lineRule="auto"/>
              <w:ind w:firstLine="0" w:firstLineChars="0"/>
              <w:jc w:val="center"/>
            </w:pPr>
            <w:r>
              <w:rPr>
                <w:rFonts w:hint="eastAsia" w:cs="宋体"/>
                <w:kern w:val="0"/>
                <w:szCs w:val="21"/>
              </w:rPr>
              <w:t>无</w:t>
            </w:r>
          </w:p>
        </w:tc>
      </w:tr>
      <w:tr w14:paraId="144B80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40" w:type="dxa"/>
            <w:vAlign w:val="center"/>
          </w:tcPr>
          <w:p w14:paraId="03A83C52">
            <w:pPr>
              <w:autoSpaceDE w:val="0"/>
              <w:autoSpaceDN w:val="0"/>
              <w:adjustRightInd w:val="0"/>
              <w:snapToGrid w:val="0"/>
              <w:spacing w:line="240" w:lineRule="auto"/>
              <w:ind w:firstLine="0" w:firstLineChars="0"/>
              <w:jc w:val="center"/>
              <w:rPr>
                <w:kern w:val="0"/>
                <w:highlight w:val="yellow"/>
              </w:rPr>
            </w:pPr>
            <w:r>
              <w:rPr>
                <w:kern w:val="0"/>
              </w:rPr>
              <w:t>规划及规划环境影响评价符合性分析</w:t>
            </w:r>
          </w:p>
        </w:tc>
        <w:tc>
          <w:tcPr>
            <w:tcW w:w="7530" w:type="dxa"/>
            <w:gridSpan w:val="3"/>
            <w:vAlign w:val="center"/>
          </w:tcPr>
          <w:p w14:paraId="552CF5C0">
            <w:pPr>
              <w:spacing w:line="240" w:lineRule="auto"/>
              <w:ind w:firstLine="0" w:firstLineChars="0"/>
              <w:jc w:val="center"/>
              <w:rPr>
                <w:kern w:val="0"/>
              </w:rPr>
            </w:pPr>
            <w:r>
              <w:rPr>
                <w:rFonts w:hint="eastAsia" w:cs="宋体"/>
                <w:kern w:val="0"/>
                <w:szCs w:val="21"/>
              </w:rPr>
              <w:t>无</w:t>
            </w:r>
          </w:p>
        </w:tc>
      </w:tr>
      <w:tr w14:paraId="7D5DF50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40" w:type="dxa"/>
            <w:vAlign w:val="center"/>
          </w:tcPr>
          <w:p w14:paraId="45877880">
            <w:pPr>
              <w:autoSpaceDE w:val="0"/>
              <w:autoSpaceDN w:val="0"/>
              <w:adjustRightInd w:val="0"/>
              <w:snapToGrid w:val="0"/>
              <w:spacing w:line="240" w:lineRule="auto"/>
              <w:ind w:firstLine="0" w:firstLineChars="0"/>
              <w:jc w:val="center"/>
              <w:rPr>
                <w:kern w:val="0"/>
              </w:rPr>
            </w:pPr>
            <w:r>
              <w:rPr>
                <w:kern w:val="0"/>
              </w:rPr>
              <w:t>其他符合性分析</w:t>
            </w:r>
          </w:p>
        </w:tc>
        <w:tc>
          <w:tcPr>
            <w:tcW w:w="7530" w:type="dxa"/>
            <w:gridSpan w:val="3"/>
            <w:vAlign w:val="center"/>
          </w:tcPr>
          <w:p w14:paraId="13585514">
            <w:pPr>
              <w:ind w:firstLine="482"/>
              <w:jc w:val="both"/>
              <w:rPr>
                <w:b/>
                <w:bCs/>
              </w:rPr>
            </w:pPr>
            <w:r>
              <w:rPr>
                <w:rFonts w:hint="eastAsia"/>
                <w:b/>
                <w:bCs/>
              </w:rPr>
              <w:t>一、</w:t>
            </w:r>
            <w:r>
              <w:rPr>
                <w:b/>
                <w:bCs/>
              </w:rPr>
              <w:t>产业政策合</w:t>
            </w:r>
            <w:r>
              <w:rPr>
                <w:rFonts w:hint="eastAsia"/>
                <w:b/>
                <w:bCs/>
              </w:rPr>
              <w:t>理</w:t>
            </w:r>
            <w:r>
              <w:rPr>
                <w:b/>
                <w:bCs/>
              </w:rPr>
              <w:t>性分析</w:t>
            </w:r>
          </w:p>
          <w:p w14:paraId="52311B3E">
            <w:pPr>
              <w:ind w:firstLine="480"/>
              <w:jc w:val="both"/>
            </w:pPr>
            <w:r>
              <w:t>本项目</w:t>
            </w:r>
            <w:r>
              <w:rPr>
                <w:rFonts w:hint="eastAsia"/>
              </w:rPr>
              <w:t>主要从事TPE热塑性弹性体、仿真娃娃的生产，</w:t>
            </w:r>
            <w:r>
              <w:t>属于</w:t>
            </w:r>
            <w:bookmarkStart w:id="33" w:name="OLE_LINK181"/>
            <w:r>
              <w:rPr>
                <w:rFonts w:hint="eastAsia"/>
              </w:rPr>
              <w:t>塑料零件及其他塑料制品制造</w:t>
            </w:r>
            <w:bookmarkEnd w:id="33"/>
            <w:r>
              <w:t>，</w:t>
            </w:r>
            <w:r>
              <w:rPr>
                <w:rFonts w:hint="eastAsia"/>
              </w:rPr>
              <w:t>不属于《产业结构调整指导目录（</w:t>
            </w:r>
            <w:r>
              <w:t>2024</w:t>
            </w:r>
            <w:r>
              <w:rPr>
                <w:rFonts w:hint="eastAsia"/>
              </w:rPr>
              <w:t>年本）》中的鼓励类、淘汰类和限制类项目，也不属于国家《市场准入负面清单（</w:t>
            </w:r>
            <w:r>
              <w:t>2022</w:t>
            </w:r>
            <w:r>
              <w:rPr>
                <w:rFonts w:hint="eastAsia"/>
              </w:rPr>
              <w:t>年版）》中</w:t>
            </w:r>
            <w:r>
              <w:t>禁止准入类和</w:t>
            </w:r>
            <w:r>
              <w:rPr>
                <w:rFonts w:hint="eastAsia"/>
              </w:rPr>
              <w:t>许可准入</w:t>
            </w:r>
            <w:r>
              <w:t>类</w:t>
            </w:r>
            <w:r>
              <w:rPr>
                <w:rFonts w:hint="eastAsia"/>
              </w:rPr>
              <w:t>项目，符合国家相关产业政策的要求。</w:t>
            </w:r>
            <w:r>
              <w:t xml:space="preserve"> </w:t>
            </w:r>
          </w:p>
          <w:p w14:paraId="0D70EDE8">
            <w:pPr>
              <w:ind w:firstLine="482"/>
              <w:jc w:val="both"/>
              <w:rPr>
                <w:b/>
                <w:bCs/>
              </w:rPr>
            </w:pPr>
            <w:r>
              <w:rPr>
                <w:rFonts w:hint="eastAsia"/>
                <w:b/>
                <w:bCs/>
              </w:rPr>
              <w:t>二、项目选址合理性分析</w:t>
            </w:r>
          </w:p>
          <w:p w14:paraId="66530B4A">
            <w:pPr>
              <w:widowControl/>
              <w:ind w:firstLine="480"/>
              <w:jc w:val="both"/>
            </w:pPr>
            <w:r>
              <w:rPr>
                <w:rFonts w:hint="eastAsia" w:ascii="宋体" w:hAnsi="宋体"/>
              </w:rPr>
              <w:t>本项目位于</w:t>
            </w:r>
            <w:r>
              <w:rPr>
                <w:rFonts w:hint="eastAsia"/>
                <w:szCs w:val="21"/>
              </w:rPr>
              <w:t>惠州市博罗县园洲镇博罗智能装备产业园东片区绿化北路3号20号厂房101、201</w:t>
            </w:r>
            <w:r>
              <w:rPr>
                <w:rFonts w:hint="eastAsia"/>
              </w:rPr>
              <w:t>，项目租用已建厂房，根据建设单位提供的项目厂房租赁合同及土地产权证（详见</w:t>
            </w:r>
            <w:bookmarkStart w:id="34" w:name="OLE_LINK254"/>
            <w:r>
              <w:rPr>
                <w:rFonts w:hint="eastAsia"/>
              </w:rPr>
              <w:t>附件5</w:t>
            </w:r>
            <w:bookmarkEnd w:id="34"/>
            <w:r>
              <w:rPr>
                <w:rFonts w:hint="eastAsia"/>
              </w:rPr>
              <w:t>），</w:t>
            </w:r>
            <w:r>
              <w:rPr>
                <w:rFonts w:ascii="宋体" w:hAnsi="宋体" w:cs="宋体"/>
              </w:rPr>
              <w:t>项目所在地用地性质为工业用地，故项目用地符合土地利用性质的要求。</w:t>
            </w:r>
          </w:p>
          <w:p w14:paraId="11D40E9B">
            <w:pPr>
              <w:ind w:firstLine="482"/>
              <w:jc w:val="both"/>
              <w:rPr>
                <w:b/>
                <w:bCs/>
              </w:rPr>
            </w:pPr>
            <w:r>
              <w:rPr>
                <w:rFonts w:hint="eastAsia"/>
                <w:b/>
                <w:bCs/>
              </w:rPr>
              <w:t>三、环境功能区划相符性分析</w:t>
            </w:r>
          </w:p>
          <w:p w14:paraId="32A6E3C3">
            <w:pPr>
              <w:ind w:firstLine="480"/>
              <w:jc w:val="both"/>
            </w:pPr>
            <w:r>
              <w:rPr>
                <w:rFonts w:hint="eastAsia"/>
              </w:rPr>
              <w:t>根据《惠州市饮用水源保护区划调整方案》（粤府函[2014]188号）、《广东省人民政府关于调整惠州市饮用水源保护区的批复》（粤府函〔</w:t>
            </w:r>
            <w:r>
              <w:t>2014</w:t>
            </w:r>
            <w:r>
              <w:rPr>
                <w:rFonts w:hint="eastAsia"/>
              </w:rPr>
              <w:t>〕</w:t>
            </w:r>
            <w:r>
              <w:t>188</w:t>
            </w:r>
            <w:r>
              <w:rPr>
                <w:rFonts w:hint="eastAsia"/>
              </w:rPr>
              <w:t>号）、《广东省人民政府关于调整惠州市部分饮用水水源保护区的批复》（粤府函〔</w:t>
            </w:r>
            <w:r>
              <w:t>2019</w:t>
            </w:r>
            <w:r>
              <w:rPr>
                <w:rFonts w:hint="eastAsia"/>
              </w:rPr>
              <w:t>〕</w:t>
            </w:r>
            <w:r>
              <w:t>270</w:t>
            </w:r>
            <w:r>
              <w:rPr>
                <w:rFonts w:hint="eastAsia"/>
              </w:rPr>
              <w:t>号）、《关于惠州市乡镇级及以下集中式饮用水源保护区划定（调整）方案的批复》（</w:t>
            </w:r>
            <w:r>
              <w:rPr>
                <w:rFonts w:hint="eastAsia" w:ascii="宋体" w:cs="宋体"/>
                <w:kern w:val="0"/>
              </w:rPr>
              <w:t>惠</w:t>
            </w:r>
            <w:r>
              <w:rPr>
                <w:rFonts w:hint="eastAsia"/>
              </w:rPr>
              <w:t>府函〔</w:t>
            </w:r>
            <w:r>
              <w:t>2020</w:t>
            </w:r>
            <w:r>
              <w:rPr>
                <w:rFonts w:hint="eastAsia"/>
              </w:rPr>
              <w:t>〕</w:t>
            </w:r>
            <w:r>
              <w:t>317</w:t>
            </w:r>
            <w:r>
              <w:rPr>
                <w:rFonts w:hint="eastAsia"/>
              </w:rPr>
              <w:t>号），项目不属于饮用水源保护区范围内。</w:t>
            </w:r>
          </w:p>
          <w:p w14:paraId="52A46009">
            <w:pPr>
              <w:ind w:firstLine="480"/>
              <w:jc w:val="both"/>
            </w:pPr>
            <w:r>
              <w:rPr>
                <w:rFonts w:hint="eastAsia"/>
              </w:rPr>
              <w:t>项</w:t>
            </w:r>
            <w:r>
              <w:rPr>
                <w:rFonts w:hint="eastAsia"/>
                <w:color w:val="auto"/>
              </w:rPr>
              <w:t>目间接/直接冷却水循环使用</w:t>
            </w:r>
            <w:bookmarkStart w:id="35" w:name="OLE_LINK313"/>
            <w:r>
              <w:rPr>
                <w:rFonts w:hint="eastAsia"/>
                <w:color w:val="auto"/>
              </w:rPr>
              <w:t>不外排，</w:t>
            </w:r>
            <w:bookmarkStart w:id="36" w:name="OLE_LINK307"/>
            <w:r>
              <w:rPr>
                <w:rFonts w:hint="eastAsia"/>
                <w:color w:val="auto"/>
              </w:rPr>
              <w:t>定期补充，</w:t>
            </w:r>
            <w:bookmarkEnd w:id="35"/>
            <w:bookmarkEnd w:id="36"/>
            <w:r>
              <w:rPr>
                <w:rFonts w:hint="eastAsia"/>
                <w:color w:val="auto"/>
              </w:rPr>
              <w:t>直接</w:t>
            </w:r>
            <w:r>
              <w:rPr>
                <w:rFonts w:hint="eastAsia"/>
              </w:rPr>
              <w:t>冷却水定期收集处理，经“混凝沉淀+压滤+保安过滤”处理后回用于冷却工序，不外排；喷淋用水循环使用，定期更换，更换的喷淋废水定期交由有危废处理资质的单位处理，不外排，故项目无生产废水排放，生活污水经三级化粪池预处理后排入园洲镇第五污水处理厂处理，本项目纳污水体为园洲中心排渠，经沙河汇入东江。根据《关于印发&lt;广东省地表水环境功能区划&gt;的通知》（粤环[2011]14号），东江（江西省界-东莞石龙）属于Ⅱ类水功能区，主要水体功能为饮工农航用水；沙河（显岗水库大坝-博罗石湾）属于Ⅲ类水功能区，主要水体功能为饮工农用水；根据《博罗县2023年水污染防治攻坚战工作方案》（博环攻坚办[2023]67号），园洲中心排渠为V类水功能区，执行《地表水环境质量标准》（GB3838-2002）V类标准。</w:t>
            </w:r>
          </w:p>
          <w:p w14:paraId="16DF9318">
            <w:pPr>
              <w:widowControl/>
              <w:ind w:firstLine="480"/>
              <w:jc w:val="both"/>
              <w:rPr>
                <w:rFonts w:ascii="宋体" w:hAnsi="宋体" w:cs="宋体"/>
                <w:color w:val="000000"/>
                <w:kern w:val="0"/>
                <w:lang w:bidi="ar"/>
              </w:rPr>
            </w:pPr>
            <w:r>
              <w:rPr>
                <w:rFonts w:hint="eastAsia"/>
              </w:rPr>
              <w:t>根据《关于印发&lt;惠州市环境空气质量功能区划（2024 年修订）&gt;的通知》（惠市环（2024）16 号），项目所在区域为环境空气质量二类功能区（见附图9）</w:t>
            </w:r>
            <w:r>
              <w:rPr>
                <w:rFonts w:hint="eastAsia" w:ascii="宋体" w:hAnsi="宋体" w:cs="宋体"/>
                <w:color w:val="000000"/>
                <w:kern w:val="0"/>
                <w:lang w:bidi="ar"/>
              </w:rPr>
              <w:t>。</w:t>
            </w:r>
          </w:p>
          <w:p w14:paraId="0D61445A">
            <w:pPr>
              <w:widowControl/>
              <w:ind w:firstLine="480"/>
              <w:jc w:val="both"/>
            </w:pPr>
            <w:r>
              <w:rPr>
                <w:rFonts w:hint="eastAsia"/>
              </w:rPr>
              <w:t>根据《惠州市生态环境局关于印发</w:t>
            </w:r>
            <w:r>
              <w:t>&lt;</w:t>
            </w:r>
            <w:r>
              <w:rPr>
                <w:rFonts w:hint="eastAsia"/>
              </w:rPr>
              <w:t>惠州市声环境功能区划分方案（</w:t>
            </w:r>
            <w:r>
              <w:t>2022</w:t>
            </w:r>
            <w:r>
              <w:rPr>
                <w:rFonts w:hint="eastAsia"/>
              </w:rPr>
              <w:t>年）</w:t>
            </w:r>
            <w:r>
              <w:t>&gt;</w:t>
            </w:r>
            <w:r>
              <w:rPr>
                <w:rFonts w:hint="eastAsia"/>
              </w:rPr>
              <w:t>的通知》（惠市环</w:t>
            </w:r>
            <w:r>
              <w:t>[2022]33</w:t>
            </w:r>
            <w:r>
              <w:rPr>
                <w:rFonts w:hint="eastAsia"/>
              </w:rPr>
              <w:t>号），划分范围以外的区域执行以下标准：“村庄原则上执行 1 类声环境功能区要求，工业活动较多的村庄以及有交通干线经过的村庄（指执行4类声环境功能区要求以外的地区）可局部或全部执行2类声环境功能区要求”，本项目所在区域属于工业活动较多的村庄，则项目所在区域为2类声环境功能区。</w:t>
            </w:r>
          </w:p>
          <w:p w14:paraId="29891D38">
            <w:pPr>
              <w:ind w:firstLine="480"/>
              <w:jc w:val="both"/>
            </w:pPr>
            <w:r>
              <w:rPr>
                <w:rFonts w:hint="eastAsia"/>
              </w:rPr>
              <w:t>综上，项目选址区域符合环境功能区划的要求。</w:t>
            </w:r>
          </w:p>
          <w:p w14:paraId="562AEDED">
            <w:pPr>
              <w:ind w:firstLine="482"/>
              <w:jc w:val="both"/>
              <w:rPr>
                <w:sz w:val="21"/>
                <w:szCs w:val="21"/>
              </w:rPr>
            </w:pPr>
            <w:r>
              <w:rPr>
                <w:rFonts w:hint="eastAsia"/>
                <w:b/>
                <w:bCs/>
              </w:rPr>
              <w:t>四、与《博罗县“三线一单 ”生态环境分区管控研究报告》的相符性分析</w:t>
            </w:r>
            <w:r>
              <w:rPr>
                <w:b/>
                <w:bCs/>
              </w:rPr>
              <w:t xml:space="preserve"> </w:t>
            </w:r>
          </w:p>
          <w:p w14:paraId="432D1418">
            <w:pPr>
              <w:ind w:firstLine="480"/>
              <w:jc w:val="both"/>
              <w:rPr>
                <w:sz w:val="21"/>
                <w:szCs w:val="21"/>
              </w:rPr>
            </w:pPr>
            <w:r>
              <w:rPr>
                <w:rFonts w:hint="eastAsia"/>
              </w:rPr>
              <w:t>本项目位于</w:t>
            </w:r>
            <w:r>
              <w:rPr>
                <w:rFonts w:hint="eastAsia"/>
                <w:szCs w:val="21"/>
              </w:rPr>
              <w:t>惠州市博罗县园洲镇博罗智能装备产业园东片区绿化北路3号20号厂房101、201，</w:t>
            </w:r>
            <w:r>
              <w:rPr>
                <w:rFonts w:hint="eastAsia"/>
              </w:rPr>
              <w:t>属于ZH44132220001-博罗沙河流域重点管控单元（见附图10-1），</w:t>
            </w:r>
            <w:r>
              <w:t>根据</w:t>
            </w:r>
            <w:r>
              <w:rPr>
                <w:rFonts w:hint="eastAsia"/>
              </w:rPr>
              <w:t>《博罗县“三线一单 ”生态环境分区管控研究报告》的相关要求，</w:t>
            </w:r>
            <w:r>
              <w:rPr>
                <w:rFonts w:hint="eastAsia"/>
                <w:szCs w:val="21"/>
              </w:rPr>
              <w:t>本项目与博罗县</w:t>
            </w:r>
            <w:r>
              <w:rPr>
                <w:rFonts w:hint="eastAsia"/>
              </w:rPr>
              <w:t>“三线一单”管控要求符合性分析情况见下表。</w:t>
            </w:r>
            <w:r>
              <w:rPr>
                <w:sz w:val="21"/>
                <w:szCs w:val="21"/>
              </w:rPr>
              <w:t xml:space="preserve"> </w:t>
            </w:r>
          </w:p>
          <w:p w14:paraId="664A51B6">
            <w:pPr>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b/>
                <w:bCs/>
                <w:snapToGrid w:val="0"/>
                <w:color w:val="000000"/>
                <w:spacing w:val="4"/>
                <w:kern w:val="0"/>
                <w:sz w:val="21"/>
                <w:szCs w:val="20"/>
                <w:lang w:eastAsia="en-US"/>
              </w:rPr>
              <w:t>表1-1</w:t>
            </w:r>
            <w:r>
              <w:rPr>
                <w:rFonts w:hint="eastAsia" w:cs="宋体"/>
                <w:b/>
                <w:bCs/>
                <w:snapToGrid w:val="0"/>
                <w:color w:val="000000"/>
                <w:spacing w:val="4"/>
                <w:kern w:val="0"/>
                <w:sz w:val="21"/>
                <w:szCs w:val="20"/>
              </w:rPr>
              <w:t xml:space="preserve"> </w:t>
            </w:r>
            <w:r>
              <w:rPr>
                <w:rFonts w:cs="宋体"/>
                <w:b/>
                <w:bCs/>
                <w:snapToGrid w:val="0"/>
                <w:color w:val="000000"/>
                <w:spacing w:val="4"/>
                <w:kern w:val="0"/>
                <w:sz w:val="21"/>
                <w:szCs w:val="20"/>
                <w:lang w:eastAsia="en-US"/>
              </w:rPr>
              <w:t>管控要求对照情况表</w:t>
            </w:r>
          </w:p>
          <w:tbl>
            <w:tblPr>
              <w:tblStyle w:val="110"/>
              <w:tblW w:w="7611" w:type="dxa"/>
              <w:tblInd w:w="10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358"/>
              <w:gridCol w:w="4455"/>
              <w:gridCol w:w="2370"/>
              <w:gridCol w:w="428"/>
            </w:tblGrid>
            <w:tr w14:paraId="148B33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4813" w:type="dxa"/>
                  <w:gridSpan w:val="2"/>
                  <w:vAlign w:val="center"/>
                </w:tcPr>
                <w:p w14:paraId="079549E9">
                  <w:pPr>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b/>
                      <w:bCs/>
                      <w:snapToGrid w:val="0"/>
                      <w:color w:val="000000"/>
                      <w:spacing w:val="5"/>
                      <w:kern w:val="0"/>
                      <w:sz w:val="21"/>
                      <w:szCs w:val="20"/>
                      <w:lang w:eastAsia="en-US"/>
                    </w:rPr>
                    <w:t>管控要求</w:t>
                  </w:r>
                </w:p>
              </w:tc>
              <w:tc>
                <w:tcPr>
                  <w:tcW w:w="2798" w:type="dxa"/>
                  <w:gridSpan w:val="2"/>
                  <w:vAlign w:val="center"/>
                </w:tcPr>
                <w:p w14:paraId="4EC46487">
                  <w:pPr>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b/>
                      <w:bCs/>
                      <w:snapToGrid w:val="0"/>
                      <w:color w:val="000000"/>
                      <w:spacing w:val="5"/>
                      <w:kern w:val="0"/>
                      <w:sz w:val="21"/>
                      <w:szCs w:val="20"/>
                      <w:lang w:eastAsia="en-US"/>
                    </w:rPr>
                    <w:t>本项目</w:t>
                  </w:r>
                </w:p>
              </w:tc>
            </w:tr>
            <w:tr w14:paraId="6CB6E1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90" w:hRule="atLeast"/>
              </w:trPr>
              <w:tc>
                <w:tcPr>
                  <w:tcW w:w="358" w:type="dxa"/>
                  <w:textDirection w:val="tbRlV"/>
                  <w:vAlign w:val="center"/>
                </w:tcPr>
                <w:p w14:paraId="18706F04">
                  <w:pPr>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9"/>
                      <w:kern w:val="0"/>
                      <w:sz w:val="21"/>
                      <w:szCs w:val="20"/>
                      <w:lang w:eastAsia="en-US"/>
                    </w:rPr>
                    <w:t>生态保护红线</w:t>
                  </w:r>
                </w:p>
              </w:tc>
              <w:tc>
                <w:tcPr>
                  <w:tcW w:w="4455" w:type="dxa"/>
                  <w:vAlign w:val="center"/>
                </w:tcPr>
                <w:p w14:paraId="348F3771">
                  <w:pPr>
                    <w:kinsoku w:val="0"/>
                    <w:autoSpaceDE w:val="0"/>
                    <w:autoSpaceDN w:val="0"/>
                    <w:spacing w:line="240" w:lineRule="auto"/>
                    <w:ind w:firstLine="0" w:firstLineChars="0"/>
                    <w:jc w:val="center"/>
                    <w:textAlignment w:val="baseline"/>
                    <w:rPr>
                      <w:rFonts w:cs="宋体"/>
                      <w:snapToGrid w:val="0"/>
                      <w:color w:val="000000"/>
                      <w:kern w:val="0"/>
                      <w:sz w:val="21"/>
                      <w:szCs w:val="21"/>
                    </w:rPr>
                  </w:pPr>
                  <w:r>
                    <w:rPr>
                      <w:rFonts w:cs="宋体"/>
                      <w:b/>
                      <w:bCs/>
                      <w:snapToGrid w:val="0"/>
                      <w:color w:val="000000"/>
                      <w:kern w:val="0"/>
                      <w:sz w:val="21"/>
                      <w:szCs w:val="20"/>
                    </w:rPr>
                    <w:t>表1-</w:t>
                  </w:r>
                  <w:r>
                    <w:rPr>
                      <w:rFonts w:hint="eastAsia" w:cs="宋体"/>
                      <w:b/>
                      <w:bCs/>
                      <w:snapToGrid w:val="0"/>
                      <w:color w:val="000000"/>
                      <w:kern w:val="0"/>
                      <w:sz w:val="21"/>
                      <w:szCs w:val="20"/>
                    </w:rPr>
                    <w:t xml:space="preserve">2 </w:t>
                  </w:r>
                  <w:r>
                    <w:rPr>
                      <w:rFonts w:cs="宋体"/>
                      <w:b/>
                      <w:bCs/>
                      <w:snapToGrid w:val="0"/>
                      <w:color w:val="000000"/>
                      <w:kern w:val="0"/>
                      <w:sz w:val="21"/>
                      <w:szCs w:val="20"/>
                    </w:rPr>
                    <w:t>园洲镇生态空间管控分区面积（平方公</w:t>
                  </w:r>
                  <w:r>
                    <w:rPr>
                      <w:rFonts w:cs="宋体"/>
                      <w:b/>
                      <w:bCs/>
                      <w:snapToGrid w:val="0"/>
                      <w:color w:val="000000"/>
                      <w:spacing w:val="-3"/>
                      <w:kern w:val="0"/>
                      <w:sz w:val="21"/>
                      <w:szCs w:val="20"/>
                    </w:rPr>
                    <w:t>里）</w:t>
                  </w:r>
                </w:p>
                <w:tbl>
                  <w:tblPr>
                    <w:tblStyle w:val="110"/>
                    <w:tblW w:w="4162"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289"/>
                    <w:gridCol w:w="1873"/>
                  </w:tblGrid>
                  <w:tr w14:paraId="0B4556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5" w:hRule="atLeast"/>
                    </w:trPr>
                    <w:tc>
                      <w:tcPr>
                        <w:tcW w:w="2289" w:type="dxa"/>
                        <w:vAlign w:val="center"/>
                      </w:tcPr>
                      <w:p w14:paraId="6F1E8FF0">
                        <w:pPr>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7"/>
                            <w:kern w:val="0"/>
                            <w:sz w:val="21"/>
                            <w:szCs w:val="20"/>
                            <w:lang w:eastAsia="en-US"/>
                          </w:rPr>
                          <w:t>生态保护红线</w:t>
                        </w:r>
                      </w:p>
                    </w:tc>
                    <w:tc>
                      <w:tcPr>
                        <w:tcW w:w="1873" w:type="dxa"/>
                        <w:vAlign w:val="center"/>
                      </w:tcPr>
                      <w:p w14:paraId="0A6F9AA8">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kern w:val="0"/>
                            <w:sz w:val="21"/>
                            <w:szCs w:val="20"/>
                            <w:lang w:eastAsia="en-US"/>
                          </w:rPr>
                          <w:t>0</w:t>
                        </w:r>
                      </w:p>
                    </w:tc>
                  </w:tr>
                  <w:tr w14:paraId="38D66B4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2289" w:type="dxa"/>
                        <w:vAlign w:val="center"/>
                      </w:tcPr>
                      <w:p w14:paraId="7D61A84D">
                        <w:pPr>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7"/>
                            <w:kern w:val="0"/>
                            <w:sz w:val="21"/>
                            <w:szCs w:val="20"/>
                            <w:lang w:eastAsia="en-US"/>
                          </w:rPr>
                          <w:t>一般生态空间</w:t>
                        </w:r>
                      </w:p>
                    </w:tc>
                    <w:tc>
                      <w:tcPr>
                        <w:tcW w:w="1873" w:type="dxa"/>
                        <w:vAlign w:val="center"/>
                      </w:tcPr>
                      <w:p w14:paraId="74DE3518">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3"/>
                            <w:kern w:val="0"/>
                            <w:sz w:val="21"/>
                            <w:szCs w:val="20"/>
                            <w:lang w:eastAsia="en-US"/>
                          </w:rPr>
                          <w:t>3.086</w:t>
                        </w:r>
                      </w:p>
                    </w:tc>
                  </w:tr>
                  <w:tr w14:paraId="76F8C6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3" w:hRule="atLeast"/>
                    </w:trPr>
                    <w:tc>
                      <w:tcPr>
                        <w:tcW w:w="2289" w:type="dxa"/>
                        <w:vAlign w:val="center"/>
                      </w:tcPr>
                      <w:p w14:paraId="7ADF5EFA">
                        <w:pPr>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8"/>
                            <w:kern w:val="0"/>
                            <w:sz w:val="21"/>
                            <w:szCs w:val="20"/>
                            <w:lang w:eastAsia="en-US"/>
                          </w:rPr>
                          <w:t>生态空间一般管控区</w:t>
                        </w:r>
                      </w:p>
                    </w:tc>
                    <w:tc>
                      <w:tcPr>
                        <w:tcW w:w="1873" w:type="dxa"/>
                        <w:vAlign w:val="center"/>
                      </w:tcPr>
                      <w:p w14:paraId="65CE43A9">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1"/>
                            <w:kern w:val="0"/>
                            <w:sz w:val="21"/>
                            <w:szCs w:val="20"/>
                            <w:lang w:eastAsia="en-US"/>
                          </w:rPr>
                          <w:t>107.630</w:t>
                        </w:r>
                      </w:p>
                    </w:tc>
                  </w:tr>
                </w:tbl>
                <w:p w14:paraId="1B05283C">
                  <w:pPr>
                    <w:widowControl/>
                    <w:kinsoku w:val="0"/>
                    <w:autoSpaceDE w:val="0"/>
                    <w:autoSpaceDN w:val="0"/>
                    <w:spacing w:line="240" w:lineRule="auto"/>
                    <w:ind w:firstLine="0" w:firstLineChars="0"/>
                    <w:jc w:val="center"/>
                    <w:textAlignment w:val="baseline"/>
                    <w:rPr>
                      <w:rFonts w:cs="宋体"/>
                      <w:snapToGrid w:val="0"/>
                      <w:color w:val="000000"/>
                      <w:kern w:val="0"/>
                      <w:sz w:val="21"/>
                      <w:szCs w:val="21"/>
                      <w:lang w:eastAsia="en-US"/>
                    </w:rPr>
                  </w:pPr>
                </w:p>
              </w:tc>
              <w:tc>
                <w:tcPr>
                  <w:tcW w:w="2798" w:type="dxa"/>
                  <w:gridSpan w:val="2"/>
                  <w:vAlign w:val="center"/>
                </w:tcPr>
                <w:p w14:paraId="6462CBD7">
                  <w:pPr>
                    <w:kinsoku w:val="0"/>
                    <w:autoSpaceDE w:val="0"/>
                    <w:autoSpaceDN w:val="0"/>
                    <w:spacing w:line="240" w:lineRule="auto"/>
                    <w:ind w:firstLine="0" w:firstLineChars="0"/>
                    <w:jc w:val="both"/>
                    <w:textAlignment w:val="baseline"/>
                    <w:rPr>
                      <w:rFonts w:cs="宋体"/>
                      <w:snapToGrid w:val="0"/>
                      <w:color w:val="000000"/>
                      <w:kern w:val="0"/>
                      <w:sz w:val="21"/>
                      <w:szCs w:val="20"/>
                    </w:rPr>
                  </w:pPr>
                  <w:r>
                    <w:rPr>
                      <w:rFonts w:cs="宋体"/>
                      <w:snapToGrid w:val="0"/>
                      <w:color w:val="000000"/>
                      <w:spacing w:val="15"/>
                      <w:kern w:val="0"/>
                      <w:sz w:val="21"/>
                      <w:szCs w:val="20"/>
                    </w:rPr>
                    <w:t>根据《博罗县“三线一单”</w:t>
                  </w:r>
                  <w:r>
                    <w:rPr>
                      <w:rFonts w:cs="宋体"/>
                      <w:snapToGrid w:val="0"/>
                      <w:color w:val="000000"/>
                      <w:spacing w:val="-3"/>
                      <w:kern w:val="0"/>
                      <w:sz w:val="21"/>
                      <w:szCs w:val="20"/>
                    </w:rPr>
                    <w:t>生态环境分区管控图集》</w:t>
                  </w:r>
                  <w:r>
                    <w:rPr>
                      <w:rFonts w:cs="宋体"/>
                      <w:snapToGrid w:val="0"/>
                      <w:color w:val="000000"/>
                      <w:spacing w:val="5"/>
                      <w:kern w:val="0"/>
                      <w:sz w:val="21"/>
                      <w:szCs w:val="20"/>
                    </w:rPr>
                    <w:t>图7博罗县</w:t>
                  </w:r>
                  <w:r>
                    <w:rPr>
                      <w:rFonts w:cs="宋体"/>
                      <w:snapToGrid w:val="0"/>
                      <w:color w:val="000000"/>
                      <w:spacing w:val="8"/>
                      <w:kern w:val="0"/>
                      <w:sz w:val="21"/>
                      <w:szCs w:val="20"/>
                    </w:rPr>
                    <w:t>生态空间最终划定情况（详</w:t>
                  </w:r>
                  <w:r>
                    <w:rPr>
                      <w:rFonts w:cs="宋体"/>
                      <w:snapToGrid w:val="0"/>
                      <w:color w:val="000000"/>
                      <w:spacing w:val="6"/>
                      <w:kern w:val="0"/>
                      <w:sz w:val="21"/>
                      <w:szCs w:val="20"/>
                    </w:rPr>
                    <w:t>见</w:t>
                  </w:r>
                  <w:r>
                    <w:rPr>
                      <w:rFonts w:hint="eastAsia" w:cs="宋体"/>
                      <w:snapToGrid w:val="0"/>
                      <w:color w:val="000000"/>
                      <w:spacing w:val="6"/>
                      <w:kern w:val="0"/>
                      <w:sz w:val="21"/>
                      <w:szCs w:val="20"/>
                    </w:rPr>
                    <w:t>附图10</w:t>
                  </w:r>
                  <w:r>
                    <w:rPr>
                      <w:rFonts w:cs="宋体"/>
                      <w:snapToGrid w:val="0"/>
                      <w:color w:val="000000"/>
                      <w:spacing w:val="6"/>
                      <w:kern w:val="0"/>
                      <w:sz w:val="21"/>
                      <w:szCs w:val="20"/>
                    </w:rPr>
                    <w:t>-2</w:t>
                  </w:r>
                  <w:r>
                    <w:rPr>
                      <w:rFonts w:cs="宋体"/>
                      <w:snapToGrid w:val="0"/>
                      <w:color w:val="000000"/>
                      <w:spacing w:val="14"/>
                      <w:kern w:val="0"/>
                      <w:sz w:val="21"/>
                      <w:szCs w:val="20"/>
                    </w:rPr>
                    <w:t>），</w:t>
                  </w:r>
                  <w:r>
                    <w:rPr>
                      <w:rFonts w:cs="宋体"/>
                      <w:snapToGrid w:val="0"/>
                      <w:color w:val="000000"/>
                      <w:spacing w:val="6"/>
                      <w:kern w:val="0"/>
                      <w:sz w:val="21"/>
                      <w:szCs w:val="20"/>
                    </w:rPr>
                    <w:t>项目属于生态</w:t>
                  </w:r>
                  <w:r>
                    <w:rPr>
                      <w:rFonts w:cs="宋体"/>
                      <w:snapToGrid w:val="0"/>
                      <w:color w:val="000000"/>
                      <w:spacing w:val="7"/>
                      <w:kern w:val="0"/>
                      <w:sz w:val="21"/>
                      <w:szCs w:val="20"/>
                    </w:rPr>
                    <w:t>空间一般管控区。</w:t>
                  </w:r>
                </w:p>
              </w:tc>
            </w:tr>
            <w:tr w14:paraId="116790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3" w:hRule="atLeast"/>
              </w:trPr>
              <w:tc>
                <w:tcPr>
                  <w:tcW w:w="358" w:type="dxa"/>
                  <w:vMerge w:val="restart"/>
                  <w:tcBorders>
                    <w:bottom w:val="nil"/>
                  </w:tcBorders>
                  <w:textDirection w:val="tbRlV"/>
                  <w:vAlign w:val="center"/>
                </w:tcPr>
                <w:p w14:paraId="1AD13A3B">
                  <w:pPr>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9"/>
                      <w:kern w:val="0"/>
                      <w:sz w:val="21"/>
                      <w:szCs w:val="20"/>
                      <w:lang w:eastAsia="en-US"/>
                    </w:rPr>
                    <w:t>环境质量底线</w:t>
                  </w:r>
                </w:p>
              </w:tc>
              <w:tc>
                <w:tcPr>
                  <w:tcW w:w="4455" w:type="dxa"/>
                  <w:vAlign w:val="center"/>
                </w:tcPr>
                <w:p w14:paraId="5F5E8911">
                  <w:pPr>
                    <w:kinsoku w:val="0"/>
                    <w:autoSpaceDE w:val="0"/>
                    <w:autoSpaceDN w:val="0"/>
                    <w:spacing w:line="240" w:lineRule="auto"/>
                    <w:ind w:firstLine="0" w:firstLineChars="0"/>
                    <w:jc w:val="center"/>
                    <w:textAlignment w:val="baseline"/>
                    <w:rPr>
                      <w:rFonts w:cs="宋体"/>
                      <w:snapToGrid w:val="0"/>
                      <w:color w:val="000000"/>
                      <w:kern w:val="0"/>
                      <w:sz w:val="21"/>
                      <w:szCs w:val="21"/>
                    </w:rPr>
                  </w:pPr>
                  <w:r>
                    <w:rPr>
                      <w:rFonts w:cs="宋体"/>
                      <w:b/>
                      <w:bCs/>
                      <w:snapToGrid w:val="0"/>
                      <w:color w:val="000000"/>
                      <w:spacing w:val="3"/>
                      <w:kern w:val="0"/>
                      <w:sz w:val="21"/>
                      <w:szCs w:val="20"/>
                    </w:rPr>
                    <w:t>表1-</w:t>
                  </w:r>
                  <w:r>
                    <w:rPr>
                      <w:rFonts w:hint="eastAsia" w:cs="宋体"/>
                      <w:b/>
                      <w:bCs/>
                      <w:snapToGrid w:val="0"/>
                      <w:color w:val="000000"/>
                      <w:spacing w:val="3"/>
                      <w:kern w:val="0"/>
                      <w:sz w:val="21"/>
                      <w:szCs w:val="20"/>
                    </w:rPr>
                    <w:t xml:space="preserve">3 </w:t>
                  </w:r>
                  <w:r>
                    <w:rPr>
                      <w:rFonts w:cs="宋体"/>
                      <w:b/>
                      <w:bCs/>
                      <w:snapToGrid w:val="0"/>
                      <w:color w:val="000000"/>
                      <w:spacing w:val="3"/>
                      <w:kern w:val="0"/>
                      <w:sz w:val="21"/>
                      <w:szCs w:val="20"/>
                    </w:rPr>
                    <w:t>园洲镇水环境质量底线统计表（面积：</w:t>
                  </w:r>
                  <w:r>
                    <w:rPr>
                      <w:rFonts w:cs="宋体"/>
                      <w:b/>
                      <w:bCs/>
                      <w:snapToGrid w:val="0"/>
                      <w:color w:val="000000"/>
                      <w:kern w:val="0"/>
                      <w:sz w:val="21"/>
                      <w:szCs w:val="20"/>
                    </w:rPr>
                    <w:t>km</w:t>
                  </w:r>
                  <w:r>
                    <w:rPr>
                      <w:rFonts w:hint="eastAsia" w:cs="宋体"/>
                      <w:b/>
                      <w:bCs/>
                      <w:snapToGrid w:val="0"/>
                      <w:color w:val="000000"/>
                      <w:kern w:val="0"/>
                      <w:sz w:val="21"/>
                      <w:szCs w:val="20"/>
                      <w:vertAlign w:val="superscript"/>
                    </w:rPr>
                    <w:t>2</w:t>
                  </w:r>
                  <w:r>
                    <w:rPr>
                      <w:rFonts w:cs="宋体"/>
                      <w:b/>
                      <w:bCs/>
                      <w:snapToGrid w:val="0"/>
                      <w:color w:val="000000"/>
                      <w:spacing w:val="4"/>
                      <w:kern w:val="0"/>
                      <w:sz w:val="21"/>
                      <w:szCs w:val="20"/>
                    </w:rPr>
                    <w:t>）</w:t>
                  </w:r>
                </w:p>
                <w:tbl>
                  <w:tblPr>
                    <w:tblStyle w:val="110"/>
                    <w:tblW w:w="4164"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3209"/>
                    <w:gridCol w:w="955"/>
                  </w:tblGrid>
                  <w:tr w14:paraId="1DCABA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6" w:hRule="atLeast"/>
                    </w:trPr>
                    <w:tc>
                      <w:tcPr>
                        <w:tcW w:w="3209" w:type="dxa"/>
                        <w:vAlign w:val="center"/>
                      </w:tcPr>
                      <w:p w14:paraId="2B7F16EF">
                        <w:pPr>
                          <w:kinsoku w:val="0"/>
                          <w:autoSpaceDE w:val="0"/>
                          <w:autoSpaceDN w:val="0"/>
                          <w:spacing w:line="240" w:lineRule="auto"/>
                          <w:ind w:firstLine="0" w:firstLineChars="0"/>
                          <w:jc w:val="center"/>
                          <w:textAlignment w:val="baseline"/>
                          <w:rPr>
                            <w:rFonts w:cs="宋体"/>
                            <w:snapToGrid w:val="0"/>
                            <w:color w:val="000000"/>
                            <w:kern w:val="0"/>
                            <w:sz w:val="21"/>
                            <w:szCs w:val="20"/>
                          </w:rPr>
                        </w:pPr>
                        <w:r>
                          <w:rPr>
                            <w:rFonts w:cs="宋体"/>
                            <w:snapToGrid w:val="0"/>
                            <w:color w:val="000000"/>
                            <w:spacing w:val="8"/>
                            <w:kern w:val="0"/>
                            <w:sz w:val="21"/>
                            <w:szCs w:val="20"/>
                          </w:rPr>
                          <w:t>水环境优先保护区面积</w:t>
                        </w:r>
                      </w:p>
                    </w:tc>
                    <w:tc>
                      <w:tcPr>
                        <w:tcW w:w="955" w:type="dxa"/>
                        <w:vAlign w:val="center"/>
                      </w:tcPr>
                      <w:p w14:paraId="53D17A99">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kern w:val="0"/>
                            <w:sz w:val="21"/>
                            <w:szCs w:val="20"/>
                            <w:lang w:eastAsia="en-US"/>
                          </w:rPr>
                          <w:t>0</w:t>
                        </w:r>
                      </w:p>
                    </w:tc>
                  </w:tr>
                  <w:tr w14:paraId="4DC853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5" w:hRule="atLeast"/>
                    </w:trPr>
                    <w:tc>
                      <w:tcPr>
                        <w:tcW w:w="3209" w:type="dxa"/>
                        <w:vAlign w:val="center"/>
                      </w:tcPr>
                      <w:p w14:paraId="7D1A504E">
                        <w:pPr>
                          <w:kinsoku w:val="0"/>
                          <w:autoSpaceDE w:val="0"/>
                          <w:autoSpaceDN w:val="0"/>
                          <w:spacing w:line="240" w:lineRule="auto"/>
                          <w:ind w:firstLine="0" w:firstLineChars="0"/>
                          <w:jc w:val="center"/>
                          <w:textAlignment w:val="baseline"/>
                          <w:rPr>
                            <w:rFonts w:cs="宋体"/>
                            <w:snapToGrid w:val="0"/>
                            <w:color w:val="000000"/>
                            <w:kern w:val="0"/>
                            <w:sz w:val="21"/>
                            <w:szCs w:val="20"/>
                          </w:rPr>
                        </w:pPr>
                        <w:r>
                          <w:rPr>
                            <w:rFonts w:cs="宋体"/>
                            <w:snapToGrid w:val="0"/>
                            <w:color w:val="000000"/>
                            <w:spacing w:val="9"/>
                            <w:kern w:val="0"/>
                            <w:sz w:val="21"/>
                            <w:szCs w:val="20"/>
                          </w:rPr>
                          <w:t>水环境生活污染重点管控区面积</w:t>
                        </w:r>
                      </w:p>
                    </w:tc>
                    <w:tc>
                      <w:tcPr>
                        <w:tcW w:w="955" w:type="dxa"/>
                        <w:vAlign w:val="center"/>
                      </w:tcPr>
                      <w:p w14:paraId="3A153760">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3"/>
                            <w:kern w:val="0"/>
                            <w:sz w:val="21"/>
                            <w:szCs w:val="20"/>
                            <w:lang w:eastAsia="en-US"/>
                          </w:rPr>
                          <w:t>45.964</w:t>
                        </w:r>
                      </w:p>
                    </w:tc>
                  </w:tr>
                  <w:tr w14:paraId="2FB63B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 w:hRule="atLeast"/>
                    </w:trPr>
                    <w:tc>
                      <w:tcPr>
                        <w:tcW w:w="3209" w:type="dxa"/>
                        <w:vAlign w:val="center"/>
                      </w:tcPr>
                      <w:p w14:paraId="026FBF3C">
                        <w:pPr>
                          <w:kinsoku w:val="0"/>
                          <w:autoSpaceDE w:val="0"/>
                          <w:autoSpaceDN w:val="0"/>
                          <w:spacing w:line="240" w:lineRule="auto"/>
                          <w:ind w:firstLine="0" w:firstLineChars="0"/>
                          <w:jc w:val="center"/>
                          <w:textAlignment w:val="baseline"/>
                          <w:rPr>
                            <w:rFonts w:cs="宋体"/>
                            <w:snapToGrid w:val="0"/>
                            <w:color w:val="000000"/>
                            <w:kern w:val="0"/>
                            <w:sz w:val="21"/>
                            <w:szCs w:val="20"/>
                          </w:rPr>
                        </w:pPr>
                        <w:r>
                          <w:rPr>
                            <w:rFonts w:cs="宋体"/>
                            <w:snapToGrid w:val="0"/>
                            <w:color w:val="000000"/>
                            <w:spacing w:val="9"/>
                            <w:kern w:val="0"/>
                            <w:sz w:val="21"/>
                            <w:szCs w:val="20"/>
                          </w:rPr>
                          <w:t>水环境工业污染重点管控区面积</w:t>
                        </w:r>
                      </w:p>
                    </w:tc>
                    <w:tc>
                      <w:tcPr>
                        <w:tcW w:w="955" w:type="dxa"/>
                        <w:vAlign w:val="center"/>
                      </w:tcPr>
                      <w:p w14:paraId="406650EF">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3"/>
                            <w:kern w:val="0"/>
                            <w:sz w:val="21"/>
                            <w:szCs w:val="20"/>
                            <w:lang w:eastAsia="en-US"/>
                          </w:rPr>
                          <w:t>28.062</w:t>
                        </w:r>
                      </w:p>
                    </w:tc>
                  </w:tr>
                  <w:tr w14:paraId="7980EE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4" w:hRule="atLeast"/>
                    </w:trPr>
                    <w:tc>
                      <w:tcPr>
                        <w:tcW w:w="3209" w:type="dxa"/>
                        <w:vAlign w:val="center"/>
                      </w:tcPr>
                      <w:p w14:paraId="675E2134">
                        <w:pPr>
                          <w:kinsoku w:val="0"/>
                          <w:autoSpaceDE w:val="0"/>
                          <w:autoSpaceDN w:val="0"/>
                          <w:spacing w:line="240" w:lineRule="auto"/>
                          <w:ind w:firstLine="0" w:firstLineChars="0"/>
                          <w:jc w:val="center"/>
                          <w:textAlignment w:val="baseline"/>
                          <w:rPr>
                            <w:rFonts w:cs="宋体"/>
                            <w:snapToGrid w:val="0"/>
                            <w:color w:val="000000"/>
                            <w:kern w:val="0"/>
                            <w:sz w:val="21"/>
                            <w:szCs w:val="20"/>
                          </w:rPr>
                        </w:pPr>
                        <w:r>
                          <w:rPr>
                            <w:rFonts w:cs="宋体"/>
                            <w:snapToGrid w:val="0"/>
                            <w:color w:val="000000"/>
                            <w:spacing w:val="8"/>
                            <w:kern w:val="0"/>
                            <w:sz w:val="21"/>
                            <w:szCs w:val="20"/>
                          </w:rPr>
                          <w:t>水环境一般管控区面积</w:t>
                        </w:r>
                      </w:p>
                    </w:tc>
                    <w:tc>
                      <w:tcPr>
                        <w:tcW w:w="955" w:type="dxa"/>
                        <w:vAlign w:val="center"/>
                      </w:tcPr>
                      <w:p w14:paraId="50DC04D6">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3"/>
                            <w:kern w:val="0"/>
                            <w:sz w:val="21"/>
                            <w:szCs w:val="20"/>
                            <w:lang w:eastAsia="en-US"/>
                          </w:rPr>
                          <w:t>36.690</w:t>
                        </w:r>
                      </w:p>
                    </w:tc>
                  </w:tr>
                </w:tbl>
                <w:p w14:paraId="49B95A20">
                  <w:pPr>
                    <w:widowControl/>
                    <w:kinsoku w:val="0"/>
                    <w:autoSpaceDE w:val="0"/>
                    <w:autoSpaceDN w:val="0"/>
                    <w:spacing w:line="240" w:lineRule="auto"/>
                    <w:ind w:firstLine="0" w:firstLineChars="0"/>
                    <w:jc w:val="center"/>
                    <w:textAlignment w:val="baseline"/>
                    <w:rPr>
                      <w:rFonts w:cs="宋体"/>
                      <w:snapToGrid w:val="0"/>
                      <w:color w:val="000000"/>
                      <w:kern w:val="0"/>
                      <w:sz w:val="21"/>
                      <w:szCs w:val="21"/>
                      <w:lang w:eastAsia="en-US"/>
                    </w:rPr>
                  </w:pPr>
                </w:p>
              </w:tc>
              <w:tc>
                <w:tcPr>
                  <w:tcW w:w="2798" w:type="dxa"/>
                  <w:gridSpan w:val="2"/>
                  <w:vAlign w:val="center"/>
                </w:tcPr>
                <w:p w14:paraId="3DB4689F">
                  <w:pPr>
                    <w:kinsoku w:val="0"/>
                    <w:autoSpaceDE w:val="0"/>
                    <w:autoSpaceDN w:val="0"/>
                    <w:spacing w:line="240" w:lineRule="auto"/>
                    <w:ind w:firstLine="0" w:firstLineChars="0"/>
                    <w:jc w:val="both"/>
                    <w:textAlignment w:val="baseline"/>
                    <w:rPr>
                      <w:rFonts w:cs="宋体"/>
                      <w:snapToGrid w:val="0"/>
                      <w:color w:val="000000"/>
                      <w:kern w:val="0"/>
                      <w:sz w:val="21"/>
                      <w:szCs w:val="20"/>
                    </w:rPr>
                  </w:pPr>
                  <w:r>
                    <w:rPr>
                      <w:rFonts w:cs="宋体"/>
                      <w:snapToGrid w:val="0"/>
                      <w:color w:val="000000"/>
                      <w:spacing w:val="15"/>
                      <w:kern w:val="0"/>
                      <w:sz w:val="21"/>
                      <w:szCs w:val="20"/>
                    </w:rPr>
                    <w:t>根据《博罗县“三线一单”</w:t>
                  </w:r>
                  <w:r>
                    <w:rPr>
                      <w:rFonts w:cs="宋体"/>
                      <w:snapToGrid w:val="0"/>
                      <w:color w:val="000000"/>
                      <w:spacing w:val="-3"/>
                      <w:kern w:val="0"/>
                      <w:sz w:val="21"/>
                      <w:szCs w:val="20"/>
                    </w:rPr>
                    <w:t>生态环境分区管控图集》</w:t>
                  </w:r>
                  <w:r>
                    <w:rPr>
                      <w:rFonts w:cs="宋体"/>
                      <w:snapToGrid w:val="0"/>
                      <w:color w:val="000000"/>
                      <w:spacing w:val="5"/>
                      <w:kern w:val="0"/>
                      <w:sz w:val="21"/>
                      <w:szCs w:val="20"/>
                    </w:rPr>
                    <w:t>图10博罗</w:t>
                  </w:r>
                  <w:r>
                    <w:rPr>
                      <w:rFonts w:cs="宋体"/>
                      <w:snapToGrid w:val="0"/>
                      <w:color w:val="000000"/>
                      <w:spacing w:val="9"/>
                      <w:kern w:val="0"/>
                      <w:sz w:val="21"/>
                      <w:szCs w:val="20"/>
                    </w:rPr>
                    <w:t>县水环境质量底线管控分区</w:t>
                  </w:r>
                  <w:r>
                    <w:rPr>
                      <w:rFonts w:cs="宋体"/>
                      <w:snapToGrid w:val="0"/>
                      <w:color w:val="000000"/>
                      <w:spacing w:val="7"/>
                      <w:kern w:val="0"/>
                      <w:sz w:val="21"/>
                      <w:szCs w:val="20"/>
                    </w:rPr>
                    <w:t>划定情况（详见</w:t>
                  </w:r>
                  <w:r>
                    <w:rPr>
                      <w:rFonts w:hint="eastAsia" w:cs="宋体"/>
                      <w:snapToGrid w:val="0"/>
                      <w:color w:val="000000"/>
                      <w:spacing w:val="7"/>
                      <w:kern w:val="0"/>
                      <w:sz w:val="21"/>
                      <w:szCs w:val="20"/>
                    </w:rPr>
                    <w:t>附图10</w:t>
                  </w:r>
                  <w:r>
                    <w:rPr>
                      <w:rFonts w:cs="宋体"/>
                      <w:snapToGrid w:val="0"/>
                      <w:color w:val="000000"/>
                      <w:spacing w:val="7"/>
                      <w:kern w:val="0"/>
                      <w:sz w:val="21"/>
                      <w:szCs w:val="20"/>
                    </w:rPr>
                    <w:t>-3</w:t>
                  </w:r>
                  <w:r>
                    <w:rPr>
                      <w:rFonts w:cs="宋体"/>
                      <w:snapToGrid w:val="0"/>
                      <w:color w:val="000000"/>
                      <w:spacing w:val="21"/>
                      <w:kern w:val="0"/>
                      <w:sz w:val="21"/>
                      <w:szCs w:val="20"/>
                    </w:rPr>
                    <w:t>），</w:t>
                  </w:r>
                  <w:r>
                    <w:rPr>
                      <w:rFonts w:cs="宋体"/>
                      <w:snapToGrid w:val="0"/>
                      <w:color w:val="000000"/>
                      <w:spacing w:val="9"/>
                      <w:kern w:val="0"/>
                      <w:sz w:val="21"/>
                      <w:szCs w:val="20"/>
                    </w:rPr>
                    <w:t>本项目位于</w:t>
                  </w:r>
                  <w:r>
                    <w:rPr>
                      <w:rFonts w:cs="宋体"/>
                      <w:snapToGrid w:val="0"/>
                      <w:color w:val="auto"/>
                      <w:spacing w:val="9"/>
                      <w:kern w:val="0"/>
                      <w:sz w:val="21"/>
                      <w:szCs w:val="20"/>
                    </w:rPr>
                    <w:t>水环境生活污染重点管控区内，</w:t>
                  </w:r>
                  <w:r>
                    <w:rPr>
                      <w:rFonts w:hint="eastAsia" w:cs="宋体"/>
                      <w:snapToGrid w:val="0"/>
                      <w:color w:val="auto"/>
                      <w:spacing w:val="9"/>
                      <w:kern w:val="0"/>
                      <w:sz w:val="21"/>
                      <w:szCs w:val="20"/>
                    </w:rPr>
                    <w:t>项目</w:t>
                  </w:r>
                  <w:bookmarkStart w:id="37" w:name="OLE_LINK211"/>
                  <w:r>
                    <w:rPr>
                      <w:rFonts w:hint="eastAsia" w:cs="宋体"/>
                      <w:snapToGrid w:val="0"/>
                      <w:color w:val="auto"/>
                      <w:spacing w:val="9"/>
                      <w:kern w:val="0"/>
                      <w:sz w:val="21"/>
                      <w:szCs w:val="20"/>
                    </w:rPr>
                    <w:t>间接/直接</w:t>
                  </w:r>
                  <w:bookmarkEnd w:id="37"/>
                  <w:r>
                    <w:rPr>
                      <w:rFonts w:hint="eastAsia" w:cs="宋体"/>
                      <w:snapToGrid w:val="0"/>
                      <w:color w:val="auto"/>
                      <w:spacing w:val="9"/>
                      <w:kern w:val="0"/>
                      <w:sz w:val="21"/>
                      <w:szCs w:val="20"/>
                    </w:rPr>
                    <w:t>冷却水循环使用不外排，定期补充，直接冷却水定期收集处理，经“混凝</w:t>
                  </w:r>
                  <w:r>
                    <w:rPr>
                      <w:rFonts w:hint="eastAsia" w:cs="宋体"/>
                      <w:snapToGrid w:val="0"/>
                      <w:color w:val="000000"/>
                      <w:spacing w:val="9"/>
                      <w:kern w:val="0"/>
                      <w:sz w:val="21"/>
                      <w:szCs w:val="20"/>
                    </w:rPr>
                    <w:t>沉淀+压滤+保安过滤”处理后回用于冷却工序，不外排；喷淋用水循环使用，定期更换，更换的喷淋废水定期交由有危废处理资质的单位处理，不外排，故项目无生产废水排放</w:t>
                  </w:r>
                  <w:r>
                    <w:rPr>
                      <w:rFonts w:cs="宋体"/>
                      <w:snapToGrid w:val="0"/>
                      <w:color w:val="000000"/>
                      <w:spacing w:val="2"/>
                      <w:kern w:val="0"/>
                      <w:sz w:val="21"/>
                      <w:szCs w:val="20"/>
                    </w:rPr>
                    <w:t>，</w:t>
                  </w:r>
                  <w:r>
                    <w:rPr>
                      <w:rFonts w:cs="宋体"/>
                      <w:snapToGrid w:val="0"/>
                      <w:color w:val="000000"/>
                      <w:spacing w:val="9"/>
                      <w:kern w:val="0"/>
                      <w:sz w:val="21"/>
                      <w:szCs w:val="20"/>
                    </w:rPr>
                    <w:t>生活污水经三级化粪池处理后排入园洲镇第五污水处理厂，不会突破水环境质量底</w:t>
                  </w:r>
                  <w:r>
                    <w:rPr>
                      <w:rFonts w:cs="宋体"/>
                      <w:snapToGrid w:val="0"/>
                      <w:color w:val="000000"/>
                      <w:kern w:val="0"/>
                      <w:sz w:val="21"/>
                      <w:szCs w:val="20"/>
                    </w:rPr>
                    <w:t>线。</w:t>
                  </w:r>
                </w:p>
              </w:tc>
            </w:tr>
            <w:tr w14:paraId="60A4F4E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0" w:hRule="atLeast"/>
              </w:trPr>
              <w:tc>
                <w:tcPr>
                  <w:tcW w:w="358" w:type="dxa"/>
                  <w:vMerge w:val="continue"/>
                  <w:tcBorders>
                    <w:top w:val="nil"/>
                    <w:bottom w:val="nil"/>
                  </w:tcBorders>
                  <w:textDirection w:val="tbRlV"/>
                  <w:vAlign w:val="center"/>
                </w:tcPr>
                <w:p w14:paraId="752A01EE">
                  <w:pPr>
                    <w:widowControl/>
                    <w:kinsoku w:val="0"/>
                    <w:autoSpaceDE w:val="0"/>
                    <w:autoSpaceDN w:val="0"/>
                    <w:spacing w:line="240" w:lineRule="auto"/>
                    <w:ind w:firstLine="0" w:firstLineChars="0"/>
                    <w:jc w:val="center"/>
                    <w:textAlignment w:val="baseline"/>
                    <w:rPr>
                      <w:rFonts w:cs="宋体"/>
                      <w:snapToGrid w:val="0"/>
                      <w:color w:val="000000"/>
                      <w:kern w:val="0"/>
                      <w:sz w:val="21"/>
                      <w:szCs w:val="21"/>
                    </w:rPr>
                  </w:pPr>
                </w:p>
              </w:tc>
              <w:tc>
                <w:tcPr>
                  <w:tcW w:w="4455" w:type="dxa"/>
                  <w:vAlign w:val="center"/>
                </w:tcPr>
                <w:p w14:paraId="05C64377">
                  <w:pPr>
                    <w:kinsoku w:val="0"/>
                    <w:autoSpaceDE w:val="0"/>
                    <w:autoSpaceDN w:val="0"/>
                    <w:spacing w:line="240" w:lineRule="auto"/>
                    <w:ind w:firstLine="0" w:firstLineChars="0"/>
                    <w:jc w:val="center"/>
                    <w:textAlignment w:val="baseline"/>
                    <w:rPr>
                      <w:rFonts w:cs="宋体"/>
                      <w:snapToGrid w:val="0"/>
                      <w:color w:val="000000"/>
                      <w:kern w:val="0"/>
                      <w:sz w:val="21"/>
                      <w:szCs w:val="21"/>
                    </w:rPr>
                  </w:pPr>
                  <w:r>
                    <w:rPr>
                      <w:rFonts w:cs="宋体"/>
                      <w:b/>
                      <w:bCs/>
                      <w:snapToGrid w:val="0"/>
                      <w:color w:val="000000"/>
                      <w:spacing w:val="-2"/>
                      <w:kern w:val="0"/>
                      <w:sz w:val="21"/>
                      <w:szCs w:val="20"/>
                    </w:rPr>
                    <w:t>表1-</w:t>
                  </w:r>
                  <w:r>
                    <w:rPr>
                      <w:rFonts w:hint="eastAsia" w:cs="宋体"/>
                      <w:b/>
                      <w:bCs/>
                      <w:snapToGrid w:val="0"/>
                      <w:color w:val="000000"/>
                      <w:spacing w:val="-2"/>
                      <w:kern w:val="0"/>
                      <w:sz w:val="21"/>
                      <w:szCs w:val="20"/>
                    </w:rPr>
                    <w:t xml:space="preserve">4 </w:t>
                  </w:r>
                  <w:r>
                    <w:rPr>
                      <w:rFonts w:cs="宋体"/>
                      <w:b/>
                      <w:bCs/>
                      <w:snapToGrid w:val="0"/>
                      <w:color w:val="000000"/>
                      <w:spacing w:val="-2"/>
                      <w:kern w:val="0"/>
                      <w:sz w:val="21"/>
                      <w:szCs w:val="20"/>
                    </w:rPr>
                    <w:t>园洲镇大气环境质量底线统计表（面积：</w:t>
                  </w:r>
                  <w:r>
                    <w:rPr>
                      <w:rFonts w:cs="宋体"/>
                      <w:b/>
                      <w:bCs/>
                      <w:snapToGrid w:val="0"/>
                      <w:color w:val="000000"/>
                      <w:kern w:val="0"/>
                      <w:sz w:val="21"/>
                      <w:szCs w:val="20"/>
                    </w:rPr>
                    <w:t>km</w:t>
                  </w:r>
                  <w:r>
                    <w:rPr>
                      <w:rFonts w:hint="eastAsia" w:cs="宋体"/>
                      <w:b/>
                      <w:bCs/>
                      <w:snapToGrid w:val="0"/>
                      <w:color w:val="000000"/>
                      <w:kern w:val="0"/>
                      <w:sz w:val="21"/>
                      <w:szCs w:val="20"/>
                      <w:vertAlign w:val="superscript"/>
                    </w:rPr>
                    <w:t>2</w:t>
                  </w:r>
                  <w:r>
                    <w:rPr>
                      <w:rFonts w:cs="宋体"/>
                      <w:b/>
                      <w:bCs/>
                      <w:snapToGrid w:val="0"/>
                      <w:color w:val="000000"/>
                      <w:spacing w:val="4"/>
                      <w:kern w:val="0"/>
                      <w:sz w:val="21"/>
                      <w:szCs w:val="20"/>
                    </w:rPr>
                    <w:t>）</w:t>
                  </w:r>
                </w:p>
                <w:tbl>
                  <w:tblPr>
                    <w:tblStyle w:val="110"/>
                    <w:tblW w:w="4164"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3197"/>
                    <w:gridCol w:w="967"/>
                  </w:tblGrid>
                  <w:tr w14:paraId="1240FC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3197" w:type="dxa"/>
                        <w:vAlign w:val="center"/>
                      </w:tcPr>
                      <w:p w14:paraId="1124B6D9">
                        <w:pPr>
                          <w:kinsoku w:val="0"/>
                          <w:autoSpaceDE w:val="0"/>
                          <w:autoSpaceDN w:val="0"/>
                          <w:spacing w:line="240" w:lineRule="auto"/>
                          <w:ind w:firstLine="0" w:firstLineChars="0"/>
                          <w:jc w:val="center"/>
                          <w:textAlignment w:val="baseline"/>
                          <w:rPr>
                            <w:rFonts w:cs="宋体"/>
                            <w:snapToGrid w:val="0"/>
                            <w:color w:val="000000"/>
                            <w:kern w:val="0"/>
                            <w:sz w:val="21"/>
                            <w:szCs w:val="20"/>
                          </w:rPr>
                        </w:pPr>
                        <w:r>
                          <w:rPr>
                            <w:rFonts w:cs="宋体"/>
                            <w:snapToGrid w:val="0"/>
                            <w:color w:val="000000"/>
                            <w:spacing w:val="8"/>
                            <w:kern w:val="0"/>
                            <w:sz w:val="21"/>
                            <w:szCs w:val="20"/>
                          </w:rPr>
                          <w:t>大气环境优先保护区面积</w:t>
                        </w:r>
                      </w:p>
                    </w:tc>
                    <w:tc>
                      <w:tcPr>
                        <w:tcW w:w="967" w:type="dxa"/>
                        <w:vAlign w:val="center"/>
                      </w:tcPr>
                      <w:p w14:paraId="58676F04">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kern w:val="0"/>
                            <w:sz w:val="21"/>
                            <w:szCs w:val="20"/>
                            <w:lang w:eastAsia="en-US"/>
                          </w:rPr>
                          <w:t>0</w:t>
                        </w:r>
                      </w:p>
                    </w:tc>
                  </w:tr>
                  <w:tr w14:paraId="11B254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 w:hRule="atLeast"/>
                    </w:trPr>
                    <w:tc>
                      <w:tcPr>
                        <w:tcW w:w="3197" w:type="dxa"/>
                        <w:vAlign w:val="center"/>
                      </w:tcPr>
                      <w:p w14:paraId="57F19A94">
                        <w:pPr>
                          <w:kinsoku w:val="0"/>
                          <w:autoSpaceDE w:val="0"/>
                          <w:autoSpaceDN w:val="0"/>
                          <w:spacing w:line="240" w:lineRule="auto"/>
                          <w:ind w:firstLine="0" w:firstLineChars="0"/>
                          <w:jc w:val="center"/>
                          <w:textAlignment w:val="baseline"/>
                          <w:rPr>
                            <w:rFonts w:cs="宋体"/>
                            <w:snapToGrid w:val="0"/>
                            <w:color w:val="000000"/>
                            <w:kern w:val="0"/>
                            <w:sz w:val="21"/>
                            <w:szCs w:val="20"/>
                          </w:rPr>
                        </w:pPr>
                        <w:r>
                          <w:rPr>
                            <w:rFonts w:cs="宋体"/>
                            <w:snapToGrid w:val="0"/>
                            <w:color w:val="000000"/>
                            <w:spacing w:val="9"/>
                            <w:kern w:val="0"/>
                            <w:sz w:val="21"/>
                            <w:szCs w:val="20"/>
                          </w:rPr>
                          <w:t>大气环境布局敏感重点管控区面</w:t>
                        </w:r>
                        <w:r>
                          <w:rPr>
                            <w:rFonts w:cs="宋体"/>
                            <w:snapToGrid w:val="0"/>
                            <w:color w:val="000000"/>
                            <w:kern w:val="0"/>
                            <w:sz w:val="21"/>
                            <w:szCs w:val="20"/>
                          </w:rPr>
                          <w:t>积</w:t>
                        </w:r>
                      </w:p>
                    </w:tc>
                    <w:tc>
                      <w:tcPr>
                        <w:tcW w:w="967" w:type="dxa"/>
                        <w:vAlign w:val="center"/>
                      </w:tcPr>
                      <w:p w14:paraId="17D32F57">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kern w:val="0"/>
                            <w:sz w:val="21"/>
                            <w:szCs w:val="20"/>
                            <w:lang w:eastAsia="en-US"/>
                          </w:rPr>
                          <w:t>0</w:t>
                        </w:r>
                      </w:p>
                    </w:tc>
                  </w:tr>
                  <w:tr w14:paraId="248D50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3197" w:type="dxa"/>
                        <w:vAlign w:val="center"/>
                      </w:tcPr>
                      <w:p w14:paraId="5FE95564">
                        <w:pPr>
                          <w:kinsoku w:val="0"/>
                          <w:autoSpaceDE w:val="0"/>
                          <w:autoSpaceDN w:val="0"/>
                          <w:spacing w:line="240" w:lineRule="auto"/>
                          <w:ind w:firstLine="0" w:firstLineChars="0"/>
                          <w:jc w:val="center"/>
                          <w:textAlignment w:val="baseline"/>
                          <w:rPr>
                            <w:rFonts w:cs="宋体"/>
                            <w:snapToGrid w:val="0"/>
                            <w:color w:val="000000"/>
                            <w:kern w:val="0"/>
                            <w:sz w:val="21"/>
                            <w:szCs w:val="20"/>
                          </w:rPr>
                        </w:pPr>
                        <w:r>
                          <w:rPr>
                            <w:rFonts w:cs="宋体"/>
                            <w:snapToGrid w:val="0"/>
                            <w:color w:val="000000"/>
                            <w:spacing w:val="9"/>
                            <w:kern w:val="0"/>
                            <w:sz w:val="21"/>
                            <w:szCs w:val="20"/>
                          </w:rPr>
                          <w:t>大气环境高排放重点管控区面积</w:t>
                        </w:r>
                      </w:p>
                    </w:tc>
                    <w:tc>
                      <w:tcPr>
                        <w:tcW w:w="967" w:type="dxa"/>
                        <w:vAlign w:val="center"/>
                      </w:tcPr>
                      <w:p w14:paraId="1D11F605">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kern w:val="0"/>
                            <w:sz w:val="21"/>
                            <w:szCs w:val="20"/>
                            <w:lang w:eastAsia="en-US"/>
                          </w:rPr>
                          <w:t>110.716</w:t>
                        </w:r>
                      </w:p>
                    </w:tc>
                  </w:tr>
                  <w:tr w14:paraId="11B182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3197" w:type="dxa"/>
                        <w:vAlign w:val="center"/>
                      </w:tcPr>
                      <w:p w14:paraId="1ECE6EB8">
                        <w:pPr>
                          <w:kinsoku w:val="0"/>
                          <w:autoSpaceDE w:val="0"/>
                          <w:autoSpaceDN w:val="0"/>
                          <w:spacing w:line="240" w:lineRule="auto"/>
                          <w:ind w:firstLine="0" w:firstLineChars="0"/>
                          <w:jc w:val="center"/>
                          <w:textAlignment w:val="baseline"/>
                          <w:rPr>
                            <w:rFonts w:cs="宋体"/>
                            <w:snapToGrid w:val="0"/>
                            <w:color w:val="000000"/>
                            <w:kern w:val="0"/>
                            <w:sz w:val="21"/>
                            <w:szCs w:val="20"/>
                          </w:rPr>
                        </w:pPr>
                        <w:r>
                          <w:rPr>
                            <w:rFonts w:cs="宋体"/>
                            <w:snapToGrid w:val="0"/>
                            <w:color w:val="000000"/>
                            <w:spacing w:val="9"/>
                            <w:kern w:val="0"/>
                            <w:sz w:val="21"/>
                            <w:szCs w:val="20"/>
                          </w:rPr>
                          <w:t>大气环境弱扩散重点管控区面积</w:t>
                        </w:r>
                      </w:p>
                    </w:tc>
                    <w:tc>
                      <w:tcPr>
                        <w:tcW w:w="967" w:type="dxa"/>
                        <w:vAlign w:val="center"/>
                      </w:tcPr>
                      <w:p w14:paraId="16FE7A71">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kern w:val="0"/>
                            <w:sz w:val="21"/>
                            <w:szCs w:val="20"/>
                            <w:lang w:eastAsia="en-US"/>
                          </w:rPr>
                          <w:t>0</w:t>
                        </w:r>
                      </w:p>
                    </w:tc>
                  </w:tr>
                  <w:tr w14:paraId="6EC189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3197" w:type="dxa"/>
                        <w:vAlign w:val="center"/>
                      </w:tcPr>
                      <w:p w14:paraId="6F899507">
                        <w:pPr>
                          <w:kinsoku w:val="0"/>
                          <w:autoSpaceDE w:val="0"/>
                          <w:autoSpaceDN w:val="0"/>
                          <w:spacing w:line="240" w:lineRule="auto"/>
                          <w:ind w:firstLine="0" w:firstLineChars="0"/>
                          <w:jc w:val="center"/>
                          <w:textAlignment w:val="baseline"/>
                          <w:rPr>
                            <w:rFonts w:cs="宋体"/>
                            <w:snapToGrid w:val="0"/>
                            <w:color w:val="000000"/>
                            <w:kern w:val="0"/>
                            <w:sz w:val="21"/>
                            <w:szCs w:val="20"/>
                          </w:rPr>
                        </w:pPr>
                        <w:r>
                          <w:rPr>
                            <w:rFonts w:cs="宋体"/>
                            <w:snapToGrid w:val="0"/>
                            <w:color w:val="000000"/>
                            <w:spacing w:val="8"/>
                            <w:kern w:val="0"/>
                            <w:sz w:val="21"/>
                            <w:szCs w:val="20"/>
                          </w:rPr>
                          <w:t>大气环境一般管控区面积</w:t>
                        </w:r>
                      </w:p>
                    </w:tc>
                    <w:tc>
                      <w:tcPr>
                        <w:tcW w:w="967" w:type="dxa"/>
                        <w:vAlign w:val="center"/>
                      </w:tcPr>
                      <w:p w14:paraId="7F1F18F1">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kern w:val="0"/>
                            <w:sz w:val="21"/>
                            <w:szCs w:val="20"/>
                            <w:lang w:eastAsia="en-US"/>
                          </w:rPr>
                          <w:t>0</w:t>
                        </w:r>
                      </w:p>
                    </w:tc>
                  </w:tr>
                </w:tbl>
                <w:p w14:paraId="13247769">
                  <w:pPr>
                    <w:widowControl/>
                    <w:kinsoku w:val="0"/>
                    <w:autoSpaceDE w:val="0"/>
                    <w:autoSpaceDN w:val="0"/>
                    <w:spacing w:line="240" w:lineRule="auto"/>
                    <w:ind w:firstLine="0" w:firstLineChars="0"/>
                    <w:jc w:val="center"/>
                    <w:textAlignment w:val="baseline"/>
                    <w:rPr>
                      <w:rFonts w:cs="宋体"/>
                      <w:snapToGrid w:val="0"/>
                      <w:color w:val="000000"/>
                      <w:kern w:val="0"/>
                      <w:sz w:val="21"/>
                      <w:szCs w:val="21"/>
                      <w:lang w:eastAsia="en-US"/>
                    </w:rPr>
                  </w:pPr>
                </w:p>
              </w:tc>
              <w:tc>
                <w:tcPr>
                  <w:tcW w:w="2798" w:type="dxa"/>
                  <w:gridSpan w:val="2"/>
                  <w:vAlign w:val="center"/>
                </w:tcPr>
                <w:p w14:paraId="6436F712">
                  <w:pPr>
                    <w:kinsoku w:val="0"/>
                    <w:autoSpaceDE w:val="0"/>
                    <w:autoSpaceDN w:val="0"/>
                    <w:spacing w:line="240" w:lineRule="auto"/>
                    <w:ind w:firstLine="0" w:firstLineChars="0"/>
                    <w:jc w:val="both"/>
                    <w:textAlignment w:val="baseline"/>
                    <w:rPr>
                      <w:rFonts w:cs="宋体"/>
                      <w:snapToGrid w:val="0"/>
                      <w:color w:val="000000"/>
                      <w:kern w:val="0"/>
                      <w:sz w:val="21"/>
                      <w:szCs w:val="20"/>
                    </w:rPr>
                  </w:pPr>
                  <w:r>
                    <w:rPr>
                      <w:rFonts w:cs="宋体"/>
                      <w:snapToGrid w:val="0"/>
                      <w:color w:val="000000"/>
                      <w:spacing w:val="15"/>
                      <w:kern w:val="0"/>
                      <w:sz w:val="21"/>
                      <w:szCs w:val="20"/>
                    </w:rPr>
                    <w:t>根据《博罗县“三线一单”</w:t>
                  </w:r>
                  <w:r>
                    <w:rPr>
                      <w:rFonts w:cs="宋体"/>
                      <w:snapToGrid w:val="0"/>
                      <w:color w:val="000000"/>
                      <w:spacing w:val="-3"/>
                      <w:kern w:val="0"/>
                      <w:sz w:val="21"/>
                      <w:szCs w:val="20"/>
                    </w:rPr>
                    <w:t>生态环境分区管控图集》</w:t>
                  </w:r>
                  <w:r>
                    <w:rPr>
                      <w:rFonts w:cs="宋体"/>
                      <w:snapToGrid w:val="0"/>
                      <w:color w:val="000000"/>
                      <w:spacing w:val="5"/>
                      <w:kern w:val="0"/>
                      <w:sz w:val="21"/>
                      <w:szCs w:val="20"/>
                    </w:rPr>
                    <w:t>图14博罗</w:t>
                  </w:r>
                  <w:r>
                    <w:rPr>
                      <w:rFonts w:cs="宋体"/>
                      <w:snapToGrid w:val="0"/>
                      <w:color w:val="000000"/>
                      <w:spacing w:val="9"/>
                      <w:kern w:val="0"/>
                      <w:sz w:val="21"/>
                      <w:szCs w:val="20"/>
                    </w:rPr>
                    <w:t>县大气环境质量底线管控分</w:t>
                  </w:r>
                  <w:r>
                    <w:rPr>
                      <w:rFonts w:cs="宋体"/>
                      <w:snapToGrid w:val="0"/>
                      <w:color w:val="000000"/>
                      <w:spacing w:val="3"/>
                      <w:kern w:val="0"/>
                      <w:sz w:val="21"/>
                      <w:szCs w:val="20"/>
                    </w:rPr>
                    <w:t>区划定情况（详见</w:t>
                  </w:r>
                  <w:r>
                    <w:rPr>
                      <w:rFonts w:hint="eastAsia" w:cs="宋体"/>
                      <w:snapToGrid w:val="0"/>
                      <w:color w:val="000000"/>
                      <w:spacing w:val="3"/>
                      <w:kern w:val="0"/>
                      <w:sz w:val="21"/>
                      <w:szCs w:val="20"/>
                    </w:rPr>
                    <w:t>附图10</w:t>
                  </w:r>
                  <w:r>
                    <w:rPr>
                      <w:rFonts w:cs="宋体"/>
                      <w:snapToGrid w:val="0"/>
                      <w:color w:val="000000"/>
                      <w:spacing w:val="3"/>
                      <w:kern w:val="0"/>
                      <w:sz w:val="21"/>
                      <w:szCs w:val="20"/>
                    </w:rPr>
                    <w:t>-4</w:t>
                  </w:r>
                  <w:r>
                    <w:rPr>
                      <w:rFonts w:cs="宋体"/>
                      <w:snapToGrid w:val="0"/>
                      <w:color w:val="000000"/>
                      <w:spacing w:val="-37"/>
                      <w:kern w:val="0"/>
                      <w:sz w:val="21"/>
                      <w:szCs w:val="20"/>
                    </w:rPr>
                    <w:t>），</w:t>
                  </w:r>
                  <w:r>
                    <w:rPr>
                      <w:rFonts w:cs="宋体"/>
                      <w:snapToGrid w:val="0"/>
                      <w:color w:val="000000"/>
                      <w:spacing w:val="9"/>
                      <w:kern w:val="0"/>
                      <w:sz w:val="21"/>
                      <w:szCs w:val="20"/>
                    </w:rPr>
                    <w:t>项目位于大气环境高排放重</w:t>
                  </w:r>
                  <w:r>
                    <w:rPr>
                      <w:rFonts w:cs="宋体"/>
                      <w:snapToGrid w:val="0"/>
                      <w:color w:val="000000"/>
                      <w:spacing w:val="5"/>
                      <w:kern w:val="0"/>
                      <w:sz w:val="21"/>
                      <w:szCs w:val="20"/>
                    </w:rPr>
                    <w:t>点管控区。</w:t>
                  </w:r>
                  <w:r>
                    <w:rPr>
                      <w:rFonts w:cs="宋体"/>
                      <w:snapToGrid w:val="0"/>
                      <w:color w:val="000000"/>
                      <w:spacing w:val="9"/>
                      <w:kern w:val="0"/>
                      <w:sz w:val="21"/>
                      <w:szCs w:val="20"/>
                    </w:rPr>
                    <w:t>本项目产生的</w:t>
                  </w:r>
                  <w:r>
                    <w:rPr>
                      <w:rFonts w:hint="eastAsia" w:cs="宋体"/>
                      <w:snapToGrid w:val="0"/>
                      <w:color w:val="000000"/>
                      <w:spacing w:val="9"/>
                      <w:kern w:val="0"/>
                      <w:sz w:val="21"/>
                      <w:szCs w:val="20"/>
                    </w:rPr>
                    <w:t>有机废气、臭气浓度及颗粒物经“水喷淋+干式过滤器+二级活性炭吸附装置”处理后经30m排气筒DA001高空排放，</w:t>
                  </w:r>
                  <w:r>
                    <w:rPr>
                      <w:rFonts w:cs="宋体"/>
                      <w:snapToGrid w:val="0"/>
                      <w:color w:val="000000"/>
                      <w:spacing w:val="9"/>
                      <w:kern w:val="0"/>
                      <w:sz w:val="21"/>
                      <w:szCs w:val="20"/>
                    </w:rPr>
                    <w:t>不会突破大</w:t>
                  </w:r>
                  <w:r>
                    <w:rPr>
                      <w:rFonts w:cs="宋体"/>
                      <w:snapToGrid w:val="0"/>
                      <w:color w:val="000000"/>
                      <w:spacing w:val="7"/>
                      <w:kern w:val="0"/>
                      <w:sz w:val="21"/>
                      <w:szCs w:val="20"/>
                    </w:rPr>
                    <w:t>气环境质量底线。</w:t>
                  </w:r>
                </w:p>
              </w:tc>
            </w:tr>
            <w:tr w14:paraId="0C550D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1" w:hRule="atLeast"/>
              </w:trPr>
              <w:tc>
                <w:tcPr>
                  <w:tcW w:w="358" w:type="dxa"/>
                  <w:vMerge w:val="continue"/>
                  <w:tcBorders>
                    <w:top w:val="nil"/>
                    <w:bottom w:val="single" w:color="auto" w:sz="4" w:space="0"/>
                  </w:tcBorders>
                  <w:textDirection w:val="tbRlV"/>
                  <w:vAlign w:val="center"/>
                </w:tcPr>
                <w:p w14:paraId="547683EC">
                  <w:pPr>
                    <w:widowControl/>
                    <w:kinsoku w:val="0"/>
                    <w:autoSpaceDE w:val="0"/>
                    <w:autoSpaceDN w:val="0"/>
                    <w:spacing w:line="240" w:lineRule="auto"/>
                    <w:ind w:firstLine="0" w:firstLineChars="0"/>
                    <w:jc w:val="center"/>
                    <w:textAlignment w:val="baseline"/>
                    <w:rPr>
                      <w:rFonts w:cs="宋体"/>
                      <w:snapToGrid w:val="0"/>
                      <w:color w:val="000000"/>
                      <w:kern w:val="0"/>
                      <w:sz w:val="21"/>
                      <w:szCs w:val="21"/>
                    </w:rPr>
                  </w:pPr>
                </w:p>
              </w:tc>
              <w:tc>
                <w:tcPr>
                  <w:tcW w:w="4455" w:type="dxa"/>
                  <w:vAlign w:val="center"/>
                </w:tcPr>
                <w:p w14:paraId="261AA655">
                  <w:pPr>
                    <w:kinsoku w:val="0"/>
                    <w:autoSpaceDE w:val="0"/>
                    <w:autoSpaceDN w:val="0"/>
                    <w:spacing w:line="240" w:lineRule="auto"/>
                    <w:ind w:firstLine="0" w:firstLineChars="0"/>
                    <w:jc w:val="center"/>
                    <w:textAlignment w:val="baseline"/>
                    <w:rPr>
                      <w:rFonts w:cs="宋体"/>
                      <w:snapToGrid w:val="0"/>
                      <w:color w:val="000000"/>
                      <w:kern w:val="0"/>
                      <w:sz w:val="21"/>
                      <w:szCs w:val="20"/>
                    </w:rPr>
                  </w:pPr>
                  <w:r>
                    <w:rPr>
                      <w:rFonts w:cs="宋体"/>
                      <w:b/>
                      <w:bCs/>
                      <w:snapToGrid w:val="0"/>
                      <w:color w:val="000000"/>
                      <w:spacing w:val="6"/>
                      <w:kern w:val="0"/>
                      <w:sz w:val="21"/>
                      <w:szCs w:val="20"/>
                    </w:rPr>
                    <w:t>表1-</w:t>
                  </w:r>
                  <w:r>
                    <w:rPr>
                      <w:rFonts w:hint="eastAsia" w:cs="宋体"/>
                      <w:b/>
                      <w:bCs/>
                      <w:snapToGrid w:val="0"/>
                      <w:color w:val="000000"/>
                      <w:spacing w:val="6"/>
                      <w:kern w:val="0"/>
                      <w:sz w:val="21"/>
                      <w:szCs w:val="20"/>
                    </w:rPr>
                    <w:t xml:space="preserve">5 </w:t>
                  </w:r>
                  <w:r>
                    <w:rPr>
                      <w:rFonts w:cs="宋体"/>
                      <w:b/>
                      <w:bCs/>
                      <w:snapToGrid w:val="0"/>
                      <w:color w:val="000000"/>
                      <w:spacing w:val="6"/>
                      <w:kern w:val="0"/>
                      <w:sz w:val="21"/>
                      <w:szCs w:val="20"/>
                    </w:rPr>
                    <w:t>土壤环境管控区统计表（面积：</w:t>
                  </w:r>
                  <w:r>
                    <w:rPr>
                      <w:rFonts w:cs="宋体"/>
                      <w:b/>
                      <w:bCs/>
                      <w:snapToGrid w:val="0"/>
                      <w:color w:val="000000"/>
                      <w:kern w:val="0"/>
                      <w:sz w:val="21"/>
                      <w:szCs w:val="20"/>
                    </w:rPr>
                    <w:t>km</w:t>
                  </w:r>
                  <w:r>
                    <w:rPr>
                      <w:rFonts w:hint="eastAsia" w:cs="宋体"/>
                      <w:b/>
                      <w:bCs/>
                      <w:snapToGrid w:val="0"/>
                      <w:color w:val="000000"/>
                      <w:kern w:val="0"/>
                      <w:sz w:val="21"/>
                      <w:szCs w:val="20"/>
                      <w:vertAlign w:val="superscript"/>
                    </w:rPr>
                    <w:t>2</w:t>
                  </w:r>
                  <w:r>
                    <w:rPr>
                      <w:rFonts w:cs="宋体"/>
                      <w:b/>
                      <w:bCs/>
                      <w:snapToGrid w:val="0"/>
                      <w:color w:val="000000"/>
                      <w:spacing w:val="6"/>
                      <w:kern w:val="0"/>
                      <w:sz w:val="21"/>
                      <w:szCs w:val="20"/>
                    </w:rPr>
                    <w:t>）</w:t>
                  </w:r>
                </w:p>
                <w:tbl>
                  <w:tblPr>
                    <w:tblStyle w:val="110"/>
                    <w:tblW w:w="4164"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2842"/>
                    <w:gridCol w:w="1322"/>
                  </w:tblGrid>
                  <w:tr w14:paraId="276307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2842" w:type="dxa"/>
                        <w:vAlign w:val="center"/>
                      </w:tcPr>
                      <w:p w14:paraId="351E8C79">
                        <w:pPr>
                          <w:kinsoku w:val="0"/>
                          <w:autoSpaceDE w:val="0"/>
                          <w:autoSpaceDN w:val="0"/>
                          <w:spacing w:line="240" w:lineRule="auto"/>
                          <w:ind w:firstLine="0" w:firstLineChars="0"/>
                          <w:jc w:val="center"/>
                          <w:textAlignment w:val="baseline"/>
                          <w:rPr>
                            <w:rFonts w:cs="宋体"/>
                            <w:snapToGrid w:val="0"/>
                            <w:color w:val="000000"/>
                            <w:kern w:val="0"/>
                            <w:sz w:val="21"/>
                            <w:szCs w:val="20"/>
                          </w:rPr>
                        </w:pPr>
                        <w:r>
                          <w:rPr>
                            <w:rFonts w:cs="宋体"/>
                            <w:snapToGrid w:val="0"/>
                            <w:color w:val="000000"/>
                            <w:spacing w:val="9"/>
                            <w:kern w:val="0"/>
                            <w:sz w:val="21"/>
                            <w:szCs w:val="20"/>
                          </w:rPr>
                          <w:t>博罗县建设用地土壤污染风</w:t>
                        </w:r>
                        <w:r>
                          <w:rPr>
                            <w:rFonts w:cs="宋体"/>
                            <w:snapToGrid w:val="0"/>
                            <w:color w:val="000000"/>
                            <w:spacing w:val="7"/>
                            <w:kern w:val="0"/>
                            <w:sz w:val="21"/>
                            <w:szCs w:val="20"/>
                          </w:rPr>
                          <w:t>险重点管控区面积</w:t>
                        </w:r>
                      </w:p>
                    </w:tc>
                    <w:tc>
                      <w:tcPr>
                        <w:tcW w:w="1322" w:type="dxa"/>
                        <w:vAlign w:val="center"/>
                      </w:tcPr>
                      <w:p w14:paraId="4A6F2DD7">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4"/>
                            <w:kern w:val="0"/>
                            <w:sz w:val="21"/>
                            <w:szCs w:val="20"/>
                            <w:lang w:eastAsia="en-US"/>
                          </w:rPr>
                          <w:t>3.408688125</w:t>
                        </w:r>
                      </w:p>
                    </w:tc>
                  </w:tr>
                  <w:tr w14:paraId="09DEFC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2842" w:type="dxa"/>
                        <w:vAlign w:val="center"/>
                      </w:tcPr>
                      <w:p w14:paraId="79CC5BFF">
                        <w:pPr>
                          <w:kinsoku w:val="0"/>
                          <w:autoSpaceDE w:val="0"/>
                          <w:autoSpaceDN w:val="0"/>
                          <w:spacing w:line="240" w:lineRule="auto"/>
                          <w:ind w:firstLine="0" w:firstLineChars="0"/>
                          <w:jc w:val="center"/>
                          <w:textAlignment w:val="baseline"/>
                          <w:rPr>
                            <w:rFonts w:cs="宋体"/>
                            <w:snapToGrid w:val="0"/>
                            <w:color w:val="000000"/>
                            <w:kern w:val="0"/>
                            <w:sz w:val="21"/>
                            <w:szCs w:val="20"/>
                          </w:rPr>
                        </w:pPr>
                        <w:r>
                          <w:rPr>
                            <w:rFonts w:cs="宋体"/>
                            <w:snapToGrid w:val="0"/>
                            <w:color w:val="000000"/>
                            <w:spacing w:val="7"/>
                            <w:kern w:val="0"/>
                            <w:sz w:val="21"/>
                            <w:szCs w:val="20"/>
                          </w:rPr>
                          <w:t>园洲镇建设用地一般管控区</w:t>
                        </w:r>
                        <w:r>
                          <w:rPr>
                            <w:rFonts w:cs="宋体"/>
                            <w:snapToGrid w:val="0"/>
                            <w:color w:val="000000"/>
                            <w:spacing w:val="4"/>
                            <w:kern w:val="0"/>
                            <w:sz w:val="21"/>
                            <w:szCs w:val="20"/>
                          </w:rPr>
                          <w:t>面积</w:t>
                        </w:r>
                      </w:p>
                    </w:tc>
                    <w:tc>
                      <w:tcPr>
                        <w:tcW w:w="1322" w:type="dxa"/>
                        <w:vAlign w:val="center"/>
                      </w:tcPr>
                      <w:p w14:paraId="2DEE5054">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3"/>
                            <w:kern w:val="0"/>
                            <w:sz w:val="21"/>
                            <w:szCs w:val="20"/>
                            <w:lang w:eastAsia="en-US"/>
                          </w:rPr>
                          <w:t>29.889</w:t>
                        </w:r>
                      </w:p>
                    </w:tc>
                  </w:tr>
                  <w:tr w14:paraId="1DA090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2842" w:type="dxa"/>
                        <w:vAlign w:val="center"/>
                      </w:tcPr>
                      <w:p w14:paraId="19EEEC08">
                        <w:pPr>
                          <w:pStyle w:val="128"/>
                          <w:spacing w:line="240" w:lineRule="auto"/>
                          <w:ind w:firstLine="0" w:firstLineChars="0"/>
                          <w:jc w:val="center"/>
                          <w:rPr>
                            <w:rFonts w:ascii="Times New Roman" w:hAnsi="Times New Roman"/>
                            <w:snapToGrid w:val="0"/>
                            <w:color w:val="000000"/>
                            <w:spacing w:val="7"/>
                            <w:kern w:val="0"/>
                            <w:sz w:val="21"/>
                            <w:szCs w:val="20"/>
                            <w:lang w:eastAsia="zh-CN"/>
                          </w:rPr>
                        </w:pPr>
                        <w:r>
                          <w:rPr>
                            <w:rFonts w:ascii="Times New Roman" w:hAnsi="Times New Roman"/>
                            <w:spacing w:val="7"/>
                            <w:sz w:val="21"/>
                            <w:lang w:eastAsia="zh-CN"/>
                          </w:rPr>
                          <w:t>园洲镇未利用地一般管控区</w:t>
                        </w:r>
                        <w:r>
                          <w:rPr>
                            <w:rFonts w:ascii="Times New Roman" w:hAnsi="Times New Roman"/>
                            <w:spacing w:val="4"/>
                            <w:sz w:val="21"/>
                            <w:lang w:eastAsia="zh-CN"/>
                          </w:rPr>
                          <w:t>面积</w:t>
                        </w:r>
                      </w:p>
                    </w:tc>
                    <w:tc>
                      <w:tcPr>
                        <w:tcW w:w="1322" w:type="dxa"/>
                        <w:vAlign w:val="center"/>
                      </w:tcPr>
                      <w:p w14:paraId="5CB71C7E">
                        <w:pPr>
                          <w:spacing w:line="240" w:lineRule="auto"/>
                          <w:ind w:firstLine="0" w:firstLineChars="0"/>
                          <w:jc w:val="center"/>
                          <w:rPr>
                            <w:rFonts w:cs="宋体"/>
                            <w:snapToGrid w:val="0"/>
                            <w:color w:val="000000"/>
                            <w:spacing w:val="3"/>
                            <w:kern w:val="0"/>
                            <w:sz w:val="21"/>
                            <w:szCs w:val="20"/>
                            <w:lang w:eastAsia="en-US"/>
                          </w:rPr>
                        </w:pPr>
                        <w:r>
                          <w:rPr>
                            <w:rFonts w:cs="宋体"/>
                            <w:sz w:val="21"/>
                            <w:szCs w:val="20"/>
                          </w:rPr>
                          <w:t>16.493</w:t>
                        </w:r>
                      </w:p>
                    </w:tc>
                  </w:tr>
                  <w:tr w14:paraId="09A541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0" w:hRule="atLeast"/>
                    </w:trPr>
                    <w:tc>
                      <w:tcPr>
                        <w:tcW w:w="2842" w:type="dxa"/>
                        <w:vAlign w:val="center"/>
                      </w:tcPr>
                      <w:p w14:paraId="465C174D">
                        <w:pPr>
                          <w:pStyle w:val="128"/>
                          <w:spacing w:line="240" w:lineRule="auto"/>
                          <w:ind w:firstLine="0" w:firstLineChars="0"/>
                          <w:jc w:val="center"/>
                          <w:rPr>
                            <w:rFonts w:ascii="Times New Roman" w:hAnsi="Times New Roman"/>
                            <w:snapToGrid w:val="0"/>
                            <w:color w:val="000000"/>
                            <w:spacing w:val="7"/>
                            <w:kern w:val="0"/>
                            <w:sz w:val="21"/>
                            <w:szCs w:val="20"/>
                            <w:lang w:eastAsia="zh-CN"/>
                          </w:rPr>
                        </w:pPr>
                        <w:r>
                          <w:rPr>
                            <w:rFonts w:ascii="Times New Roman" w:hAnsi="Times New Roman"/>
                            <w:spacing w:val="9"/>
                            <w:sz w:val="21"/>
                            <w:lang w:eastAsia="zh-CN"/>
                          </w:rPr>
                          <w:t>博罗县土壤环境一般管控区</w:t>
                        </w:r>
                        <w:r>
                          <w:rPr>
                            <w:rFonts w:ascii="Times New Roman" w:hAnsi="Times New Roman"/>
                            <w:spacing w:val="4"/>
                            <w:sz w:val="21"/>
                            <w:lang w:eastAsia="zh-CN"/>
                          </w:rPr>
                          <w:t>面积</w:t>
                        </w:r>
                      </w:p>
                    </w:tc>
                    <w:tc>
                      <w:tcPr>
                        <w:tcW w:w="1322" w:type="dxa"/>
                        <w:vAlign w:val="center"/>
                      </w:tcPr>
                      <w:p w14:paraId="5EA92343">
                        <w:pPr>
                          <w:spacing w:line="240" w:lineRule="auto"/>
                          <w:ind w:firstLine="0" w:firstLineChars="0"/>
                          <w:jc w:val="center"/>
                          <w:rPr>
                            <w:rFonts w:cs="宋体"/>
                            <w:snapToGrid w:val="0"/>
                            <w:color w:val="000000"/>
                            <w:spacing w:val="3"/>
                            <w:kern w:val="0"/>
                            <w:sz w:val="21"/>
                            <w:szCs w:val="20"/>
                            <w:lang w:eastAsia="en-US"/>
                          </w:rPr>
                        </w:pPr>
                        <w:r>
                          <w:rPr>
                            <w:rFonts w:cs="宋体"/>
                            <w:spacing w:val="3"/>
                            <w:sz w:val="21"/>
                            <w:szCs w:val="20"/>
                          </w:rPr>
                          <w:t>373.767</w:t>
                        </w:r>
                      </w:p>
                    </w:tc>
                  </w:tr>
                </w:tbl>
                <w:p w14:paraId="0A8ECD25">
                  <w:pPr>
                    <w:widowControl/>
                    <w:kinsoku w:val="0"/>
                    <w:autoSpaceDE w:val="0"/>
                    <w:autoSpaceDN w:val="0"/>
                    <w:spacing w:line="240" w:lineRule="auto"/>
                    <w:ind w:firstLine="0" w:firstLineChars="0"/>
                    <w:jc w:val="center"/>
                    <w:textAlignment w:val="baseline"/>
                    <w:rPr>
                      <w:rFonts w:cs="宋体"/>
                      <w:snapToGrid w:val="0"/>
                      <w:color w:val="000000"/>
                      <w:kern w:val="0"/>
                      <w:sz w:val="21"/>
                      <w:szCs w:val="21"/>
                      <w:lang w:eastAsia="en-US"/>
                    </w:rPr>
                  </w:pPr>
                </w:p>
              </w:tc>
              <w:tc>
                <w:tcPr>
                  <w:tcW w:w="2798" w:type="dxa"/>
                  <w:gridSpan w:val="2"/>
                  <w:vAlign w:val="center"/>
                </w:tcPr>
                <w:p w14:paraId="20CD77B5">
                  <w:pPr>
                    <w:kinsoku w:val="0"/>
                    <w:autoSpaceDE w:val="0"/>
                    <w:autoSpaceDN w:val="0"/>
                    <w:spacing w:line="240" w:lineRule="auto"/>
                    <w:ind w:firstLine="0" w:firstLineChars="0"/>
                    <w:jc w:val="both"/>
                    <w:textAlignment w:val="baseline"/>
                    <w:rPr>
                      <w:rFonts w:cs="宋体"/>
                      <w:snapToGrid w:val="0"/>
                      <w:color w:val="000000"/>
                      <w:kern w:val="0"/>
                      <w:sz w:val="21"/>
                      <w:szCs w:val="20"/>
                    </w:rPr>
                  </w:pPr>
                  <w:r>
                    <w:rPr>
                      <w:rFonts w:cs="宋体"/>
                      <w:snapToGrid w:val="0"/>
                      <w:color w:val="000000"/>
                      <w:spacing w:val="15"/>
                      <w:kern w:val="0"/>
                      <w:sz w:val="21"/>
                      <w:szCs w:val="20"/>
                    </w:rPr>
                    <w:t>根据《博罗县“三线一单”</w:t>
                  </w:r>
                  <w:r>
                    <w:rPr>
                      <w:rFonts w:cs="宋体"/>
                      <w:snapToGrid w:val="0"/>
                      <w:color w:val="000000"/>
                      <w:spacing w:val="-3"/>
                      <w:kern w:val="0"/>
                      <w:sz w:val="21"/>
                      <w:szCs w:val="20"/>
                    </w:rPr>
                    <w:t>生态环境分区管控图集》</w:t>
                  </w:r>
                  <w:r>
                    <w:rPr>
                      <w:rFonts w:cs="宋体"/>
                      <w:snapToGrid w:val="0"/>
                      <w:color w:val="000000"/>
                      <w:spacing w:val="5"/>
                      <w:kern w:val="0"/>
                      <w:sz w:val="21"/>
                      <w:szCs w:val="20"/>
                    </w:rPr>
                    <w:t>图15博罗</w:t>
                  </w:r>
                  <w:r>
                    <w:rPr>
                      <w:rFonts w:cs="宋体"/>
                      <w:snapToGrid w:val="0"/>
                      <w:color w:val="000000"/>
                      <w:spacing w:val="9"/>
                      <w:kern w:val="0"/>
                      <w:sz w:val="21"/>
                      <w:szCs w:val="20"/>
                    </w:rPr>
                    <w:t>县建设用地土壤管控分区划</w:t>
                  </w:r>
                  <w:r>
                    <w:rPr>
                      <w:rFonts w:cs="宋体"/>
                      <w:snapToGrid w:val="0"/>
                      <w:color w:val="000000"/>
                      <w:spacing w:val="6"/>
                      <w:kern w:val="0"/>
                      <w:sz w:val="21"/>
                      <w:szCs w:val="20"/>
                    </w:rPr>
                    <w:t>定情况（详见</w:t>
                  </w:r>
                  <w:r>
                    <w:rPr>
                      <w:rFonts w:hint="eastAsia" w:cs="宋体"/>
                      <w:snapToGrid w:val="0"/>
                      <w:color w:val="000000"/>
                      <w:spacing w:val="6"/>
                      <w:kern w:val="0"/>
                      <w:sz w:val="21"/>
                      <w:szCs w:val="20"/>
                    </w:rPr>
                    <w:t>附图10</w:t>
                  </w:r>
                  <w:r>
                    <w:rPr>
                      <w:rFonts w:cs="宋体"/>
                      <w:snapToGrid w:val="0"/>
                      <w:color w:val="000000"/>
                      <w:spacing w:val="6"/>
                      <w:kern w:val="0"/>
                      <w:sz w:val="21"/>
                      <w:szCs w:val="20"/>
                    </w:rPr>
                    <w:t>-5</w:t>
                  </w:r>
                  <w:r>
                    <w:rPr>
                      <w:rFonts w:cs="宋体"/>
                      <w:snapToGrid w:val="0"/>
                      <w:color w:val="000000"/>
                      <w:spacing w:val="14"/>
                      <w:kern w:val="0"/>
                      <w:sz w:val="21"/>
                      <w:szCs w:val="20"/>
                    </w:rPr>
                    <w:t>），</w:t>
                  </w:r>
                  <w:r>
                    <w:rPr>
                      <w:rFonts w:cs="宋体"/>
                      <w:snapToGrid w:val="0"/>
                      <w:color w:val="000000"/>
                      <w:spacing w:val="6"/>
                      <w:kern w:val="0"/>
                      <w:sz w:val="21"/>
                      <w:szCs w:val="20"/>
                    </w:rPr>
                    <w:t>项</w:t>
                  </w:r>
                  <w:r>
                    <w:rPr>
                      <w:rFonts w:cs="宋体"/>
                      <w:snapToGrid w:val="0"/>
                      <w:color w:val="000000"/>
                      <w:spacing w:val="9"/>
                      <w:kern w:val="0"/>
                      <w:sz w:val="21"/>
                      <w:szCs w:val="20"/>
                    </w:rPr>
                    <w:t>目位于博罗县土壤环境一般</w:t>
                  </w:r>
                  <w:r>
                    <w:rPr>
                      <w:rFonts w:hint="eastAsia" w:cs="宋体"/>
                      <w:snapToGrid w:val="0"/>
                      <w:color w:val="000000"/>
                      <w:spacing w:val="9"/>
                      <w:kern w:val="0"/>
                      <w:sz w:val="21"/>
                      <w:szCs w:val="20"/>
                    </w:rPr>
                    <w:t>管控区，项目生产过程产生的一般工业固体废物、危险废物经妥善处置后，不会污染土壤环境。</w:t>
                  </w:r>
                </w:p>
              </w:tc>
            </w:tr>
            <w:tr w14:paraId="6142CF8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1" w:hRule="atLeast"/>
              </w:trPr>
              <w:tc>
                <w:tcPr>
                  <w:tcW w:w="358" w:type="dxa"/>
                  <w:vMerge w:val="restart"/>
                  <w:tcBorders>
                    <w:top w:val="single" w:color="auto" w:sz="4" w:space="0"/>
                    <w:left w:val="single" w:color="auto" w:sz="4" w:space="0"/>
                    <w:right w:val="single" w:color="auto" w:sz="4" w:space="0"/>
                  </w:tcBorders>
                  <w:textDirection w:val="tbRlV"/>
                  <w:vAlign w:val="center"/>
                </w:tcPr>
                <w:p w14:paraId="3B79E875">
                  <w:pPr>
                    <w:widowControl/>
                    <w:kinsoku w:val="0"/>
                    <w:autoSpaceDE w:val="0"/>
                    <w:autoSpaceDN w:val="0"/>
                    <w:spacing w:line="240" w:lineRule="auto"/>
                    <w:ind w:firstLine="0" w:firstLineChars="0"/>
                    <w:jc w:val="center"/>
                    <w:textAlignment w:val="baseline"/>
                    <w:rPr>
                      <w:rFonts w:cs="宋体"/>
                      <w:snapToGrid w:val="0"/>
                      <w:color w:val="000000"/>
                      <w:kern w:val="0"/>
                      <w:sz w:val="21"/>
                      <w:szCs w:val="21"/>
                    </w:rPr>
                  </w:pPr>
                  <w:r>
                    <w:rPr>
                      <w:rFonts w:hint="eastAsia" w:cs="宋体"/>
                      <w:snapToGrid w:val="0"/>
                      <w:color w:val="000000"/>
                      <w:kern w:val="0"/>
                      <w:sz w:val="21"/>
                      <w:szCs w:val="21"/>
                    </w:rPr>
                    <w:t>资源利用上线</w:t>
                  </w:r>
                </w:p>
              </w:tc>
              <w:tc>
                <w:tcPr>
                  <w:tcW w:w="4455" w:type="dxa"/>
                  <w:tcBorders>
                    <w:left w:val="single" w:color="auto" w:sz="4" w:space="0"/>
                  </w:tcBorders>
                  <w:vAlign w:val="center"/>
                </w:tcPr>
                <w:p w14:paraId="45A62FF2">
                  <w:pPr>
                    <w:widowControl/>
                    <w:kinsoku w:val="0"/>
                    <w:autoSpaceDE w:val="0"/>
                    <w:autoSpaceDN w:val="0"/>
                    <w:spacing w:line="240" w:lineRule="auto"/>
                    <w:ind w:firstLine="0" w:firstLineChars="0"/>
                    <w:jc w:val="center"/>
                    <w:textAlignment w:val="baseline"/>
                    <w:rPr>
                      <w:rFonts w:cs="宋体"/>
                      <w:b/>
                      <w:bCs/>
                      <w:snapToGrid w:val="0"/>
                      <w:color w:val="000000"/>
                      <w:spacing w:val="3"/>
                      <w:kern w:val="0"/>
                      <w:sz w:val="21"/>
                      <w:szCs w:val="20"/>
                    </w:rPr>
                  </w:pPr>
                  <w:r>
                    <w:rPr>
                      <w:rFonts w:cs="宋体"/>
                      <w:b/>
                      <w:bCs/>
                      <w:snapToGrid w:val="0"/>
                      <w:color w:val="000000"/>
                      <w:spacing w:val="6"/>
                      <w:kern w:val="0"/>
                      <w:sz w:val="21"/>
                      <w:szCs w:val="20"/>
                    </w:rPr>
                    <w:t>表</w:t>
                  </w:r>
                  <w:r>
                    <w:rPr>
                      <w:rFonts w:cs="宋体"/>
                      <w:snapToGrid w:val="0"/>
                      <w:color w:val="000000"/>
                      <w:spacing w:val="-23"/>
                      <w:kern w:val="0"/>
                      <w:sz w:val="21"/>
                      <w:szCs w:val="20"/>
                    </w:rPr>
                    <w:t xml:space="preserve"> </w:t>
                  </w:r>
                  <w:r>
                    <w:rPr>
                      <w:rFonts w:cs="宋体"/>
                      <w:b/>
                      <w:bCs/>
                      <w:snapToGrid w:val="0"/>
                      <w:color w:val="000000"/>
                      <w:spacing w:val="6"/>
                      <w:kern w:val="0"/>
                      <w:sz w:val="21"/>
                      <w:szCs w:val="20"/>
                    </w:rPr>
                    <w:t>1-</w:t>
                  </w:r>
                  <w:r>
                    <w:rPr>
                      <w:rFonts w:hint="eastAsia" w:cs="宋体"/>
                      <w:b/>
                      <w:bCs/>
                      <w:snapToGrid w:val="0"/>
                      <w:color w:val="000000"/>
                      <w:spacing w:val="6"/>
                      <w:kern w:val="0"/>
                      <w:sz w:val="21"/>
                      <w:szCs w:val="20"/>
                    </w:rPr>
                    <w:t>6</w:t>
                  </w:r>
                  <w:r>
                    <w:rPr>
                      <w:rFonts w:cs="宋体"/>
                      <w:b/>
                      <w:bCs/>
                      <w:snapToGrid w:val="0"/>
                      <w:color w:val="000000"/>
                      <w:spacing w:val="6"/>
                      <w:kern w:val="0"/>
                      <w:sz w:val="21"/>
                      <w:szCs w:val="20"/>
                    </w:rPr>
                    <w:t xml:space="preserve"> 博罗县土地资源优先保护区面积统计</w:t>
                  </w:r>
                  <w:r>
                    <w:rPr>
                      <w:rFonts w:cs="宋体"/>
                      <w:snapToGrid w:val="0"/>
                      <w:color w:val="000000"/>
                      <w:kern w:val="0"/>
                      <w:sz w:val="21"/>
                      <w:szCs w:val="20"/>
                    </w:rPr>
                    <w:t xml:space="preserve"> </w:t>
                  </w:r>
                  <w:r>
                    <w:rPr>
                      <w:rFonts w:cs="宋体"/>
                      <w:b/>
                      <w:bCs/>
                      <w:snapToGrid w:val="0"/>
                      <w:color w:val="000000"/>
                      <w:spacing w:val="3"/>
                      <w:kern w:val="0"/>
                      <w:sz w:val="21"/>
                      <w:szCs w:val="20"/>
                    </w:rPr>
                    <w:t>（平方公里）</w:t>
                  </w:r>
                </w:p>
                <w:tbl>
                  <w:tblPr>
                    <w:tblStyle w:val="110"/>
                    <w:tblW w:w="4164"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3093"/>
                    <w:gridCol w:w="1071"/>
                  </w:tblGrid>
                  <w:tr w14:paraId="10BBD1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3093" w:type="dxa"/>
                        <w:vAlign w:val="center"/>
                      </w:tcPr>
                      <w:p w14:paraId="5E9A6B02">
                        <w:pPr>
                          <w:pStyle w:val="128"/>
                          <w:spacing w:line="240" w:lineRule="auto"/>
                          <w:ind w:firstLine="0" w:firstLineChars="0"/>
                          <w:jc w:val="center"/>
                          <w:rPr>
                            <w:rFonts w:ascii="Times New Roman" w:hAnsi="Times New Roman"/>
                            <w:snapToGrid w:val="0"/>
                            <w:color w:val="000000"/>
                            <w:kern w:val="0"/>
                            <w:sz w:val="21"/>
                            <w:szCs w:val="20"/>
                            <w:lang w:eastAsia="zh-CN"/>
                          </w:rPr>
                        </w:pPr>
                        <w:r>
                          <w:rPr>
                            <w:rFonts w:ascii="Times New Roman" w:hAnsi="Times New Roman"/>
                            <w:spacing w:val="9"/>
                            <w:sz w:val="21"/>
                            <w:lang w:eastAsia="zh-CN"/>
                          </w:rPr>
                          <w:t>土地资源优先保护区面积</w:t>
                        </w:r>
                      </w:p>
                    </w:tc>
                    <w:tc>
                      <w:tcPr>
                        <w:tcW w:w="1071" w:type="dxa"/>
                        <w:vAlign w:val="center"/>
                      </w:tcPr>
                      <w:p w14:paraId="55113DB3">
                        <w:pPr>
                          <w:spacing w:line="240" w:lineRule="auto"/>
                          <w:ind w:firstLine="0" w:firstLineChars="0"/>
                          <w:jc w:val="center"/>
                          <w:rPr>
                            <w:rFonts w:cs="宋体"/>
                            <w:snapToGrid w:val="0"/>
                            <w:color w:val="000000"/>
                            <w:kern w:val="0"/>
                            <w:sz w:val="21"/>
                            <w:szCs w:val="20"/>
                            <w:lang w:eastAsia="en-US"/>
                          </w:rPr>
                        </w:pPr>
                        <w:r>
                          <w:rPr>
                            <w:spacing w:val="2"/>
                            <w:sz w:val="21"/>
                            <w:szCs w:val="20"/>
                          </w:rPr>
                          <w:t>834.505</w:t>
                        </w:r>
                      </w:p>
                    </w:tc>
                  </w:tr>
                  <w:tr w14:paraId="1568AD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3093" w:type="dxa"/>
                        <w:vAlign w:val="center"/>
                      </w:tcPr>
                      <w:p w14:paraId="2E6B320B">
                        <w:pPr>
                          <w:pStyle w:val="128"/>
                          <w:spacing w:line="240" w:lineRule="auto"/>
                          <w:ind w:firstLine="0" w:firstLineChars="0"/>
                          <w:jc w:val="center"/>
                          <w:rPr>
                            <w:rFonts w:ascii="Times New Roman" w:hAnsi="Times New Roman"/>
                            <w:snapToGrid w:val="0"/>
                            <w:color w:val="000000"/>
                            <w:kern w:val="0"/>
                            <w:sz w:val="21"/>
                            <w:szCs w:val="20"/>
                            <w:lang w:eastAsia="zh-CN"/>
                          </w:rPr>
                        </w:pPr>
                        <w:r>
                          <w:rPr>
                            <w:rFonts w:ascii="Times New Roman" w:hAnsi="Times New Roman"/>
                            <w:spacing w:val="9"/>
                            <w:sz w:val="21"/>
                            <w:lang w:eastAsia="zh-CN"/>
                          </w:rPr>
                          <w:t>土地资源优先保护区比例</w:t>
                        </w:r>
                      </w:p>
                    </w:tc>
                    <w:tc>
                      <w:tcPr>
                        <w:tcW w:w="1071" w:type="dxa"/>
                        <w:vAlign w:val="center"/>
                      </w:tcPr>
                      <w:p w14:paraId="1B3D4164">
                        <w:pPr>
                          <w:spacing w:line="240" w:lineRule="auto"/>
                          <w:ind w:firstLine="0" w:firstLineChars="0"/>
                          <w:jc w:val="center"/>
                          <w:rPr>
                            <w:rFonts w:cs="宋体"/>
                            <w:snapToGrid w:val="0"/>
                            <w:color w:val="000000"/>
                            <w:kern w:val="0"/>
                            <w:sz w:val="21"/>
                            <w:szCs w:val="20"/>
                            <w:lang w:eastAsia="en-US"/>
                          </w:rPr>
                        </w:pPr>
                        <w:r>
                          <w:rPr>
                            <w:spacing w:val="4"/>
                            <w:position w:val="2"/>
                            <w:sz w:val="21"/>
                            <w:szCs w:val="20"/>
                          </w:rPr>
                          <w:t>29.23%</w:t>
                        </w:r>
                      </w:p>
                    </w:tc>
                  </w:tr>
                </w:tbl>
                <w:p w14:paraId="3A4A3671">
                  <w:pPr>
                    <w:widowControl/>
                    <w:kinsoku w:val="0"/>
                    <w:autoSpaceDE w:val="0"/>
                    <w:autoSpaceDN w:val="0"/>
                    <w:spacing w:line="240" w:lineRule="auto"/>
                    <w:ind w:firstLine="0" w:firstLineChars="0"/>
                    <w:jc w:val="center"/>
                    <w:textAlignment w:val="baseline"/>
                    <w:rPr>
                      <w:rFonts w:cs="宋体"/>
                      <w:b/>
                      <w:bCs/>
                      <w:snapToGrid w:val="0"/>
                      <w:color w:val="000000"/>
                      <w:spacing w:val="3"/>
                      <w:kern w:val="0"/>
                      <w:sz w:val="21"/>
                      <w:szCs w:val="20"/>
                      <w:lang w:eastAsia="en-US"/>
                    </w:rPr>
                  </w:pPr>
                </w:p>
                <w:p w14:paraId="2D6D2D9A">
                  <w:pPr>
                    <w:widowControl/>
                    <w:kinsoku w:val="0"/>
                    <w:autoSpaceDE w:val="0"/>
                    <w:autoSpaceDN w:val="0"/>
                    <w:spacing w:line="240" w:lineRule="auto"/>
                    <w:ind w:firstLine="0" w:firstLineChars="0"/>
                    <w:jc w:val="center"/>
                    <w:textAlignment w:val="baseline"/>
                    <w:rPr>
                      <w:rFonts w:cs="宋体"/>
                      <w:b/>
                      <w:bCs/>
                      <w:snapToGrid w:val="0"/>
                      <w:color w:val="000000"/>
                      <w:spacing w:val="3"/>
                      <w:kern w:val="0"/>
                      <w:sz w:val="21"/>
                      <w:szCs w:val="20"/>
                      <w:lang w:eastAsia="en-US"/>
                    </w:rPr>
                  </w:pPr>
                </w:p>
              </w:tc>
              <w:tc>
                <w:tcPr>
                  <w:tcW w:w="2798" w:type="dxa"/>
                  <w:gridSpan w:val="2"/>
                  <w:shd w:val="clear" w:color="auto" w:fill="auto"/>
                  <w:vAlign w:val="center"/>
                </w:tcPr>
                <w:p w14:paraId="40C9AC88">
                  <w:pPr>
                    <w:pStyle w:val="128"/>
                    <w:spacing w:line="240" w:lineRule="auto"/>
                    <w:ind w:firstLine="0" w:firstLineChars="0"/>
                    <w:jc w:val="both"/>
                    <w:rPr>
                      <w:rFonts w:ascii="Times New Roman" w:hAnsi="Times New Roman"/>
                      <w:sz w:val="21"/>
                      <w:lang w:eastAsia="zh-CN"/>
                    </w:rPr>
                  </w:pPr>
                  <w:r>
                    <w:rPr>
                      <w:rFonts w:ascii="Times New Roman" w:hAnsi="Times New Roman"/>
                      <w:spacing w:val="8"/>
                      <w:sz w:val="21"/>
                      <w:lang w:eastAsia="zh-CN"/>
                    </w:rPr>
                    <w:t>根据《博罗县“三线一单”生态环境分区管控图集》图16博罗县资源利用上线-土地资源优先保护区划定情况</w:t>
                  </w:r>
                  <w:r>
                    <w:rPr>
                      <w:rFonts w:ascii="Times New Roman" w:hAnsi="Times New Roman"/>
                      <w:spacing w:val="5"/>
                      <w:sz w:val="21"/>
                      <w:lang w:eastAsia="zh-CN"/>
                    </w:rPr>
                    <w:t>（详见</w:t>
                  </w:r>
                  <w:r>
                    <w:rPr>
                      <w:rFonts w:hint="eastAsia" w:ascii="Times New Roman" w:hAnsi="Times New Roman"/>
                      <w:spacing w:val="5"/>
                      <w:sz w:val="21"/>
                      <w:lang w:eastAsia="zh-CN"/>
                    </w:rPr>
                    <w:t>附图10</w:t>
                  </w:r>
                  <w:r>
                    <w:rPr>
                      <w:rFonts w:ascii="Times New Roman" w:hAnsi="Times New Roman"/>
                      <w:spacing w:val="5"/>
                      <w:sz w:val="21"/>
                      <w:lang w:eastAsia="zh-CN"/>
                    </w:rPr>
                    <w:t>-6</w:t>
                  </w:r>
                  <w:r>
                    <w:rPr>
                      <w:rFonts w:ascii="Times New Roman" w:hAnsi="Times New Roman"/>
                      <w:spacing w:val="15"/>
                      <w:sz w:val="21"/>
                      <w:lang w:eastAsia="zh-CN"/>
                    </w:rPr>
                    <w:t>），</w:t>
                  </w:r>
                  <w:r>
                    <w:rPr>
                      <w:rFonts w:ascii="Times New Roman" w:hAnsi="Times New Roman"/>
                      <w:spacing w:val="5"/>
                      <w:sz w:val="21"/>
                      <w:lang w:eastAsia="zh-CN"/>
                    </w:rPr>
                    <w:t>项目不</w:t>
                  </w:r>
                  <w:r>
                    <w:rPr>
                      <w:rFonts w:hint="eastAsia" w:ascii="Times New Roman" w:hAnsi="Times New Roman"/>
                      <w:spacing w:val="5"/>
                      <w:sz w:val="21"/>
                      <w:lang w:eastAsia="zh-CN"/>
                    </w:rPr>
                    <w:t>在</w:t>
                  </w:r>
                  <w:r>
                    <w:rPr>
                      <w:rFonts w:ascii="Times New Roman" w:hAnsi="Times New Roman"/>
                      <w:spacing w:val="7"/>
                      <w:sz w:val="21"/>
                      <w:lang w:eastAsia="zh-CN"/>
                    </w:rPr>
                    <w:t>土壤资源优先保护区。</w:t>
                  </w:r>
                </w:p>
              </w:tc>
            </w:tr>
            <w:tr w14:paraId="4BE0A9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1" w:hRule="atLeast"/>
              </w:trPr>
              <w:tc>
                <w:tcPr>
                  <w:tcW w:w="358" w:type="dxa"/>
                  <w:vMerge w:val="continue"/>
                  <w:tcBorders>
                    <w:left w:val="single" w:color="auto" w:sz="4" w:space="0"/>
                    <w:right w:val="single" w:color="auto" w:sz="4" w:space="0"/>
                  </w:tcBorders>
                  <w:textDirection w:val="tbRlV"/>
                  <w:vAlign w:val="center"/>
                </w:tcPr>
                <w:p w14:paraId="721929D7">
                  <w:pPr>
                    <w:widowControl/>
                    <w:kinsoku w:val="0"/>
                    <w:autoSpaceDE w:val="0"/>
                    <w:autoSpaceDN w:val="0"/>
                    <w:spacing w:line="240" w:lineRule="auto"/>
                    <w:ind w:firstLine="0" w:firstLineChars="0"/>
                    <w:jc w:val="center"/>
                    <w:textAlignment w:val="baseline"/>
                    <w:rPr>
                      <w:rFonts w:cs="宋体"/>
                      <w:snapToGrid w:val="0"/>
                      <w:color w:val="000000"/>
                      <w:kern w:val="0"/>
                      <w:sz w:val="21"/>
                      <w:szCs w:val="21"/>
                    </w:rPr>
                  </w:pPr>
                </w:p>
              </w:tc>
              <w:tc>
                <w:tcPr>
                  <w:tcW w:w="4455" w:type="dxa"/>
                  <w:tcBorders>
                    <w:left w:val="single" w:color="auto" w:sz="4" w:space="0"/>
                  </w:tcBorders>
                  <w:vAlign w:val="center"/>
                </w:tcPr>
                <w:p w14:paraId="45D5DBA8">
                  <w:pPr>
                    <w:kinsoku w:val="0"/>
                    <w:autoSpaceDE w:val="0"/>
                    <w:autoSpaceDN w:val="0"/>
                    <w:spacing w:line="240" w:lineRule="auto"/>
                    <w:ind w:firstLine="0" w:firstLineChars="0"/>
                    <w:jc w:val="center"/>
                    <w:textAlignment w:val="baseline"/>
                    <w:rPr>
                      <w:rFonts w:cs="宋体"/>
                      <w:snapToGrid w:val="0"/>
                      <w:color w:val="000000"/>
                      <w:kern w:val="0"/>
                      <w:sz w:val="21"/>
                      <w:szCs w:val="21"/>
                    </w:rPr>
                  </w:pPr>
                  <w:r>
                    <w:rPr>
                      <w:rFonts w:cs="宋体"/>
                      <w:b/>
                      <w:bCs/>
                      <w:snapToGrid w:val="0"/>
                      <w:color w:val="000000"/>
                      <w:spacing w:val="4"/>
                      <w:kern w:val="0"/>
                      <w:sz w:val="21"/>
                      <w:szCs w:val="20"/>
                    </w:rPr>
                    <w:t>表</w:t>
                  </w:r>
                  <w:r>
                    <w:rPr>
                      <w:rFonts w:cs="宋体"/>
                      <w:snapToGrid w:val="0"/>
                      <w:color w:val="000000"/>
                      <w:spacing w:val="-23"/>
                      <w:kern w:val="0"/>
                      <w:sz w:val="21"/>
                      <w:szCs w:val="20"/>
                    </w:rPr>
                    <w:t xml:space="preserve"> </w:t>
                  </w:r>
                  <w:r>
                    <w:rPr>
                      <w:rFonts w:cs="宋体"/>
                      <w:b/>
                      <w:bCs/>
                      <w:snapToGrid w:val="0"/>
                      <w:color w:val="000000"/>
                      <w:spacing w:val="4"/>
                      <w:kern w:val="0"/>
                      <w:sz w:val="21"/>
                      <w:szCs w:val="20"/>
                    </w:rPr>
                    <w:t>1-</w:t>
                  </w:r>
                  <w:r>
                    <w:rPr>
                      <w:rFonts w:hint="eastAsia" w:cs="宋体"/>
                      <w:b/>
                      <w:bCs/>
                      <w:snapToGrid w:val="0"/>
                      <w:color w:val="000000"/>
                      <w:spacing w:val="4"/>
                      <w:kern w:val="0"/>
                      <w:sz w:val="21"/>
                      <w:szCs w:val="20"/>
                    </w:rPr>
                    <w:t>7</w:t>
                  </w:r>
                  <w:r>
                    <w:rPr>
                      <w:rFonts w:cs="宋体"/>
                      <w:b/>
                      <w:bCs/>
                      <w:snapToGrid w:val="0"/>
                      <w:color w:val="000000"/>
                      <w:spacing w:val="4"/>
                      <w:kern w:val="0"/>
                      <w:sz w:val="21"/>
                      <w:szCs w:val="20"/>
                    </w:rPr>
                    <w:t xml:space="preserve"> 博罗县能源（煤炭）重点管控区面积统</w:t>
                  </w:r>
                  <w:r>
                    <w:rPr>
                      <w:rFonts w:cs="宋体"/>
                      <w:snapToGrid w:val="0"/>
                      <w:color w:val="000000"/>
                      <w:kern w:val="0"/>
                      <w:sz w:val="21"/>
                      <w:szCs w:val="20"/>
                    </w:rPr>
                    <w:t xml:space="preserve"> </w:t>
                  </w:r>
                  <w:r>
                    <w:rPr>
                      <w:rFonts w:cs="宋体"/>
                      <w:b/>
                      <w:bCs/>
                      <w:snapToGrid w:val="0"/>
                      <w:color w:val="000000"/>
                      <w:spacing w:val="5"/>
                      <w:kern w:val="0"/>
                      <w:sz w:val="21"/>
                      <w:szCs w:val="20"/>
                    </w:rPr>
                    <w:t>计（平方公里）</w:t>
                  </w:r>
                </w:p>
                <w:tbl>
                  <w:tblPr>
                    <w:tblStyle w:val="110"/>
                    <w:tblW w:w="4164"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3093"/>
                    <w:gridCol w:w="1071"/>
                  </w:tblGrid>
                  <w:tr w14:paraId="3ABC4E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3093" w:type="dxa"/>
                        <w:vAlign w:val="center"/>
                      </w:tcPr>
                      <w:p w14:paraId="0BCE0861">
                        <w:pPr>
                          <w:kinsoku w:val="0"/>
                          <w:autoSpaceDE w:val="0"/>
                          <w:autoSpaceDN w:val="0"/>
                          <w:spacing w:line="240" w:lineRule="auto"/>
                          <w:ind w:firstLine="0" w:firstLineChars="0"/>
                          <w:jc w:val="center"/>
                          <w:textAlignment w:val="baseline"/>
                          <w:rPr>
                            <w:rFonts w:cs="宋体"/>
                            <w:snapToGrid w:val="0"/>
                            <w:color w:val="000000"/>
                            <w:kern w:val="0"/>
                            <w:sz w:val="21"/>
                            <w:szCs w:val="20"/>
                          </w:rPr>
                        </w:pPr>
                        <w:r>
                          <w:rPr>
                            <w:rFonts w:cs="宋体"/>
                            <w:snapToGrid w:val="0"/>
                            <w:color w:val="000000"/>
                            <w:spacing w:val="8"/>
                            <w:kern w:val="0"/>
                            <w:sz w:val="21"/>
                            <w:szCs w:val="20"/>
                          </w:rPr>
                          <w:t>高污染燃料禁燃区面积</w:t>
                        </w:r>
                      </w:p>
                    </w:tc>
                    <w:tc>
                      <w:tcPr>
                        <w:tcW w:w="1071" w:type="dxa"/>
                        <w:vAlign w:val="center"/>
                      </w:tcPr>
                      <w:p w14:paraId="52FEA2E6">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3"/>
                            <w:kern w:val="0"/>
                            <w:sz w:val="21"/>
                            <w:szCs w:val="20"/>
                            <w:lang w:eastAsia="en-US"/>
                          </w:rPr>
                          <w:t>394.927</w:t>
                        </w:r>
                      </w:p>
                    </w:tc>
                  </w:tr>
                  <w:tr w14:paraId="595485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3093" w:type="dxa"/>
                        <w:vAlign w:val="center"/>
                      </w:tcPr>
                      <w:p w14:paraId="611DAA53">
                        <w:pPr>
                          <w:kinsoku w:val="0"/>
                          <w:autoSpaceDE w:val="0"/>
                          <w:autoSpaceDN w:val="0"/>
                          <w:spacing w:line="240" w:lineRule="auto"/>
                          <w:ind w:firstLine="0" w:firstLineChars="0"/>
                          <w:jc w:val="center"/>
                          <w:textAlignment w:val="baseline"/>
                          <w:rPr>
                            <w:rFonts w:cs="宋体"/>
                            <w:snapToGrid w:val="0"/>
                            <w:color w:val="000000"/>
                            <w:kern w:val="0"/>
                            <w:sz w:val="21"/>
                            <w:szCs w:val="20"/>
                          </w:rPr>
                        </w:pPr>
                        <w:r>
                          <w:rPr>
                            <w:rFonts w:cs="宋体"/>
                            <w:snapToGrid w:val="0"/>
                            <w:color w:val="000000"/>
                            <w:spacing w:val="8"/>
                            <w:kern w:val="0"/>
                            <w:sz w:val="21"/>
                            <w:szCs w:val="20"/>
                          </w:rPr>
                          <w:t>高污染燃料禁燃区比例</w:t>
                        </w:r>
                      </w:p>
                    </w:tc>
                    <w:tc>
                      <w:tcPr>
                        <w:tcW w:w="1071" w:type="dxa"/>
                        <w:vAlign w:val="center"/>
                      </w:tcPr>
                      <w:p w14:paraId="546EA758">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kern w:val="0"/>
                            <w:position w:val="2"/>
                            <w:sz w:val="21"/>
                            <w:szCs w:val="20"/>
                            <w:lang w:eastAsia="en-US"/>
                          </w:rPr>
                          <w:t>13.83%</w:t>
                        </w:r>
                      </w:p>
                    </w:tc>
                  </w:tr>
                </w:tbl>
                <w:p w14:paraId="5335E860">
                  <w:pPr>
                    <w:widowControl/>
                    <w:kinsoku w:val="0"/>
                    <w:autoSpaceDE w:val="0"/>
                    <w:autoSpaceDN w:val="0"/>
                    <w:spacing w:line="240" w:lineRule="auto"/>
                    <w:ind w:firstLine="0" w:firstLineChars="0"/>
                    <w:jc w:val="center"/>
                    <w:textAlignment w:val="baseline"/>
                    <w:rPr>
                      <w:rFonts w:cs="宋体"/>
                      <w:snapToGrid w:val="0"/>
                      <w:color w:val="000000"/>
                      <w:kern w:val="0"/>
                      <w:sz w:val="21"/>
                      <w:szCs w:val="21"/>
                      <w:lang w:eastAsia="en-US"/>
                    </w:rPr>
                  </w:pPr>
                </w:p>
              </w:tc>
              <w:tc>
                <w:tcPr>
                  <w:tcW w:w="2798" w:type="dxa"/>
                  <w:gridSpan w:val="2"/>
                  <w:shd w:val="clear" w:color="auto" w:fill="auto"/>
                  <w:vAlign w:val="center"/>
                </w:tcPr>
                <w:p w14:paraId="4EAB375E">
                  <w:pPr>
                    <w:pStyle w:val="128"/>
                    <w:spacing w:line="240" w:lineRule="auto"/>
                    <w:ind w:firstLine="0" w:firstLineChars="0"/>
                    <w:jc w:val="both"/>
                    <w:rPr>
                      <w:rFonts w:ascii="Times New Roman" w:hAnsi="Times New Roman"/>
                      <w:sz w:val="21"/>
                      <w:lang w:eastAsia="zh-CN"/>
                    </w:rPr>
                  </w:pPr>
                  <w:r>
                    <w:rPr>
                      <w:rFonts w:ascii="Times New Roman" w:hAnsi="Times New Roman"/>
                      <w:spacing w:val="8"/>
                      <w:sz w:val="21"/>
                      <w:lang w:eastAsia="zh-CN"/>
                    </w:rPr>
                    <w:t>根据《博罗县“三线一单”生态环境分区管控图集》图18博罗县资源利用上线-高污染燃料禁燃区划定情况（详</w:t>
                  </w:r>
                  <w:r>
                    <w:rPr>
                      <w:rFonts w:ascii="Times New Roman" w:hAnsi="Times New Roman"/>
                      <w:spacing w:val="6"/>
                      <w:sz w:val="21"/>
                      <w:lang w:eastAsia="zh-CN"/>
                    </w:rPr>
                    <w:t>见</w:t>
                  </w:r>
                  <w:r>
                    <w:rPr>
                      <w:rFonts w:hint="eastAsia" w:ascii="Times New Roman" w:hAnsi="Times New Roman"/>
                      <w:spacing w:val="6"/>
                      <w:sz w:val="21"/>
                      <w:lang w:eastAsia="zh-CN"/>
                    </w:rPr>
                    <w:t>附图10</w:t>
                  </w:r>
                  <w:r>
                    <w:rPr>
                      <w:rFonts w:ascii="Times New Roman" w:hAnsi="Times New Roman"/>
                      <w:spacing w:val="6"/>
                      <w:sz w:val="21"/>
                      <w:lang w:eastAsia="zh-CN"/>
                    </w:rPr>
                    <w:t>-7</w:t>
                  </w:r>
                  <w:r>
                    <w:rPr>
                      <w:rFonts w:ascii="Times New Roman" w:hAnsi="Times New Roman"/>
                      <w:spacing w:val="14"/>
                      <w:sz w:val="21"/>
                      <w:lang w:eastAsia="zh-CN"/>
                    </w:rPr>
                    <w:t>），</w:t>
                  </w:r>
                  <w:r>
                    <w:rPr>
                      <w:rFonts w:ascii="Times New Roman" w:hAnsi="Times New Roman"/>
                      <w:spacing w:val="6"/>
                      <w:sz w:val="21"/>
                      <w:lang w:eastAsia="zh-CN"/>
                    </w:rPr>
                    <w:t>本项目</w:t>
                  </w:r>
                  <w:r>
                    <w:rPr>
                      <w:rFonts w:ascii="Times New Roman" w:hAnsi="Times New Roman"/>
                      <w:spacing w:val="9"/>
                      <w:sz w:val="21"/>
                      <w:lang w:eastAsia="zh-CN"/>
                    </w:rPr>
                    <w:t>不属于高污染燃料禁燃</w:t>
                  </w:r>
                  <w:r>
                    <w:rPr>
                      <w:rFonts w:ascii="Times New Roman" w:hAnsi="Times New Roman"/>
                      <w:spacing w:val="8"/>
                      <w:sz w:val="21"/>
                      <w:lang w:eastAsia="zh-CN"/>
                    </w:rPr>
                    <w:t>区，</w:t>
                  </w:r>
                  <w:r>
                    <w:rPr>
                      <w:rFonts w:hint="eastAsia" w:ascii="Times New Roman" w:hAnsi="Times New Roman"/>
                      <w:spacing w:val="8"/>
                      <w:sz w:val="21"/>
                      <w:lang w:eastAsia="zh-CN"/>
                    </w:rPr>
                    <w:t>且</w:t>
                  </w:r>
                  <w:r>
                    <w:rPr>
                      <w:rFonts w:ascii="Times New Roman" w:hAnsi="Times New Roman"/>
                      <w:spacing w:val="8"/>
                      <w:sz w:val="21"/>
                      <w:lang w:eastAsia="zh-CN"/>
                    </w:rPr>
                    <w:t>项目所有设备均使用</w:t>
                  </w:r>
                  <w:r>
                    <w:rPr>
                      <w:rFonts w:ascii="Times New Roman" w:hAnsi="Times New Roman"/>
                      <w:spacing w:val="6"/>
                      <w:sz w:val="21"/>
                      <w:lang w:eastAsia="zh-CN"/>
                    </w:rPr>
                    <w:t>电能，不使用高污染燃料。</w:t>
                  </w:r>
                </w:p>
              </w:tc>
            </w:tr>
            <w:tr w14:paraId="3932A2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1" w:hRule="atLeast"/>
              </w:trPr>
              <w:tc>
                <w:tcPr>
                  <w:tcW w:w="358" w:type="dxa"/>
                  <w:vMerge w:val="continue"/>
                  <w:tcBorders>
                    <w:left w:val="single" w:color="auto" w:sz="4" w:space="0"/>
                    <w:right w:val="single" w:color="auto" w:sz="4" w:space="0"/>
                  </w:tcBorders>
                  <w:textDirection w:val="tbRlV"/>
                  <w:vAlign w:val="center"/>
                </w:tcPr>
                <w:p w14:paraId="57CB61C9">
                  <w:pPr>
                    <w:widowControl/>
                    <w:kinsoku w:val="0"/>
                    <w:autoSpaceDE w:val="0"/>
                    <w:autoSpaceDN w:val="0"/>
                    <w:spacing w:line="240" w:lineRule="auto"/>
                    <w:ind w:firstLine="0" w:firstLineChars="0"/>
                    <w:jc w:val="center"/>
                    <w:textAlignment w:val="baseline"/>
                    <w:rPr>
                      <w:rFonts w:cs="宋体"/>
                      <w:snapToGrid w:val="0"/>
                      <w:color w:val="000000"/>
                      <w:kern w:val="0"/>
                      <w:sz w:val="21"/>
                      <w:szCs w:val="21"/>
                    </w:rPr>
                  </w:pPr>
                </w:p>
              </w:tc>
              <w:tc>
                <w:tcPr>
                  <w:tcW w:w="4455" w:type="dxa"/>
                  <w:tcBorders>
                    <w:left w:val="single" w:color="auto" w:sz="4" w:space="0"/>
                  </w:tcBorders>
                  <w:vAlign w:val="center"/>
                </w:tcPr>
                <w:p w14:paraId="59D6C16A">
                  <w:pPr>
                    <w:kinsoku w:val="0"/>
                    <w:autoSpaceDE w:val="0"/>
                    <w:autoSpaceDN w:val="0"/>
                    <w:spacing w:line="240" w:lineRule="auto"/>
                    <w:ind w:firstLine="0" w:firstLineChars="0"/>
                    <w:jc w:val="center"/>
                    <w:textAlignment w:val="baseline"/>
                    <w:rPr>
                      <w:rFonts w:cs="宋体"/>
                      <w:snapToGrid w:val="0"/>
                      <w:color w:val="000000"/>
                      <w:kern w:val="0"/>
                      <w:sz w:val="21"/>
                      <w:szCs w:val="21"/>
                    </w:rPr>
                  </w:pPr>
                  <w:r>
                    <w:rPr>
                      <w:rFonts w:cs="宋体"/>
                      <w:b/>
                      <w:bCs/>
                      <w:snapToGrid w:val="0"/>
                      <w:color w:val="000000"/>
                      <w:spacing w:val="6"/>
                      <w:kern w:val="0"/>
                      <w:sz w:val="21"/>
                      <w:szCs w:val="20"/>
                    </w:rPr>
                    <w:t>表</w:t>
                  </w:r>
                  <w:r>
                    <w:rPr>
                      <w:rFonts w:cs="宋体"/>
                      <w:snapToGrid w:val="0"/>
                      <w:color w:val="000000"/>
                      <w:spacing w:val="-20"/>
                      <w:kern w:val="0"/>
                      <w:sz w:val="21"/>
                      <w:szCs w:val="20"/>
                    </w:rPr>
                    <w:t xml:space="preserve"> </w:t>
                  </w:r>
                  <w:r>
                    <w:rPr>
                      <w:rFonts w:cs="宋体"/>
                      <w:b/>
                      <w:bCs/>
                      <w:snapToGrid w:val="0"/>
                      <w:color w:val="000000"/>
                      <w:spacing w:val="6"/>
                      <w:kern w:val="0"/>
                      <w:sz w:val="21"/>
                      <w:szCs w:val="20"/>
                    </w:rPr>
                    <w:t>1-</w:t>
                  </w:r>
                  <w:r>
                    <w:rPr>
                      <w:rFonts w:hint="eastAsia" w:cs="宋体"/>
                      <w:b/>
                      <w:bCs/>
                      <w:snapToGrid w:val="0"/>
                      <w:color w:val="000000"/>
                      <w:spacing w:val="6"/>
                      <w:kern w:val="0"/>
                      <w:sz w:val="21"/>
                      <w:szCs w:val="20"/>
                    </w:rPr>
                    <w:t>8</w:t>
                  </w:r>
                  <w:r>
                    <w:rPr>
                      <w:rFonts w:cs="宋体"/>
                      <w:b/>
                      <w:bCs/>
                      <w:snapToGrid w:val="0"/>
                      <w:color w:val="000000"/>
                      <w:spacing w:val="6"/>
                      <w:kern w:val="0"/>
                      <w:sz w:val="21"/>
                      <w:szCs w:val="20"/>
                    </w:rPr>
                    <w:t xml:space="preserve"> 博罗县矿产资源开采敏感区面积统计</w:t>
                  </w:r>
                  <w:r>
                    <w:rPr>
                      <w:rFonts w:cs="宋体"/>
                      <w:snapToGrid w:val="0"/>
                      <w:color w:val="000000"/>
                      <w:kern w:val="0"/>
                      <w:sz w:val="21"/>
                      <w:szCs w:val="20"/>
                    </w:rPr>
                    <w:t xml:space="preserve"> </w:t>
                  </w:r>
                  <w:r>
                    <w:rPr>
                      <w:rFonts w:cs="宋体"/>
                      <w:b/>
                      <w:bCs/>
                      <w:snapToGrid w:val="0"/>
                      <w:color w:val="000000"/>
                      <w:spacing w:val="3"/>
                      <w:kern w:val="0"/>
                      <w:sz w:val="21"/>
                      <w:szCs w:val="20"/>
                    </w:rPr>
                    <w:t>（平方公里）</w:t>
                  </w:r>
                </w:p>
                <w:tbl>
                  <w:tblPr>
                    <w:tblStyle w:val="110"/>
                    <w:tblW w:w="4164"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3093"/>
                    <w:gridCol w:w="1071"/>
                  </w:tblGrid>
                  <w:tr w14:paraId="61F352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3093" w:type="dxa"/>
                        <w:vAlign w:val="center"/>
                      </w:tcPr>
                      <w:p w14:paraId="75C1ECA6">
                        <w:pPr>
                          <w:kinsoku w:val="0"/>
                          <w:autoSpaceDE w:val="0"/>
                          <w:autoSpaceDN w:val="0"/>
                          <w:spacing w:line="240" w:lineRule="auto"/>
                          <w:ind w:firstLine="0" w:firstLineChars="0"/>
                          <w:jc w:val="center"/>
                          <w:textAlignment w:val="baseline"/>
                          <w:rPr>
                            <w:rFonts w:cs="宋体"/>
                            <w:snapToGrid w:val="0"/>
                            <w:color w:val="000000"/>
                            <w:kern w:val="0"/>
                            <w:sz w:val="21"/>
                            <w:szCs w:val="20"/>
                          </w:rPr>
                        </w:pPr>
                        <w:r>
                          <w:rPr>
                            <w:rFonts w:cs="宋体"/>
                            <w:snapToGrid w:val="0"/>
                            <w:color w:val="000000"/>
                            <w:spacing w:val="9"/>
                            <w:kern w:val="0"/>
                            <w:sz w:val="21"/>
                            <w:szCs w:val="20"/>
                          </w:rPr>
                          <w:t>矿产资源开采敏感区面积</w:t>
                        </w:r>
                      </w:p>
                    </w:tc>
                    <w:tc>
                      <w:tcPr>
                        <w:tcW w:w="1071" w:type="dxa"/>
                        <w:vAlign w:val="center"/>
                      </w:tcPr>
                      <w:p w14:paraId="3E54D3AD">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3"/>
                            <w:kern w:val="0"/>
                            <w:sz w:val="21"/>
                            <w:szCs w:val="20"/>
                            <w:lang w:eastAsia="en-US"/>
                          </w:rPr>
                          <w:t>633.776</w:t>
                        </w:r>
                      </w:p>
                    </w:tc>
                  </w:tr>
                  <w:tr w14:paraId="6266E3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3093" w:type="dxa"/>
                        <w:vAlign w:val="center"/>
                      </w:tcPr>
                      <w:p w14:paraId="79C1F71D">
                        <w:pPr>
                          <w:kinsoku w:val="0"/>
                          <w:autoSpaceDE w:val="0"/>
                          <w:autoSpaceDN w:val="0"/>
                          <w:spacing w:line="240" w:lineRule="auto"/>
                          <w:ind w:firstLine="0" w:firstLineChars="0"/>
                          <w:jc w:val="center"/>
                          <w:textAlignment w:val="baseline"/>
                          <w:rPr>
                            <w:rFonts w:cs="宋体"/>
                            <w:snapToGrid w:val="0"/>
                            <w:color w:val="000000"/>
                            <w:kern w:val="0"/>
                            <w:sz w:val="21"/>
                            <w:szCs w:val="20"/>
                          </w:rPr>
                        </w:pPr>
                        <w:r>
                          <w:rPr>
                            <w:rFonts w:cs="宋体"/>
                            <w:snapToGrid w:val="0"/>
                            <w:color w:val="000000"/>
                            <w:spacing w:val="9"/>
                            <w:kern w:val="0"/>
                            <w:sz w:val="21"/>
                            <w:szCs w:val="20"/>
                          </w:rPr>
                          <w:t>矿产资源开采敏感区比例</w:t>
                        </w:r>
                      </w:p>
                    </w:tc>
                    <w:tc>
                      <w:tcPr>
                        <w:tcW w:w="1071" w:type="dxa"/>
                        <w:vAlign w:val="center"/>
                      </w:tcPr>
                      <w:p w14:paraId="61E4DA05">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4"/>
                            <w:kern w:val="0"/>
                            <w:position w:val="2"/>
                            <w:sz w:val="21"/>
                            <w:szCs w:val="20"/>
                            <w:lang w:eastAsia="en-US"/>
                          </w:rPr>
                          <w:t>22.20%</w:t>
                        </w:r>
                      </w:p>
                    </w:tc>
                  </w:tr>
                </w:tbl>
                <w:p w14:paraId="4C94803C">
                  <w:pPr>
                    <w:widowControl/>
                    <w:kinsoku w:val="0"/>
                    <w:autoSpaceDE w:val="0"/>
                    <w:autoSpaceDN w:val="0"/>
                    <w:spacing w:line="240" w:lineRule="auto"/>
                    <w:ind w:firstLine="0" w:firstLineChars="0"/>
                    <w:jc w:val="center"/>
                    <w:textAlignment w:val="baseline"/>
                    <w:rPr>
                      <w:rFonts w:cs="宋体"/>
                      <w:snapToGrid w:val="0"/>
                      <w:color w:val="000000"/>
                      <w:kern w:val="0"/>
                      <w:sz w:val="21"/>
                      <w:szCs w:val="21"/>
                      <w:lang w:eastAsia="en-US"/>
                    </w:rPr>
                  </w:pPr>
                </w:p>
              </w:tc>
              <w:tc>
                <w:tcPr>
                  <w:tcW w:w="2798" w:type="dxa"/>
                  <w:gridSpan w:val="2"/>
                  <w:shd w:val="clear" w:color="auto" w:fill="auto"/>
                  <w:vAlign w:val="center"/>
                </w:tcPr>
                <w:p w14:paraId="178FEB93">
                  <w:pPr>
                    <w:pStyle w:val="128"/>
                    <w:spacing w:line="240" w:lineRule="auto"/>
                    <w:ind w:firstLine="0" w:firstLineChars="0"/>
                    <w:jc w:val="both"/>
                    <w:rPr>
                      <w:rFonts w:ascii="Times New Roman" w:hAnsi="Times New Roman"/>
                      <w:sz w:val="21"/>
                      <w:lang w:eastAsia="zh-CN"/>
                    </w:rPr>
                  </w:pPr>
                  <w:r>
                    <w:rPr>
                      <w:rFonts w:ascii="Times New Roman" w:hAnsi="Times New Roman"/>
                      <w:spacing w:val="8"/>
                      <w:sz w:val="21"/>
                      <w:lang w:eastAsia="zh-CN"/>
                    </w:rPr>
                    <w:t>根据《博罗县“三线一单”生态环境分区管控图集》图17博罗县资源利用上线-矿产资源开发敏感区划定情况</w:t>
                  </w:r>
                  <w:r>
                    <w:rPr>
                      <w:rFonts w:ascii="Times New Roman" w:hAnsi="Times New Roman"/>
                      <w:spacing w:val="6"/>
                      <w:sz w:val="21"/>
                      <w:lang w:eastAsia="zh-CN"/>
                    </w:rPr>
                    <w:t>（详见</w:t>
                  </w:r>
                  <w:r>
                    <w:rPr>
                      <w:rFonts w:hint="eastAsia" w:ascii="Times New Roman" w:hAnsi="Times New Roman"/>
                      <w:spacing w:val="6"/>
                      <w:sz w:val="21"/>
                      <w:lang w:eastAsia="zh-CN"/>
                    </w:rPr>
                    <w:t>附图10</w:t>
                  </w:r>
                  <w:r>
                    <w:rPr>
                      <w:rFonts w:ascii="Times New Roman" w:hAnsi="Times New Roman"/>
                      <w:spacing w:val="6"/>
                      <w:sz w:val="21"/>
                      <w:lang w:eastAsia="zh-CN"/>
                    </w:rPr>
                    <w:t>-8</w:t>
                  </w:r>
                  <w:r>
                    <w:rPr>
                      <w:rFonts w:ascii="Times New Roman" w:hAnsi="Times New Roman"/>
                      <w:spacing w:val="10"/>
                      <w:sz w:val="21"/>
                      <w:lang w:eastAsia="zh-CN"/>
                    </w:rPr>
                    <w:t>），</w:t>
                  </w:r>
                  <w:r>
                    <w:rPr>
                      <w:rFonts w:ascii="Times New Roman" w:hAnsi="Times New Roman"/>
                      <w:spacing w:val="6"/>
                      <w:sz w:val="21"/>
                      <w:lang w:eastAsia="zh-CN"/>
                    </w:rPr>
                    <w:t>本项目不</w:t>
                  </w:r>
                  <w:r>
                    <w:rPr>
                      <w:rFonts w:hint="eastAsia" w:ascii="Times New Roman" w:hAnsi="Times New Roman"/>
                      <w:spacing w:val="8"/>
                      <w:sz w:val="21"/>
                      <w:lang w:eastAsia="zh-CN"/>
                    </w:rPr>
                    <w:t>在</w:t>
                  </w:r>
                  <w:r>
                    <w:rPr>
                      <w:rFonts w:ascii="Times New Roman" w:hAnsi="Times New Roman"/>
                      <w:spacing w:val="8"/>
                      <w:sz w:val="21"/>
                      <w:lang w:eastAsia="zh-CN"/>
                    </w:rPr>
                    <w:t>矿产资源开采敏感区。</w:t>
                  </w:r>
                </w:p>
              </w:tc>
            </w:tr>
            <w:tr w14:paraId="2751CB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1" w:hRule="atLeast"/>
              </w:trPr>
              <w:tc>
                <w:tcPr>
                  <w:tcW w:w="358" w:type="dxa"/>
                  <w:vMerge w:val="continue"/>
                  <w:tcBorders>
                    <w:left w:val="single" w:color="auto" w:sz="4" w:space="0"/>
                    <w:right w:val="single" w:color="auto" w:sz="4" w:space="0"/>
                  </w:tcBorders>
                  <w:textDirection w:val="tbRlV"/>
                  <w:vAlign w:val="center"/>
                </w:tcPr>
                <w:p w14:paraId="5CB64C08">
                  <w:pPr>
                    <w:widowControl/>
                    <w:kinsoku w:val="0"/>
                    <w:autoSpaceDE w:val="0"/>
                    <w:autoSpaceDN w:val="0"/>
                    <w:spacing w:line="240" w:lineRule="auto"/>
                    <w:ind w:firstLine="0" w:firstLineChars="0"/>
                    <w:jc w:val="center"/>
                    <w:textAlignment w:val="baseline"/>
                    <w:rPr>
                      <w:rFonts w:cs="宋体"/>
                      <w:snapToGrid w:val="0"/>
                      <w:color w:val="000000"/>
                      <w:kern w:val="0"/>
                      <w:sz w:val="21"/>
                      <w:szCs w:val="21"/>
                    </w:rPr>
                  </w:pPr>
                </w:p>
              </w:tc>
              <w:tc>
                <w:tcPr>
                  <w:tcW w:w="4455" w:type="dxa"/>
                  <w:tcBorders>
                    <w:left w:val="single" w:color="auto" w:sz="4" w:space="0"/>
                  </w:tcBorders>
                  <w:vAlign w:val="center"/>
                </w:tcPr>
                <w:p w14:paraId="1FA0F2A7">
                  <w:pPr>
                    <w:widowControl/>
                    <w:kinsoku w:val="0"/>
                    <w:autoSpaceDE w:val="0"/>
                    <w:autoSpaceDN w:val="0"/>
                    <w:spacing w:line="240" w:lineRule="auto"/>
                    <w:ind w:firstLine="0" w:firstLineChars="0"/>
                    <w:jc w:val="both"/>
                    <w:textAlignment w:val="baseline"/>
                    <w:rPr>
                      <w:rFonts w:cs="宋体"/>
                      <w:snapToGrid w:val="0"/>
                      <w:color w:val="000000"/>
                      <w:kern w:val="0"/>
                      <w:sz w:val="21"/>
                      <w:szCs w:val="21"/>
                    </w:rPr>
                  </w:pPr>
                  <w:r>
                    <w:rPr>
                      <w:rFonts w:hint="eastAsia" w:cs="宋体"/>
                      <w:snapToGrid w:val="0"/>
                      <w:color w:val="000000"/>
                      <w:kern w:val="0"/>
                      <w:sz w:val="21"/>
                      <w:szCs w:val="21"/>
                    </w:rPr>
                    <w:t>资源利用管控要求：强化水资源节约集约利用。推动农业节水增效；推进工业节水减排；开展城镇节水降损；保障江河湖库生态流量。推进土地资源节约集约利用。科学划定生态保护红线、永久基本农田、城镇开发边界三条控制线，统筹布局生态、农业、城镇空间；按照“工业优先、以用为先”的原则，调整存量和扩大增量建设用地，优先保障“3+7”重点工业园区等重大平台、重大项目的用地需求。</w:t>
                  </w:r>
                </w:p>
              </w:tc>
              <w:tc>
                <w:tcPr>
                  <w:tcW w:w="2798" w:type="dxa"/>
                  <w:gridSpan w:val="2"/>
                  <w:shd w:val="clear" w:color="auto" w:fill="auto"/>
                  <w:vAlign w:val="center"/>
                </w:tcPr>
                <w:p w14:paraId="7629D856">
                  <w:pPr>
                    <w:pStyle w:val="128"/>
                    <w:spacing w:line="240" w:lineRule="auto"/>
                    <w:ind w:firstLine="0" w:firstLineChars="0"/>
                    <w:jc w:val="both"/>
                    <w:rPr>
                      <w:rFonts w:ascii="Times New Roman" w:hAnsi="Times New Roman"/>
                      <w:sz w:val="21"/>
                      <w:lang w:eastAsia="zh-CN"/>
                    </w:rPr>
                  </w:pPr>
                  <w:r>
                    <w:rPr>
                      <w:rFonts w:hint="eastAsia" w:ascii="Times New Roman" w:hAnsi="Times New Roman"/>
                      <w:spacing w:val="9"/>
                      <w:sz w:val="21"/>
                      <w:lang w:eastAsia="zh-CN"/>
                    </w:rPr>
                    <w:t>项目间接/直接冷却水循环使用不外排，定期补充，直接冷却水定期收集处理，经“混凝沉淀+压滤+保安过滤”处理后回用于冷却工序，不外排；喷淋用水循环使用，定期更换，更换的喷淋废水定期交由有危废处理资质的单位处理，不外排，故项目无生产废水排放</w:t>
                  </w:r>
                  <w:r>
                    <w:rPr>
                      <w:rFonts w:ascii="Times New Roman" w:hAnsi="Times New Roman"/>
                      <w:spacing w:val="9"/>
                      <w:sz w:val="21"/>
                      <w:lang w:eastAsia="zh-CN"/>
                    </w:rPr>
                    <w:t>，生活污水经三级化粪池处理后排入园洲镇第五污水处理</w:t>
                  </w:r>
                  <w:r>
                    <w:rPr>
                      <w:rFonts w:ascii="Times New Roman" w:hAnsi="Times New Roman"/>
                      <w:spacing w:val="8"/>
                      <w:sz w:val="21"/>
                      <w:lang w:eastAsia="zh-CN"/>
                    </w:rPr>
                    <w:t>厂。</w:t>
                  </w:r>
                  <w:r>
                    <w:rPr>
                      <w:rFonts w:ascii="Times New Roman" w:hAnsi="Times New Roman"/>
                      <w:spacing w:val="1"/>
                      <w:sz w:val="21"/>
                      <w:lang w:eastAsia="zh-CN"/>
                    </w:rPr>
                    <w:t>项目租赁厂房，</w:t>
                  </w:r>
                  <w:r>
                    <w:rPr>
                      <w:rFonts w:ascii="Times New Roman" w:hAnsi="Times New Roman"/>
                      <w:spacing w:val="9"/>
                      <w:sz w:val="21"/>
                      <w:lang w:eastAsia="zh-CN"/>
                    </w:rPr>
                    <w:t>不新增用地，满足建设用地</w:t>
                  </w:r>
                  <w:r>
                    <w:rPr>
                      <w:rFonts w:ascii="Times New Roman" w:hAnsi="Times New Roman"/>
                      <w:spacing w:val="2"/>
                      <w:sz w:val="21"/>
                      <w:lang w:eastAsia="zh-CN"/>
                    </w:rPr>
                    <w:t>要求。</w:t>
                  </w:r>
                </w:p>
              </w:tc>
            </w:tr>
            <w:tr w14:paraId="09A186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8" w:hRule="atLeast"/>
              </w:trPr>
              <w:tc>
                <w:tcPr>
                  <w:tcW w:w="7611" w:type="dxa"/>
                  <w:gridSpan w:val="4"/>
                  <w:tcBorders>
                    <w:left w:val="single" w:color="auto" w:sz="4" w:space="0"/>
                  </w:tcBorders>
                  <w:vAlign w:val="center"/>
                </w:tcPr>
                <w:p w14:paraId="1633D5E1">
                  <w:pPr>
                    <w:pStyle w:val="128"/>
                    <w:spacing w:line="240" w:lineRule="auto"/>
                    <w:ind w:firstLine="0" w:firstLineChars="0"/>
                    <w:jc w:val="center"/>
                    <w:rPr>
                      <w:rFonts w:ascii="Times New Roman" w:hAnsi="Times New Roman"/>
                      <w:spacing w:val="9"/>
                      <w:sz w:val="21"/>
                      <w:lang w:eastAsia="zh-CN"/>
                    </w:rPr>
                  </w:pPr>
                  <w:r>
                    <w:rPr>
                      <w:rFonts w:hint="eastAsia" w:ascii="Times New Roman" w:hAnsi="Times New Roman"/>
                      <w:b/>
                      <w:bCs/>
                      <w:spacing w:val="9"/>
                      <w:sz w:val="21"/>
                      <w:lang w:eastAsia="zh-CN"/>
                    </w:rPr>
                    <w:t>项目与ZH44132220001博罗沙河流域重点管控单元准入清单相符性分析</w:t>
                  </w:r>
                </w:p>
              </w:tc>
            </w:tr>
            <w:tr w14:paraId="205760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5" w:hRule="atLeast"/>
              </w:trPr>
              <w:tc>
                <w:tcPr>
                  <w:tcW w:w="4813" w:type="dxa"/>
                  <w:gridSpan w:val="2"/>
                  <w:tcBorders>
                    <w:left w:val="single" w:color="auto" w:sz="4" w:space="0"/>
                  </w:tcBorders>
                  <w:vAlign w:val="center"/>
                </w:tcPr>
                <w:p w14:paraId="20F09B0B">
                  <w:pPr>
                    <w:pStyle w:val="8"/>
                    <w:rPr>
                      <w:b/>
                      <w:bCs/>
                      <w:lang w:eastAsia="en-US"/>
                    </w:rPr>
                  </w:pPr>
                  <w:r>
                    <w:rPr>
                      <w:rFonts w:hint="eastAsia"/>
                      <w:b/>
                      <w:bCs/>
                    </w:rPr>
                    <w:t>管控要求</w:t>
                  </w:r>
                </w:p>
              </w:tc>
              <w:tc>
                <w:tcPr>
                  <w:tcW w:w="2370" w:type="dxa"/>
                  <w:tcBorders>
                    <w:right w:val="single" w:color="auto" w:sz="4" w:space="0"/>
                  </w:tcBorders>
                  <w:shd w:val="clear" w:color="auto" w:fill="auto"/>
                  <w:vAlign w:val="center"/>
                </w:tcPr>
                <w:p w14:paraId="726E00DE">
                  <w:pPr>
                    <w:pStyle w:val="8"/>
                    <w:rPr>
                      <w:b/>
                      <w:bCs/>
                    </w:rPr>
                  </w:pPr>
                  <w:r>
                    <w:rPr>
                      <w:rFonts w:hint="eastAsia"/>
                      <w:b/>
                      <w:bCs/>
                    </w:rPr>
                    <w:t>本项目</w:t>
                  </w:r>
                </w:p>
              </w:tc>
              <w:tc>
                <w:tcPr>
                  <w:tcW w:w="428" w:type="dxa"/>
                  <w:tcBorders>
                    <w:left w:val="single" w:color="auto" w:sz="4" w:space="0"/>
                  </w:tcBorders>
                  <w:shd w:val="clear" w:color="auto" w:fill="auto"/>
                  <w:vAlign w:val="center"/>
                </w:tcPr>
                <w:p w14:paraId="372CC6FB">
                  <w:pPr>
                    <w:pStyle w:val="8"/>
                    <w:rPr>
                      <w:b/>
                      <w:bCs/>
                    </w:rPr>
                  </w:pPr>
                  <w:r>
                    <w:rPr>
                      <w:rFonts w:hint="eastAsia"/>
                      <w:b/>
                      <w:bCs/>
                    </w:rPr>
                    <w:t>相符性</w:t>
                  </w:r>
                </w:p>
              </w:tc>
            </w:tr>
            <w:tr w14:paraId="0688AC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1" w:hRule="atLeast"/>
              </w:trPr>
              <w:tc>
                <w:tcPr>
                  <w:tcW w:w="358" w:type="dxa"/>
                  <w:tcBorders>
                    <w:left w:val="single" w:color="auto" w:sz="4" w:space="0"/>
                    <w:right w:val="single" w:color="auto" w:sz="4" w:space="0"/>
                  </w:tcBorders>
                  <w:shd w:val="clear" w:color="auto" w:fill="auto"/>
                  <w:vAlign w:val="center"/>
                </w:tcPr>
                <w:p w14:paraId="71B70BB3">
                  <w:pPr>
                    <w:adjustRightInd w:val="0"/>
                    <w:snapToGrid w:val="0"/>
                    <w:spacing w:line="240" w:lineRule="auto"/>
                    <w:ind w:firstLine="0" w:firstLineChars="0"/>
                    <w:jc w:val="center"/>
                    <w:rPr>
                      <w:sz w:val="21"/>
                      <w:szCs w:val="21"/>
                      <w:lang w:eastAsia="en-US"/>
                    </w:rPr>
                  </w:pPr>
                  <w:r>
                    <w:rPr>
                      <w:rFonts w:hint="eastAsia"/>
                      <w:sz w:val="21"/>
                      <w:szCs w:val="21"/>
                    </w:rPr>
                    <w:t>区域布局管控</w:t>
                  </w:r>
                </w:p>
              </w:tc>
              <w:tc>
                <w:tcPr>
                  <w:tcW w:w="4455" w:type="dxa"/>
                  <w:tcBorders>
                    <w:left w:val="single" w:color="auto" w:sz="4" w:space="0"/>
                  </w:tcBorders>
                  <w:vAlign w:val="center"/>
                </w:tcPr>
                <w:p w14:paraId="4A43535C">
                  <w:pPr>
                    <w:widowControl/>
                    <w:kinsoku w:val="0"/>
                    <w:autoSpaceDE w:val="0"/>
                    <w:autoSpaceDN w:val="0"/>
                    <w:spacing w:line="240" w:lineRule="auto"/>
                    <w:ind w:firstLine="0" w:firstLineChars="0"/>
                    <w:jc w:val="both"/>
                    <w:textAlignment w:val="baseline"/>
                    <w:rPr>
                      <w:rFonts w:cs="宋体"/>
                      <w:snapToGrid w:val="0"/>
                      <w:color w:val="000000"/>
                      <w:kern w:val="0"/>
                      <w:sz w:val="21"/>
                      <w:szCs w:val="21"/>
                    </w:rPr>
                  </w:pPr>
                  <w:r>
                    <w:rPr>
                      <w:rFonts w:hint="eastAsia" w:cs="宋体"/>
                      <w:snapToGrid w:val="0"/>
                      <w:color w:val="000000"/>
                      <w:kern w:val="0"/>
                      <w:sz w:val="21"/>
                      <w:szCs w:val="21"/>
                    </w:rPr>
                    <w:t>1-1.【产业/鼓励引导类】饮用水水源保护区外的区域，重点发展电子信息、智能家电、先进材料等产业。</w:t>
                  </w:r>
                </w:p>
                <w:p w14:paraId="315DBC20">
                  <w:pPr>
                    <w:widowControl/>
                    <w:kinsoku w:val="0"/>
                    <w:autoSpaceDE w:val="0"/>
                    <w:autoSpaceDN w:val="0"/>
                    <w:spacing w:line="240" w:lineRule="auto"/>
                    <w:ind w:firstLine="0" w:firstLineChars="0"/>
                    <w:jc w:val="both"/>
                    <w:textAlignment w:val="baseline"/>
                    <w:rPr>
                      <w:rFonts w:cs="宋体"/>
                      <w:snapToGrid w:val="0"/>
                      <w:color w:val="000000"/>
                      <w:kern w:val="0"/>
                      <w:sz w:val="21"/>
                      <w:szCs w:val="21"/>
                    </w:rPr>
                  </w:pPr>
                  <w:r>
                    <w:rPr>
                      <w:rFonts w:hint="eastAsia" w:cs="宋体"/>
                      <w:snapToGrid w:val="0"/>
                      <w:color w:val="000000"/>
                      <w:kern w:val="0"/>
                      <w:sz w:val="21"/>
                      <w:szCs w:val="21"/>
                    </w:rPr>
                    <w:t>1-2.【产业/禁止类】除国家产业政策规定的禁止项目外，还禁止新建农药、铬盐、钛白粉生产项目，禁止新建稀土分离、炼砒、炼铍、纸浆制造、氰化法提炼产品、开采和冶炼放射性矿产及其他严重污染水环境的项目；严格控制新建造纸、制革、味精、电镀、漂染、印染、炼油、发酵酿造、非放射性矿产冶炼以及使用含汞、砷、镉、铬、铅为原料的项目。禁止在东江水系岸边和水上拆船。</w:t>
                  </w:r>
                </w:p>
                <w:p w14:paraId="489A56FE">
                  <w:pPr>
                    <w:widowControl/>
                    <w:kinsoku w:val="0"/>
                    <w:autoSpaceDE w:val="0"/>
                    <w:autoSpaceDN w:val="0"/>
                    <w:spacing w:line="240" w:lineRule="auto"/>
                    <w:ind w:firstLine="0" w:firstLineChars="0"/>
                    <w:jc w:val="both"/>
                    <w:textAlignment w:val="baseline"/>
                    <w:rPr>
                      <w:rFonts w:cs="宋体"/>
                      <w:snapToGrid w:val="0"/>
                      <w:color w:val="000000"/>
                      <w:kern w:val="0"/>
                      <w:sz w:val="21"/>
                      <w:szCs w:val="21"/>
                    </w:rPr>
                  </w:pPr>
                  <w:r>
                    <w:rPr>
                      <w:rFonts w:hint="eastAsia" w:cs="宋体"/>
                      <w:snapToGrid w:val="0"/>
                      <w:color w:val="000000"/>
                      <w:kern w:val="0"/>
                      <w:sz w:val="21"/>
                      <w:szCs w:val="21"/>
                    </w:rPr>
                    <w:t>1-3.【产业/限制类】严格限制化工、包装印刷、工业涂装等高VOCs排放建设项目。</w:t>
                  </w:r>
                </w:p>
                <w:p w14:paraId="411BB992">
                  <w:pPr>
                    <w:widowControl/>
                    <w:kinsoku w:val="0"/>
                    <w:autoSpaceDE w:val="0"/>
                    <w:autoSpaceDN w:val="0"/>
                    <w:spacing w:line="240" w:lineRule="auto"/>
                    <w:ind w:firstLine="0" w:firstLineChars="0"/>
                    <w:jc w:val="both"/>
                    <w:textAlignment w:val="baseline"/>
                    <w:rPr>
                      <w:rFonts w:cs="宋体"/>
                      <w:snapToGrid w:val="0"/>
                      <w:color w:val="000000"/>
                      <w:kern w:val="0"/>
                      <w:sz w:val="21"/>
                      <w:szCs w:val="21"/>
                    </w:rPr>
                  </w:pPr>
                  <w:r>
                    <w:rPr>
                      <w:rFonts w:hint="eastAsia" w:cs="宋体"/>
                      <w:snapToGrid w:val="0"/>
                      <w:color w:val="000000"/>
                      <w:kern w:val="0"/>
                      <w:sz w:val="21"/>
                      <w:szCs w:val="21"/>
                    </w:rPr>
                    <w:t>1-4.【生态/限制类】一般生态空间内可开展生态保护红线内允许的活动，在不影响主导生态功能的前提下，还可开展国家和省规定不纳入环评管理的项目建设，以及生态旅游、基础设施建设、村庄建设等人为活动。</w:t>
                  </w:r>
                </w:p>
                <w:p w14:paraId="5D1D81AC">
                  <w:pPr>
                    <w:widowControl/>
                    <w:kinsoku w:val="0"/>
                    <w:autoSpaceDE w:val="0"/>
                    <w:autoSpaceDN w:val="0"/>
                    <w:spacing w:line="240" w:lineRule="auto"/>
                    <w:ind w:firstLine="0" w:firstLineChars="0"/>
                    <w:jc w:val="both"/>
                    <w:textAlignment w:val="baseline"/>
                    <w:rPr>
                      <w:rFonts w:cs="宋体"/>
                      <w:snapToGrid w:val="0"/>
                      <w:color w:val="000000"/>
                      <w:kern w:val="0"/>
                      <w:sz w:val="21"/>
                      <w:szCs w:val="21"/>
                    </w:rPr>
                  </w:pPr>
                  <w:r>
                    <w:rPr>
                      <w:rFonts w:hint="eastAsia" w:cs="宋体"/>
                      <w:snapToGrid w:val="0"/>
                      <w:color w:val="000000"/>
                      <w:kern w:val="0"/>
                      <w:sz w:val="21"/>
                      <w:szCs w:val="21"/>
                    </w:rPr>
                    <w:t>1-5.【水/禁止类】饮用水水源保护区涉及园洲镇东江饮用水水源保护区，饮用水水源保护区按照《广东省水污染防治条例》“第五章饮用水水源保护和流域特别规定”进行管理。一级保护区内禁止新建、改建、扩建与供水设施和保护水源无关的建设项目；已建成的与供水设施和保护水源无关的建设项目须拆除或者关闭。二级保护区内禁止新建、改建、扩建排放污染物的建设项目；已建成的排放污染物的建设项目须责令拆除或者关闭；不排放污染物的建设项目，除与供水设施和保护水源有关的外，应当尽量避让饮用水水源二级保护区；经组织论证确实无法避让的，应当依法严格审批。</w:t>
                  </w:r>
                </w:p>
                <w:p w14:paraId="52864FE5">
                  <w:pPr>
                    <w:widowControl/>
                    <w:kinsoku w:val="0"/>
                    <w:autoSpaceDE w:val="0"/>
                    <w:autoSpaceDN w:val="0"/>
                    <w:spacing w:line="240" w:lineRule="auto"/>
                    <w:ind w:firstLine="0" w:firstLineChars="0"/>
                    <w:jc w:val="both"/>
                    <w:textAlignment w:val="baseline"/>
                    <w:rPr>
                      <w:rFonts w:cs="宋体"/>
                      <w:snapToGrid w:val="0"/>
                      <w:color w:val="000000"/>
                      <w:kern w:val="0"/>
                      <w:sz w:val="21"/>
                      <w:szCs w:val="21"/>
                    </w:rPr>
                  </w:pPr>
                  <w:r>
                    <w:rPr>
                      <w:rFonts w:hint="eastAsia" w:cs="宋体"/>
                      <w:snapToGrid w:val="0"/>
                      <w:color w:val="000000"/>
                      <w:kern w:val="0"/>
                      <w:sz w:val="21"/>
                      <w:szCs w:val="21"/>
                    </w:rPr>
                    <w:t>1-6.【水/禁止类】禁止在东江干流和沙河干流两岸最高水位线外延五百米范围内新建废弃物堆放场和处理场。已有的堆放场和处理场需采取有效的防治污染措施，危及水体水质安全的，由县级以上人民政府责令限期搬迁。</w:t>
                  </w:r>
                </w:p>
                <w:p w14:paraId="2867D688">
                  <w:pPr>
                    <w:widowControl/>
                    <w:kinsoku w:val="0"/>
                    <w:autoSpaceDE w:val="0"/>
                    <w:autoSpaceDN w:val="0"/>
                    <w:spacing w:line="240" w:lineRule="auto"/>
                    <w:ind w:firstLine="0" w:firstLineChars="0"/>
                    <w:jc w:val="both"/>
                    <w:textAlignment w:val="baseline"/>
                    <w:rPr>
                      <w:rFonts w:cs="宋体"/>
                      <w:snapToGrid w:val="0"/>
                      <w:color w:val="000000"/>
                      <w:kern w:val="0"/>
                      <w:sz w:val="21"/>
                      <w:szCs w:val="21"/>
                    </w:rPr>
                  </w:pPr>
                  <w:r>
                    <w:rPr>
                      <w:rFonts w:hint="eastAsia" w:cs="宋体"/>
                      <w:snapToGrid w:val="0"/>
                      <w:color w:val="000000"/>
                      <w:kern w:val="0"/>
                      <w:sz w:val="21"/>
                      <w:szCs w:val="21"/>
                    </w:rPr>
                    <w:t>1-7.【水/禁止类】畜禽禁养区内不得从事畜禽养殖业。</w:t>
                  </w:r>
                </w:p>
                <w:p w14:paraId="5650FB62">
                  <w:pPr>
                    <w:widowControl/>
                    <w:kinsoku w:val="0"/>
                    <w:autoSpaceDE w:val="0"/>
                    <w:autoSpaceDN w:val="0"/>
                    <w:spacing w:line="240" w:lineRule="auto"/>
                    <w:ind w:firstLine="0" w:firstLineChars="0"/>
                    <w:jc w:val="both"/>
                    <w:textAlignment w:val="baseline"/>
                    <w:rPr>
                      <w:rFonts w:cs="宋体"/>
                      <w:snapToGrid w:val="0"/>
                      <w:color w:val="000000"/>
                      <w:kern w:val="0"/>
                      <w:sz w:val="21"/>
                      <w:szCs w:val="21"/>
                    </w:rPr>
                  </w:pPr>
                  <w:r>
                    <w:rPr>
                      <w:rFonts w:hint="eastAsia" w:cs="宋体"/>
                      <w:snapToGrid w:val="0"/>
                      <w:color w:val="000000"/>
                      <w:kern w:val="0"/>
                      <w:sz w:val="21"/>
                      <w:szCs w:val="21"/>
                    </w:rPr>
                    <w:t>1-8.【水/综合类】积极引导“散养户”自觉维护生态环境，规范养殖或主动退出畜禽养殖。“散户养殖”按照“小组统一监管、从严控制数量、配套相应设施、防渗收集粪便、科学处理还田”的原则，加强全程监管。加快推进流域内粪污塘的处理处置，降低养殖业对水环境的影响。</w:t>
                  </w:r>
                </w:p>
                <w:p w14:paraId="0700F221">
                  <w:pPr>
                    <w:widowControl/>
                    <w:kinsoku w:val="0"/>
                    <w:autoSpaceDE w:val="0"/>
                    <w:autoSpaceDN w:val="0"/>
                    <w:spacing w:line="240" w:lineRule="auto"/>
                    <w:ind w:firstLine="0" w:firstLineChars="0"/>
                    <w:jc w:val="both"/>
                    <w:textAlignment w:val="baseline"/>
                    <w:rPr>
                      <w:rFonts w:cs="宋体"/>
                      <w:snapToGrid w:val="0"/>
                      <w:color w:val="000000"/>
                      <w:kern w:val="0"/>
                      <w:sz w:val="21"/>
                      <w:szCs w:val="21"/>
                    </w:rPr>
                  </w:pPr>
                  <w:r>
                    <w:rPr>
                      <w:rFonts w:hint="eastAsia" w:cs="宋体"/>
                      <w:snapToGrid w:val="0"/>
                      <w:color w:val="000000"/>
                      <w:kern w:val="0"/>
                      <w:sz w:val="21"/>
                      <w:szCs w:val="21"/>
                    </w:rPr>
                    <w:t>1-9.【大气/限制类】大气环境受体敏感重点管控区内严格限制新建储油库项目、产生和排放有毒有害大气污染物的建设项目以及使用溶剂型油墨、涂料、清洗剂、胶黏剂等高挥发性有机物原辅材料项目，鼓励现有该类项目搬迁退出。</w:t>
                  </w:r>
                </w:p>
                <w:p w14:paraId="453BC8A4">
                  <w:pPr>
                    <w:widowControl/>
                    <w:kinsoku w:val="0"/>
                    <w:autoSpaceDE w:val="0"/>
                    <w:autoSpaceDN w:val="0"/>
                    <w:spacing w:line="240" w:lineRule="auto"/>
                    <w:ind w:firstLine="0" w:firstLineChars="0"/>
                    <w:jc w:val="both"/>
                    <w:textAlignment w:val="baseline"/>
                    <w:rPr>
                      <w:rFonts w:cs="宋体"/>
                      <w:snapToGrid w:val="0"/>
                      <w:color w:val="000000"/>
                      <w:kern w:val="0"/>
                      <w:sz w:val="21"/>
                      <w:szCs w:val="21"/>
                    </w:rPr>
                  </w:pPr>
                  <w:r>
                    <w:rPr>
                      <w:rFonts w:hint="eastAsia" w:cs="宋体"/>
                      <w:snapToGrid w:val="0"/>
                      <w:color w:val="000000"/>
                      <w:kern w:val="0"/>
                      <w:sz w:val="21"/>
                      <w:szCs w:val="21"/>
                    </w:rPr>
                    <w:t>1-10.【大气/鼓励引导类】大气环境高排放重点管控区内，强化达标监管，引导工业项目落地集聚发展，有序推进区域内行业企业提标改造。</w:t>
                  </w:r>
                </w:p>
                <w:p w14:paraId="77A275F6">
                  <w:pPr>
                    <w:widowControl/>
                    <w:kinsoku w:val="0"/>
                    <w:autoSpaceDE w:val="0"/>
                    <w:autoSpaceDN w:val="0"/>
                    <w:spacing w:line="240" w:lineRule="auto"/>
                    <w:ind w:firstLine="0" w:firstLineChars="0"/>
                    <w:jc w:val="both"/>
                    <w:textAlignment w:val="baseline"/>
                    <w:rPr>
                      <w:rFonts w:cs="宋体"/>
                      <w:snapToGrid w:val="0"/>
                      <w:color w:val="000000"/>
                      <w:kern w:val="0"/>
                      <w:sz w:val="21"/>
                      <w:szCs w:val="21"/>
                    </w:rPr>
                  </w:pPr>
                  <w:r>
                    <w:rPr>
                      <w:rFonts w:hint="eastAsia" w:cs="宋体"/>
                      <w:snapToGrid w:val="0"/>
                      <w:color w:val="000000"/>
                      <w:kern w:val="0"/>
                      <w:sz w:val="21"/>
                      <w:szCs w:val="21"/>
                    </w:rPr>
                    <w:t>1-11.【土壤/禁止类】禁止在重金属重点防控区域内新建、改建、扩建增加重金属污染物排放总量的建设项目。</w:t>
                  </w:r>
                </w:p>
                <w:p w14:paraId="099E94B9">
                  <w:pPr>
                    <w:widowControl/>
                    <w:kinsoku w:val="0"/>
                    <w:autoSpaceDE w:val="0"/>
                    <w:autoSpaceDN w:val="0"/>
                    <w:spacing w:line="240" w:lineRule="auto"/>
                    <w:ind w:firstLine="0" w:firstLineChars="0"/>
                    <w:jc w:val="both"/>
                    <w:textAlignment w:val="baseline"/>
                    <w:rPr>
                      <w:rFonts w:cs="宋体"/>
                      <w:snapToGrid w:val="0"/>
                      <w:color w:val="000000"/>
                      <w:kern w:val="0"/>
                      <w:sz w:val="21"/>
                      <w:szCs w:val="21"/>
                    </w:rPr>
                  </w:pPr>
                  <w:r>
                    <w:rPr>
                      <w:rFonts w:hint="eastAsia" w:cs="宋体"/>
                      <w:snapToGrid w:val="0"/>
                      <w:color w:val="000000"/>
                      <w:kern w:val="0"/>
                      <w:sz w:val="21"/>
                      <w:szCs w:val="21"/>
                    </w:rPr>
                    <w:t>1-12.【土壤/限制类】重金属污染防控非重点区新建、改扩建重金属排放项目，应落实重金属总量替代与削减要求，严格控制重点行业发展规模。强化涉重金属污染行业建设项目环评审批管理，严格执行环保“三同时”制度。</w:t>
                  </w:r>
                </w:p>
              </w:tc>
              <w:tc>
                <w:tcPr>
                  <w:tcW w:w="2370" w:type="dxa"/>
                  <w:tcBorders>
                    <w:right w:val="single" w:color="auto" w:sz="4" w:space="0"/>
                  </w:tcBorders>
                  <w:shd w:val="clear" w:color="auto" w:fill="auto"/>
                  <w:vAlign w:val="center"/>
                </w:tcPr>
                <w:p w14:paraId="794EECEF">
                  <w:pPr>
                    <w:pStyle w:val="128"/>
                    <w:spacing w:line="240" w:lineRule="auto"/>
                    <w:ind w:firstLine="0" w:firstLineChars="0"/>
                    <w:jc w:val="both"/>
                    <w:rPr>
                      <w:rFonts w:ascii="Times New Roman" w:hAnsi="Times New Roman"/>
                      <w:spacing w:val="9"/>
                      <w:sz w:val="21"/>
                      <w:lang w:eastAsia="zh-CN"/>
                    </w:rPr>
                  </w:pPr>
                  <w:r>
                    <w:rPr>
                      <w:rFonts w:hint="eastAsia" w:ascii="Times New Roman" w:hAnsi="Times New Roman"/>
                      <w:spacing w:val="9"/>
                      <w:sz w:val="21"/>
                      <w:lang w:eastAsia="zh-CN"/>
                    </w:rPr>
                    <w:t>1-1、1-2、1-3本项目为C2929塑料零件及其他塑料制品制造，不属于产业鼓励引导类、产业禁止类项目，也不属于</w:t>
                  </w:r>
                  <w:r>
                    <w:rPr>
                      <w:rFonts w:hint="eastAsia" w:ascii="Times New Roman" w:hAnsi="Times New Roman"/>
                      <w:snapToGrid w:val="0"/>
                      <w:color w:val="000000"/>
                      <w:kern w:val="0"/>
                      <w:sz w:val="21"/>
                      <w:szCs w:val="21"/>
                      <w:lang w:eastAsia="zh-CN"/>
                    </w:rPr>
                    <w:t>高VOCs排放</w:t>
                  </w:r>
                  <w:r>
                    <w:rPr>
                      <w:rFonts w:hint="eastAsia" w:ascii="Times New Roman" w:hAnsi="Times New Roman"/>
                      <w:spacing w:val="9"/>
                      <w:sz w:val="21"/>
                      <w:lang w:eastAsia="zh-CN"/>
                    </w:rPr>
                    <w:t>限制类项目。</w:t>
                  </w:r>
                </w:p>
                <w:p w14:paraId="535A0756">
                  <w:pPr>
                    <w:pStyle w:val="128"/>
                    <w:spacing w:line="240" w:lineRule="auto"/>
                    <w:ind w:firstLine="0" w:firstLineChars="0"/>
                    <w:jc w:val="both"/>
                    <w:rPr>
                      <w:rFonts w:ascii="Times New Roman" w:hAnsi="Times New Roman"/>
                      <w:spacing w:val="9"/>
                      <w:sz w:val="21"/>
                      <w:lang w:eastAsia="zh-CN"/>
                    </w:rPr>
                  </w:pPr>
                  <w:r>
                    <w:rPr>
                      <w:rFonts w:hint="eastAsia" w:ascii="Times New Roman" w:hAnsi="Times New Roman"/>
                      <w:spacing w:val="9"/>
                      <w:sz w:val="21"/>
                      <w:lang w:eastAsia="zh-CN"/>
                    </w:rPr>
                    <w:t>1-4项目不在一般生态空间内。</w:t>
                  </w:r>
                </w:p>
                <w:p w14:paraId="4F6D0F95">
                  <w:pPr>
                    <w:pStyle w:val="128"/>
                    <w:spacing w:line="240" w:lineRule="auto"/>
                    <w:ind w:firstLine="0" w:firstLineChars="0"/>
                    <w:jc w:val="both"/>
                    <w:rPr>
                      <w:rFonts w:ascii="Times New Roman" w:hAnsi="Times New Roman"/>
                      <w:spacing w:val="9"/>
                      <w:sz w:val="21"/>
                      <w:lang w:eastAsia="zh-CN"/>
                    </w:rPr>
                  </w:pPr>
                  <w:r>
                    <w:rPr>
                      <w:rFonts w:hint="eastAsia" w:ascii="Times New Roman" w:hAnsi="Times New Roman"/>
                      <w:spacing w:val="9"/>
                      <w:sz w:val="21"/>
                      <w:lang w:eastAsia="zh-CN"/>
                    </w:rPr>
                    <w:t>1-5项目不属于饮用水源保护区范围内，项目间接/直接冷却水循环使用不外排，定期补充，直接冷却水定期收集处理，经“混凝沉淀+压滤+保安过滤”处理后回用于冷却工序，不外排；喷淋用水循环使用，定期更换，更换的喷淋废水定期交由有危废处理资质的单位处理，不外排，故项目无生产废水排放，生活污水经三级化粪池处理后排入园洲镇第五污水处理厂，故项目不会对饮用水源保护区造成影响。</w:t>
                  </w:r>
                </w:p>
                <w:p w14:paraId="00A8938D">
                  <w:pPr>
                    <w:pStyle w:val="128"/>
                    <w:spacing w:line="240" w:lineRule="auto"/>
                    <w:ind w:firstLine="0" w:firstLineChars="0"/>
                    <w:jc w:val="both"/>
                    <w:rPr>
                      <w:rFonts w:ascii="Times New Roman" w:hAnsi="Times New Roman"/>
                      <w:spacing w:val="9"/>
                      <w:sz w:val="21"/>
                      <w:lang w:eastAsia="zh-CN"/>
                    </w:rPr>
                  </w:pPr>
                  <w:r>
                    <w:rPr>
                      <w:rFonts w:hint="eastAsia" w:ascii="Times New Roman" w:hAnsi="Times New Roman"/>
                      <w:spacing w:val="9"/>
                      <w:sz w:val="21"/>
                      <w:lang w:eastAsia="zh-CN"/>
                    </w:rPr>
                    <w:t>1-6本项目不属于新建专业废弃物堆放场和处理场项目。</w:t>
                  </w:r>
                </w:p>
                <w:p w14:paraId="2E81B375">
                  <w:pPr>
                    <w:pStyle w:val="128"/>
                    <w:spacing w:line="240" w:lineRule="auto"/>
                    <w:ind w:firstLine="0" w:firstLineChars="0"/>
                    <w:jc w:val="both"/>
                    <w:rPr>
                      <w:rFonts w:ascii="Times New Roman" w:hAnsi="Times New Roman"/>
                      <w:spacing w:val="9"/>
                      <w:sz w:val="21"/>
                      <w:lang w:eastAsia="zh-CN"/>
                    </w:rPr>
                  </w:pPr>
                  <w:r>
                    <w:rPr>
                      <w:rFonts w:hint="eastAsia" w:ascii="Times New Roman" w:hAnsi="Times New Roman"/>
                      <w:spacing w:val="9"/>
                      <w:sz w:val="21"/>
                      <w:lang w:eastAsia="zh-CN"/>
                    </w:rPr>
                    <w:t>1-7、1-8项目不属于畜禽养殖业。</w:t>
                  </w:r>
                </w:p>
                <w:p w14:paraId="076735A3">
                  <w:pPr>
                    <w:pStyle w:val="128"/>
                    <w:spacing w:line="240" w:lineRule="auto"/>
                    <w:ind w:firstLine="0" w:firstLineChars="0"/>
                    <w:jc w:val="both"/>
                    <w:rPr>
                      <w:rFonts w:ascii="Times New Roman" w:hAnsi="Times New Roman"/>
                      <w:spacing w:val="9"/>
                      <w:sz w:val="21"/>
                      <w:lang w:eastAsia="zh-CN"/>
                    </w:rPr>
                  </w:pPr>
                  <w:r>
                    <w:rPr>
                      <w:rFonts w:hint="eastAsia" w:ascii="Times New Roman" w:hAnsi="Times New Roman"/>
                      <w:spacing w:val="9"/>
                      <w:sz w:val="21"/>
                      <w:lang w:eastAsia="zh-CN"/>
                    </w:rPr>
                    <w:t>1-9项目所在区域不属于大气环境受体敏感重点管控区，也不属于新建储油库项目，不会产生和排放有毒有害大气污染物，也不使用</w:t>
                  </w:r>
                  <w:r>
                    <w:rPr>
                      <w:rFonts w:hint="eastAsia" w:ascii="Times New Roman" w:hAnsi="Times New Roman"/>
                      <w:snapToGrid w:val="0"/>
                      <w:color w:val="000000"/>
                      <w:kern w:val="0"/>
                      <w:sz w:val="21"/>
                      <w:szCs w:val="21"/>
                      <w:lang w:eastAsia="zh-CN"/>
                    </w:rPr>
                    <w:t>高挥发性有机物原辅材料</w:t>
                  </w:r>
                  <w:r>
                    <w:rPr>
                      <w:rFonts w:hint="eastAsia" w:ascii="Times New Roman" w:hAnsi="Times New Roman"/>
                      <w:spacing w:val="9"/>
                      <w:sz w:val="21"/>
                      <w:lang w:eastAsia="zh-CN"/>
                    </w:rPr>
                    <w:t>。</w:t>
                  </w:r>
                </w:p>
                <w:p w14:paraId="7236C119">
                  <w:pPr>
                    <w:pStyle w:val="128"/>
                    <w:spacing w:line="240" w:lineRule="auto"/>
                    <w:ind w:firstLine="0" w:firstLineChars="0"/>
                    <w:jc w:val="both"/>
                    <w:rPr>
                      <w:rFonts w:ascii="Times New Roman" w:hAnsi="Times New Roman"/>
                      <w:spacing w:val="9"/>
                      <w:sz w:val="21"/>
                      <w:lang w:eastAsia="zh-CN"/>
                    </w:rPr>
                  </w:pPr>
                  <w:r>
                    <w:rPr>
                      <w:rFonts w:hint="eastAsia" w:ascii="Times New Roman" w:hAnsi="Times New Roman"/>
                      <w:spacing w:val="9"/>
                      <w:sz w:val="21"/>
                      <w:lang w:eastAsia="zh-CN"/>
                    </w:rPr>
                    <w:t>1-10项目</w:t>
                  </w:r>
                  <w:r>
                    <w:rPr>
                      <w:rFonts w:ascii="Times New Roman" w:hAnsi="Times New Roman"/>
                      <w:snapToGrid w:val="0"/>
                      <w:color w:val="000000"/>
                      <w:spacing w:val="9"/>
                      <w:kern w:val="0"/>
                      <w:sz w:val="21"/>
                      <w:szCs w:val="20"/>
                      <w:lang w:eastAsia="zh-CN"/>
                    </w:rPr>
                    <w:t>产生的</w:t>
                  </w:r>
                  <w:r>
                    <w:rPr>
                      <w:rFonts w:hint="eastAsia" w:ascii="Times New Roman" w:hAnsi="Times New Roman"/>
                      <w:snapToGrid w:val="0"/>
                      <w:color w:val="000000"/>
                      <w:spacing w:val="9"/>
                      <w:kern w:val="0"/>
                      <w:sz w:val="21"/>
                      <w:szCs w:val="20"/>
                      <w:lang w:eastAsia="zh-CN"/>
                    </w:rPr>
                    <w:t>有机废气、臭气浓度及颗粒物经“水喷淋+干式过滤器+二级活性炭吸附装置”处理后经30m排气筒DA001高空排放，</w:t>
                  </w:r>
                  <w:r>
                    <w:rPr>
                      <w:rFonts w:hint="eastAsia" w:ascii="Times New Roman" w:hAnsi="Times New Roman"/>
                      <w:spacing w:val="9"/>
                      <w:sz w:val="21"/>
                      <w:lang w:eastAsia="zh-CN"/>
                    </w:rPr>
                    <w:t>待项目建成后按要求定期开展自行监测，确保废气达标排放。</w:t>
                  </w:r>
                </w:p>
                <w:p w14:paraId="0AEB6676">
                  <w:pPr>
                    <w:pStyle w:val="128"/>
                    <w:spacing w:line="240" w:lineRule="auto"/>
                    <w:ind w:firstLine="0" w:firstLineChars="0"/>
                    <w:jc w:val="both"/>
                    <w:rPr>
                      <w:rFonts w:ascii="Times New Roman" w:hAnsi="Times New Roman"/>
                      <w:spacing w:val="9"/>
                      <w:sz w:val="21"/>
                      <w:lang w:eastAsia="zh-CN"/>
                    </w:rPr>
                  </w:pPr>
                  <w:r>
                    <w:rPr>
                      <w:rFonts w:hint="eastAsia" w:ascii="Times New Roman" w:hAnsi="Times New Roman"/>
                      <w:spacing w:val="9"/>
                      <w:sz w:val="21"/>
                      <w:lang w:eastAsia="zh-CN"/>
                    </w:rPr>
                    <w:t>1-11、1-12本项目无重金属污染物排放。</w:t>
                  </w:r>
                </w:p>
              </w:tc>
              <w:tc>
                <w:tcPr>
                  <w:tcW w:w="428" w:type="dxa"/>
                  <w:tcBorders>
                    <w:left w:val="single" w:color="auto" w:sz="4" w:space="0"/>
                  </w:tcBorders>
                  <w:shd w:val="clear" w:color="auto" w:fill="auto"/>
                  <w:vAlign w:val="center"/>
                </w:tcPr>
                <w:p w14:paraId="76FD97EE">
                  <w:pPr>
                    <w:pStyle w:val="128"/>
                    <w:spacing w:line="240" w:lineRule="auto"/>
                    <w:ind w:firstLine="0" w:firstLineChars="0"/>
                    <w:jc w:val="center"/>
                    <w:rPr>
                      <w:rFonts w:ascii="Times New Roman" w:hAnsi="Times New Roman"/>
                      <w:spacing w:val="9"/>
                      <w:sz w:val="21"/>
                      <w:lang w:eastAsia="zh-CN"/>
                    </w:rPr>
                  </w:pPr>
                  <w:r>
                    <w:rPr>
                      <w:rFonts w:hint="eastAsia" w:ascii="Times New Roman" w:hAnsi="Times New Roman"/>
                      <w:spacing w:val="9"/>
                      <w:sz w:val="21"/>
                      <w:lang w:eastAsia="zh-CN"/>
                    </w:rPr>
                    <w:t>符合</w:t>
                  </w:r>
                </w:p>
              </w:tc>
            </w:tr>
            <w:tr w14:paraId="5B5C96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1" w:hRule="atLeast"/>
              </w:trPr>
              <w:tc>
                <w:tcPr>
                  <w:tcW w:w="358" w:type="dxa"/>
                  <w:tcBorders>
                    <w:left w:val="single" w:color="auto" w:sz="4" w:space="0"/>
                    <w:right w:val="single" w:color="auto" w:sz="4" w:space="0"/>
                  </w:tcBorders>
                  <w:shd w:val="clear" w:color="auto" w:fill="auto"/>
                  <w:vAlign w:val="center"/>
                </w:tcPr>
                <w:p w14:paraId="13846799">
                  <w:pPr>
                    <w:adjustRightInd w:val="0"/>
                    <w:snapToGrid w:val="0"/>
                    <w:spacing w:line="240" w:lineRule="auto"/>
                    <w:ind w:firstLine="0" w:firstLineChars="0"/>
                    <w:jc w:val="center"/>
                    <w:rPr>
                      <w:sz w:val="21"/>
                      <w:szCs w:val="21"/>
                      <w:lang w:eastAsia="en-US"/>
                    </w:rPr>
                  </w:pPr>
                  <w:r>
                    <w:rPr>
                      <w:rFonts w:hint="eastAsia"/>
                      <w:sz w:val="21"/>
                      <w:szCs w:val="21"/>
                    </w:rPr>
                    <w:t>能源资源利用</w:t>
                  </w:r>
                </w:p>
              </w:tc>
              <w:tc>
                <w:tcPr>
                  <w:tcW w:w="4455" w:type="dxa"/>
                  <w:tcBorders>
                    <w:left w:val="single" w:color="auto" w:sz="4" w:space="0"/>
                  </w:tcBorders>
                  <w:vAlign w:val="center"/>
                </w:tcPr>
                <w:p w14:paraId="73263E29">
                  <w:pPr>
                    <w:widowControl/>
                    <w:kinsoku w:val="0"/>
                    <w:autoSpaceDE w:val="0"/>
                    <w:autoSpaceDN w:val="0"/>
                    <w:spacing w:line="240" w:lineRule="auto"/>
                    <w:ind w:firstLine="0" w:firstLineChars="0"/>
                    <w:jc w:val="both"/>
                    <w:textAlignment w:val="baseline"/>
                    <w:rPr>
                      <w:rFonts w:cs="宋体"/>
                      <w:snapToGrid w:val="0"/>
                      <w:color w:val="000000"/>
                      <w:kern w:val="0"/>
                      <w:sz w:val="21"/>
                      <w:szCs w:val="21"/>
                    </w:rPr>
                  </w:pPr>
                  <w:r>
                    <w:rPr>
                      <w:rFonts w:hint="eastAsia" w:cs="宋体"/>
                      <w:snapToGrid w:val="0"/>
                      <w:color w:val="000000"/>
                      <w:kern w:val="0"/>
                      <w:sz w:val="21"/>
                      <w:szCs w:val="21"/>
                    </w:rPr>
                    <w:t>2-1.【能源/鼓励引导类】鼓励降低煤炭消耗、能源消耗，引导光伏等多种形式的新能源利用。</w:t>
                  </w:r>
                </w:p>
                <w:p w14:paraId="7D86AA95">
                  <w:pPr>
                    <w:widowControl/>
                    <w:kinsoku w:val="0"/>
                    <w:autoSpaceDE w:val="0"/>
                    <w:autoSpaceDN w:val="0"/>
                    <w:spacing w:line="240" w:lineRule="auto"/>
                    <w:ind w:firstLine="0" w:firstLineChars="0"/>
                    <w:jc w:val="both"/>
                    <w:textAlignment w:val="baseline"/>
                    <w:rPr>
                      <w:rFonts w:cs="宋体"/>
                      <w:snapToGrid w:val="0"/>
                      <w:color w:val="000000"/>
                      <w:kern w:val="0"/>
                      <w:sz w:val="21"/>
                      <w:szCs w:val="21"/>
                    </w:rPr>
                  </w:pPr>
                  <w:r>
                    <w:rPr>
                      <w:rFonts w:hint="eastAsia" w:cs="宋体"/>
                      <w:snapToGrid w:val="0"/>
                      <w:color w:val="000000"/>
                      <w:kern w:val="0"/>
                      <w:sz w:val="21"/>
                      <w:szCs w:val="21"/>
                    </w:rPr>
                    <w:t>2-2.【能源/综合类】根据本地区大气环境质量改善要求逐步扩大高污染燃料禁燃区范围。</w:t>
                  </w:r>
                </w:p>
              </w:tc>
              <w:tc>
                <w:tcPr>
                  <w:tcW w:w="2370" w:type="dxa"/>
                  <w:tcBorders>
                    <w:right w:val="single" w:color="auto" w:sz="4" w:space="0"/>
                  </w:tcBorders>
                  <w:shd w:val="clear" w:color="auto" w:fill="auto"/>
                  <w:vAlign w:val="center"/>
                </w:tcPr>
                <w:p w14:paraId="1CE98C0D">
                  <w:pPr>
                    <w:pStyle w:val="128"/>
                    <w:spacing w:line="240" w:lineRule="auto"/>
                    <w:ind w:firstLine="0" w:firstLineChars="0"/>
                    <w:jc w:val="both"/>
                    <w:rPr>
                      <w:rFonts w:ascii="Times New Roman" w:hAnsi="Times New Roman"/>
                      <w:spacing w:val="9"/>
                      <w:sz w:val="21"/>
                      <w:lang w:eastAsia="zh-CN"/>
                    </w:rPr>
                  </w:pPr>
                  <w:r>
                    <w:rPr>
                      <w:rFonts w:hint="eastAsia" w:ascii="Times New Roman" w:hAnsi="Times New Roman"/>
                      <w:spacing w:val="9"/>
                      <w:sz w:val="21"/>
                      <w:lang w:eastAsia="zh-CN"/>
                    </w:rPr>
                    <w:t>2-1、2-2项目所有设备均使用电能，不使用</w:t>
                  </w:r>
                  <w:r>
                    <w:rPr>
                      <w:rFonts w:hint="eastAsia" w:ascii="Times New Roman" w:hAnsi="Times New Roman"/>
                      <w:snapToGrid w:val="0"/>
                      <w:color w:val="000000"/>
                      <w:kern w:val="0"/>
                      <w:sz w:val="21"/>
                      <w:szCs w:val="21"/>
                      <w:lang w:eastAsia="zh-CN"/>
                    </w:rPr>
                    <w:t>高污染</w:t>
                  </w:r>
                  <w:r>
                    <w:rPr>
                      <w:rFonts w:hint="eastAsia" w:ascii="Times New Roman" w:hAnsi="Times New Roman"/>
                      <w:spacing w:val="9"/>
                      <w:sz w:val="21"/>
                      <w:lang w:eastAsia="zh-CN"/>
                    </w:rPr>
                    <w:t>燃料，符合能源利用的要求。</w:t>
                  </w:r>
                </w:p>
              </w:tc>
              <w:tc>
                <w:tcPr>
                  <w:tcW w:w="428" w:type="dxa"/>
                  <w:tcBorders>
                    <w:left w:val="single" w:color="auto" w:sz="4" w:space="0"/>
                  </w:tcBorders>
                  <w:shd w:val="clear" w:color="auto" w:fill="auto"/>
                  <w:vAlign w:val="center"/>
                </w:tcPr>
                <w:p w14:paraId="5E40D5EF">
                  <w:pPr>
                    <w:pStyle w:val="128"/>
                    <w:spacing w:line="240" w:lineRule="auto"/>
                    <w:ind w:firstLine="0" w:firstLineChars="0"/>
                    <w:jc w:val="center"/>
                    <w:rPr>
                      <w:rFonts w:ascii="Times New Roman" w:hAnsi="Times New Roman"/>
                      <w:spacing w:val="9"/>
                      <w:sz w:val="21"/>
                    </w:rPr>
                  </w:pPr>
                  <w:r>
                    <w:rPr>
                      <w:rFonts w:hint="eastAsia" w:ascii="Times New Roman" w:hAnsi="Times New Roman"/>
                      <w:spacing w:val="9"/>
                      <w:sz w:val="21"/>
                      <w:lang w:eastAsia="zh-CN"/>
                    </w:rPr>
                    <w:t>符合</w:t>
                  </w:r>
                </w:p>
              </w:tc>
            </w:tr>
            <w:tr w14:paraId="190E4F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1" w:hRule="atLeast"/>
              </w:trPr>
              <w:tc>
                <w:tcPr>
                  <w:tcW w:w="358" w:type="dxa"/>
                  <w:tcBorders>
                    <w:left w:val="single" w:color="auto" w:sz="4" w:space="0"/>
                    <w:right w:val="single" w:color="auto" w:sz="4" w:space="0"/>
                  </w:tcBorders>
                  <w:shd w:val="clear" w:color="auto" w:fill="auto"/>
                  <w:vAlign w:val="center"/>
                </w:tcPr>
                <w:p w14:paraId="06C4A047">
                  <w:pPr>
                    <w:adjustRightInd w:val="0"/>
                    <w:snapToGrid w:val="0"/>
                    <w:spacing w:line="240" w:lineRule="auto"/>
                    <w:ind w:firstLine="0" w:firstLineChars="0"/>
                    <w:jc w:val="center"/>
                    <w:rPr>
                      <w:sz w:val="21"/>
                      <w:szCs w:val="21"/>
                      <w:lang w:eastAsia="en-US"/>
                    </w:rPr>
                  </w:pPr>
                  <w:r>
                    <w:rPr>
                      <w:rFonts w:hint="eastAsia"/>
                      <w:sz w:val="21"/>
                      <w:szCs w:val="21"/>
                    </w:rPr>
                    <w:t>污染物排放管控</w:t>
                  </w:r>
                </w:p>
              </w:tc>
              <w:tc>
                <w:tcPr>
                  <w:tcW w:w="4455" w:type="dxa"/>
                  <w:tcBorders>
                    <w:left w:val="single" w:color="auto" w:sz="4" w:space="0"/>
                  </w:tcBorders>
                  <w:vAlign w:val="center"/>
                </w:tcPr>
                <w:p w14:paraId="2E6958E7">
                  <w:pPr>
                    <w:widowControl/>
                    <w:kinsoku w:val="0"/>
                    <w:autoSpaceDE w:val="0"/>
                    <w:autoSpaceDN w:val="0"/>
                    <w:spacing w:line="240" w:lineRule="auto"/>
                    <w:ind w:firstLine="0" w:firstLineChars="0"/>
                    <w:jc w:val="both"/>
                    <w:textAlignment w:val="baseline"/>
                    <w:rPr>
                      <w:rFonts w:cs="宋体"/>
                      <w:sz w:val="21"/>
                    </w:rPr>
                  </w:pPr>
                  <w:r>
                    <w:rPr>
                      <w:rFonts w:cs="宋体"/>
                      <w:sz w:val="21"/>
                    </w:rPr>
                    <w:t>3-1.【水/限制类】单元内城镇生活污水处理厂出水水质COD、氨氮、总磷排放执行国家《地表水环境质量》（GB3838-2002）Ⅴ类标准，其余指标执行国家《城镇污水处理厂污染物排放标》（GB18918-2002）一级A标准与广东省《水污染物排放限值》较严值的标准。</w:t>
                  </w:r>
                </w:p>
                <w:p w14:paraId="2A26D523">
                  <w:pPr>
                    <w:widowControl/>
                    <w:kinsoku w:val="0"/>
                    <w:autoSpaceDE w:val="0"/>
                    <w:autoSpaceDN w:val="0"/>
                    <w:spacing w:line="240" w:lineRule="auto"/>
                    <w:ind w:firstLine="0" w:firstLineChars="0"/>
                    <w:jc w:val="both"/>
                    <w:textAlignment w:val="baseline"/>
                    <w:rPr>
                      <w:rFonts w:cs="宋体"/>
                      <w:sz w:val="21"/>
                    </w:rPr>
                  </w:pPr>
                  <w:r>
                    <w:rPr>
                      <w:rFonts w:cs="宋体"/>
                      <w:sz w:val="21"/>
                    </w:rPr>
                    <w:t>3-2.【水/限制类】严格控制流域内增加水污染物排放或对东江水质、水环境安全构成影响的项目</w:t>
                  </w:r>
                  <w:r>
                    <w:rPr>
                      <w:rFonts w:hint="eastAsia" w:cs="宋体"/>
                      <w:sz w:val="21"/>
                    </w:rPr>
                    <w:t>.</w:t>
                  </w:r>
                </w:p>
                <w:p w14:paraId="4790EE2B">
                  <w:pPr>
                    <w:widowControl/>
                    <w:kinsoku w:val="0"/>
                    <w:autoSpaceDE w:val="0"/>
                    <w:autoSpaceDN w:val="0"/>
                    <w:spacing w:line="240" w:lineRule="auto"/>
                    <w:ind w:firstLine="0" w:firstLineChars="0"/>
                    <w:jc w:val="both"/>
                    <w:textAlignment w:val="baseline"/>
                    <w:rPr>
                      <w:rFonts w:cs="宋体"/>
                      <w:sz w:val="21"/>
                    </w:rPr>
                  </w:pPr>
                  <w:r>
                    <w:rPr>
                      <w:rFonts w:cs="宋体"/>
                      <w:sz w:val="21"/>
                    </w:rPr>
                    <w:t>3-3.【水/综合类】统筹规划农村环境基础设施建设，加强农村人居环境综合整治，采用集中与分散相结合的模式建设和完善农村污水、垃圾收集和处理设施，实施农村厕所改造，因地制宜实施雨污分流，将有条件的农村和城镇周边村庄纳入城镇污水、垃圾处理体系，并做好资金保障。</w:t>
                  </w:r>
                </w:p>
                <w:p w14:paraId="181B9DDF">
                  <w:pPr>
                    <w:widowControl/>
                    <w:kinsoku w:val="0"/>
                    <w:autoSpaceDE w:val="0"/>
                    <w:autoSpaceDN w:val="0"/>
                    <w:spacing w:line="240" w:lineRule="auto"/>
                    <w:ind w:firstLine="0" w:firstLineChars="0"/>
                    <w:jc w:val="both"/>
                    <w:textAlignment w:val="baseline"/>
                    <w:rPr>
                      <w:rFonts w:cs="宋体"/>
                      <w:sz w:val="21"/>
                    </w:rPr>
                  </w:pPr>
                  <w:r>
                    <w:rPr>
                      <w:rFonts w:cs="宋体"/>
                      <w:sz w:val="21"/>
                    </w:rPr>
                    <w:t>3-4.【水/综合类】强化农业面源污染治理，控制农药化肥使用量。</w:t>
                  </w:r>
                </w:p>
                <w:p w14:paraId="480BE738">
                  <w:pPr>
                    <w:widowControl/>
                    <w:kinsoku w:val="0"/>
                    <w:autoSpaceDE w:val="0"/>
                    <w:autoSpaceDN w:val="0"/>
                    <w:spacing w:line="240" w:lineRule="auto"/>
                    <w:ind w:firstLine="0" w:firstLineChars="0"/>
                    <w:jc w:val="both"/>
                    <w:textAlignment w:val="baseline"/>
                    <w:rPr>
                      <w:rFonts w:cs="宋体"/>
                      <w:sz w:val="21"/>
                    </w:rPr>
                  </w:pPr>
                  <w:r>
                    <w:rPr>
                      <w:rFonts w:cs="宋体"/>
                      <w:sz w:val="21"/>
                    </w:rPr>
                    <w:t>3-5.【大气/限制类】重点行业新建涉VOCs排放的工业企业原则上应入园进区。新建项目VOCs实施倍量替代。</w:t>
                  </w:r>
                </w:p>
                <w:p w14:paraId="13D3BE50">
                  <w:pPr>
                    <w:widowControl/>
                    <w:kinsoku w:val="0"/>
                    <w:autoSpaceDE w:val="0"/>
                    <w:autoSpaceDN w:val="0"/>
                    <w:spacing w:line="240" w:lineRule="auto"/>
                    <w:ind w:firstLine="0" w:firstLineChars="0"/>
                    <w:jc w:val="both"/>
                    <w:textAlignment w:val="baseline"/>
                    <w:rPr>
                      <w:rFonts w:cs="宋体"/>
                      <w:snapToGrid w:val="0"/>
                      <w:color w:val="000000"/>
                      <w:kern w:val="0"/>
                      <w:sz w:val="21"/>
                      <w:szCs w:val="21"/>
                    </w:rPr>
                  </w:pPr>
                  <w:r>
                    <w:rPr>
                      <w:rFonts w:cs="宋体"/>
                      <w:sz w:val="21"/>
                    </w:rPr>
                    <w:t>3-6.【土壤/禁止类】禁止向农用地排放重金属或者其他有毒有害物质含量超标的污水、污泥，以及可能造成土壤污染的清淤底泥、尾矿、矿渣等</w:t>
                  </w:r>
                  <w:r>
                    <w:rPr>
                      <w:rFonts w:hint="eastAsia" w:cs="宋体"/>
                      <w:sz w:val="21"/>
                    </w:rPr>
                    <w:t>.</w:t>
                  </w:r>
                </w:p>
              </w:tc>
              <w:tc>
                <w:tcPr>
                  <w:tcW w:w="2370" w:type="dxa"/>
                  <w:tcBorders>
                    <w:right w:val="single" w:color="auto" w:sz="4" w:space="0"/>
                  </w:tcBorders>
                  <w:shd w:val="clear" w:color="auto" w:fill="auto"/>
                  <w:vAlign w:val="center"/>
                </w:tcPr>
                <w:p w14:paraId="372882A0">
                  <w:pPr>
                    <w:pStyle w:val="128"/>
                    <w:spacing w:line="240" w:lineRule="auto"/>
                    <w:ind w:firstLine="0" w:firstLineChars="0"/>
                    <w:jc w:val="both"/>
                    <w:rPr>
                      <w:rFonts w:ascii="Times New Roman" w:hAnsi="Times New Roman"/>
                      <w:spacing w:val="9"/>
                      <w:sz w:val="21"/>
                      <w:lang w:eastAsia="zh-CN"/>
                    </w:rPr>
                  </w:pPr>
                  <w:r>
                    <w:rPr>
                      <w:rFonts w:hint="eastAsia" w:ascii="Times New Roman" w:hAnsi="Times New Roman"/>
                      <w:spacing w:val="9"/>
                      <w:sz w:val="21"/>
                      <w:lang w:eastAsia="zh-CN"/>
                    </w:rPr>
                    <w:t>3-1、3-2项目间接/直接冷却水循环使用不外排，定期补充，直接冷却水定期收集处理，经“混凝沉淀+压滤+保安过滤”处理后回用于冷却工序，不外排；喷淋用水循环使用，定期更换，更换的喷淋废水定期交由有危废处理资质的单位处理，不外排，故项目无生产废水排放，生活污水经三级化粪池处理后由市政管网排入园洲镇第五污水处理厂，尾水执行《城镇污水处理厂污染物排放标准》(GB18918-2002)一级A标准及广东省地方标准《水污物排放限值》(DB44/26-2001)第二时段一级标准两者中的较严值，其中氨氮和总磷执行《地表水环境质量标准》（GB3838-2002）V类标准。</w:t>
                  </w:r>
                </w:p>
                <w:p w14:paraId="054A69B6">
                  <w:pPr>
                    <w:pStyle w:val="128"/>
                    <w:spacing w:line="240" w:lineRule="auto"/>
                    <w:ind w:firstLine="0" w:firstLineChars="0"/>
                    <w:jc w:val="both"/>
                    <w:rPr>
                      <w:rFonts w:ascii="Times New Roman" w:hAnsi="Times New Roman"/>
                      <w:spacing w:val="9"/>
                      <w:sz w:val="21"/>
                      <w:lang w:eastAsia="zh-CN"/>
                    </w:rPr>
                  </w:pPr>
                  <w:r>
                    <w:rPr>
                      <w:rFonts w:hint="eastAsia" w:ascii="Times New Roman" w:hAnsi="Times New Roman"/>
                      <w:spacing w:val="9"/>
                      <w:sz w:val="21"/>
                      <w:lang w:eastAsia="zh-CN"/>
                    </w:rPr>
                    <w:t>3-3</w:t>
                  </w:r>
                  <w:r>
                    <w:rPr>
                      <w:rFonts w:hint="eastAsia" w:ascii="Times New Roman" w:hAnsi="Times New Roman"/>
                      <w:sz w:val="21"/>
                      <w:lang w:eastAsia="zh-CN"/>
                    </w:rPr>
                    <w:t>项目不涉及</w:t>
                  </w:r>
                  <w:r>
                    <w:rPr>
                      <w:rFonts w:ascii="Times New Roman" w:hAnsi="Times New Roman"/>
                      <w:sz w:val="21"/>
                      <w:lang w:eastAsia="zh-CN"/>
                    </w:rPr>
                    <w:t>农村环境基础设施建设</w:t>
                  </w:r>
                  <w:r>
                    <w:rPr>
                      <w:rFonts w:hint="eastAsia" w:ascii="Times New Roman" w:hAnsi="Times New Roman"/>
                      <w:sz w:val="21"/>
                      <w:lang w:eastAsia="zh-CN"/>
                    </w:rPr>
                    <w:t>。</w:t>
                  </w:r>
                </w:p>
                <w:p w14:paraId="5D11D3D4">
                  <w:pPr>
                    <w:pStyle w:val="128"/>
                    <w:spacing w:line="240" w:lineRule="auto"/>
                    <w:ind w:firstLine="0" w:firstLineChars="0"/>
                    <w:jc w:val="both"/>
                    <w:rPr>
                      <w:rFonts w:ascii="Times New Roman" w:hAnsi="Times New Roman"/>
                      <w:spacing w:val="9"/>
                      <w:sz w:val="21"/>
                      <w:lang w:eastAsia="zh-CN"/>
                    </w:rPr>
                  </w:pPr>
                  <w:r>
                    <w:rPr>
                      <w:rFonts w:hint="eastAsia" w:ascii="Times New Roman" w:hAnsi="Times New Roman"/>
                      <w:spacing w:val="9"/>
                      <w:sz w:val="21"/>
                      <w:lang w:eastAsia="zh-CN"/>
                    </w:rPr>
                    <w:t>3-4项目不涉及农业污染。</w:t>
                  </w:r>
                </w:p>
                <w:p w14:paraId="08356CE7">
                  <w:pPr>
                    <w:pStyle w:val="128"/>
                    <w:spacing w:line="240" w:lineRule="auto"/>
                    <w:ind w:firstLine="0" w:firstLineChars="0"/>
                    <w:jc w:val="both"/>
                    <w:rPr>
                      <w:rFonts w:ascii="Times New Roman" w:hAnsi="Times New Roman"/>
                      <w:spacing w:val="9"/>
                      <w:sz w:val="21"/>
                      <w:lang w:eastAsia="zh-CN"/>
                    </w:rPr>
                  </w:pPr>
                  <w:r>
                    <w:rPr>
                      <w:rFonts w:hint="eastAsia" w:ascii="Times New Roman" w:hAnsi="Times New Roman"/>
                      <w:spacing w:val="9"/>
                      <w:sz w:val="21"/>
                      <w:lang w:eastAsia="zh-CN"/>
                    </w:rPr>
                    <w:t>3-5本项目主要从事TPE热塑性弹性体、仿真娃娃的生产，不属于重点行业，也不属于新建项目。</w:t>
                  </w:r>
                </w:p>
                <w:p w14:paraId="734E40C5">
                  <w:pPr>
                    <w:pStyle w:val="128"/>
                    <w:spacing w:line="240" w:lineRule="auto"/>
                    <w:ind w:firstLine="0" w:firstLineChars="0"/>
                    <w:jc w:val="both"/>
                    <w:rPr>
                      <w:rFonts w:ascii="Times New Roman" w:hAnsi="Times New Roman"/>
                      <w:spacing w:val="9"/>
                      <w:sz w:val="21"/>
                      <w:lang w:eastAsia="zh-CN"/>
                    </w:rPr>
                  </w:pPr>
                  <w:r>
                    <w:rPr>
                      <w:rFonts w:hint="eastAsia" w:ascii="Times New Roman" w:hAnsi="Times New Roman"/>
                      <w:spacing w:val="9"/>
                      <w:sz w:val="21"/>
                      <w:lang w:eastAsia="zh-CN"/>
                    </w:rPr>
                    <w:t>3-6项目不排放重金属或者其他有毒有害物质含量超标的污水、污泥。</w:t>
                  </w:r>
                </w:p>
              </w:tc>
              <w:tc>
                <w:tcPr>
                  <w:tcW w:w="428" w:type="dxa"/>
                  <w:tcBorders>
                    <w:left w:val="single" w:color="auto" w:sz="4" w:space="0"/>
                  </w:tcBorders>
                  <w:shd w:val="clear" w:color="auto" w:fill="auto"/>
                  <w:vAlign w:val="center"/>
                </w:tcPr>
                <w:p w14:paraId="6E59A14A">
                  <w:pPr>
                    <w:pStyle w:val="128"/>
                    <w:spacing w:line="240" w:lineRule="auto"/>
                    <w:ind w:firstLine="0" w:firstLineChars="0"/>
                    <w:jc w:val="center"/>
                    <w:rPr>
                      <w:rFonts w:ascii="Times New Roman" w:hAnsi="Times New Roman"/>
                      <w:spacing w:val="9"/>
                      <w:sz w:val="21"/>
                    </w:rPr>
                  </w:pPr>
                  <w:r>
                    <w:rPr>
                      <w:rFonts w:hint="eastAsia" w:ascii="Times New Roman" w:hAnsi="Times New Roman"/>
                      <w:spacing w:val="9"/>
                      <w:sz w:val="21"/>
                      <w:lang w:eastAsia="zh-CN"/>
                    </w:rPr>
                    <w:t>符合</w:t>
                  </w:r>
                </w:p>
              </w:tc>
            </w:tr>
            <w:tr w14:paraId="33D9C8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1" w:hRule="atLeast"/>
              </w:trPr>
              <w:tc>
                <w:tcPr>
                  <w:tcW w:w="358" w:type="dxa"/>
                  <w:tcBorders>
                    <w:left w:val="single" w:color="auto" w:sz="4" w:space="0"/>
                    <w:bottom w:val="single" w:color="auto" w:sz="4" w:space="0"/>
                    <w:right w:val="single" w:color="auto" w:sz="4" w:space="0"/>
                  </w:tcBorders>
                  <w:shd w:val="clear" w:color="auto" w:fill="auto"/>
                  <w:vAlign w:val="center"/>
                </w:tcPr>
                <w:p w14:paraId="323C4219">
                  <w:pPr>
                    <w:pStyle w:val="8"/>
                    <w:rPr>
                      <w:szCs w:val="21"/>
                      <w:lang w:eastAsia="en-US"/>
                    </w:rPr>
                  </w:pPr>
                  <w:r>
                    <w:rPr>
                      <w:rFonts w:hint="eastAsia"/>
                      <w:szCs w:val="21"/>
                    </w:rPr>
                    <w:t>环境风险防控</w:t>
                  </w:r>
                </w:p>
              </w:tc>
              <w:tc>
                <w:tcPr>
                  <w:tcW w:w="4455" w:type="dxa"/>
                  <w:tcBorders>
                    <w:left w:val="single" w:color="auto" w:sz="4" w:space="0"/>
                  </w:tcBorders>
                  <w:vAlign w:val="center"/>
                </w:tcPr>
                <w:p w14:paraId="0ACFCCC2">
                  <w:pPr>
                    <w:widowControl/>
                    <w:kinsoku w:val="0"/>
                    <w:autoSpaceDE w:val="0"/>
                    <w:autoSpaceDN w:val="0"/>
                    <w:spacing w:line="240" w:lineRule="auto"/>
                    <w:ind w:firstLine="0" w:firstLineChars="0"/>
                    <w:jc w:val="both"/>
                    <w:textAlignment w:val="baseline"/>
                    <w:rPr>
                      <w:rFonts w:cs="宋体"/>
                      <w:snapToGrid w:val="0"/>
                      <w:color w:val="000000"/>
                      <w:kern w:val="0"/>
                      <w:sz w:val="21"/>
                      <w:szCs w:val="21"/>
                    </w:rPr>
                  </w:pPr>
                  <w:r>
                    <w:rPr>
                      <w:rFonts w:hint="eastAsia" w:cs="宋体"/>
                      <w:snapToGrid w:val="0"/>
                      <w:color w:val="000000"/>
                      <w:kern w:val="0"/>
                      <w:sz w:val="21"/>
                      <w:szCs w:val="21"/>
                    </w:rPr>
                    <w:t>4-1.【水/综合类】城镇污水处理厂、涉水企业应采取有效措施，防止事故废水直接排入水体。</w:t>
                  </w:r>
                </w:p>
                <w:p w14:paraId="5FA2467F">
                  <w:pPr>
                    <w:widowControl/>
                    <w:kinsoku w:val="0"/>
                    <w:autoSpaceDE w:val="0"/>
                    <w:autoSpaceDN w:val="0"/>
                    <w:spacing w:line="240" w:lineRule="auto"/>
                    <w:ind w:firstLine="0" w:firstLineChars="0"/>
                    <w:jc w:val="both"/>
                    <w:textAlignment w:val="baseline"/>
                    <w:rPr>
                      <w:rFonts w:cs="宋体"/>
                      <w:snapToGrid w:val="0"/>
                      <w:color w:val="000000"/>
                      <w:kern w:val="0"/>
                      <w:sz w:val="21"/>
                      <w:szCs w:val="21"/>
                    </w:rPr>
                  </w:pPr>
                  <w:r>
                    <w:rPr>
                      <w:rFonts w:hint="eastAsia" w:cs="宋体"/>
                      <w:snapToGrid w:val="0"/>
                      <w:color w:val="000000"/>
                      <w:kern w:val="0"/>
                      <w:sz w:val="21"/>
                      <w:szCs w:val="21"/>
                    </w:rPr>
                    <w:t>4-2.【水/综合类】加强饮用水水源保护区内环境风险排查，开展风险评估、水环境预警监测以及水环境应急演练。</w:t>
                  </w:r>
                </w:p>
                <w:p w14:paraId="66B5D047">
                  <w:pPr>
                    <w:widowControl/>
                    <w:kinsoku w:val="0"/>
                    <w:autoSpaceDE w:val="0"/>
                    <w:autoSpaceDN w:val="0"/>
                    <w:spacing w:line="240" w:lineRule="auto"/>
                    <w:ind w:firstLine="0" w:firstLineChars="0"/>
                    <w:jc w:val="both"/>
                    <w:textAlignment w:val="baseline"/>
                    <w:rPr>
                      <w:rFonts w:cs="宋体"/>
                      <w:snapToGrid w:val="0"/>
                      <w:color w:val="000000"/>
                      <w:kern w:val="0"/>
                      <w:sz w:val="21"/>
                      <w:szCs w:val="21"/>
                    </w:rPr>
                  </w:pPr>
                  <w:r>
                    <w:rPr>
                      <w:rFonts w:hint="eastAsia" w:cs="宋体"/>
                      <w:snapToGrid w:val="0"/>
                      <w:color w:val="000000"/>
                      <w:kern w:val="0"/>
                      <w:sz w:val="21"/>
                      <w:szCs w:val="21"/>
                    </w:rPr>
                    <w:t>4-3.【大气/综合类】建立环境监测预警制度，加强污染天气预警预报；生产、储存和使用有毒有害气体的企业（有毒有害气体的企业指列入《有毒有害大气污染物名录》的、以及其他对人体健康和生态环境造成危害的气体），需建立有毒有害气体环境风险预警体系。</w:t>
                  </w:r>
                </w:p>
              </w:tc>
              <w:tc>
                <w:tcPr>
                  <w:tcW w:w="2370" w:type="dxa"/>
                  <w:tcBorders>
                    <w:right w:val="single" w:color="auto" w:sz="4" w:space="0"/>
                  </w:tcBorders>
                  <w:shd w:val="clear" w:color="auto" w:fill="auto"/>
                  <w:vAlign w:val="center"/>
                </w:tcPr>
                <w:p w14:paraId="69032499">
                  <w:pPr>
                    <w:pStyle w:val="128"/>
                    <w:spacing w:line="240" w:lineRule="auto"/>
                    <w:ind w:firstLine="0" w:firstLineChars="0"/>
                    <w:jc w:val="both"/>
                    <w:rPr>
                      <w:rFonts w:ascii="Times New Roman" w:hAnsi="Times New Roman"/>
                      <w:spacing w:val="9"/>
                      <w:sz w:val="21"/>
                      <w:lang w:eastAsia="zh-CN"/>
                    </w:rPr>
                  </w:pPr>
                  <w:r>
                    <w:rPr>
                      <w:rFonts w:hint="eastAsia" w:ascii="Times New Roman" w:hAnsi="Times New Roman"/>
                      <w:spacing w:val="9"/>
                      <w:sz w:val="21"/>
                      <w:lang w:eastAsia="zh-CN"/>
                    </w:rPr>
                    <w:t>4-1项目不属于城镇污水处理厂，项目间接/直接冷却水循环使用不外排，定期补充，直接冷却水定期收集处理，经“混凝沉淀+压滤+保安过滤”处理后回用于冷却工序，不外排；喷淋用水循环使用，定期更换，更换的喷淋废水定期交由有危废处理资质的单位处理，不外排，故项目无生产废水排放，生活污水经三级化粪池处理后排入园洲镇第五污水处理厂。</w:t>
                  </w:r>
                </w:p>
                <w:p w14:paraId="0EF96098">
                  <w:pPr>
                    <w:pStyle w:val="128"/>
                    <w:spacing w:line="240" w:lineRule="auto"/>
                    <w:ind w:firstLine="0" w:firstLineChars="0"/>
                    <w:jc w:val="both"/>
                    <w:rPr>
                      <w:rFonts w:ascii="Times New Roman" w:hAnsi="Times New Roman"/>
                      <w:spacing w:val="9"/>
                      <w:sz w:val="21"/>
                      <w:lang w:eastAsia="zh-CN"/>
                    </w:rPr>
                  </w:pPr>
                  <w:r>
                    <w:rPr>
                      <w:rFonts w:hint="eastAsia" w:ascii="Times New Roman" w:hAnsi="Times New Roman"/>
                      <w:spacing w:val="9"/>
                      <w:sz w:val="21"/>
                      <w:lang w:eastAsia="zh-CN"/>
                    </w:rPr>
                    <w:t>4-2项目不属于饮用水源保护区范围内，项目将制订并落实有效的环境风险事故防范措施和应急预案，确保各类事故性排放污染物得到妥善处理。</w:t>
                  </w:r>
                </w:p>
                <w:p w14:paraId="558DD2A2">
                  <w:pPr>
                    <w:pStyle w:val="128"/>
                    <w:spacing w:line="240" w:lineRule="auto"/>
                    <w:ind w:firstLine="0" w:firstLineChars="0"/>
                    <w:jc w:val="both"/>
                    <w:rPr>
                      <w:rFonts w:ascii="Times New Roman" w:hAnsi="Times New Roman"/>
                      <w:spacing w:val="9"/>
                      <w:sz w:val="21"/>
                      <w:lang w:eastAsia="zh-CN"/>
                    </w:rPr>
                  </w:pPr>
                  <w:r>
                    <w:rPr>
                      <w:rFonts w:hint="eastAsia" w:ascii="Times New Roman" w:hAnsi="Times New Roman"/>
                      <w:spacing w:val="9"/>
                      <w:sz w:val="21"/>
                      <w:lang w:eastAsia="zh-CN"/>
                    </w:rPr>
                    <w:t>4-3项目不属于生产、储存和使用有毒有害气体的企业。</w:t>
                  </w:r>
                </w:p>
              </w:tc>
              <w:tc>
                <w:tcPr>
                  <w:tcW w:w="428" w:type="dxa"/>
                  <w:tcBorders>
                    <w:left w:val="single" w:color="auto" w:sz="4" w:space="0"/>
                  </w:tcBorders>
                  <w:shd w:val="clear" w:color="auto" w:fill="auto"/>
                  <w:vAlign w:val="center"/>
                </w:tcPr>
                <w:p w14:paraId="44573C91">
                  <w:pPr>
                    <w:pStyle w:val="128"/>
                    <w:spacing w:line="240" w:lineRule="auto"/>
                    <w:ind w:firstLine="0" w:firstLineChars="0"/>
                    <w:jc w:val="center"/>
                    <w:rPr>
                      <w:rFonts w:ascii="Times New Roman" w:hAnsi="Times New Roman"/>
                      <w:spacing w:val="9"/>
                      <w:sz w:val="21"/>
                      <w:lang w:eastAsia="zh-CN"/>
                    </w:rPr>
                  </w:pPr>
                  <w:r>
                    <w:rPr>
                      <w:rFonts w:hint="eastAsia" w:ascii="Times New Roman" w:hAnsi="Times New Roman"/>
                      <w:spacing w:val="9"/>
                      <w:sz w:val="21"/>
                      <w:lang w:eastAsia="zh-CN"/>
                    </w:rPr>
                    <w:t>符合</w:t>
                  </w:r>
                </w:p>
              </w:tc>
            </w:tr>
          </w:tbl>
          <w:p w14:paraId="64897A5B">
            <w:pPr>
              <w:ind w:firstLine="480"/>
              <w:jc w:val="both"/>
            </w:pPr>
            <w:r>
              <w:rPr>
                <w:rFonts w:hint="eastAsia"/>
              </w:rPr>
              <w:t>综上，项目与《博罗县“三线一单 ”生态环境分区管控研究报告》的要求相符。</w:t>
            </w:r>
          </w:p>
          <w:p w14:paraId="1AB69CE2">
            <w:pPr>
              <w:ind w:firstLine="482"/>
              <w:jc w:val="both"/>
              <w:rPr>
                <w:b/>
              </w:rPr>
            </w:pPr>
            <w:r>
              <w:rPr>
                <w:rFonts w:hint="eastAsia"/>
                <w:b/>
              </w:rPr>
              <w:t>五、与其他政策相符性分析</w:t>
            </w:r>
          </w:p>
          <w:p w14:paraId="53EA1A2D">
            <w:pPr>
              <w:ind w:firstLine="482"/>
              <w:jc w:val="both"/>
              <w:rPr>
                <w:b/>
              </w:rPr>
            </w:pPr>
            <w:r>
              <w:rPr>
                <w:rFonts w:hint="eastAsia"/>
                <w:b/>
              </w:rPr>
              <w:t>1、与《关于严格限制东江流域水污染项目建设进一步做好东江水质保护工作的通知》（粤府函〔</w:t>
            </w:r>
            <w:r>
              <w:rPr>
                <w:b/>
              </w:rPr>
              <w:t>2011</w:t>
            </w:r>
            <w:r>
              <w:rPr>
                <w:rFonts w:hint="eastAsia"/>
                <w:b/>
              </w:rPr>
              <w:t>〕</w:t>
            </w:r>
            <w:r>
              <w:rPr>
                <w:b/>
              </w:rPr>
              <w:t xml:space="preserve">339 </w:t>
            </w:r>
            <w:r>
              <w:rPr>
                <w:rFonts w:hint="eastAsia"/>
                <w:b/>
              </w:rPr>
              <w:t>号）及《广东省人民政府关于严格限制东江流域水污染项目建设进一步做好东江水质保护工作的补充通知》（粤府函〔</w:t>
            </w:r>
            <w:r>
              <w:rPr>
                <w:b/>
              </w:rPr>
              <w:t>2013</w:t>
            </w:r>
            <w:r>
              <w:rPr>
                <w:rFonts w:hint="eastAsia"/>
                <w:b/>
              </w:rPr>
              <w:t>〕</w:t>
            </w:r>
            <w:r>
              <w:rPr>
                <w:b/>
              </w:rPr>
              <w:t xml:space="preserve">231 </w:t>
            </w:r>
            <w:r>
              <w:rPr>
                <w:rFonts w:hint="eastAsia"/>
                <w:b/>
              </w:rPr>
              <w:t>号）的相关规定的相符性分析</w:t>
            </w:r>
          </w:p>
          <w:p w14:paraId="5CB7CED4">
            <w:pPr>
              <w:ind w:firstLine="480"/>
              <w:jc w:val="both"/>
            </w:pPr>
            <w:r>
              <w:rPr>
                <w:rFonts w:cs="宋体"/>
                <w:kern w:val="0"/>
              </w:rPr>
              <w:t>1</w:t>
            </w:r>
            <w:r>
              <w:rPr>
                <w:rFonts w:hint="eastAsia"/>
              </w:rPr>
              <w:t>）严格控制重污染项目建设，在东江流域内严格控制建设造纸、制革、味精、电镀、漂染、印染、炼油、发酵酿造、非放射性矿产冶炼以及使用含汞、砷、镉、铬、铅原料的项目，禁止建设农药、铬盐、钛白粉、氟制冷剂生产项目，禁止建设稀土分离、炼砒、炼铍、纸浆制造业、氰化法提炼产品以及开采、冶炼放射性矿产的项目。</w:t>
            </w:r>
          </w:p>
          <w:p w14:paraId="18F15615">
            <w:pPr>
              <w:ind w:firstLine="480"/>
              <w:jc w:val="both"/>
            </w:pPr>
            <w:r>
              <w:t>2</w:t>
            </w:r>
            <w:r>
              <w:rPr>
                <w:rFonts w:hint="eastAsia"/>
              </w:rPr>
              <w:t>）强化涉重金属污染项目管理，重金属污染防治重点区域禁止新（改、扩）建增加重金属污染排放的项目，禁止在重要生态功能区和因重金属污染导致环境质量不能稳定达标的区域建设涉重金属污染项目。</w:t>
            </w:r>
          </w:p>
          <w:p w14:paraId="615D6FC4">
            <w:pPr>
              <w:ind w:firstLine="480"/>
              <w:jc w:val="both"/>
            </w:pPr>
            <w:r>
              <w:rPr>
                <w:rFonts w:hint="eastAsia"/>
              </w:rPr>
              <w:t>3）严格控制矿产资源开发利用项目建设，严格控制东江流域内矿产资源开发利用项目建设，严禁在饮用水源保护区、生态严格控制区、自然保护区、重要生态功能区等环境敏感地区内规划建设矿产资源开发利用项目（矿泉水和地热项目除外）。</w:t>
            </w:r>
          </w:p>
          <w:p w14:paraId="7F0F2B60">
            <w:pPr>
              <w:ind w:firstLine="480"/>
              <w:jc w:val="both"/>
              <w:rPr>
                <w:rFonts w:cs="宋体"/>
                <w:kern w:val="0"/>
              </w:rPr>
            </w:pPr>
            <w:r>
              <w:rPr>
                <w:rFonts w:cs="宋体"/>
                <w:kern w:val="0"/>
              </w:rPr>
              <w:t>4</w:t>
            </w:r>
            <w:r>
              <w:rPr>
                <w:rFonts w:hint="eastAsia" w:cs="宋体"/>
                <w:kern w:val="0"/>
              </w:rPr>
              <w:t>）合理布局规模化禽畜养殖项目，东江流域内建设大中型畜禽养殖场（区）要科学规划、合理布局。</w:t>
            </w:r>
          </w:p>
          <w:p w14:paraId="4A14BEB0">
            <w:pPr>
              <w:ind w:firstLine="480"/>
              <w:jc w:val="both"/>
              <w:rPr>
                <w:rFonts w:cs="宋体"/>
              </w:rPr>
            </w:pPr>
            <w:r>
              <w:rPr>
                <w:rFonts w:cs="宋体"/>
                <w:kern w:val="0"/>
              </w:rPr>
              <w:t>5</w:t>
            </w:r>
            <w:r>
              <w:rPr>
                <w:rFonts w:hint="eastAsia" w:cs="宋体"/>
              </w:rPr>
              <w:t>）严格控制支流污染增量，在淡水河（含龙岗河、坪山河等支流）、石马河（含观澜河、潼湖水等支流）、紧水河、稿树下水、马嘶河（龙溪水）等支流和东江惠州博罗段江东、榕溪沥（罗阳）、廖洞、合竹洲、永平等</w:t>
            </w:r>
            <w:r>
              <w:rPr>
                <w:rFonts w:cs="宋体"/>
              </w:rPr>
              <w:t xml:space="preserve">5 </w:t>
            </w:r>
            <w:r>
              <w:rPr>
                <w:rFonts w:hint="eastAsia" w:cs="宋体"/>
              </w:rPr>
              <w:t>个直接排往东江的排水渠流域内，禁止建设制浆造纸、电镀（含配套电镀和线路板）、印染、制革、发酵酿造、规模化养殖和危险废物综合利用或处置等重污染项目，暂停审批电氧化、化工和含酸洗、磷化、表面处理工艺以及其他新增超标或超总量污染物的项目。上述流域内，在污水未纳入污水处理厂收集管网的城镇中心区域，不得审批洗车、餐饮、沐足桑拿等耗水性项目。</w:t>
            </w:r>
          </w:p>
          <w:p w14:paraId="28BC8350">
            <w:pPr>
              <w:ind w:firstLine="480"/>
              <w:jc w:val="both"/>
              <w:rPr>
                <w:rFonts w:cs="宋体"/>
              </w:rPr>
            </w:pPr>
            <w:r>
              <w:rPr>
                <w:rFonts w:hint="eastAsia" w:cs="宋体"/>
              </w:rPr>
              <w:t>符合下列条件之一的建设项目，不列入禁止建设和暂停审批范围：</w:t>
            </w:r>
          </w:p>
          <w:p w14:paraId="37EA9C14">
            <w:pPr>
              <w:ind w:firstLine="480"/>
              <w:jc w:val="both"/>
              <w:rPr>
                <w:rFonts w:cs="宋体"/>
              </w:rPr>
            </w:pPr>
            <w:r>
              <w:rPr>
                <w:rFonts w:cs="宋体"/>
              </w:rPr>
              <w:t>1</w:t>
            </w:r>
            <w:r>
              <w:rPr>
                <w:rFonts w:hint="eastAsia" w:cs="宋体"/>
              </w:rPr>
              <w:t>）建设地点位于东江流域，但不排放废水或废水不排入东江及其支流，不会对东江水质和水环境安全构成影响的项目；</w:t>
            </w:r>
          </w:p>
          <w:p w14:paraId="609DFF5F">
            <w:pPr>
              <w:ind w:firstLine="480"/>
              <w:jc w:val="both"/>
              <w:rPr>
                <w:rFonts w:cs="宋体"/>
              </w:rPr>
            </w:pPr>
            <w:r>
              <w:rPr>
                <w:rFonts w:cs="宋体"/>
              </w:rPr>
              <w:t>2</w:t>
            </w:r>
            <w:r>
              <w:rPr>
                <w:rFonts w:hint="eastAsia" w:cs="宋体"/>
              </w:rPr>
              <w:t>）通过提高清洁生产和污染防治水平，能够做到增产不增污、增产减污、技改减污的改（扩）建项目及同流域内迁建减污项目；</w:t>
            </w:r>
          </w:p>
          <w:p w14:paraId="7DA8E91B">
            <w:pPr>
              <w:ind w:firstLine="480"/>
              <w:jc w:val="both"/>
              <w:rPr>
                <w:rFonts w:cs="宋体"/>
              </w:rPr>
            </w:pPr>
            <w:r>
              <w:rPr>
                <w:rFonts w:cs="宋体"/>
              </w:rPr>
              <w:t>3</w:t>
            </w:r>
            <w:r>
              <w:rPr>
                <w:rFonts w:hint="eastAsia" w:cs="宋体"/>
              </w:rPr>
              <w:t>）流域内拟迁入重污染行业统一规划、统一定点基地，且符合基地规划环评审查意见的建设项目。</w:t>
            </w:r>
          </w:p>
          <w:p w14:paraId="1B37E140">
            <w:pPr>
              <w:ind w:firstLine="482"/>
              <w:jc w:val="both"/>
              <w:rPr>
                <w:rFonts w:cs="宋体"/>
              </w:rPr>
            </w:pPr>
            <w:r>
              <w:rPr>
                <w:rFonts w:hint="eastAsia" w:cs="宋体"/>
                <w:b/>
                <w:bCs/>
              </w:rPr>
              <w:t>符合性分析：</w:t>
            </w:r>
            <w:r>
              <w:rPr>
                <w:rFonts w:hint="eastAsia" w:cs="宋体"/>
              </w:rPr>
              <w:t>本项目主要从事TPE热塑性弹性体、</w:t>
            </w:r>
            <w:r>
              <w:rPr>
                <w:rFonts w:hint="eastAsia"/>
              </w:rPr>
              <w:t>仿真娃娃</w:t>
            </w:r>
            <w:r>
              <w:rPr>
                <w:rFonts w:hint="eastAsia" w:cs="宋体"/>
              </w:rPr>
              <w:t>的生产，不涉及酸洗、磷化、陶化、电镀等表面处理工序，不属于上述禁止建设及暂停审批的行业和项目类型。项目间接/直接冷却水循环使用不外排，定期补充，直接冷却水定期收集处理，经“混凝沉淀+压滤+保安过滤”处理后回用于冷却工序，不外排；喷淋用水循环使用，定期更换，更换的喷淋废水定期交由有危废处理资质的单位处理，不外排，故项目无生产废水排放，生活污水经三级化粪池处理后排入园洲镇第五污水处理厂，故项目符合该文件的要求。</w:t>
            </w:r>
          </w:p>
          <w:p w14:paraId="765A79CA">
            <w:pPr>
              <w:ind w:firstLine="482"/>
              <w:jc w:val="both"/>
              <w:rPr>
                <w:rFonts w:cs="宋体"/>
                <w:b/>
                <w:kern w:val="0"/>
              </w:rPr>
            </w:pPr>
            <w:r>
              <w:rPr>
                <w:rFonts w:hint="eastAsia" w:cs="宋体"/>
                <w:b/>
                <w:bCs/>
                <w:kern w:val="0"/>
              </w:rPr>
              <w:t>2</w:t>
            </w:r>
            <w:r>
              <w:rPr>
                <w:rFonts w:hint="eastAsia" w:cs="宋体"/>
                <w:b/>
              </w:rPr>
              <w:t>、与《广东省水污染防治条例》</w:t>
            </w:r>
            <w:r>
              <w:rPr>
                <w:rFonts w:hint="eastAsia" w:cs="宋体"/>
                <w:b/>
                <w:lang w:bidi="ar"/>
              </w:rPr>
              <w:t>（2021年9月29日广东省第十三届人民代表大会常务委员会第三十五次会议修正）的相符性分析</w:t>
            </w:r>
          </w:p>
          <w:p w14:paraId="0990F6D4">
            <w:pPr>
              <w:ind w:firstLine="480"/>
              <w:jc w:val="both"/>
              <w:rPr>
                <w:rFonts w:cs="宋体"/>
                <w:szCs w:val="21"/>
              </w:rPr>
            </w:pPr>
            <w:r>
              <w:rPr>
                <w:rFonts w:cs="宋体"/>
                <w:szCs w:val="21"/>
              </w:rPr>
              <w:t>第二十八条</w:t>
            </w:r>
            <w:r>
              <w:rPr>
                <w:rFonts w:hint="eastAsia" w:cs="宋体"/>
                <w:szCs w:val="21"/>
              </w:rPr>
              <w:t xml:space="preserve"> </w:t>
            </w:r>
            <w:r>
              <w:rPr>
                <w:rFonts w:cs="宋体"/>
                <w:szCs w:val="21"/>
              </w:rPr>
              <w:t>排放工业废水的企业应当采取有效措施，收集和处理产生的全部生产废水，防止污染水环境。未依法领取污水排入排水管网许可证的，不得直接向生活污水管网与处理系统排放工业废水。含有毒有害水污染物的工业废水应当分类收集和处理，不得稀释排放。</w:t>
            </w:r>
          </w:p>
          <w:p w14:paraId="4D17FC84">
            <w:pPr>
              <w:ind w:firstLine="480"/>
              <w:jc w:val="both"/>
              <w:rPr>
                <w:rFonts w:cs="宋体"/>
                <w:szCs w:val="21"/>
              </w:rPr>
            </w:pPr>
            <w:r>
              <w:rPr>
                <w:rFonts w:cs="宋体"/>
                <w:szCs w:val="21"/>
              </w:rPr>
              <w:t>第三十二条</w:t>
            </w:r>
            <w:r>
              <w:rPr>
                <w:rFonts w:hint="eastAsia" w:cs="宋体"/>
                <w:szCs w:val="21"/>
              </w:rPr>
              <w:t xml:space="preserve"> </w:t>
            </w:r>
            <w:r>
              <w:rPr>
                <w:rFonts w:cs="宋体"/>
                <w:szCs w:val="21"/>
              </w:rPr>
              <w:t>向城镇污水集中处理设施排放水污染物，应当符合国家或者地方规定的水污染物排放标准。县级以上人民政府城镇排水主管部门应当加强对排水户的排放口设置、连接管网、预处理设施和水质、水量监测设施建设和运行的指导和监督。城镇排水主管部门委托的排水监测机构应当对排水户排放污水的水质和水量进行监测，并建立排水监测档案。</w:t>
            </w:r>
          </w:p>
          <w:p w14:paraId="41BC9FBE">
            <w:pPr>
              <w:ind w:firstLine="480"/>
              <w:jc w:val="both"/>
              <w:rPr>
                <w:rFonts w:cs="宋体"/>
                <w:szCs w:val="21"/>
              </w:rPr>
            </w:pPr>
            <w:r>
              <w:rPr>
                <w:rFonts w:cs="宋体"/>
                <w:szCs w:val="21"/>
              </w:rPr>
              <w:t>第五十条</w:t>
            </w:r>
            <w:r>
              <w:rPr>
                <w:rFonts w:hint="eastAsia" w:cs="宋体"/>
                <w:szCs w:val="21"/>
              </w:rPr>
              <w:t xml:space="preserve"> </w:t>
            </w:r>
            <w:r>
              <w:rPr>
                <w:rFonts w:cs="宋体"/>
                <w:szCs w:val="21"/>
              </w:rPr>
              <w:t>新建、改建、扩建的项目应当符合国家产业政策规定。在东江流域内，除国家产业政策规定的禁止项目外，还禁止新建农药、铬盐、钛白粉生产项目，禁止新建稀土分离、炼砒、炼铍、纸浆制造、氰化法提炼产品、开采和冶炼放射性矿产及其他严重污染水环境的项目；严格控制新建造纸、制革、味精、电镀、漂染、印染、炼油、发酵酿造、非放射性矿产冶炼以及使用含汞、砷、镉、铬、铅为原料的项目。禁止在东江水系岸边和水上拆船。</w:t>
            </w:r>
          </w:p>
          <w:p w14:paraId="4DF6D235">
            <w:pPr>
              <w:ind w:firstLine="482"/>
              <w:jc w:val="both"/>
              <w:rPr>
                <w:rFonts w:cs="宋体"/>
              </w:rPr>
            </w:pPr>
            <w:r>
              <w:rPr>
                <w:rFonts w:hint="eastAsia" w:cs="宋体"/>
                <w:b/>
                <w:bCs/>
              </w:rPr>
              <w:t>符合性分析：</w:t>
            </w:r>
            <w:r>
              <w:rPr>
                <w:rFonts w:hint="eastAsia" w:cs="宋体"/>
              </w:rPr>
              <w:t>本项目主要从事TPE热塑性弹性体、</w:t>
            </w:r>
            <w:r>
              <w:rPr>
                <w:rFonts w:hint="eastAsia"/>
              </w:rPr>
              <w:t>仿真娃娃</w:t>
            </w:r>
            <w:r>
              <w:rPr>
                <w:rFonts w:hint="eastAsia" w:cs="宋体"/>
              </w:rPr>
              <w:t>的生产，不属于上述禁止建设的项目。项目间接/直接冷却水循环使用不外排，定期补充，直接冷却水定期收集处理，经“混凝沉淀+压滤+保安过滤”处理后回用于冷却工序，不外排；喷淋用水循环使用，定期更换，更换的喷淋废水定期交由有危废处理资质的单位处理，不外排，故项目无生产废水排放，生活污水经三级化粪池处理后排入园洲镇第五污水处理厂。因此，项目符合《广东省水污染防治条例》的要求。</w:t>
            </w:r>
          </w:p>
          <w:p w14:paraId="292DC72F">
            <w:pPr>
              <w:ind w:firstLine="482"/>
              <w:jc w:val="both"/>
              <w:rPr>
                <w:rFonts w:cs="宋体"/>
                <w:b/>
                <w:kern w:val="0"/>
              </w:rPr>
            </w:pPr>
            <w:r>
              <w:rPr>
                <w:rFonts w:hint="eastAsia" w:cs="宋体"/>
                <w:b/>
              </w:rPr>
              <w:t>3</w:t>
            </w:r>
            <w:r>
              <w:rPr>
                <w:rFonts w:cs="宋体"/>
                <w:b/>
              </w:rPr>
              <w:t>、</w:t>
            </w:r>
            <w:r>
              <w:rPr>
                <w:rFonts w:cs="宋体"/>
                <w:b/>
                <w:kern w:val="0"/>
              </w:rPr>
              <w:t>与《广东省大气污染防治条例》（广东省第十三届人民代表大会常务委员会公告（第</w:t>
            </w:r>
            <w:r>
              <w:rPr>
                <w:rFonts w:cs="宋体"/>
                <w:b/>
                <w:bCs/>
                <w:kern w:val="0"/>
              </w:rPr>
              <w:t>20</w:t>
            </w:r>
            <w:r>
              <w:rPr>
                <w:rFonts w:cs="宋体"/>
                <w:b/>
                <w:kern w:val="0"/>
              </w:rPr>
              <w:t>号））相符性分析</w:t>
            </w:r>
          </w:p>
          <w:p w14:paraId="4B0F0BB2">
            <w:pPr>
              <w:ind w:firstLine="480"/>
              <w:jc w:val="both"/>
              <w:rPr>
                <w:rFonts w:cs="宋体"/>
              </w:rPr>
            </w:pPr>
            <w:r>
              <w:rPr>
                <w:rFonts w:cs="宋体"/>
              </w:rPr>
              <w:t>第四章</w:t>
            </w:r>
            <w:r>
              <w:rPr>
                <w:rFonts w:hint="eastAsia" w:cs="宋体"/>
              </w:rPr>
              <w:t xml:space="preserve"> </w:t>
            </w:r>
            <w:r>
              <w:rPr>
                <w:rFonts w:cs="宋体"/>
              </w:rPr>
              <w:t>工业污染防治第二节</w:t>
            </w:r>
            <w:r>
              <w:rPr>
                <w:rFonts w:hint="eastAsia" w:cs="宋体"/>
              </w:rPr>
              <w:t xml:space="preserve"> </w:t>
            </w:r>
            <w:r>
              <w:rPr>
                <w:rFonts w:cs="宋体"/>
              </w:rPr>
              <w:t>挥发性有机物污染防治：在本省生产、销售、使用含挥发性有机物的原材料和产品的，其挥发性有机物含量应当符合本省规定的限值标准。高挥发性有机物含量的产品，应当在包装或者说明中标注挥发性有机物含量。企业事业单位和其他生产经营者应当按照挥发性有机物排放标准、技术规范的规定，制定操作规程，组织生产管理。</w:t>
            </w:r>
          </w:p>
          <w:p w14:paraId="730F0F6C">
            <w:pPr>
              <w:ind w:firstLine="480"/>
              <w:jc w:val="both"/>
              <w:rPr>
                <w:rFonts w:cs="宋体"/>
                <w:kern w:val="0"/>
              </w:rPr>
            </w:pPr>
            <w:r>
              <w:rPr>
                <w:rFonts w:cs="宋体"/>
                <w:kern w:val="0"/>
              </w:rPr>
              <w:t>第二十六条</w:t>
            </w:r>
            <w:r>
              <w:rPr>
                <w:rFonts w:hint="eastAsia" w:cs="宋体"/>
                <w:kern w:val="0"/>
              </w:rPr>
              <w:t xml:space="preserve"> </w:t>
            </w:r>
            <w:r>
              <w:rPr>
                <w:rFonts w:cs="宋体"/>
                <w:kern w:val="0"/>
              </w:rPr>
              <w:t>新建、改建、扩建排放挥发性有机物的建设项目，应当使用污染防治先进可行技术。</w:t>
            </w:r>
          </w:p>
          <w:p w14:paraId="37FBA0DB">
            <w:pPr>
              <w:ind w:firstLine="480"/>
              <w:jc w:val="both"/>
              <w:rPr>
                <w:rFonts w:cs="宋体"/>
                <w:kern w:val="0"/>
              </w:rPr>
            </w:pPr>
            <w:r>
              <w:rPr>
                <w:rFonts w:cs="宋体"/>
                <w:kern w:val="0"/>
              </w:rPr>
              <w:t>下列产生含挥发性有机物废气的生产和服务活动，应当优先使用低挥发性有机物含量的原材料和低排放环保工艺，在确保安全条件下，按照规定在密闭空间或者设备中进行，安装、使用满足防爆、防静电要求的治理效率高的污染防治设施；无法密闭或者不适宜密闭的，应当采取有效措施减少废气排放：</w:t>
            </w:r>
          </w:p>
          <w:p w14:paraId="67BB57DC">
            <w:pPr>
              <w:ind w:firstLine="480"/>
              <w:jc w:val="both"/>
              <w:rPr>
                <w:rFonts w:cs="宋体"/>
                <w:kern w:val="0"/>
              </w:rPr>
            </w:pPr>
            <w:r>
              <w:rPr>
                <w:rFonts w:cs="宋体"/>
                <w:kern w:val="0"/>
              </w:rPr>
              <w:t>(一)石油、化工、煤炭加工与转化等含挥发性有机物原料的生产;</w:t>
            </w:r>
          </w:p>
          <w:p w14:paraId="13F1E42C">
            <w:pPr>
              <w:ind w:firstLine="480"/>
              <w:jc w:val="both"/>
              <w:rPr>
                <w:rFonts w:cs="宋体"/>
                <w:kern w:val="0"/>
              </w:rPr>
            </w:pPr>
            <w:r>
              <w:rPr>
                <w:rFonts w:cs="宋体"/>
                <w:kern w:val="0"/>
              </w:rPr>
              <w:t>(二)燃油、溶剂的储存、运输和销售;</w:t>
            </w:r>
          </w:p>
          <w:p w14:paraId="6CC7B5EA">
            <w:pPr>
              <w:ind w:firstLine="480"/>
              <w:jc w:val="both"/>
              <w:rPr>
                <w:rFonts w:cs="宋体"/>
                <w:kern w:val="0"/>
              </w:rPr>
            </w:pPr>
            <w:r>
              <w:rPr>
                <w:rFonts w:cs="宋体"/>
                <w:kern w:val="0"/>
              </w:rPr>
              <w:t>(三)涂料、油墨、胶粘剂、农药等以挥发性有机物为原料的生产;</w:t>
            </w:r>
          </w:p>
          <w:p w14:paraId="351FB838">
            <w:pPr>
              <w:ind w:firstLine="480"/>
              <w:jc w:val="both"/>
              <w:rPr>
                <w:rFonts w:cs="宋体"/>
                <w:kern w:val="0"/>
              </w:rPr>
            </w:pPr>
            <w:r>
              <w:rPr>
                <w:rFonts w:cs="宋体"/>
                <w:kern w:val="0"/>
              </w:rPr>
              <w:t>(四)涂装、印刷、粘合、工业清洗等使用含挥发性有机物产品的生产活动;</w:t>
            </w:r>
          </w:p>
          <w:p w14:paraId="0ED421F4">
            <w:pPr>
              <w:ind w:firstLine="480"/>
              <w:jc w:val="both"/>
              <w:rPr>
                <w:rFonts w:cs="宋体"/>
                <w:kern w:val="0"/>
              </w:rPr>
            </w:pPr>
            <w:r>
              <w:rPr>
                <w:rFonts w:cs="宋体"/>
                <w:kern w:val="0"/>
              </w:rPr>
              <w:t>(五)其他产生挥发性有机物的生产和服务活动。</w:t>
            </w:r>
          </w:p>
          <w:p w14:paraId="69CDEDA1">
            <w:pPr>
              <w:ind w:firstLine="482"/>
              <w:jc w:val="both"/>
              <w:rPr>
                <w:rFonts w:cs="宋体"/>
                <w:kern w:val="0"/>
              </w:rPr>
            </w:pPr>
            <w:r>
              <w:rPr>
                <w:rFonts w:hint="eastAsia" w:cs="宋体"/>
                <w:b/>
                <w:bCs/>
                <w:color w:val="auto"/>
              </w:rPr>
              <w:t>符合性分析：</w:t>
            </w:r>
            <w:r>
              <w:rPr>
                <w:rFonts w:cs="宋体"/>
                <w:color w:val="auto"/>
                <w:kern w:val="0"/>
              </w:rPr>
              <w:t>本项目</w:t>
            </w:r>
            <w:r>
              <w:rPr>
                <w:rFonts w:hint="eastAsia" w:cs="宋体"/>
                <w:color w:val="auto"/>
                <w:kern w:val="0"/>
              </w:rPr>
              <w:t>主要从事TPE热塑性弹性体、</w:t>
            </w:r>
            <w:r>
              <w:rPr>
                <w:rFonts w:hint="eastAsia"/>
                <w:color w:val="auto"/>
              </w:rPr>
              <w:t>仿真娃娃</w:t>
            </w:r>
            <w:r>
              <w:rPr>
                <w:rFonts w:hint="eastAsia" w:cs="宋体"/>
                <w:color w:val="auto"/>
                <w:kern w:val="0"/>
              </w:rPr>
              <w:t>的生产，</w:t>
            </w:r>
            <w:bookmarkStart w:id="38" w:name="OLE_LINK306"/>
            <w:r>
              <w:rPr>
                <w:rFonts w:hint="eastAsia" w:cs="宋体"/>
                <w:color w:val="auto"/>
                <w:kern w:val="0"/>
              </w:rPr>
              <w:t>项目使用的原料主要为SEBS热塑性弹性体、PP新塑胶粒、PS塑胶粒、软化油、碳酸钙，均不属于高挥发性有机物含量的原料，</w:t>
            </w:r>
            <w:bookmarkEnd w:id="38"/>
            <w:r>
              <w:rPr>
                <w:rFonts w:cs="宋体"/>
                <w:color w:val="auto"/>
                <w:kern w:val="0"/>
              </w:rPr>
              <w:t>生产过程中</w:t>
            </w:r>
            <w:r>
              <w:rPr>
                <w:rFonts w:hint="eastAsia" w:cs="宋体"/>
                <w:color w:val="auto"/>
                <w:kern w:val="0"/>
              </w:rPr>
              <w:t>产生的有机废气、臭气浓度及颗粒物收集后经“水喷淋+干式</w:t>
            </w:r>
            <w:r>
              <w:rPr>
                <w:rFonts w:hint="eastAsia" w:cs="宋体"/>
                <w:kern w:val="0"/>
              </w:rPr>
              <w:t>过滤器+二级活性炭吸附装置”处理达标后高空排放</w:t>
            </w:r>
            <w:r>
              <w:rPr>
                <w:rFonts w:cs="宋体"/>
                <w:kern w:val="0"/>
              </w:rPr>
              <w:t>。</w:t>
            </w:r>
            <w:r>
              <w:rPr>
                <w:rFonts w:hint="eastAsia" w:cs="宋体"/>
                <w:kern w:val="0"/>
              </w:rPr>
              <w:t>因此，</w:t>
            </w:r>
            <w:r>
              <w:rPr>
                <w:rFonts w:cs="宋体"/>
                <w:kern w:val="0"/>
              </w:rPr>
              <w:t>项目与《广东省大气污染防治条例》（广东省第十三届人民代表大会常务委员会公告（第20 号））相符。</w:t>
            </w:r>
          </w:p>
          <w:p w14:paraId="1E953F77">
            <w:pPr>
              <w:ind w:firstLine="482"/>
              <w:jc w:val="both"/>
              <w:rPr>
                <w:rFonts w:cs="宋体"/>
                <w:b/>
                <w:kern w:val="0"/>
              </w:rPr>
            </w:pPr>
            <w:r>
              <w:rPr>
                <w:rFonts w:hint="eastAsia" w:cs="宋体"/>
                <w:b/>
                <w:kern w:val="0"/>
              </w:rPr>
              <w:t>4</w:t>
            </w:r>
            <w:r>
              <w:rPr>
                <w:rFonts w:cs="宋体"/>
                <w:b/>
                <w:kern w:val="0"/>
              </w:rPr>
              <w:t>、与《关于印发</w:t>
            </w:r>
            <w:r>
              <w:rPr>
                <w:rFonts w:cs="宋体"/>
                <w:b/>
                <w:bCs/>
                <w:kern w:val="0"/>
              </w:rPr>
              <w:t>&lt;</w:t>
            </w:r>
            <w:r>
              <w:rPr>
                <w:rFonts w:cs="宋体"/>
                <w:b/>
                <w:kern w:val="0"/>
              </w:rPr>
              <w:t>重点行业挥发性有机物综合治理方案</w:t>
            </w:r>
            <w:r>
              <w:rPr>
                <w:rFonts w:cs="宋体"/>
                <w:b/>
                <w:bCs/>
                <w:kern w:val="0"/>
              </w:rPr>
              <w:t>&gt;</w:t>
            </w:r>
            <w:r>
              <w:rPr>
                <w:rFonts w:cs="宋体"/>
                <w:b/>
                <w:kern w:val="0"/>
              </w:rPr>
              <w:t>的通知》（环大气〔</w:t>
            </w:r>
            <w:r>
              <w:rPr>
                <w:rFonts w:cs="宋体"/>
                <w:b/>
                <w:bCs/>
                <w:kern w:val="0"/>
              </w:rPr>
              <w:t>2019</w:t>
            </w:r>
            <w:r>
              <w:rPr>
                <w:rFonts w:cs="宋体"/>
                <w:b/>
                <w:kern w:val="0"/>
              </w:rPr>
              <w:t>〕</w:t>
            </w:r>
            <w:r>
              <w:rPr>
                <w:rFonts w:cs="宋体"/>
                <w:b/>
                <w:bCs/>
                <w:kern w:val="0"/>
              </w:rPr>
              <w:t xml:space="preserve">53 </w:t>
            </w:r>
            <w:r>
              <w:rPr>
                <w:rFonts w:cs="宋体"/>
                <w:b/>
                <w:kern w:val="0"/>
              </w:rPr>
              <w:t>号）的相符性分析</w:t>
            </w:r>
          </w:p>
          <w:p w14:paraId="1695BB98">
            <w:pPr>
              <w:ind w:firstLine="480"/>
              <w:jc w:val="both"/>
              <w:rPr>
                <w:rFonts w:cs="宋体"/>
              </w:rPr>
            </w:pPr>
            <w:r>
              <w:rPr>
                <w:rFonts w:hint="eastAsia" w:cs="宋体"/>
              </w:rPr>
              <w:t>（一）大力推进源头替代。</w:t>
            </w:r>
            <w:bookmarkStart w:id="39" w:name="OLE_LINK54"/>
            <w:r>
              <w:rPr>
                <w:rFonts w:hint="eastAsia" w:cs="宋体"/>
              </w:rPr>
              <w:t>通过使用水性、粉末、高固体分、无溶剂、辐射固化等低</w:t>
            </w:r>
            <w:r>
              <w:rPr>
                <w:rFonts w:cs="宋体"/>
              </w:rPr>
              <w:t>VOCs</w:t>
            </w:r>
            <w:r>
              <w:rPr>
                <w:rFonts w:hint="eastAsia" w:cs="宋体"/>
              </w:rPr>
              <w:t>含量的涂料，水性、辐射固化、植物基等低</w:t>
            </w:r>
            <w:r>
              <w:rPr>
                <w:rFonts w:cs="宋体"/>
              </w:rPr>
              <w:t>VOCs</w:t>
            </w:r>
            <w:r>
              <w:rPr>
                <w:rFonts w:hint="eastAsia" w:cs="宋体"/>
              </w:rPr>
              <w:t>含量的油墨，水基、热熔、无溶剂、辐射固化、改性、生物降解等低</w:t>
            </w:r>
            <w:r>
              <w:rPr>
                <w:rFonts w:cs="宋体"/>
              </w:rPr>
              <w:t>VOCs</w:t>
            </w:r>
            <w:r>
              <w:rPr>
                <w:rFonts w:hint="eastAsia" w:cs="宋体"/>
              </w:rPr>
              <w:t>含量的胶粘剂，以及低</w:t>
            </w:r>
            <w:r>
              <w:rPr>
                <w:rFonts w:cs="宋体"/>
              </w:rPr>
              <w:t>VOCs</w:t>
            </w:r>
            <w:r>
              <w:rPr>
                <w:rFonts w:hint="eastAsia" w:cs="宋体"/>
              </w:rPr>
              <w:t>含量、低反应活性的清洗剂等，替代溶剂型涂料、油墨、胶粘剂、清洗剂等，从源头减少</w:t>
            </w:r>
            <w:r>
              <w:rPr>
                <w:rFonts w:cs="宋体"/>
              </w:rPr>
              <w:t>VOCs</w:t>
            </w:r>
            <w:r>
              <w:rPr>
                <w:rFonts w:hint="eastAsia" w:cs="宋体"/>
              </w:rPr>
              <w:t>产生</w:t>
            </w:r>
            <w:bookmarkEnd w:id="39"/>
            <w:r>
              <w:rPr>
                <w:rFonts w:hint="eastAsia" w:cs="宋体"/>
              </w:rPr>
              <w:t>。</w:t>
            </w:r>
          </w:p>
          <w:p w14:paraId="4C3E3EF6">
            <w:pPr>
              <w:ind w:firstLine="480"/>
              <w:jc w:val="both"/>
              <w:rPr>
                <w:rFonts w:ascii="宋体" w:hAnsi="宋体" w:cs="宋体"/>
                <w:kern w:val="0"/>
              </w:rPr>
            </w:pPr>
            <w:r>
              <w:rPr>
                <w:rFonts w:hint="eastAsia" w:cs="宋体"/>
              </w:rPr>
              <w:t>（二）全面加强无组织排放控制。重点对含</w:t>
            </w:r>
            <w:r>
              <w:rPr>
                <w:rFonts w:cs="宋体"/>
              </w:rPr>
              <w:t>VOCs</w:t>
            </w:r>
            <w:r>
              <w:rPr>
                <w:rFonts w:hint="eastAsia" w:cs="宋体"/>
              </w:rPr>
              <w:t>物料（包括含</w:t>
            </w:r>
            <w:r>
              <w:rPr>
                <w:rFonts w:cs="宋体"/>
              </w:rPr>
              <w:t>VOCs</w:t>
            </w:r>
            <w:r>
              <w:rPr>
                <w:rFonts w:hint="eastAsia" w:cs="宋体"/>
              </w:rPr>
              <w:t>原辅材料、含</w:t>
            </w:r>
            <w:r>
              <w:rPr>
                <w:rFonts w:cs="宋体"/>
              </w:rPr>
              <w:t>VOCs</w:t>
            </w:r>
            <w:r>
              <w:rPr>
                <w:rFonts w:hint="eastAsia" w:cs="宋体"/>
              </w:rPr>
              <w:t>产品、含</w:t>
            </w:r>
            <w:r>
              <w:rPr>
                <w:rFonts w:cs="宋体"/>
              </w:rPr>
              <w:t>VOCs</w:t>
            </w:r>
            <w:r>
              <w:rPr>
                <w:rFonts w:hint="eastAsia" w:cs="宋体"/>
              </w:rPr>
              <w:t>废料以及有机聚合物材料等）</w:t>
            </w:r>
            <w:r>
              <w:rPr>
                <w:rFonts w:hint="eastAsia"/>
              </w:rPr>
              <w:t>储存、转移和输送、设备与管线组件泄漏、敞开液面逸散以及工艺过程等五类排放源实施管控，通过采取设备与场所密闭、工艺改进、废气有效收集等措施，削减</w:t>
            </w:r>
            <w:r>
              <w:t>VOCs</w:t>
            </w:r>
            <w:r>
              <w:rPr>
                <w:rFonts w:hint="eastAsia"/>
              </w:rPr>
              <w:t>无组织排放</w:t>
            </w:r>
            <w:r>
              <w:rPr>
                <w:rFonts w:hint="eastAsia" w:ascii="宋体" w:hAnsi="宋体" w:cs="宋体"/>
                <w:kern w:val="0"/>
              </w:rPr>
              <w:t>。</w:t>
            </w:r>
          </w:p>
          <w:p w14:paraId="61FB1B8C">
            <w:pPr>
              <w:ind w:firstLine="482"/>
              <w:jc w:val="both"/>
            </w:pPr>
            <w:r>
              <w:rPr>
                <w:rFonts w:hint="eastAsia" w:cs="宋体"/>
                <w:b/>
                <w:bCs/>
                <w:color w:val="auto"/>
              </w:rPr>
              <w:t>符合性分析：</w:t>
            </w:r>
            <w:r>
              <w:rPr>
                <w:rFonts w:hint="eastAsia"/>
                <w:color w:val="auto"/>
              </w:rPr>
              <w:t>本项目主要从事TPE热塑性弹性体、仿真娃娃的生产，</w:t>
            </w:r>
            <w:bookmarkStart w:id="40" w:name="OLE_LINK314"/>
            <w:r>
              <w:rPr>
                <w:rFonts w:hint="eastAsia" w:cs="宋体"/>
                <w:color w:val="auto"/>
                <w:kern w:val="0"/>
              </w:rPr>
              <w:t>项目使用的原料主要为SEBS热塑性弹性体、PP新塑胶粒、PS塑胶粒、软化油、碳酸钙，均不属于高挥发性有机物含量的原料</w:t>
            </w:r>
            <w:bookmarkEnd w:id="40"/>
            <w:r>
              <w:rPr>
                <w:rFonts w:hint="eastAsia"/>
                <w:color w:val="auto"/>
              </w:rPr>
              <w:t>。项</w:t>
            </w:r>
            <w:r>
              <w:rPr>
                <w:rFonts w:hint="eastAsia"/>
              </w:rPr>
              <w:t>目产生的有机废气、臭气浓度及颗粒物收集后经“水喷淋+干式过滤器+二级活性炭吸附装置”处理后经30m排气筒DA001高空排放。因此，本项目与</w:t>
            </w:r>
            <w:r>
              <w:t>&lt;</w:t>
            </w:r>
            <w:r>
              <w:rPr>
                <w:rFonts w:hint="eastAsia"/>
              </w:rPr>
              <w:t>关于印发《重点行业挥发性有机物综合治理方案》的通知</w:t>
            </w:r>
            <w:r>
              <w:t>&gt;</w:t>
            </w:r>
            <w:r>
              <w:rPr>
                <w:rFonts w:hint="eastAsia"/>
              </w:rPr>
              <w:t>（环大气〔</w:t>
            </w:r>
            <w:r>
              <w:t>2019</w:t>
            </w:r>
            <w:r>
              <w:rPr>
                <w:rFonts w:hint="eastAsia"/>
              </w:rPr>
              <w:t>〕</w:t>
            </w:r>
            <w:r>
              <w:t xml:space="preserve">53 </w:t>
            </w:r>
            <w:r>
              <w:rPr>
                <w:rFonts w:hint="eastAsia"/>
              </w:rPr>
              <w:t>号）相符。</w:t>
            </w:r>
          </w:p>
          <w:p w14:paraId="0E722507">
            <w:pPr>
              <w:ind w:firstLine="482"/>
              <w:jc w:val="both"/>
              <w:rPr>
                <w:b/>
              </w:rPr>
            </w:pPr>
            <w:r>
              <w:rPr>
                <w:rFonts w:hint="eastAsia"/>
                <w:b/>
              </w:rPr>
              <w:t>5、与《关于印发〈广东省涉</w:t>
            </w:r>
            <w:r>
              <w:rPr>
                <w:b/>
              </w:rPr>
              <w:t>VOCs</w:t>
            </w:r>
            <w:r>
              <w:rPr>
                <w:rFonts w:hint="eastAsia"/>
                <w:b/>
              </w:rPr>
              <w:t>重点行业治理指引〉的通知》（粤环办〔</w:t>
            </w:r>
            <w:r>
              <w:rPr>
                <w:b/>
              </w:rPr>
              <w:t>2021</w:t>
            </w:r>
            <w:r>
              <w:rPr>
                <w:rFonts w:hint="eastAsia"/>
                <w:b/>
              </w:rPr>
              <w:t>〕</w:t>
            </w:r>
            <w:r>
              <w:rPr>
                <w:b/>
              </w:rPr>
              <w:t>43</w:t>
            </w:r>
            <w:r>
              <w:rPr>
                <w:rFonts w:hint="eastAsia"/>
                <w:b/>
              </w:rPr>
              <w:t>号文）的相符性分析</w:t>
            </w:r>
          </w:p>
          <w:p w14:paraId="2E435413">
            <w:pPr>
              <w:pStyle w:val="16"/>
              <w:rPr>
                <w:kern w:val="2"/>
                <w:szCs w:val="24"/>
              </w:rPr>
            </w:pPr>
            <w:r>
              <w:rPr>
                <w:rFonts w:hint="eastAsia"/>
                <w:kern w:val="2"/>
                <w:szCs w:val="24"/>
              </w:rPr>
              <w:t xml:space="preserve">表1-9 </w:t>
            </w:r>
            <w:r>
              <w:rPr>
                <w:kern w:val="2"/>
                <w:szCs w:val="24"/>
              </w:rPr>
              <w:t>与“橡胶和塑料制品业 VOCs 治理指引”相符性分析</w:t>
            </w:r>
          </w:p>
          <w:tbl>
            <w:tblPr>
              <w:tblStyle w:val="34"/>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69"/>
              <w:gridCol w:w="3567"/>
              <w:gridCol w:w="2825"/>
              <w:gridCol w:w="539"/>
            </w:tblGrid>
            <w:tr w14:paraId="7D991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40" w:type="pct"/>
                  <w:vAlign w:val="center"/>
                </w:tcPr>
                <w:p w14:paraId="1F5A9F61">
                  <w:pPr>
                    <w:pStyle w:val="119"/>
                    <w:ind w:firstLine="0" w:firstLineChars="0"/>
                    <w:rPr>
                      <w:b/>
                      <w:bCs/>
                      <w:szCs w:val="21"/>
                    </w:rPr>
                  </w:pPr>
                  <w:r>
                    <w:rPr>
                      <w:b/>
                      <w:bCs/>
                      <w:szCs w:val="21"/>
                    </w:rPr>
                    <w:t>环节</w:t>
                  </w:r>
                </w:p>
              </w:tc>
              <w:tc>
                <w:tcPr>
                  <w:tcW w:w="2346" w:type="pct"/>
                  <w:vAlign w:val="center"/>
                </w:tcPr>
                <w:p w14:paraId="71C61221">
                  <w:pPr>
                    <w:pStyle w:val="119"/>
                    <w:ind w:firstLine="0" w:firstLineChars="0"/>
                    <w:rPr>
                      <w:b/>
                      <w:bCs/>
                      <w:szCs w:val="21"/>
                    </w:rPr>
                  </w:pPr>
                  <w:r>
                    <w:rPr>
                      <w:b/>
                      <w:bCs/>
                      <w:szCs w:val="21"/>
                    </w:rPr>
                    <w:t>文件要求</w:t>
                  </w:r>
                </w:p>
              </w:tc>
              <w:tc>
                <w:tcPr>
                  <w:tcW w:w="1858" w:type="pct"/>
                  <w:vAlign w:val="center"/>
                </w:tcPr>
                <w:p w14:paraId="35A39233">
                  <w:pPr>
                    <w:pStyle w:val="119"/>
                    <w:ind w:firstLine="0" w:firstLineChars="0"/>
                    <w:rPr>
                      <w:b/>
                      <w:bCs/>
                      <w:szCs w:val="21"/>
                    </w:rPr>
                  </w:pPr>
                  <w:r>
                    <w:rPr>
                      <w:b/>
                      <w:bCs/>
                      <w:szCs w:val="21"/>
                    </w:rPr>
                    <w:t>本项目</w:t>
                  </w:r>
                </w:p>
              </w:tc>
              <w:tc>
                <w:tcPr>
                  <w:tcW w:w="354" w:type="pct"/>
                  <w:vAlign w:val="center"/>
                </w:tcPr>
                <w:p w14:paraId="1AF5D2E3">
                  <w:pPr>
                    <w:pStyle w:val="119"/>
                    <w:ind w:firstLine="0" w:firstLineChars="0"/>
                    <w:rPr>
                      <w:b/>
                      <w:bCs/>
                      <w:szCs w:val="21"/>
                    </w:rPr>
                  </w:pPr>
                  <w:r>
                    <w:rPr>
                      <w:b/>
                      <w:bCs/>
                      <w:szCs w:val="21"/>
                    </w:rPr>
                    <w:t>相符性</w:t>
                  </w:r>
                </w:p>
              </w:tc>
            </w:tr>
            <w:tr w14:paraId="068AA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40" w:type="pct"/>
                  <w:vAlign w:val="center"/>
                </w:tcPr>
                <w:p w14:paraId="44571CA0">
                  <w:pPr>
                    <w:pStyle w:val="119"/>
                    <w:ind w:firstLine="0" w:firstLineChars="0"/>
                    <w:rPr>
                      <w:szCs w:val="21"/>
                    </w:rPr>
                  </w:pPr>
                  <w:r>
                    <w:rPr>
                      <w:rFonts w:hint="eastAsia"/>
                      <w:szCs w:val="21"/>
                    </w:rPr>
                    <w:t>源头削减</w:t>
                  </w:r>
                </w:p>
              </w:tc>
              <w:tc>
                <w:tcPr>
                  <w:tcW w:w="2346" w:type="pct"/>
                  <w:vAlign w:val="center"/>
                </w:tcPr>
                <w:p w14:paraId="55F0F148">
                  <w:pPr>
                    <w:pStyle w:val="119"/>
                    <w:ind w:firstLine="0" w:firstLineChars="0"/>
                    <w:rPr>
                      <w:szCs w:val="21"/>
                    </w:rPr>
                  </w:pPr>
                  <w:r>
                    <w:rPr>
                      <w:rFonts w:hint="eastAsia"/>
                      <w:szCs w:val="21"/>
                    </w:rPr>
                    <w:t>按要求使用低挥发性涂料、胶粘剂、清洗剂、油墨等</w:t>
                  </w:r>
                </w:p>
              </w:tc>
              <w:tc>
                <w:tcPr>
                  <w:tcW w:w="1858" w:type="pct"/>
                  <w:vAlign w:val="center"/>
                </w:tcPr>
                <w:p w14:paraId="3CB1FDB3">
                  <w:pPr>
                    <w:pStyle w:val="119"/>
                    <w:ind w:firstLine="0" w:firstLineChars="0"/>
                    <w:rPr>
                      <w:szCs w:val="21"/>
                    </w:rPr>
                  </w:pPr>
                  <w:r>
                    <w:rPr>
                      <w:rFonts w:hint="eastAsia"/>
                      <w:szCs w:val="21"/>
                    </w:rPr>
                    <w:t>项目使用的原料不涉及涂料、胶粘剂、清洗剂、油墨等</w:t>
                  </w:r>
                </w:p>
              </w:tc>
              <w:tc>
                <w:tcPr>
                  <w:tcW w:w="354" w:type="pct"/>
                  <w:vAlign w:val="center"/>
                </w:tcPr>
                <w:p w14:paraId="56AC5C7F">
                  <w:pPr>
                    <w:pStyle w:val="119"/>
                    <w:ind w:firstLine="0" w:firstLineChars="0"/>
                    <w:rPr>
                      <w:szCs w:val="21"/>
                    </w:rPr>
                  </w:pPr>
                  <w:r>
                    <w:rPr>
                      <w:rFonts w:hint="eastAsia"/>
                      <w:szCs w:val="21"/>
                    </w:rPr>
                    <w:t>符合</w:t>
                  </w:r>
                </w:p>
              </w:tc>
            </w:tr>
            <w:tr w14:paraId="185FB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40" w:type="pct"/>
                  <w:vMerge w:val="restart"/>
                  <w:vAlign w:val="center"/>
                </w:tcPr>
                <w:p w14:paraId="45BF9457">
                  <w:pPr>
                    <w:pStyle w:val="119"/>
                    <w:ind w:firstLine="0" w:firstLineChars="0"/>
                    <w:rPr>
                      <w:szCs w:val="21"/>
                    </w:rPr>
                  </w:pPr>
                  <w:r>
                    <w:rPr>
                      <w:szCs w:val="21"/>
                    </w:rPr>
                    <w:t>VOCs物料</w:t>
                  </w:r>
                  <w:r>
                    <w:rPr>
                      <w:rFonts w:hint="eastAsia"/>
                      <w:szCs w:val="21"/>
                    </w:rPr>
                    <w:t>储存</w:t>
                  </w:r>
                </w:p>
              </w:tc>
              <w:tc>
                <w:tcPr>
                  <w:tcW w:w="2346" w:type="pct"/>
                  <w:vAlign w:val="center"/>
                </w:tcPr>
                <w:p w14:paraId="453F03A7">
                  <w:pPr>
                    <w:pStyle w:val="119"/>
                    <w:ind w:firstLine="0" w:firstLineChars="0"/>
                    <w:rPr>
                      <w:szCs w:val="21"/>
                    </w:rPr>
                  </w:pPr>
                  <w:r>
                    <w:rPr>
                      <w:szCs w:val="21"/>
                    </w:rPr>
                    <w:t>VOCs物料应储存于密闭的容器、包装袋、储罐、储库、料仓中</w:t>
                  </w:r>
                </w:p>
              </w:tc>
              <w:tc>
                <w:tcPr>
                  <w:tcW w:w="1858" w:type="pct"/>
                  <w:vMerge w:val="restart"/>
                  <w:vAlign w:val="center"/>
                </w:tcPr>
                <w:p w14:paraId="7EAE8FAF">
                  <w:pPr>
                    <w:pStyle w:val="119"/>
                    <w:ind w:firstLine="0" w:firstLineChars="0"/>
                    <w:rPr>
                      <w:szCs w:val="21"/>
                    </w:rPr>
                  </w:pPr>
                  <w:r>
                    <w:rPr>
                      <w:szCs w:val="21"/>
                    </w:rPr>
                    <w:t>项目</w:t>
                  </w:r>
                  <w:r>
                    <w:rPr>
                      <w:rFonts w:hint="eastAsia"/>
                      <w:szCs w:val="21"/>
                    </w:rPr>
                    <w:t>物料</w:t>
                  </w:r>
                  <w:r>
                    <w:rPr>
                      <w:szCs w:val="21"/>
                    </w:rPr>
                    <w:t>均为密闭的容器</w:t>
                  </w:r>
                  <w:r>
                    <w:rPr>
                      <w:rFonts w:hint="eastAsia"/>
                      <w:szCs w:val="21"/>
                    </w:rPr>
                    <w:t>、包装袋储存，并</w:t>
                  </w:r>
                  <w:r>
                    <w:rPr>
                      <w:szCs w:val="21"/>
                    </w:rPr>
                    <w:t>存放于</w:t>
                  </w:r>
                  <w:r>
                    <w:rPr>
                      <w:rFonts w:hint="eastAsia"/>
                      <w:szCs w:val="21"/>
                    </w:rPr>
                    <w:t>室</w:t>
                  </w:r>
                  <w:r>
                    <w:rPr>
                      <w:szCs w:val="21"/>
                    </w:rPr>
                    <w:t>内</w:t>
                  </w:r>
                  <w:r>
                    <w:rPr>
                      <w:rFonts w:hint="eastAsia"/>
                      <w:szCs w:val="21"/>
                    </w:rPr>
                    <w:t>，在非取用状态时封口并保持密闭</w:t>
                  </w:r>
                </w:p>
              </w:tc>
              <w:tc>
                <w:tcPr>
                  <w:tcW w:w="354" w:type="pct"/>
                  <w:vAlign w:val="center"/>
                </w:tcPr>
                <w:p w14:paraId="3899E820">
                  <w:pPr>
                    <w:pStyle w:val="119"/>
                    <w:ind w:firstLine="0" w:firstLineChars="0"/>
                    <w:rPr>
                      <w:szCs w:val="21"/>
                    </w:rPr>
                  </w:pPr>
                  <w:r>
                    <w:rPr>
                      <w:szCs w:val="21"/>
                    </w:rPr>
                    <w:t>符合</w:t>
                  </w:r>
                </w:p>
              </w:tc>
            </w:tr>
            <w:tr w14:paraId="13EA1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40" w:type="pct"/>
                  <w:vMerge w:val="continue"/>
                  <w:vAlign w:val="center"/>
                </w:tcPr>
                <w:p w14:paraId="5D619BEC">
                  <w:pPr>
                    <w:pStyle w:val="119"/>
                    <w:ind w:firstLine="0" w:firstLineChars="0"/>
                    <w:rPr>
                      <w:szCs w:val="21"/>
                    </w:rPr>
                  </w:pPr>
                </w:p>
              </w:tc>
              <w:tc>
                <w:tcPr>
                  <w:tcW w:w="2346" w:type="pct"/>
                  <w:vAlign w:val="center"/>
                </w:tcPr>
                <w:p w14:paraId="1C23AF1D">
                  <w:pPr>
                    <w:pStyle w:val="119"/>
                    <w:ind w:firstLine="0" w:firstLineChars="0"/>
                    <w:rPr>
                      <w:szCs w:val="21"/>
                    </w:rPr>
                  </w:pPr>
                  <w:r>
                    <w:rPr>
                      <w:szCs w:val="21"/>
                    </w:rPr>
                    <w:t>盛装VOCs物料的容器是否存放于室内，或存放于设置有雨棚、遮阳和防渗设施的专用场地。盛装VOCs物料的容器在非取用状态时应加盖、封口，保持密闭。</w:t>
                  </w:r>
                </w:p>
              </w:tc>
              <w:tc>
                <w:tcPr>
                  <w:tcW w:w="1858" w:type="pct"/>
                  <w:vMerge w:val="continue"/>
                  <w:vAlign w:val="center"/>
                </w:tcPr>
                <w:p w14:paraId="4E47450E">
                  <w:pPr>
                    <w:pStyle w:val="119"/>
                    <w:ind w:firstLine="0" w:firstLineChars="0"/>
                    <w:rPr>
                      <w:szCs w:val="21"/>
                    </w:rPr>
                  </w:pPr>
                </w:p>
              </w:tc>
              <w:tc>
                <w:tcPr>
                  <w:tcW w:w="354" w:type="pct"/>
                  <w:vAlign w:val="center"/>
                </w:tcPr>
                <w:p w14:paraId="3EF4AB40">
                  <w:pPr>
                    <w:pStyle w:val="119"/>
                    <w:ind w:firstLine="0" w:firstLineChars="0"/>
                    <w:rPr>
                      <w:szCs w:val="21"/>
                    </w:rPr>
                  </w:pPr>
                  <w:r>
                    <w:rPr>
                      <w:szCs w:val="21"/>
                    </w:rPr>
                    <w:t>符合</w:t>
                  </w:r>
                </w:p>
              </w:tc>
            </w:tr>
            <w:tr w14:paraId="5CB6E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40" w:type="pct"/>
                  <w:vMerge w:val="restart"/>
                  <w:vAlign w:val="center"/>
                </w:tcPr>
                <w:p w14:paraId="28724F95">
                  <w:pPr>
                    <w:pStyle w:val="119"/>
                    <w:ind w:firstLine="0" w:firstLineChars="0"/>
                    <w:rPr>
                      <w:szCs w:val="21"/>
                    </w:rPr>
                  </w:pPr>
                  <w:r>
                    <w:rPr>
                      <w:szCs w:val="21"/>
                    </w:rPr>
                    <w:t>VOCs物料转移和输送</w:t>
                  </w:r>
                </w:p>
              </w:tc>
              <w:tc>
                <w:tcPr>
                  <w:tcW w:w="2346" w:type="pct"/>
                  <w:vAlign w:val="center"/>
                </w:tcPr>
                <w:p w14:paraId="3F24C6EB">
                  <w:pPr>
                    <w:pStyle w:val="119"/>
                    <w:ind w:firstLine="0" w:firstLineChars="0"/>
                    <w:rPr>
                      <w:szCs w:val="21"/>
                    </w:rPr>
                  </w:pPr>
                  <w:r>
                    <w:rPr>
                      <w:szCs w:val="21"/>
                    </w:rPr>
                    <w:t>液体VOCs物料应采用管道密闭输送。采用非管道输送方式转移液态VOCs物料时，应采用密闭容器或罐车。</w:t>
                  </w:r>
                </w:p>
              </w:tc>
              <w:tc>
                <w:tcPr>
                  <w:tcW w:w="1858" w:type="pct"/>
                  <w:vMerge w:val="restart"/>
                  <w:vAlign w:val="center"/>
                </w:tcPr>
                <w:p w14:paraId="0F916C33">
                  <w:pPr>
                    <w:pStyle w:val="119"/>
                    <w:ind w:firstLine="0" w:firstLineChars="0"/>
                    <w:rPr>
                      <w:szCs w:val="21"/>
                    </w:rPr>
                  </w:pPr>
                  <w:r>
                    <w:rPr>
                      <w:rFonts w:hint="eastAsia"/>
                      <w:szCs w:val="21"/>
                    </w:rPr>
                    <w:t>项目物料</w:t>
                  </w:r>
                  <w:r>
                    <w:rPr>
                      <w:szCs w:val="21"/>
                    </w:rPr>
                    <w:t>采用密闭的容器</w:t>
                  </w:r>
                  <w:r>
                    <w:rPr>
                      <w:rFonts w:hint="eastAsia"/>
                      <w:szCs w:val="21"/>
                    </w:rPr>
                    <w:t>、包装袋</w:t>
                  </w:r>
                  <w:r>
                    <w:rPr>
                      <w:szCs w:val="21"/>
                    </w:rPr>
                    <w:t>进行物料转移</w:t>
                  </w:r>
                  <w:r>
                    <w:rPr>
                      <w:rFonts w:hint="eastAsia"/>
                      <w:szCs w:val="21"/>
                    </w:rPr>
                    <w:t>和输送</w:t>
                  </w:r>
                </w:p>
              </w:tc>
              <w:tc>
                <w:tcPr>
                  <w:tcW w:w="354" w:type="pct"/>
                  <w:vAlign w:val="center"/>
                </w:tcPr>
                <w:p w14:paraId="2AAA13B3">
                  <w:pPr>
                    <w:pStyle w:val="119"/>
                    <w:ind w:firstLine="0" w:firstLineChars="0"/>
                    <w:rPr>
                      <w:szCs w:val="21"/>
                    </w:rPr>
                  </w:pPr>
                  <w:r>
                    <w:rPr>
                      <w:szCs w:val="21"/>
                    </w:rPr>
                    <w:t>符合</w:t>
                  </w:r>
                </w:p>
              </w:tc>
            </w:tr>
            <w:tr w14:paraId="7DA33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40" w:type="pct"/>
                  <w:vMerge w:val="continue"/>
                  <w:vAlign w:val="center"/>
                </w:tcPr>
                <w:p w14:paraId="742F660F">
                  <w:pPr>
                    <w:pStyle w:val="119"/>
                    <w:ind w:firstLine="0" w:firstLineChars="0"/>
                    <w:rPr>
                      <w:szCs w:val="21"/>
                    </w:rPr>
                  </w:pPr>
                </w:p>
              </w:tc>
              <w:tc>
                <w:tcPr>
                  <w:tcW w:w="2346" w:type="pct"/>
                  <w:vAlign w:val="center"/>
                </w:tcPr>
                <w:p w14:paraId="3D63B157">
                  <w:pPr>
                    <w:pStyle w:val="119"/>
                    <w:ind w:firstLine="0" w:firstLineChars="0"/>
                    <w:rPr>
                      <w:szCs w:val="21"/>
                    </w:rPr>
                  </w:pPr>
                  <w:r>
                    <w:rPr>
                      <w:szCs w:val="21"/>
                    </w:rPr>
                    <w:t>粉状、粒状VOCs物料采用气力输送设备、管状带式输送机、螺旋输送机等密闭输送方式，或者采用密闭的包装袋、容器或罐车进行物料转移。</w:t>
                  </w:r>
                </w:p>
              </w:tc>
              <w:tc>
                <w:tcPr>
                  <w:tcW w:w="1858" w:type="pct"/>
                  <w:vMerge w:val="continue"/>
                  <w:vAlign w:val="center"/>
                </w:tcPr>
                <w:p w14:paraId="49E55311">
                  <w:pPr>
                    <w:pStyle w:val="119"/>
                    <w:ind w:firstLine="0" w:firstLineChars="0"/>
                    <w:rPr>
                      <w:szCs w:val="21"/>
                    </w:rPr>
                  </w:pPr>
                </w:p>
              </w:tc>
              <w:tc>
                <w:tcPr>
                  <w:tcW w:w="354" w:type="pct"/>
                  <w:vAlign w:val="center"/>
                </w:tcPr>
                <w:p w14:paraId="0F6435A7">
                  <w:pPr>
                    <w:pStyle w:val="119"/>
                    <w:ind w:firstLine="0" w:firstLineChars="0"/>
                    <w:rPr>
                      <w:szCs w:val="21"/>
                    </w:rPr>
                  </w:pPr>
                  <w:r>
                    <w:rPr>
                      <w:szCs w:val="21"/>
                    </w:rPr>
                    <w:t>符合</w:t>
                  </w:r>
                </w:p>
              </w:tc>
            </w:tr>
            <w:tr w14:paraId="50619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40" w:type="pct"/>
                  <w:vMerge w:val="restart"/>
                  <w:vAlign w:val="center"/>
                </w:tcPr>
                <w:p w14:paraId="6B2B6D34">
                  <w:pPr>
                    <w:pStyle w:val="119"/>
                    <w:ind w:firstLine="0" w:firstLineChars="0"/>
                    <w:rPr>
                      <w:szCs w:val="21"/>
                    </w:rPr>
                  </w:pPr>
                  <w:r>
                    <w:rPr>
                      <w:szCs w:val="21"/>
                    </w:rPr>
                    <w:t>工艺过程</w:t>
                  </w:r>
                </w:p>
              </w:tc>
              <w:tc>
                <w:tcPr>
                  <w:tcW w:w="2346" w:type="pct"/>
                  <w:vAlign w:val="center"/>
                </w:tcPr>
                <w:p w14:paraId="3D98B8AC">
                  <w:pPr>
                    <w:pStyle w:val="119"/>
                    <w:ind w:firstLine="0" w:firstLineChars="0"/>
                    <w:rPr>
                      <w:szCs w:val="21"/>
                    </w:rPr>
                  </w:pPr>
                  <w:r>
                    <w:rPr>
                      <w:rFonts w:hint="eastAsia"/>
                      <w:szCs w:val="21"/>
                    </w:rPr>
                    <w:t>液态VOCs物料采用密闭管道输送方式或采用高位槽（罐）、桶泵等给料方式密闭投加；无法密闭投加的，在密闭空间内操作，或进行局部气体收集，废气排至VOCs废气收集处理系统。</w:t>
                  </w:r>
                </w:p>
              </w:tc>
              <w:tc>
                <w:tcPr>
                  <w:tcW w:w="1858" w:type="pct"/>
                  <w:vMerge w:val="restart"/>
                  <w:vAlign w:val="center"/>
                </w:tcPr>
                <w:p w14:paraId="4127E668">
                  <w:pPr>
                    <w:pStyle w:val="119"/>
                    <w:ind w:firstLine="0" w:firstLineChars="0"/>
                    <w:rPr>
                      <w:szCs w:val="21"/>
                    </w:rPr>
                  </w:pPr>
                  <w:r>
                    <w:rPr>
                      <w:rFonts w:hint="eastAsia"/>
                      <w:szCs w:val="21"/>
                    </w:rPr>
                    <w:t>项目液态物料采用密闭管道投加，固态</w:t>
                  </w:r>
                  <w:r>
                    <w:rPr>
                      <w:szCs w:val="21"/>
                    </w:rPr>
                    <w:t>物料</w:t>
                  </w:r>
                  <w:r>
                    <w:rPr>
                      <w:rFonts w:hint="eastAsia"/>
                      <w:szCs w:val="21"/>
                    </w:rPr>
                    <w:t>采用</w:t>
                  </w:r>
                  <w:r>
                    <w:rPr>
                      <w:szCs w:val="21"/>
                    </w:rPr>
                    <w:t>密闭固体投料器</w:t>
                  </w:r>
                  <w:r>
                    <w:rPr>
                      <w:rFonts w:hint="eastAsia"/>
                      <w:szCs w:val="21"/>
                    </w:rPr>
                    <w:t>投加</w:t>
                  </w:r>
                </w:p>
              </w:tc>
              <w:tc>
                <w:tcPr>
                  <w:tcW w:w="354" w:type="pct"/>
                  <w:vAlign w:val="center"/>
                </w:tcPr>
                <w:p w14:paraId="4541FDA8">
                  <w:pPr>
                    <w:pStyle w:val="119"/>
                    <w:ind w:firstLine="0" w:firstLineChars="0"/>
                    <w:rPr>
                      <w:szCs w:val="21"/>
                    </w:rPr>
                  </w:pPr>
                </w:p>
                <w:p w14:paraId="49536E40">
                  <w:pPr>
                    <w:pStyle w:val="119"/>
                    <w:ind w:firstLine="0" w:firstLineChars="0"/>
                    <w:rPr>
                      <w:szCs w:val="21"/>
                    </w:rPr>
                  </w:pPr>
                  <w:r>
                    <w:rPr>
                      <w:szCs w:val="21"/>
                    </w:rPr>
                    <w:t>符合</w:t>
                  </w:r>
                </w:p>
              </w:tc>
            </w:tr>
            <w:tr w14:paraId="6579B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40" w:type="pct"/>
                  <w:vMerge w:val="continue"/>
                  <w:vAlign w:val="center"/>
                </w:tcPr>
                <w:p w14:paraId="5A34B1A6">
                  <w:pPr>
                    <w:pStyle w:val="119"/>
                    <w:ind w:firstLine="0" w:firstLineChars="0"/>
                    <w:rPr>
                      <w:szCs w:val="21"/>
                    </w:rPr>
                  </w:pPr>
                </w:p>
              </w:tc>
              <w:tc>
                <w:tcPr>
                  <w:tcW w:w="2346" w:type="pct"/>
                  <w:vAlign w:val="center"/>
                </w:tcPr>
                <w:p w14:paraId="039F902E">
                  <w:pPr>
                    <w:pStyle w:val="119"/>
                    <w:ind w:firstLine="0" w:firstLineChars="0"/>
                    <w:rPr>
                      <w:szCs w:val="21"/>
                    </w:rPr>
                  </w:pPr>
                  <w:r>
                    <w:rPr>
                      <w:szCs w:val="21"/>
                    </w:rPr>
                    <w:t>粉状、粒状VOCs物料采用气力输送方式或采用密闭固体投料器等给料方式密闭投加；无法密闭投加的，在密闭空间内操作，或进行局部气体收集，废气排至除尘设施、VOCs废气收集处理系统。</w:t>
                  </w:r>
                </w:p>
              </w:tc>
              <w:tc>
                <w:tcPr>
                  <w:tcW w:w="1858" w:type="pct"/>
                  <w:vMerge w:val="continue"/>
                  <w:vAlign w:val="center"/>
                </w:tcPr>
                <w:p w14:paraId="6F55DC19">
                  <w:pPr>
                    <w:pStyle w:val="119"/>
                    <w:ind w:firstLine="0" w:firstLineChars="0"/>
                    <w:rPr>
                      <w:szCs w:val="21"/>
                    </w:rPr>
                  </w:pPr>
                </w:p>
              </w:tc>
              <w:tc>
                <w:tcPr>
                  <w:tcW w:w="354" w:type="pct"/>
                  <w:vAlign w:val="center"/>
                </w:tcPr>
                <w:p w14:paraId="074DD19A">
                  <w:pPr>
                    <w:pStyle w:val="119"/>
                    <w:ind w:firstLine="0" w:firstLineChars="0"/>
                    <w:rPr>
                      <w:szCs w:val="21"/>
                    </w:rPr>
                  </w:pPr>
                  <w:r>
                    <w:rPr>
                      <w:szCs w:val="21"/>
                    </w:rPr>
                    <w:t>符合</w:t>
                  </w:r>
                </w:p>
              </w:tc>
            </w:tr>
            <w:tr w14:paraId="71DF7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40" w:type="pct"/>
                  <w:vMerge w:val="continue"/>
                  <w:vAlign w:val="center"/>
                </w:tcPr>
                <w:p w14:paraId="7E1E2B2E">
                  <w:pPr>
                    <w:pStyle w:val="119"/>
                    <w:ind w:firstLine="0" w:firstLineChars="0"/>
                    <w:rPr>
                      <w:szCs w:val="21"/>
                    </w:rPr>
                  </w:pPr>
                </w:p>
              </w:tc>
              <w:tc>
                <w:tcPr>
                  <w:tcW w:w="2346" w:type="pct"/>
                  <w:vAlign w:val="center"/>
                </w:tcPr>
                <w:p w14:paraId="1BFF554D">
                  <w:pPr>
                    <w:pStyle w:val="119"/>
                    <w:ind w:firstLine="0" w:firstLineChars="0"/>
                    <w:rPr>
                      <w:szCs w:val="21"/>
                    </w:rPr>
                  </w:pPr>
                  <w:r>
                    <w:rPr>
                      <w:szCs w:val="21"/>
                    </w:rPr>
                    <w:t>在混合/混炼、塑炼/塑化/熔化、加工成型</w:t>
                  </w:r>
                  <w:r>
                    <w:rPr>
                      <w:rFonts w:hint="eastAsia"/>
                      <w:szCs w:val="21"/>
                    </w:rPr>
                    <w:t>（</w:t>
                  </w:r>
                  <w:r>
                    <w:rPr>
                      <w:szCs w:val="21"/>
                    </w:rPr>
                    <w:t>挤出、注射、压制、压延、发泡、纺丝等</w:t>
                  </w:r>
                  <w:r>
                    <w:rPr>
                      <w:rFonts w:hint="eastAsia"/>
                      <w:szCs w:val="21"/>
                    </w:rPr>
                    <w:t>）</w:t>
                  </w:r>
                  <w:r>
                    <w:rPr>
                      <w:szCs w:val="21"/>
                    </w:rPr>
                    <w:t>、硫化等作业中应采用密闭设备或在密闭空间中操作，废气应排至VOCs废气收集处理系统；无法密闭的，应采取局部气体收集措施，废气应排至VOCs废气收集处理系统。</w:t>
                  </w:r>
                </w:p>
              </w:tc>
              <w:tc>
                <w:tcPr>
                  <w:tcW w:w="1858" w:type="pct"/>
                  <w:vMerge w:val="restart"/>
                  <w:vAlign w:val="center"/>
                </w:tcPr>
                <w:p w14:paraId="38E24866">
                  <w:pPr>
                    <w:pStyle w:val="119"/>
                    <w:ind w:firstLine="0" w:firstLineChars="0"/>
                    <w:rPr>
                      <w:szCs w:val="21"/>
                    </w:rPr>
                  </w:pPr>
                  <w:r>
                    <w:rPr>
                      <w:rFonts w:hint="eastAsia"/>
                      <w:szCs w:val="21"/>
                    </w:rPr>
                    <w:t>项目投料、破碎工序的粉尘、挤出、溶胶工序产生的有机废气、臭气浓度经</w:t>
                  </w:r>
                  <w:r>
                    <w:rPr>
                      <w:rFonts w:hint="eastAsia"/>
                    </w:rPr>
                    <w:t>集气罩</w:t>
                  </w:r>
                  <w:r>
                    <w:rPr>
                      <w:rFonts w:hint="eastAsia"/>
                      <w:szCs w:val="21"/>
                    </w:rPr>
                    <w:t>收集后一起由一套“水喷淋+干式过滤器+二级活性炭吸附装置”处理后经30m排气筒DA001高空排放</w:t>
                  </w:r>
                </w:p>
              </w:tc>
              <w:tc>
                <w:tcPr>
                  <w:tcW w:w="354" w:type="pct"/>
                  <w:vAlign w:val="center"/>
                </w:tcPr>
                <w:p w14:paraId="688E0920">
                  <w:pPr>
                    <w:pStyle w:val="119"/>
                    <w:ind w:firstLine="0" w:firstLineChars="0"/>
                    <w:rPr>
                      <w:szCs w:val="21"/>
                    </w:rPr>
                  </w:pPr>
                  <w:r>
                    <w:rPr>
                      <w:szCs w:val="21"/>
                    </w:rPr>
                    <w:t>符合</w:t>
                  </w:r>
                </w:p>
              </w:tc>
            </w:tr>
            <w:tr w14:paraId="66B9F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40" w:type="pct"/>
                  <w:vMerge w:val="continue"/>
                  <w:vAlign w:val="center"/>
                </w:tcPr>
                <w:p w14:paraId="1E33188A">
                  <w:pPr>
                    <w:pStyle w:val="119"/>
                    <w:ind w:firstLine="0" w:firstLineChars="0"/>
                    <w:rPr>
                      <w:szCs w:val="21"/>
                    </w:rPr>
                  </w:pPr>
                </w:p>
              </w:tc>
              <w:tc>
                <w:tcPr>
                  <w:tcW w:w="2346" w:type="pct"/>
                  <w:vAlign w:val="center"/>
                </w:tcPr>
                <w:p w14:paraId="40B3F279">
                  <w:pPr>
                    <w:pStyle w:val="119"/>
                    <w:ind w:firstLine="0" w:firstLineChars="0"/>
                    <w:rPr>
                      <w:szCs w:val="21"/>
                    </w:rPr>
                  </w:pPr>
                  <w:r>
                    <w:rPr>
                      <w:rFonts w:hint="eastAsia"/>
                      <w:szCs w:val="21"/>
                    </w:rPr>
                    <w:t>浸胶、胶浆喷涂、涂胶、喷漆、印刷、清洗等工序使用VOCs质量占比大于等于10%的原辅材料时，其使用过程应采用密闭设备或在密闭空间内操作，废气应排至VOCs废气收集处理系统；无法密闭的，应采取局部气体收集措施，废气应排至VOCs废气收集处理系统。</w:t>
                  </w:r>
                </w:p>
              </w:tc>
              <w:tc>
                <w:tcPr>
                  <w:tcW w:w="1858" w:type="pct"/>
                  <w:vMerge w:val="continue"/>
                  <w:vAlign w:val="center"/>
                </w:tcPr>
                <w:p w14:paraId="0637AA38">
                  <w:pPr>
                    <w:pStyle w:val="119"/>
                    <w:ind w:firstLine="0" w:firstLineChars="0"/>
                    <w:rPr>
                      <w:szCs w:val="21"/>
                    </w:rPr>
                  </w:pPr>
                </w:p>
              </w:tc>
              <w:tc>
                <w:tcPr>
                  <w:tcW w:w="354" w:type="pct"/>
                  <w:vAlign w:val="center"/>
                </w:tcPr>
                <w:p w14:paraId="298A189A">
                  <w:pPr>
                    <w:pStyle w:val="119"/>
                    <w:ind w:firstLine="0" w:firstLineChars="0"/>
                    <w:rPr>
                      <w:szCs w:val="21"/>
                    </w:rPr>
                  </w:pPr>
                  <w:r>
                    <w:rPr>
                      <w:szCs w:val="21"/>
                    </w:rPr>
                    <w:t>符合</w:t>
                  </w:r>
                </w:p>
              </w:tc>
            </w:tr>
            <w:tr w14:paraId="1A8C9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40" w:type="pct"/>
                  <w:vAlign w:val="center"/>
                </w:tcPr>
                <w:p w14:paraId="6FFBF183">
                  <w:pPr>
                    <w:pStyle w:val="119"/>
                    <w:ind w:firstLine="0" w:firstLineChars="0"/>
                    <w:rPr>
                      <w:szCs w:val="21"/>
                    </w:rPr>
                  </w:pPr>
                  <w:r>
                    <w:rPr>
                      <w:rFonts w:hint="eastAsia"/>
                      <w:szCs w:val="21"/>
                    </w:rPr>
                    <w:t>非正常排放</w:t>
                  </w:r>
                </w:p>
              </w:tc>
              <w:tc>
                <w:tcPr>
                  <w:tcW w:w="2346" w:type="pct"/>
                  <w:vAlign w:val="center"/>
                </w:tcPr>
                <w:p w14:paraId="737BF300">
                  <w:pPr>
                    <w:pStyle w:val="119"/>
                    <w:ind w:firstLine="0" w:firstLineChars="0"/>
                    <w:rPr>
                      <w:szCs w:val="21"/>
                    </w:rPr>
                  </w:pPr>
                  <w:r>
                    <w:rPr>
                      <w:rFonts w:hint="eastAsia"/>
                      <w:szCs w:val="21"/>
                    </w:rPr>
                    <w:t>载有VOCs物料的设备及其管道在开停工（车）、检维修和清洗时，应在退料阶段将残存物料退净，并用密闭容器盛装，退料过程废气应排至VOCs废气收集处理系统；清洗及吹扫过程排气应排至VOCs废气收集处理系统。</w:t>
                  </w:r>
                </w:p>
              </w:tc>
              <w:tc>
                <w:tcPr>
                  <w:tcW w:w="1858" w:type="pct"/>
                  <w:vAlign w:val="center"/>
                </w:tcPr>
                <w:p w14:paraId="49844741">
                  <w:pPr>
                    <w:pStyle w:val="119"/>
                    <w:ind w:firstLine="0" w:firstLineChars="0"/>
                    <w:rPr>
                      <w:szCs w:val="21"/>
                    </w:rPr>
                  </w:pPr>
                  <w:r>
                    <w:rPr>
                      <w:rFonts w:hint="eastAsia"/>
                      <w:szCs w:val="21"/>
                    </w:rPr>
                    <w:t>项目开停工、检维修时，物料退净并停止生产</w:t>
                  </w:r>
                </w:p>
              </w:tc>
              <w:tc>
                <w:tcPr>
                  <w:tcW w:w="354" w:type="pct"/>
                  <w:vAlign w:val="center"/>
                </w:tcPr>
                <w:p w14:paraId="37FBB1BD">
                  <w:pPr>
                    <w:pStyle w:val="119"/>
                    <w:ind w:firstLine="0" w:firstLineChars="0"/>
                    <w:rPr>
                      <w:szCs w:val="21"/>
                    </w:rPr>
                  </w:pPr>
                  <w:r>
                    <w:rPr>
                      <w:szCs w:val="21"/>
                    </w:rPr>
                    <w:t>符合</w:t>
                  </w:r>
                </w:p>
              </w:tc>
            </w:tr>
            <w:tr w14:paraId="4B4632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40" w:type="pct"/>
                  <w:vMerge w:val="restart"/>
                  <w:vAlign w:val="center"/>
                </w:tcPr>
                <w:p w14:paraId="3E7E9A6A">
                  <w:pPr>
                    <w:pStyle w:val="119"/>
                    <w:ind w:firstLine="0" w:firstLineChars="0"/>
                    <w:rPr>
                      <w:szCs w:val="21"/>
                    </w:rPr>
                  </w:pPr>
                  <w:r>
                    <w:rPr>
                      <w:szCs w:val="21"/>
                    </w:rPr>
                    <w:t>废气收集</w:t>
                  </w:r>
                </w:p>
              </w:tc>
              <w:tc>
                <w:tcPr>
                  <w:tcW w:w="2346" w:type="pct"/>
                  <w:vAlign w:val="center"/>
                </w:tcPr>
                <w:p w14:paraId="3189D063">
                  <w:pPr>
                    <w:pStyle w:val="119"/>
                    <w:ind w:firstLine="0" w:firstLineChars="0"/>
                    <w:rPr>
                      <w:szCs w:val="21"/>
                    </w:rPr>
                  </w:pPr>
                  <w:r>
                    <w:rPr>
                      <w:szCs w:val="21"/>
                    </w:rPr>
                    <w:t>采用外部集气罩的，距集气罩开口面最远处的VOCs无组织排放位置，控制风速不低于0.3m/s。</w:t>
                  </w:r>
                </w:p>
              </w:tc>
              <w:tc>
                <w:tcPr>
                  <w:tcW w:w="1858" w:type="pct"/>
                  <w:vAlign w:val="center"/>
                </w:tcPr>
                <w:p w14:paraId="26F20ACA">
                  <w:pPr>
                    <w:pStyle w:val="119"/>
                    <w:ind w:firstLine="0" w:firstLineChars="0"/>
                    <w:rPr>
                      <w:szCs w:val="21"/>
                    </w:rPr>
                  </w:pPr>
                  <w:r>
                    <w:rPr>
                      <w:szCs w:val="21"/>
                    </w:rPr>
                    <w:t>本项目</w:t>
                  </w:r>
                  <w:r>
                    <w:rPr>
                      <w:rFonts w:hint="eastAsia"/>
                      <w:szCs w:val="21"/>
                    </w:rPr>
                    <w:t>集气罩</w:t>
                  </w:r>
                  <w:bookmarkStart w:id="41" w:name="OLE_LINK10"/>
                  <w:r>
                    <w:rPr>
                      <w:rFonts w:hint="eastAsia"/>
                      <w:szCs w:val="21"/>
                    </w:rPr>
                    <w:t>控制</w:t>
                  </w:r>
                  <w:r>
                    <w:rPr>
                      <w:szCs w:val="21"/>
                    </w:rPr>
                    <w:t>风速</w:t>
                  </w:r>
                  <w:bookmarkEnd w:id="41"/>
                  <w:r>
                    <w:rPr>
                      <w:rFonts w:hint="eastAsia"/>
                      <w:szCs w:val="21"/>
                    </w:rPr>
                    <w:t>为</w:t>
                  </w:r>
                  <w:r>
                    <w:rPr>
                      <w:szCs w:val="21"/>
                    </w:rPr>
                    <w:t>0.</w:t>
                  </w:r>
                  <w:r>
                    <w:rPr>
                      <w:rFonts w:hint="eastAsia"/>
                      <w:szCs w:val="21"/>
                    </w:rPr>
                    <w:t>55</w:t>
                  </w:r>
                  <w:r>
                    <w:rPr>
                      <w:szCs w:val="21"/>
                    </w:rPr>
                    <w:t>m/s</w:t>
                  </w:r>
                </w:p>
              </w:tc>
              <w:tc>
                <w:tcPr>
                  <w:tcW w:w="354" w:type="pct"/>
                  <w:vAlign w:val="center"/>
                </w:tcPr>
                <w:p w14:paraId="0992958C">
                  <w:pPr>
                    <w:pStyle w:val="119"/>
                    <w:ind w:firstLine="0" w:firstLineChars="0"/>
                    <w:rPr>
                      <w:szCs w:val="21"/>
                    </w:rPr>
                  </w:pPr>
                  <w:r>
                    <w:rPr>
                      <w:szCs w:val="21"/>
                    </w:rPr>
                    <w:t>符合</w:t>
                  </w:r>
                </w:p>
              </w:tc>
            </w:tr>
            <w:tr w14:paraId="43D64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40" w:type="pct"/>
                  <w:vMerge w:val="continue"/>
                  <w:vAlign w:val="center"/>
                </w:tcPr>
                <w:p w14:paraId="0C97E730">
                  <w:pPr>
                    <w:pStyle w:val="119"/>
                    <w:ind w:firstLine="0" w:firstLineChars="0"/>
                    <w:rPr>
                      <w:szCs w:val="21"/>
                    </w:rPr>
                  </w:pPr>
                </w:p>
              </w:tc>
              <w:tc>
                <w:tcPr>
                  <w:tcW w:w="2346" w:type="pct"/>
                  <w:vAlign w:val="center"/>
                </w:tcPr>
                <w:p w14:paraId="156C38D7">
                  <w:pPr>
                    <w:pStyle w:val="119"/>
                    <w:ind w:firstLine="0" w:firstLineChars="0"/>
                    <w:rPr>
                      <w:szCs w:val="21"/>
                    </w:rPr>
                  </w:pPr>
                  <w:r>
                    <w:rPr>
                      <w:szCs w:val="21"/>
                    </w:rPr>
                    <w:t>废气收集系统的输送管道应密闭。废气收集系统应在负压下运行，若处于正压状态，应对管道组件的密封点进行泄漏检测，泄漏检测值不应超过500μmol/mol，亦不应有感官可察觉泄漏。</w:t>
                  </w:r>
                </w:p>
              </w:tc>
              <w:tc>
                <w:tcPr>
                  <w:tcW w:w="1858" w:type="pct"/>
                  <w:vAlign w:val="center"/>
                </w:tcPr>
                <w:p w14:paraId="2C43A81A">
                  <w:pPr>
                    <w:pStyle w:val="119"/>
                    <w:ind w:firstLine="0" w:firstLineChars="0"/>
                    <w:rPr>
                      <w:szCs w:val="21"/>
                    </w:rPr>
                  </w:pPr>
                  <w:r>
                    <w:rPr>
                      <w:rFonts w:hint="eastAsia"/>
                      <w:szCs w:val="21"/>
                    </w:rPr>
                    <w:t>项目废气收集系统的输送管道为密闭管道，在负压状态下运行</w:t>
                  </w:r>
                </w:p>
              </w:tc>
              <w:tc>
                <w:tcPr>
                  <w:tcW w:w="354" w:type="pct"/>
                  <w:vAlign w:val="center"/>
                </w:tcPr>
                <w:p w14:paraId="66971565">
                  <w:pPr>
                    <w:pStyle w:val="119"/>
                    <w:ind w:firstLine="0" w:firstLineChars="0"/>
                    <w:rPr>
                      <w:szCs w:val="21"/>
                    </w:rPr>
                  </w:pPr>
                  <w:r>
                    <w:rPr>
                      <w:szCs w:val="21"/>
                    </w:rPr>
                    <w:t>符合</w:t>
                  </w:r>
                </w:p>
              </w:tc>
            </w:tr>
            <w:tr w14:paraId="2D49D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40" w:type="pct"/>
                  <w:vAlign w:val="center"/>
                </w:tcPr>
                <w:p w14:paraId="026D2F1F">
                  <w:pPr>
                    <w:pStyle w:val="119"/>
                    <w:ind w:firstLine="0" w:firstLineChars="0"/>
                    <w:rPr>
                      <w:szCs w:val="21"/>
                    </w:rPr>
                  </w:pPr>
                </w:p>
                <w:p w14:paraId="1F82A54C">
                  <w:pPr>
                    <w:pStyle w:val="119"/>
                    <w:ind w:firstLine="0" w:firstLineChars="0"/>
                    <w:rPr>
                      <w:szCs w:val="21"/>
                    </w:rPr>
                  </w:pPr>
                </w:p>
                <w:p w14:paraId="126ECF07">
                  <w:pPr>
                    <w:pStyle w:val="119"/>
                    <w:ind w:firstLine="0" w:firstLineChars="0"/>
                    <w:rPr>
                      <w:szCs w:val="21"/>
                    </w:rPr>
                  </w:pPr>
                </w:p>
                <w:p w14:paraId="0D62EFEB">
                  <w:pPr>
                    <w:pStyle w:val="119"/>
                    <w:ind w:firstLine="0" w:firstLineChars="0"/>
                    <w:rPr>
                      <w:szCs w:val="21"/>
                    </w:rPr>
                  </w:pPr>
                </w:p>
                <w:p w14:paraId="1B09C5C0">
                  <w:pPr>
                    <w:pStyle w:val="119"/>
                    <w:ind w:firstLine="0" w:firstLineChars="0"/>
                    <w:rPr>
                      <w:szCs w:val="21"/>
                    </w:rPr>
                  </w:pPr>
                </w:p>
                <w:p w14:paraId="2ECB28E6">
                  <w:pPr>
                    <w:pStyle w:val="119"/>
                    <w:ind w:firstLine="0" w:firstLineChars="0"/>
                    <w:rPr>
                      <w:szCs w:val="21"/>
                    </w:rPr>
                  </w:pPr>
                </w:p>
                <w:p w14:paraId="3A1EA650">
                  <w:pPr>
                    <w:pStyle w:val="119"/>
                    <w:ind w:firstLine="0" w:firstLineChars="0"/>
                    <w:rPr>
                      <w:szCs w:val="21"/>
                    </w:rPr>
                  </w:pPr>
                  <w:r>
                    <w:rPr>
                      <w:szCs w:val="21"/>
                    </w:rPr>
                    <w:t>排放水平</w:t>
                  </w:r>
                </w:p>
              </w:tc>
              <w:tc>
                <w:tcPr>
                  <w:tcW w:w="2346" w:type="pct"/>
                  <w:vAlign w:val="center"/>
                </w:tcPr>
                <w:p w14:paraId="1B96E466">
                  <w:pPr>
                    <w:pStyle w:val="119"/>
                    <w:ind w:firstLine="0" w:firstLineChars="0"/>
                    <w:rPr>
                      <w:szCs w:val="21"/>
                    </w:rPr>
                  </w:pPr>
                  <w:r>
                    <w:rPr>
                      <w:rFonts w:hint="eastAsia"/>
                      <w:szCs w:val="21"/>
                    </w:rPr>
                    <w:t>塑料制品行业：</w:t>
                  </w:r>
                  <w:r>
                    <w:rPr>
                      <w:szCs w:val="21"/>
                    </w:rPr>
                    <w:t>a</w:t>
                  </w:r>
                  <w:r>
                    <w:rPr>
                      <w:rFonts w:hint="eastAsia"/>
                      <w:szCs w:val="21"/>
                    </w:rPr>
                    <w:t>）</w:t>
                  </w:r>
                  <w:r>
                    <w:rPr>
                      <w:szCs w:val="21"/>
                    </w:rPr>
                    <w:t>有机废气排气筒排放浓度不高于广东省《大气污染物排放限值》</w:t>
                  </w:r>
                  <w:r>
                    <w:rPr>
                      <w:rFonts w:hint="eastAsia"/>
                      <w:szCs w:val="21"/>
                    </w:rPr>
                    <w:t>（</w:t>
                  </w:r>
                  <w:r>
                    <w:rPr>
                      <w:szCs w:val="21"/>
                    </w:rPr>
                    <w:t>DB4427-2001</w:t>
                  </w:r>
                  <w:r>
                    <w:rPr>
                      <w:rFonts w:hint="eastAsia"/>
                      <w:szCs w:val="21"/>
                    </w:rPr>
                    <w:t>）</w:t>
                  </w:r>
                  <w:r>
                    <w:rPr>
                      <w:szCs w:val="21"/>
                    </w:rPr>
                    <w:t>第Ⅱ时段排放限值，合成革和人造革制造企业排放浓度不高于《合成革与人造革工业污染物排放标准》</w:t>
                  </w:r>
                  <w:r>
                    <w:rPr>
                      <w:rFonts w:hint="eastAsia"/>
                      <w:szCs w:val="21"/>
                    </w:rPr>
                    <w:t>（</w:t>
                  </w:r>
                  <w:r>
                    <w:rPr>
                      <w:szCs w:val="21"/>
                    </w:rPr>
                    <w:t>GB21902-2008</w:t>
                  </w:r>
                  <w:r>
                    <w:rPr>
                      <w:rFonts w:hint="eastAsia"/>
                      <w:szCs w:val="21"/>
                    </w:rPr>
                    <w:t>）</w:t>
                  </w:r>
                  <w:r>
                    <w:rPr>
                      <w:szCs w:val="21"/>
                    </w:rPr>
                    <w:t>排放限值，若国家和我省出台并实施适用于塑料制品制造业的大气污染物排放标准，则有机废气排气筒排放浓度不高于相应的排放限值；车间或生产设施排气中NMHC初始排放速率≥3kg/h时，建设</w:t>
                  </w:r>
                  <w:bookmarkStart w:id="42" w:name="OLE_LINK333"/>
                  <w:bookmarkStart w:id="43" w:name="OLE_LINK174"/>
                  <w:r>
                    <w:rPr>
                      <w:szCs w:val="21"/>
                    </w:rPr>
                    <w:t>VOCs</w:t>
                  </w:r>
                  <w:bookmarkEnd w:id="42"/>
                  <w:r>
                    <w:rPr>
                      <w:szCs w:val="21"/>
                    </w:rPr>
                    <w:t>处理设施且处理效率≥80%</w:t>
                  </w:r>
                  <w:bookmarkEnd w:id="43"/>
                  <w:r>
                    <w:rPr>
                      <w:szCs w:val="21"/>
                    </w:rPr>
                    <w:t>；b</w:t>
                  </w:r>
                  <w:r>
                    <w:rPr>
                      <w:rFonts w:hint="eastAsia"/>
                      <w:szCs w:val="21"/>
                    </w:rPr>
                    <w:t>）</w:t>
                  </w:r>
                  <w:r>
                    <w:rPr>
                      <w:szCs w:val="21"/>
                    </w:rPr>
                    <w:t>厂区内无组织排放监控点NMHC的小时平均浓度值不超过6mg/m</w:t>
                  </w:r>
                  <w:r>
                    <w:rPr>
                      <w:szCs w:val="21"/>
                      <w:vertAlign w:val="superscript"/>
                    </w:rPr>
                    <w:t>3</w:t>
                  </w:r>
                  <w:r>
                    <w:rPr>
                      <w:szCs w:val="21"/>
                    </w:rPr>
                    <w:t>，任意一次浓度值不超过20mg/m</w:t>
                  </w:r>
                  <w:r>
                    <w:rPr>
                      <w:szCs w:val="21"/>
                      <w:vertAlign w:val="superscript"/>
                    </w:rPr>
                    <w:t>3</w:t>
                  </w:r>
                  <w:r>
                    <w:rPr>
                      <w:szCs w:val="21"/>
                    </w:rPr>
                    <w:t>。</w:t>
                  </w:r>
                </w:p>
              </w:tc>
              <w:tc>
                <w:tcPr>
                  <w:tcW w:w="1858" w:type="pct"/>
                  <w:vAlign w:val="center"/>
                </w:tcPr>
                <w:p w14:paraId="48961E97">
                  <w:pPr>
                    <w:pStyle w:val="119"/>
                    <w:ind w:firstLine="0" w:firstLineChars="0"/>
                    <w:rPr>
                      <w:kern w:val="0"/>
                      <w:szCs w:val="21"/>
                      <w:shd w:val="clear" w:color="auto" w:fill="FFFFFF"/>
                    </w:rPr>
                  </w:pPr>
                  <w:bookmarkStart w:id="44" w:name="OLE_LINK137"/>
                  <w:r>
                    <w:rPr>
                      <w:rFonts w:hint="eastAsia"/>
                      <w:szCs w:val="21"/>
                    </w:rPr>
                    <w:t>非甲烷总烃执行《合成树脂工业污染物排放标准（含2024年修改单）》（GB31572-2015）中表5大气污染物特别排放限值和表9大气污染物排放限值，NMHC初始排放速率小于3kg/h，项目VOCs废气处理效率可达85%，厂区内无组织排放监控点NMHC的小时平均浓度值不超过6mg/m</w:t>
                  </w:r>
                  <w:r>
                    <w:rPr>
                      <w:rFonts w:hint="eastAsia"/>
                      <w:szCs w:val="21"/>
                      <w:vertAlign w:val="superscript"/>
                    </w:rPr>
                    <w:t>3</w:t>
                  </w:r>
                  <w:r>
                    <w:rPr>
                      <w:rFonts w:hint="eastAsia"/>
                      <w:szCs w:val="21"/>
                    </w:rPr>
                    <w:t>，任意一次浓度值不超过20mg/m</w:t>
                  </w:r>
                  <w:r>
                    <w:rPr>
                      <w:rFonts w:hint="eastAsia"/>
                      <w:szCs w:val="21"/>
                      <w:vertAlign w:val="superscript"/>
                    </w:rPr>
                    <w:t>3</w:t>
                  </w:r>
                </w:p>
                <w:bookmarkEnd w:id="44"/>
                <w:p w14:paraId="40F0B1EC">
                  <w:pPr>
                    <w:pStyle w:val="119"/>
                    <w:ind w:firstLine="0" w:firstLineChars="0"/>
                    <w:rPr>
                      <w:szCs w:val="21"/>
                    </w:rPr>
                  </w:pPr>
                </w:p>
              </w:tc>
              <w:tc>
                <w:tcPr>
                  <w:tcW w:w="354" w:type="pct"/>
                  <w:vAlign w:val="center"/>
                </w:tcPr>
                <w:p w14:paraId="7BA1B769">
                  <w:pPr>
                    <w:pStyle w:val="119"/>
                    <w:ind w:firstLine="0" w:firstLineChars="0"/>
                    <w:rPr>
                      <w:szCs w:val="21"/>
                    </w:rPr>
                  </w:pPr>
                  <w:r>
                    <w:rPr>
                      <w:szCs w:val="21"/>
                    </w:rPr>
                    <w:t>符合</w:t>
                  </w:r>
                </w:p>
              </w:tc>
            </w:tr>
            <w:tr w14:paraId="4193A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40" w:type="pct"/>
                  <w:vMerge w:val="restart"/>
                  <w:vAlign w:val="center"/>
                </w:tcPr>
                <w:p w14:paraId="75BA1A7C">
                  <w:pPr>
                    <w:pStyle w:val="119"/>
                    <w:ind w:firstLine="0" w:firstLineChars="0"/>
                    <w:rPr>
                      <w:szCs w:val="21"/>
                    </w:rPr>
                  </w:pPr>
                  <w:r>
                    <w:rPr>
                      <w:szCs w:val="21"/>
                    </w:rPr>
                    <w:t>治理设施设计与运行管理</w:t>
                  </w:r>
                </w:p>
              </w:tc>
              <w:tc>
                <w:tcPr>
                  <w:tcW w:w="2346" w:type="pct"/>
                  <w:vAlign w:val="center"/>
                </w:tcPr>
                <w:p w14:paraId="7CC3D05B">
                  <w:pPr>
                    <w:pStyle w:val="119"/>
                    <w:ind w:firstLine="0" w:firstLineChars="0"/>
                    <w:rPr>
                      <w:szCs w:val="21"/>
                    </w:rPr>
                  </w:pPr>
                  <w:r>
                    <w:rPr>
                      <w:szCs w:val="21"/>
                    </w:rPr>
                    <w:t>吸附床</w:t>
                  </w:r>
                  <w:r>
                    <w:rPr>
                      <w:rFonts w:hint="eastAsia"/>
                      <w:szCs w:val="21"/>
                    </w:rPr>
                    <w:t>（</w:t>
                  </w:r>
                  <w:r>
                    <w:rPr>
                      <w:szCs w:val="21"/>
                    </w:rPr>
                    <w:t>含活性炭吸附法</w:t>
                  </w:r>
                  <w:r>
                    <w:rPr>
                      <w:rFonts w:hint="eastAsia"/>
                      <w:szCs w:val="21"/>
                    </w:rPr>
                    <w:t>）</w:t>
                  </w:r>
                  <w:r>
                    <w:rPr>
                      <w:szCs w:val="21"/>
                    </w:rPr>
                    <w:t>：a</w:t>
                  </w:r>
                  <w:r>
                    <w:rPr>
                      <w:rFonts w:hint="eastAsia"/>
                      <w:szCs w:val="21"/>
                    </w:rPr>
                    <w:t>）</w:t>
                  </w:r>
                  <w:r>
                    <w:rPr>
                      <w:szCs w:val="21"/>
                    </w:rPr>
                    <w:t>预处理设备应根据废气的成分、性质和影响吸附过程的物质性质及含量进行选择；b</w:t>
                  </w:r>
                  <w:r>
                    <w:rPr>
                      <w:rFonts w:hint="eastAsia"/>
                      <w:szCs w:val="21"/>
                    </w:rPr>
                    <w:t>）</w:t>
                  </w:r>
                  <w:r>
                    <w:rPr>
                      <w:szCs w:val="21"/>
                    </w:rPr>
                    <w:t>吸附床层的吸附剂用量应根据废气处理量、污染物浓度和吸附剂的动态吸附量确定；c</w:t>
                  </w:r>
                  <w:r>
                    <w:rPr>
                      <w:rFonts w:hint="eastAsia"/>
                      <w:szCs w:val="21"/>
                    </w:rPr>
                    <w:t>）</w:t>
                  </w:r>
                  <w:r>
                    <w:rPr>
                      <w:szCs w:val="21"/>
                    </w:rPr>
                    <w:t>吸附剂应及时更换或有效再生。</w:t>
                  </w:r>
                </w:p>
              </w:tc>
              <w:tc>
                <w:tcPr>
                  <w:tcW w:w="1858" w:type="pct"/>
                  <w:vAlign w:val="center"/>
                </w:tcPr>
                <w:p w14:paraId="33561DAC">
                  <w:pPr>
                    <w:pStyle w:val="119"/>
                    <w:ind w:firstLine="0" w:firstLineChars="0"/>
                    <w:rPr>
                      <w:szCs w:val="21"/>
                    </w:rPr>
                  </w:pPr>
                  <w:r>
                    <w:rPr>
                      <w:szCs w:val="21"/>
                    </w:rPr>
                    <w:t>项目</w:t>
                  </w:r>
                  <w:r>
                    <w:rPr>
                      <w:rFonts w:hint="eastAsia"/>
                      <w:szCs w:val="21"/>
                    </w:rPr>
                    <w:t>活性炭用量根据废气处理量、污染物浓度和吸附剂的动态吸附量确定，废活性炭</w:t>
                  </w:r>
                  <w:r>
                    <w:rPr>
                      <w:szCs w:val="21"/>
                    </w:rPr>
                    <w:t>及时更换</w:t>
                  </w:r>
                </w:p>
              </w:tc>
              <w:tc>
                <w:tcPr>
                  <w:tcW w:w="354" w:type="pct"/>
                  <w:vAlign w:val="center"/>
                </w:tcPr>
                <w:p w14:paraId="75763AA6">
                  <w:pPr>
                    <w:pStyle w:val="119"/>
                    <w:ind w:firstLine="0" w:firstLineChars="0"/>
                    <w:rPr>
                      <w:szCs w:val="21"/>
                    </w:rPr>
                  </w:pPr>
                  <w:r>
                    <w:rPr>
                      <w:szCs w:val="21"/>
                    </w:rPr>
                    <w:t>符合</w:t>
                  </w:r>
                </w:p>
              </w:tc>
            </w:tr>
            <w:tr w14:paraId="0CF48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40" w:type="pct"/>
                  <w:vMerge w:val="continue"/>
                  <w:vAlign w:val="center"/>
                </w:tcPr>
                <w:p w14:paraId="42A537D0">
                  <w:pPr>
                    <w:pStyle w:val="119"/>
                    <w:ind w:firstLine="0" w:firstLineChars="0"/>
                    <w:rPr>
                      <w:szCs w:val="21"/>
                    </w:rPr>
                  </w:pPr>
                </w:p>
              </w:tc>
              <w:tc>
                <w:tcPr>
                  <w:tcW w:w="2346" w:type="pct"/>
                  <w:vAlign w:val="center"/>
                </w:tcPr>
                <w:p w14:paraId="5CB83241">
                  <w:pPr>
                    <w:pStyle w:val="119"/>
                    <w:ind w:firstLine="0" w:firstLineChars="0"/>
                    <w:rPr>
                      <w:szCs w:val="21"/>
                    </w:rPr>
                  </w:pPr>
                  <w:r>
                    <w:rPr>
                      <w:szCs w:val="21"/>
                    </w:rPr>
                    <w:t>VOCs治理设施应与生产工艺设备同步运行，VOCs治理设施发生故障或检修时，对应的生产工艺设备应停止运行，待检修完毕后同步投入使用；生产工艺设备不能停止运行或不能及时停止运行的，应设置废气应急处理设施或采取其他替代措施。</w:t>
                  </w:r>
                </w:p>
              </w:tc>
              <w:tc>
                <w:tcPr>
                  <w:tcW w:w="1858" w:type="pct"/>
                  <w:vAlign w:val="center"/>
                </w:tcPr>
                <w:p w14:paraId="44D3B49D">
                  <w:pPr>
                    <w:pStyle w:val="119"/>
                    <w:ind w:firstLine="0" w:firstLineChars="0"/>
                    <w:rPr>
                      <w:szCs w:val="21"/>
                    </w:rPr>
                  </w:pPr>
                  <w:r>
                    <w:rPr>
                      <w:szCs w:val="21"/>
                    </w:rPr>
                    <w:t>项目废气治理</w:t>
                  </w:r>
                  <w:r>
                    <w:rPr>
                      <w:rFonts w:hint="eastAsia"/>
                      <w:szCs w:val="21"/>
                    </w:rPr>
                    <w:t>设</w:t>
                  </w:r>
                  <w:r>
                    <w:rPr>
                      <w:szCs w:val="21"/>
                    </w:rPr>
                    <w:t>施与生产工艺同时使用，废气治理设施故障或检修时</w:t>
                  </w:r>
                  <w:r>
                    <w:rPr>
                      <w:rFonts w:hint="eastAsia"/>
                      <w:szCs w:val="21"/>
                    </w:rPr>
                    <w:t>应</w:t>
                  </w:r>
                  <w:r>
                    <w:rPr>
                      <w:szCs w:val="21"/>
                    </w:rPr>
                    <w:t>停止生产</w:t>
                  </w:r>
                </w:p>
              </w:tc>
              <w:tc>
                <w:tcPr>
                  <w:tcW w:w="354" w:type="pct"/>
                  <w:vAlign w:val="center"/>
                </w:tcPr>
                <w:p w14:paraId="2AC55F13">
                  <w:pPr>
                    <w:pStyle w:val="119"/>
                    <w:ind w:firstLine="0" w:firstLineChars="0"/>
                    <w:rPr>
                      <w:szCs w:val="21"/>
                    </w:rPr>
                  </w:pPr>
                  <w:r>
                    <w:rPr>
                      <w:szCs w:val="21"/>
                    </w:rPr>
                    <w:t>符合</w:t>
                  </w:r>
                </w:p>
              </w:tc>
            </w:tr>
            <w:tr w14:paraId="053DF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40" w:type="pct"/>
                  <w:vMerge w:val="restart"/>
                  <w:vAlign w:val="center"/>
                </w:tcPr>
                <w:p w14:paraId="2B3EA8C8">
                  <w:pPr>
                    <w:pStyle w:val="119"/>
                    <w:ind w:firstLine="0" w:firstLineChars="0"/>
                    <w:rPr>
                      <w:szCs w:val="21"/>
                    </w:rPr>
                  </w:pPr>
                  <w:r>
                    <w:rPr>
                      <w:szCs w:val="21"/>
                    </w:rPr>
                    <w:t>管理台账</w:t>
                  </w:r>
                </w:p>
              </w:tc>
              <w:tc>
                <w:tcPr>
                  <w:tcW w:w="2346" w:type="pct"/>
                  <w:vAlign w:val="center"/>
                </w:tcPr>
                <w:p w14:paraId="589F1C2C">
                  <w:pPr>
                    <w:pStyle w:val="119"/>
                    <w:ind w:firstLine="0" w:firstLineChars="0"/>
                    <w:rPr>
                      <w:szCs w:val="21"/>
                    </w:rPr>
                  </w:pPr>
                  <w:r>
                    <w:rPr>
                      <w:szCs w:val="21"/>
                    </w:rPr>
                    <w:t>建立含VOCs原辅材料台账，记录含VOCs原辅材料的名称及其VOCs含量、采购量、使用量、库存量、含VOCs原辅材料回收方式及回收量。</w:t>
                  </w:r>
                </w:p>
              </w:tc>
              <w:tc>
                <w:tcPr>
                  <w:tcW w:w="1858" w:type="pct"/>
                  <w:vMerge w:val="restart"/>
                  <w:vAlign w:val="center"/>
                </w:tcPr>
                <w:p w14:paraId="2E95E791">
                  <w:pPr>
                    <w:pStyle w:val="119"/>
                    <w:ind w:firstLine="0" w:firstLineChars="0"/>
                    <w:rPr>
                      <w:szCs w:val="21"/>
                    </w:rPr>
                  </w:pPr>
                  <w:r>
                    <w:rPr>
                      <w:szCs w:val="21"/>
                    </w:rPr>
                    <w:t>项目将</w:t>
                  </w:r>
                  <w:r>
                    <w:rPr>
                      <w:rFonts w:hint="eastAsia"/>
                      <w:szCs w:val="21"/>
                    </w:rPr>
                    <w:t>按相关要求</w:t>
                  </w:r>
                  <w:r>
                    <w:rPr>
                      <w:szCs w:val="21"/>
                    </w:rPr>
                    <w:t>建立台账</w:t>
                  </w:r>
                  <w:r>
                    <w:rPr>
                      <w:rFonts w:hint="eastAsia"/>
                      <w:szCs w:val="21"/>
                    </w:rPr>
                    <w:t>，且</w:t>
                  </w:r>
                  <w:r>
                    <w:rPr>
                      <w:szCs w:val="21"/>
                    </w:rPr>
                    <w:t>保存期限不少于3年</w:t>
                  </w:r>
                </w:p>
              </w:tc>
              <w:tc>
                <w:tcPr>
                  <w:tcW w:w="354" w:type="pct"/>
                  <w:vAlign w:val="center"/>
                </w:tcPr>
                <w:p w14:paraId="3C2032AF">
                  <w:pPr>
                    <w:pStyle w:val="119"/>
                    <w:ind w:firstLine="0" w:firstLineChars="0"/>
                    <w:rPr>
                      <w:szCs w:val="21"/>
                    </w:rPr>
                  </w:pPr>
                  <w:r>
                    <w:rPr>
                      <w:szCs w:val="21"/>
                    </w:rPr>
                    <w:t>符合</w:t>
                  </w:r>
                </w:p>
              </w:tc>
            </w:tr>
            <w:tr w14:paraId="015BF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40" w:type="pct"/>
                  <w:vMerge w:val="continue"/>
                  <w:vAlign w:val="center"/>
                </w:tcPr>
                <w:p w14:paraId="03752659">
                  <w:pPr>
                    <w:pStyle w:val="119"/>
                    <w:ind w:firstLine="0" w:firstLineChars="0"/>
                    <w:rPr>
                      <w:szCs w:val="21"/>
                    </w:rPr>
                  </w:pPr>
                </w:p>
              </w:tc>
              <w:tc>
                <w:tcPr>
                  <w:tcW w:w="2346" w:type="pct"/>
                  <w:vAlign w:val="center"/>
                </w:tcPr>
                <w:p w14:paraId="2DFC7D6C">
                  <w:pPr>
                    <w:pStyle w:val="119"/>
                    <w:ind w:firstLine="0" w:firstLineChars="0"/>
                    <w:rPr>
                      <w:szCs w:val="21"/>
                    </w:rPr>
                  </w:pPr>
                  <w:r>
                    <w:rPr>
                      <w:szCs w:val="21"/>
                    </w:rPr>
                    <w:t>建立废气收集处理设施台账，记录废气处理设施进出口的监测数据</w:t>
                  </w:r>
                  <w:r>
                    <w:rPr>
                      <w:rFonts w:hint="eastAsia"/>
                      <w:szCs w:val="21"/>
                    </w:rPr>
                    <w:t>（</w:t>
                  </w:r>
                  <w:r>
                    <w:rPr>
                      <w:szCs w:val="21"/>
                    </w:rPr>
                    <w:t>废气量、浓度、温度、含氧量等</w:t>
                  </w:r>
                  <w:r>
                    <w:rPr>
                      <w:rFonts w:hint="eastAsia"/>
                      <w:szCs w:val="21"/>
                    </w:rPr>
                    <w:t>）</w:t>
                  </w:r>
                  <w:r>
                    <w:rPr>
                      <w:szCs w:val="21"/>
                    </w:rPr>
                    <w:t>、废气收集与处理设施关键参数、废气处理设施相关耗材</w:t>
                  </w:r>
                  <w:r>
                    <w:rPr>
                      <w:rFonts w:hint="eastAsia"/>
                      <w:szCs w:val="21"/>
                    </w:rPr>
                    <w:t>（</w:t>
                  </w:r>
                  <w:r>
                    <w:rPr>
                      <w:szCs w:val="21"/>
                    </w:rPr>
                    <w:t>吸收剂、吸附剂、催化剂等</w:t>
                  </w:r>
                  <w:r>
                    <w:rPr>
                      <w:rFonts w:hint="eastAsia"/>
                      <w:szCs w:val="21"/>
                    </w:rPr>
                    <w:t>）</w:t>
                  </w:r>
                  <w:r>
                    <w:rPr>
                      <w:szCs w:val="21"/>
                    </w:rPr>
                    <w:t>购买和处理记录。</w:t>
                  </w:r>
                </w:p>
              </w:tc>
              <w:tc>
                <w:tcPr>
                  <w:tcW w:w="1858" w:type="pct"/>
                  <w:vMerge w:val="continue"/>
                  <w:vAlign w:val="center"/>
                </w:tcPr>
                <w:p w14:paraId="7C6476EF">
                  <w:pPr>
                    <w:pStyle w:val="119"/>
                    <w:ind w:firstLine="0" w:firstLineChars="0"/>
                    <w:rPr>
                      <w:szCs w:val="21"/>
                    </w:rPr>
                  </w:pPr>
                </w:p>
              </w:tc>
              <w:tc>
                <w:tcPr>
                  <w:tcW w:w="354" w:type="pct"/>
                  <w:vAlign w:val="center"/>
                </w:tcPr>
                <w:p w14:paraId="7883DDC2">
                  <w:pPr>
                    <w:pStyle w:val="119"/>
                    <w:ind w:firstLine="0" w:firstLineChars="0"/>
                    <w:rPr>
                      <w:szCs w:val="21"/>
                    </w:rPr>
                  </w:pPr>
                  <w:r>
                    <w:rPr>
                      <w:szCs w:val="21"/>
                    </w:rPr>
                    <w:t>符合</w:t>
                  </w:r>
                </w:p>
              </w:tc>
            </w:tr>
            <w:tr w14:paraId="25941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40" w:type="pct"/>
                  <w:vMerge w:val="continue"/>
                  <w:vAlign w:val="center"/>
                </w:tcPr>
                <w:p w14:paraId="7B89AFAC">
                  <w:pPr>
                    <w:pStyle w:val="119"/>
                    <w:ind w:firstLine="0" w:firstLineChars="0"/>
                    <w:rPr>
                      <w:szCs w:val="21"/>
                    </w:rPr>
                  </w:pPr>
                </w:p>
              </w:tc>
              <w:tc>
                <w:tcPr>
                  <w:tcW w:w="2346" w:type="pct"/>
                  <w:vAlign w:val="center"/>
                </w:tcPr>
                <w:p w14:paraId="4E33C081">
                  <w:pPr>
                    <w:pStyle w:val="119"/>
                    <w:ind w:firstLine="0" w:firstLineChars="0"/>
                    <w:rPr>
                      <w:szCs w:val="21"/>
                    </w:rPr>
                  </w:pPr>
                  <w:r>
                    <w:rPr>
                      <w:szCs w:val="21"/>
                    </w:rPr>
                    <w:t>建立危废台账，整理危废处置合同、转移联单及危废处理方资质佐证材料。</w:t>
                  </w:r>
                </w:p>
              </w:tc>
              <w:tc>
                <w:tcPr>
                  <w:tcW w:w="1858" w:type="pct"/>
                  <w:vMerge w:val="continue"/>
                  <w:vAlign w:val="center"/>
                </w:tcPr>
                <w:p w14:paraId="0E9B7E12">
                  <w:pPr>
                    <w:pStyle w:val="119"/>
                    <w:ind w:firstLine="0" w:firstLineChars="0"/>
                    <w:rPr>
                      <w:szCs w:val="21"/>
                    </w:rPr>
                  </w:pPr>
                </w:p>
              </w:tc>
              <w:tc>
                <w:tcPr>
                  <w:tcW w:w="354" w:type="pct"/>
                  <w:vAlign w:val="center"/>
                </w:tcPr>
                <w:p w14:paraId="60347A6E">
                  <w:pPr>
                    <w:pStyle w:val="119"/>
                    <w:ind w:firstLine="0" w:firstLineChars="0"/>
                    <w:rPr>
                      <w:szCs w:val="21"/>
                    </w:rPr>
                  </w:pPr>
                  <w:r>
                    <w:rPr>
                      <w:szCs w:val="21"/>
                    </w:rPr>
                    <w:t>符合</w:t>
                  </w:r>
                </w:p>
              </w:tc>
            </w:tr>
            <w:tr w14:paraId="2934A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7" w:hRule="atLeast"/>
                <w:jc w:val="center"/>
              </w:trPr>
              <w:tc>
                <w:tcPr>
                  <w:tcW w:w="440" w:type="pct"/>
                  <w:vMerge w:val="continue"/>
                  <w:vAlign w:val="center"/>
                </w:tcPr>
                <w:p w14:paraId="2F2627DC">
                  <w:pPr>
                    <w:pStyle w:val="119"/>
                    <w:ind w:firstLine="0" w:firstLineChars="0"/>
                    <w:rPr>
                      <w:szCs w:val="21"/>
                    </w:rPr>
                  </w:pPr>
                </w:p>
              </w:tc>
              <w:tc>
                <w:tcPr>
                  <w:tcW w:w="2346" w:type="pct"/>
                  <w:vAlign w:val="center"/>
                </w:tcPr>
                <w:p w14:paraId="7A82216E">
                  <w:pPr>
                    <w:pStyle w:val="119"/>
                    <w:ind w:firstLine="0" w:firstLineChars="0"/>
                    <w:rPr>
                      <w:szCs w:val="21"/>
                    </w:rPr>
                  </w:pPr>
                  <w:r>
                    <w:rPr>
                      <w:szCs w:val="21"/>
                    </w:rPr>
                    <w:t>台账保存期限不少于3年。</w:t>
                  </w:r>
                </w:p>
              </w:tc>
              <w:tc>
                <w:tcPr>
                  <w:tcW w:w="1858" w:type="pct"/>
                  <w:vMerge w:val="continue"/>
                  <w:vAlign w:val="center"/>
                </w:tcPr>
                <w:p w14:paraId="63063A56">
                  <w:pPr>
                    <w:pStyle w:val="119"/>
                    <w:ind w:firstLine="0" w:firstLineChars="0"/>
                    <w:rPr>
                      <w:szCs w:val="21"/>
                    </w:rPr>
                  </w:pPr>
                </w:p>
              </w:tc>
              <w:tc>
                <w:tcPr>
                  <w:tcW w:w="354" w:type="pct"/>
                  <w:vAlign w:val="center"/>
                </w:tcPr>
                <w:p w14:paraId="033B1E21">
                  <w:pPr>
                    <w:pStyle w:val="119"/>
                    <w:ind w:firstLine="0" w:firstLineChars="0"/>
                    <w:rPr>
                      <w:szCs w:val="21"/>
                    </w:rPr>
                  </w:pPr>
                  <w:r>
                    <w:rPr>
                      <w:szCs w:val="21"/>
                    </w:rPr>
                    <w:t>符合</w:t>
                  </w:r>
                </w:p>
              </w:tc>
            </w:tr>
            <w:tr w14:paraId="10303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05" w:hRule="atLeast"/>
                <w:jc w:val="center"/>
              </w:trPr>
              <w:tc>
                <w:tcPr>
                  <w:tcW w:w="440" w:type="pct"/>
                  <w:vAlign w:val="center"/>
                </w:tcPr>
                <w:p w14:paraId="3E2EB1EE">
                  <w:pPr>
                    <w:pStyle w:val="119"/>
                    <w:ind w:firstLine="0" w:firstLineChars="0"/>
                    <w:rPr>
                      <w:szCs w:val="21"/>
                    </w:rPr>
                  </w:pPr>
                </w:p>
                <w:p w14:paraId="622A2773">
                  <w:pPr>
                    <w:pStyle w:val="119"/>
                    <w:ind w:firstLine="0" w:firstLineChars="0"/>
                    <w:rPr>
                      <w:szCs w:val="21"/>
                    </w:rPr>
                  </w:pPr>
                  <w:r>
                    <w:rPr>
                      <w:szCs w:val="21"/>
                    </w:rPr>
                    <w:t>自行监测</w:t>
                  </w:r>
                </w:p>
              </w:tc>
              <w:tc>
                <w:tcPr>
                  <w:tcW w:w="2346" w:type="pct"/>
                  <w:vAlign w:val="center"/>
                </w:tcPr>
                <w:p w14:paraId="72E1260E">
                  <w:pPr>
                    <w:pStyle w:val="119"/>
                    <w:ind w:firstLine="0" w:firstLineChars="0"/>
                    <w:rPr>
                      <w:szCs w:val="21"/>
                    </w:rPr>
                  </w:pPr>
                  <w:r>
                    <w:rPr>
                      <w:szCs w:val="21"/>
                    </w:rPr>
                    <w:t>塑料制品行业简化管理排污单位废气排放口及无组织排放每年一次</w:t>
                  </w:r>
                </w:p>
              </w:tc>
              <w:tc>
                <w:tcPr>
                  <w:tcW w:w="1858" w:type="pct"/>
                  <w:vAlign w:val="center"/>
                </w:tcPr>
                <w:p w14:paraId="746F88D5">
                  <w:pPr>
                    <w:pStyle w:val="119"/>
                    <w:ind w:firstLine="0" w:firstLineChars="0"/>
                    <w:rPr>
                      <w:szCs w:val="21"/>
                    </w:rPr>
                  </w:pPr>
                  <w:r>
                    <w:rPr>
                      <w:szCs w:val="21"/>
                    </w:rPr>
                    <w:t>项目</w:t>
                  </w:r>
                  <w:r>
                    <w:rPr>
                      <w:rFonts w:hint="eastAsia"/>
                      <w:szCs w:val="21"/>
                    </w:rPr>
                    <w:t>按相关要求</w:t>
                  </w:r>
                  <w:r>
                    <w:rPr>
                      <w:szCs w:val="21"/>
                    </w:rPr>
                    <w:t>每年监测一次</w:t>
                  </w:r>
                </w:p>
              </w:tc>
              <w:tc>
                <w:tcPr>
                  <w:tcW w:w="354" w:type="pct"/>
                  <w:vAlign w:val="center"/>
                </w:tcPr>
                <w:p w14:paraId="1AF07ADC">
                  <w:pPr>
                    <w:pStyle w:val="119"/>
                    <w:ind w:firstLine="0" w:firstLineChars="0"/>
                    <w:rPr>
                      <w:szCs w:val="21"/>
                    </w:rPr>
                  </w:pPr>
                </w:p>
                <w:p w14:paraId="77B042A0">
                  <w:pPr>
                    <w:pStyle w:val="119"/>
                    <w:ind w:firstLine="0" w:firstLineChars="0"/>
                    <w:rPr>
                      <w:szCs w:val="21"/>
                    </w:rPr>
                  </w:pPr>
                  <w:r>
                    <w:rPr>
                      <w:szCs w:val="21"/>
                    </w:rPr>
                    <w:t>符合</w:t>
                  </w:r>
                </w:p>
              </w:tc>
            </w:tr>
            <w:tr w14:paraId="41A5F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40" w:type="pct"/>
                  <w:vAlign w:val="center"/>
                </w:tcPr>
                <w:p w14:paraId="1A894952">
                  <w:pPr>
                    <w:pStyle w:val="119"/>
                    <w:ind w:firstLine="0" w:firstLineChars="0"/>
                    <w:rPr>
                      <w:szCs w:val="21"/>
                    </w:rPr>
                  </w:pPr>
                  <w:r>
                    <w:rPr>
                      <w:szCs w:val="21"/>
                    </w:rPr>
                    <w:t>危废管理</w:t>
                  </w:r>
                </w:p>
              </w:tc>
              <w:tc>
                <w:tcPr>
                  <w:tcW w:w="2346" w:type="pct"/>
                  <w:vAlign w:val="center"/>
                </w:tcPr>
                <w:p w14:paraId="538AB503">
                  <w:pPr>
                    <w:pStyle w:val="119"/>
                    <w:ind w:firstLine="0" w:firstLineChars="0"/>
                    <w:rPr>
                      <w:szCs w:val="21"/>
                    </w:rPr>
                  </w:pPr>
                  <w:r>
                    <w:rPr>
                      <w:szCs w:val="21"/>
                    </w:rPr>
                    <w:t>工艺过程产生的含VOCs废料</w:t>
                  </w:r>
                  <w:r>
                    <w:rPr>
                      <w:rFonts w:hint="eastAsia"/>
                      <w:szCs w:val="21"/>
                    </w:rPr>
                    <w:t>（</w:t>
                  </w:r>
                  <w:r>
                    <w:rPr>
                      <w:szCs w:val="21"/>
                    </w:rPr>
                    <w:t>渣、液</w:t>
                  </w:r>
                  <w:r>
                    <w:rPr>
                      <w:rFonts w:hint="eastAsia"/>
                      <w:szCs w:val="21"/>
                    </w:rPr>
                    <w:t>）</w:t>
                  </w:r>
                  <w:r>
                    <w:rPr>
                      <w:szCs w:val="21"/>
                    </w:rPr>
                    <w:t>应按照相关要求进行储存、转移和输送。盛装过VOCs物料的废包装容器应加盖密闭。</w:t>
                  </w:r>
                </w:p>
              </w:tc>
              <w:tc>
                <w:tcPr>
                  <w:tcW w:w="1858" w:type="pct"/>
                  <w:vAlign w:val="center"/>
                </w:tcPr>
                <w:p w14:paraId="7835B9E3">
                  <w:pPr>
                    <w:pStyle w:val="119"/>
                    <w:ind w:firstLine="0" w:firstLineChars="0"/>
                    <w:rPr>
                      <w:szCs w:val="21"/>
                    </w:rPr>
                  </w:pPr>
                  <w:r>
                    <w:rPr>
                      <w:szCs w:val="21"/>
                    </w:rPr>
                    <w:t>项目</w:t>
                  </w:r>
                  <w:r>
                    <w:rPr>
                      <w:rFonts w:hint="eastAsia"/>
                      <w:szCs w:val="21"/>
                    </w:rPr>
                    <w:t>产生的废活性炭</w:t>
                  </w:r>
                  <w:r>
                    <w:rPr>
                      <w:szCs w:val="21"/>
                    </w:rPr>
                    <w:t>按相关要求进行储存、转移和输送</w:t>
                  </w:r>
                  <w:r>
                    <w:rPr>
                      <w:rFonts w:hint="eastAsia"/>
                      <w:szCs w:val="21"/>
                    </w:rPr>
                    <w:t>，</w:t>
                  </w:r>
                  <w:r>
                    <w:rPr>
                      <w:szCs w:val="21"/>
                    </w:rPr>
                    <w:t>盛装过VOCs物料的废包装容器进行加盖密闭</w:t>
                  </w:r>
                </w:p>
              </w:tc>
              <w:tc>
                <w:tcPr>
                  <w:tcW w:w="354" w:type="pct"/>
                  <w:vAlign w:val="center"/>
                </w:tcPr>
                <w:p w14:paraId="1707DD89">
                  <w:pPr>
                    <w:pStyle w:val="119"/>
                    <w:ind w:firstLine="0" w:firstLineChars="0"/>
                    <w:rPr>
                      <w:szCs w:val="21"/>
                    </w:rPr>
                  </w:pPr>
                  <w:r>
                    <w:rPr>
                      <w:szCs w:val="21"/>
                    </w:rPr>
                    <w:t>符合</w:t>
                  </w:r>
                </w:p>
              </w:tc>
            </w:tr>
            <w:tr w14:paraId="09FE83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40" w:type="pct"/>
                  <w:vMerge w:val="restart"/>
                  <w:vAlign w:val="center"/>
                </w:tcPr>
                <w:p w14:paraId="75B78533">
                  <w:pPr>
                    <w:pStyle w:val="119"/>
                    <w:ind w:firstLine="0" w:firstLineChars="0"/>
                    <w:rPr>
                      <w:szCs w:val="21"/>
                    </w:rPr>
                  </w:pPr>
                  <w:r>
                    <w:rPr>
                      <w:szCs w:val="21"/>
                    </w:rPr>
                    <w:t>建设项目VOCs总量管理</w:t>
                  </w:r>
                </w:p>
              </w:tc>
              <w:tc>
                <w:tcPr>
                  <w:tcW w:w="2346" w:type="pct"/>
                  <w:vAlign w:val="center"/>
                </w:tcPr>
                <w:p w14:paraId="1B02AAD6">
                  <w:pPr>
                    <w:pStyle w:val="119"/>
                    <w:ind w:firstLine="0" w:firstLineChars="0"/>
                    <w:rPr>
                      <w:szCs w:val="21"/>
                    </w:rPr>
                  </w:pPr>
                  <w:r>
                    <w:rPr>
                      <w:szCs w:val="21"/>
                    </w:rPr>
                    <w:t>新、改、扩建项目应执行总量替代制度，明确VOCs总量指标来源。</w:t>
                  </w:r>
                </w:p>
              </w:tc>
              <w:tc>
                <w:tcPr>
                  <w:tcW w:w="1858" w:type="pct"/>
                  <w:vAlign w:val="center"/>
                </w:tcPr>
                <w:p w14:paraId="4E4C1CE0">
                  <w:pPr>
                    <w:pStyle w:val="119"/>
                    <w:ind w:firstLine="0" w:firstLineChars="0"/>
                    <w:rPr>
                      <w:szCs w:val="21"/>
                    </w:rPr>
                  </w:pPr>
                  <w:r>
                    <w:rPr>
                      <w:szCs w:val="21"/>
                    </w:rPr>
                    <w:t>项目执行总量替代制度，</w:t>
                  </w:r>
                  <w:r>
                    <w:rPr>
                      <w:rFonts w:hint="eastAsia"/>
                      <w:szCs w:val="21"/>
                    </w:rPr>
                    <w:t>VOCs总量由惠州市生态环境局博罗分局分配</w:t>
                  </w:r>
                </w:p>
              </w:tc>
              <w:tc>
                <w:tcPr>
                  <w:tcW w:w="354" w:type="pct"/>
                  <w:vAlign w:val="center"/>
                </w:tcPr>
                <w:p w14:paraId="1526DAF6">
                  <w:pPr>
                    <w:pStyle w:val="119"/>
                    <w:ind w:firstLine="0" w:firstLineChars="0"/>
                    <w:rPr>
                      <w:szCs w:val="21"/>
                    </w:rPr>
                  </w:pPr>
                  <w:r>
                    <w:rPr>
                      <w:szCs w:val="21"/>
                    </w:rPr>
                    <w:t>符合</w:t>
                  </w:r>
                </w:p>
              </w:tc>
            </w:tr>
            <w:tr w14:paraId="5AA55D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jc w:val="center"/>
              </w:trPr>
              <w:tc>
                <w:tcPr>
                  <w:tcW w:w="440" w:type="pct"/>
                  <w:vMerge w:val="continue"/>
                  <w:vAlign w:val="center"/>
                </w:tcPr>
                <w:p w14:paraId="154DA654">
                  <w:pPr>
                    <w:pStyle w:val="119"/>
                    <w:ind w:firstLine="0" w:firstLineChars="0"/>
                    <w:rPr>
                      <w:szCs w:val="21"/>
                    </w:rPr>
                  </w:pPr>
                </w:p>
              </w:tc>
              <w:tc>
                <w:tcPr>
                  <w:tcW w:w="2346" w:type="pct"/>
                  <w:vAlign w:val="center"/>
                </w:tcPr>
                <w:p w14:paraId="2B4CB58C">
                  <w:pPr>
                    <w:pStyle w:val="119"/>
                    <w:ind w:firstLine="0" w:firstLineChars="0"/>
                    <w:rPr>
                      <w:szCs w:val="21"/>
                    </w:rPr>
                  </w:pPr>
                  <w:r>
                    <w:rPr>
                      <w:szCs w:val="21"/>
                    </w:rPr>
                    <w:t>新、改、扩建项目和现有企业VOCs基准排放量计算参考《广东省重点行业挥发性有机物排放量计算方法核算》进行核算，若国家和我省出台适用于该行业的VOCs排放量计算方法，则参照其相关规定执行。</w:t>
                  </w:r>
                </w:p>
              </w:tc>
              <w:tc>
                <w:tcPr>
                  <w:tcW w:w="1858" w:type="pct"/>
                  <w:vAlign w:val="center"/>
                </w:tcPr>
                <w:p w14:paraId="67E0E04D">
                  <w:pPr>
                    <w:pStyle w:val="119"/>
                    <w:ind w:firstLine="0" w:firstLineChars="0"/>
                    <w:rPr>
                      <w:szCs w:val="21"/>
                    </w:rPr>
                  </w:pPr>
                  <w:r>
                    <w:rPr>
                      <w:rFonts w:hint="eastAsia"/>
                      <w:szCs w:val="21"/>
                    </w:rPr>
                    <w:t>项目VOCs排放量计算参照《排放源统计调查产排污核算方法和系数手册》（生态环境部公告2021年第24号）中“292塑料制品业系数手册”计算</w:t>
                  </w:r>
                </w:p>
              </w:tc>
              <w:tc>
                <w:tcPr>
                  <w:tcW w:w="354" w:type="pct"/>
                  <w:vAlign w:val="center"/>
                </w:tcPr>
                <w:p w14:paraId="290A3D6B">
                  <w:pPr>
                    <w:pStyle w:val="119"/>
                    <w:ind w:firstLine="0" w:firstLineChars="0"/>
                    <w:rPr>
                      <w:szCs w:val="21"/>
                    </w:rPr>
                  </w:pPr>
                </w:p>
                <w:p w14:paraId="11FAFF7D">
                  <w:pPr>
                    <w:pStyle w:val="119"/>
                    <w:ind w:firstLine="0" w:firstLineChars="0"/>
                    <w:rPr>
                      <w:szCs w:val="21"/>
                    </w:rPr>
                  </w:pPr>
                  <w:r>
                    <w:rPr>
                      <w:szCs w:val="21"/>
                    </w:rPr>
                    <w:t>符合</w:t>
                  </w:r>
                </w:p>
              </w:tc>
            </w:tr>
          </w:tbl>
          <w:p w14:paraId="639D4351">
            <w:pPr>
              <w:ind w:firstLine="482"/>
              <w:jc w:val="both"/>
              <w:rPr>
                <w:b/>
              </w:rPr>
            </w:pPr>
            <w:r>
              <w:rPr>
                <w:rFonts w:hint="eastAsia"/>
                <w:b/>
              </w:rPr>
              <w:t>6、与《关于印发</w:t>
            </w:r>
            <w:r>
              <w:rPr>
                <w:b/>
              </w:rPr>
              <w:t>&lt;</w:t>
            </w:r>
            <w:r>
              <w:rPr>
                <w:rFonts w:hint="eastAsia"/>
                <w:b/>
              </w:rPr>
              <w:t>惠州市</w:t>
            </w:r>
            <w:r>
              <w:rPr>
                <w:b/>
              </w:rPr>
              <w:t>202</w:t>
            </w:r>
            <w:r>
              <w:rPr>
                <w:rFonts w:hint="eastAsia"/>
                <w:b/>
              </w:rPr>
              <w:t>3年大气污染防治工作方案〉的通知》（惠市环</w:t>
            </w:r>
            <w:r>
              <w:rPr>
                <w:b/>
              </w:rPr>
              <w:t>[202</w:t>
            </w:r>
            <w:r>
              <w:rPr>
                <w:rFonts w:hint="eastAsia"/>
                <w:b/>
              </w:rPr>
              <w:t>3</w:t>
            </w:r>
            <w:r>
              <w:rPr>
                <w:b/>
              </w:rPr>
              <w:t>]1</w:t>
            </w:r>
            <w:r>
              <w:rPr>
                <w:rFonts w:hint="eastAsia"/>
                <w:b/>
              </w:rPr>
              <w:t>1号）相符性分析</w:t>
            </w:r>
          </w:p>
          <w:p w14:paraId="5036166D">
            <w:pPr>
              <w:ind w:firstLine="480"/>
              <w:jc w:val="both"/>
              <w:rPr>
                <w:color w:val="auto"/>
              </w:rPr>
            </w:pPr>
            <w:r>
              <w:rPr>
                <w:rFonts w:hint="eastAsia"/>
              </w:rPr>
              <w:t>《惠州市</w:t>
            </w:r>
            <w:r>
              <w:t>2023</w:t>
            </w:r>
            <w:r>
              <w:rPr>
                <w:rFonts w:hint="eastAsia"/>
              </w:rPr>
              <w:t>年大气污染防治工作方案》的规定：</w:t>
            </w:r>
            <w:r>
              <w:t>“</w:t>
            </w:r>
            <w:r>
              <w:rPr>
                <w:rFonts w:hint="eastAsia"/>
              </w:rPr>
              <w:t>加强低</w:t>
            </w:r>
            <w:r>
              <w:t>VOCs</w:t>
            </w:r>
            <w:r>
              <w:rPr>
                <w:rFonts w:hint="eastAsia"/>
              </w:rPr>
              <w:t>含量原辅材料应用。应用涂装工艺的工业企业应当使用低挥发性有机物含量的涂料，并建立保存期限不少于</w:t>
            </w:r>
            <w:r>
              <w:t>3</w:t>
            </w:r>
            <w:r>
              <w:rPr>
                <w:rFonts w:hint="eastAsia"/>
              </w:rPr>
              <w:t>年的台账，记录生产原料、辅料的使用量、废弃量、去向以及</w:t>
            </w:r>
            <w:r>
              <w:t>VOCs</w:t>
            </w:r>
            <w:r>
              <w:rPr>
                <w:rFonts w:hint="eastAsia"/>
              </w:rPr>
              <w:t>含量。新建、改建、扩建的出版物印刷类项目全面使用低</w:t>
            </w:r>
            <w:r>
              <w:t>VOCs</w:t>
            </w:r>
            <w:r>
              <w:rPr>
                <w:rFonts w:hint="eastAsia"/>
              </w:rPr>
              <w:t>含量的油墨，皮鞋制造、家具制造业类项目基本使用低</w:t>
            </w:r>
            <w:r>
              <w:t>VOCs</w:t>
            </w:r>
            <w:r>
              <w:rPr>
                <w:rFonts w:hint="eastAsia"/>
              </w:rPr>
              <w:t>含量胶粘剂。房屋建筑和市政工程全面使用低</w:t>
            </w:r>
            <w:r>
              <w:t>VOCs</w:t>
            </w:r>
            <w:r>
              <w:rPr>
                <w:rFonts w:hint="eastAsia"/>
              </w:rPr>
              <w:t>含量涂料和胶粘剂，除特殊功能要求外的室内地坪施工、室外构筑物防护和城市道路交通标志基本使用低</w:t>
            </w:r>
            <w:r>
              <w:t>VOCs</w:t>
            </w:r>
            <w:r>
              <w:rPr>
                <w:rFonts w:hint="eastAsia"/>
              </w:rPr>
              <w:t>含量涂料。</w:t>
            </w:r>
            <w:r>
              <w:t>”“</w:t>
            </w:r>
            <w:r>
              <w:rPr>
                <w:rFonts w:hint="eastAsia"/>
              </w:rPr>
              <w:t>新、改、扩建项目限制使用光催化、光氧化、水喷淋（吸收可溶性</w:t>
            </w:r>
            <w:r>
              <w:t>VOCs</w:t>
            </w:r>
            <w:r>
              <w:rPr>
                <w:rFonts w:hint="eastAsia"/>
              </w:rPr>
              <w:t>除外）、低温等离子等低效</w:t>
            </w:r>
            <w:r>
              <w:t>VOCs</w:t>
            </w:r>
            <w:r>
              <w:rPr>
                <w:rFonts w:hint="eastAsia"/>
              </w:rPr>
              <w:t>治理设施</w:t>
            </w:r>
            <w:r>
              <w:rPr>
                <w:rFonts w:hint="eastAsia"/>
                <w:color w:val="auto"/>
              </w:rPr>
              <w:t>（恶臭处理除外）。</w:t>
            </w:r>
            <w:r>
              <w:rPr>
                <w:color w:val="auto"/>
              </w:rPr>
              <w:t>”</w:t>
            </w:r>
          </w:p>
          <w:p w14:paraId="737AE660">
            <w:pPr>
              <w:ind w:firstLine="482"/>
              <w:jc w:val="both"/>
              <w:rPr>
                <w:color w:val="auto"/>
              </w:rPr>
            </w:pPr>
            <w:r>
              <w:rPr>
                <w:rFonts w:hint="eastAsia" w:cs="宋体"/>
                <w:b/>
                <w:bCs/>
                <w:color w:val="auto"/>
              </w:rPr>
              <w:t>符合性分析：</w:t>
            </w:r>
            <w:r>
              <w:rPr>
                <w:rFonts w:hint="eastAsia" w:cs="宋体"/>
                <w:color w:val="auto"/>
                <w:kern w:val="0"/>
              </w:rPr>
              <w:t>项目使用的原料主要为SEBS热塑性弹性体、PP新塑胶粒、PS塑胶粒、软化油、碳酸钙，均不属于高挥发性有机物含量的原料</w:t>
            </w:r>
            <w:r>
              <w:rPr>
                <w:rStyle w:val="41"/>
                <w:rFonts w:hint="eastAsia"/>
                <w:color w:val="auto"/>
                <w:kern w:val="0"/>
                <w:szCs w:val="20"/>
              </w:rPr>
              <w:t>，</w:t>
            </w:r>
            <w:r>
              <w:rPr>
                <w:rFonts w:hint="eastAsia"/>
                <w:color w:val="auto"/>
              </w:rPr>
              <w:t>项目使用“水喷淋+干式过滤器+二级活性炭吸附装置”处理，不属于光氧化、光催化、低温等离子等低效治理设施，符合文件要求。</w:t>
            </w:r>
          </w:p>
          <w:p w14:paraId="1FDFC62B">
            <w:pPr>
              <w:ind w:firstLine="482"/>
              <w:jc w:val="both"/>
              <w:rPr>
                <w:b/>
              </w:rPr>
            </w:pPr>
            <w:r>
              <w:rPr>
                <w:rFonts w:hint="eastAsia"/>
                <w:b/>
              </w:rPr>
              <w:t>7、与《广东省禁止、限制生产、销售和使用的塑料制品目录》（2020年版）的相符性分析</w:t>
            </w:r>
          </w:p>
          <w:p w14:paraId="3AA85D62">
            <w:pPr>
              <w:ind w:firstLine="480"/>
              <w:jc w:val="both"/>
              <w:rPr>
                <w:bCs/>
                <w:kern w:val="0"/>
              </w:rPr>
            </w:pPr>
            <w:r>
              <w:rPr>
                <w:rFonts w:hint="eastAsia"/>
                <w:bCs/>
                <w:kern w:val="0"/>
              </w:rPr>
              <w:t>“禁止生产、销售的塑料制品。禁止生产和销售厚度小于0.025毫米的超薄塑料购物袋、厚度小于0.01毫米的聚乙烯农用地膜；禁止以医疗废物为原料制造塑料制品；到2020年底，禁止生产和销售一次性发泡塑料餐具、一次性塑料棉签，禁止生产含塑料微珠的日化产品；到2022年底，禁止销售含塑料微珠的日化产品。”</w:t>
            </w:r>
          </w:p>
          <w:p w14:paraId="6DBD0A58">
            <w:pPr>
              <w:ind w:firstLine="482"/>
              <w:jc w:val="both"/>
              <w:rPr>
                <w:rFonts w:cs="宋体"/>
              </w:rPr>
            </w:pPr>
            <w:r>
              <w:rPr>
                <w:rFonts w:hint="eastAsia" w:cs="宋体"/>
                <w:b/>
                <w:bCs/>
              </w:rPr>
              <w:t>符合性分析：</w:t>
            </w:r>
            <w:r>
              <w:rPr>
                <w:rFonts w:hint="eastAsia" w:cs="宋体"/>
              </w:rPr>
              <w:t>本项目从事TPE热塑性弹性体、仿真娃娃的生产，不属于上述所列的禁止、限制生产、销售和使用的塑料制品，项目符合《广东省禁止、限制生产、销售和使用的塑料制品目录》（2020年版）的要求。</w:t>
            </w:r>
          </w:p>
          <w:p w14:paraId="2227199E">
            <w:pPr>
              <w:ind w:firstLine="482"/>
              <w:jc w:val="both"/>
              <w:rPr>
                <w:b/>
                <w:kern w:val="0"/>
              </w:rPr>
            </w:pPr>
            <w:r>
              <w:rPr>
                <w:rFonts w:hint="eastAsia"/>
                <w:b/>
                <w:kern w:val="0"/>
              </w:rPr>
              <w:t>8、与《关于印发〈惠州市贯彻落实省关于进一步加强塑料污染治理的实施意见〉工作方案的通知》（惠市发改产业〔2020〕368号）的相符性分析</w:t>
            </w:r>
          </w:p>
          <w:p w14:paraId="4EF1DBB0">
            <w:pPr>
              <w:ind w:firstLine="480"/>
              <w:jc w:val="both"/>
              <w:rPr>
                <w:rFonts w:cs="宋体"/>
                <w:b/>
                <w:bCs/>
              </w:rPr>
            </w:pPr>
            <w:r>
              <w:rPr>
                <w:rFonts w:hint="eastAsia" w:cs="宋体"/>
              </w:rPr>
              <w:t>“禁止生产、销售的塑料制品。（1）禁止生产和销售厚度小于0.025毫米的超薄塑料购物袋、厚度小于0.0l毫米的聚乙烯农用地膜。（2）禁止以医疗废物为原料制造塑料制品。禁止将回收利用的废塑料输液袋（瓶）用于原用途或用于制造餐饮容器以及玩具等儿童用品。（3）加大禁止“洋垃圾”进口监管和打私力度，确保“全面禁止废塑料进口”落实到位。（4）到2020年底，禁止生产和销售一次性发泡塑料餐具、一次性塑料棉签；禁止生产含塑料微珠的日化产品。到2022年底，禁止销售含塑料微珠的日化产品。（5）国家《产业结构调整指导目录》和《市场准入负面清单》明确的属于淘汰类的塑料制品项目，禁止投资；属于限制类项目，禁止新建。”</w:t>
            </w:r>
          </w:p>
          <w:p w14:paraId="3A0EB1D2">
            <w:pPr>
              <w:ind w:firstLine="482"/>
              <w:jc w:val="both"/>
              <w:rPr>
                <w:rFonts w:cs="宋体"/>
              </w:rPr>
            </w:pPr>
            <w:r>
              <w:rPr>
                <w:rFonts w:hint="eastAsia" w:cs="宋体"/>
                <w:b/>
                <w:bCs/>
              </w:rPr>
              <w:t>符合性分析：</w:t>
            </w:r>
            <w:r>
              <w:rPr>
                <w:rFonts w:hint="eastAsia" w:cs="宋体"/>
              </w:rPr>
              <w:t>项目从事TPE热塑性弹性体、仿真娃娃的生产，为塑料零件及其他塑料制品制造行业，属于国家《产业结构调整指导目录》和《市场准入负面清单》中允许类的塑料制品项目，不属于上述禁止生产、销售的塑料制品，故项目与该文件的要求相符。</w:t>
            </w:r>
          </w:p>
          <w:p w14:paraId="5052EECE">
            <w:pPr>
              <w:ind w:firstLine="482"/>
              <w:jc w:val="both"/>
              <w:rPr>
                <w:b/>
                <w:kern w:val="0"/>
              </w:rPr>
            </w:pPr>
            <w:r>
              <w:rPr>
                <w:rFonts w:hint="eastAsia"/>
                <w:b/>
              </w:rPr>
              <w:t>9、</w:t>
            </w:r>
            <w:r>
              <w:rPr>
                <w:b/>
                <w:kern w:val="0"/>
              </w:rPr>
              <w:t>与《惠州市人民政府关于印发惠州市生态环境保护</w:t>
            </w:r>
            <w:r>
              <w:rPr>
                <w:b/>
                <w:bCs/>
                <w:kern w:val="0"/>
              </w:rPr>
              <w:t>“</w:t>
            </w:r>
            <w:r>
              <w:rPr>
                <w:b/>
                <w:kern w:val="0"/>
              </w:rPr>
              <w:t>十四五</w:t>
            </w:r>
            <w:r>
              <w:rPr>
                <w:b/>
                <w:bCs/>
                <w:kern w:val="0"/>
              </w:rPr>
              <w:t>”</w:t>
            </w:r>
            <w:r>
              <w:rPr>
                <w:b/>
                <w:kern w:val="0"/>
              </w:rPr>
              <w:t>规划的通知》（惠府〔</w:t>
            </w:r>
            <w:r>
              <w:rPr>
                <w:b/>
                <w:bCs/>
                <w:kern w:val="0"/>
              </w:rPr>
              <w:t>2022</w:t>
            </w:r>
            <w:r>
              <w:rPr>
                <w:b/>
                <w:kern w:val="0"/>
              </w:rPr>
              <w:t>〕</w:t>
            </w:r>
            <w:r>
              <w:rPr>
                <w:b/>
                <w:bCs/>
                <w:kern w:val="0"/>
              </w:rPr>
              <w:t>11</w:t>
            </w:r>
            <w:r>
              <w:rPr>
                <w:b/>
                <w:kern w:val="0"/>
              </w:rPr>
              <w:t>号）的相符性分析</w:t>
            </w:r>
          </w:p>
          <w:p w14:paraId="4AC2DAE1">
            <w:pPr>
              <w:ind w:firstLine="480"/>
              <w:jc w:val="both"/>
              <w:rPr>
                <w:kern w:val="0"/>
              </w:rPr>
            </w:pPr>
            <w:r>
              <w:rPr>
                <w:kern w:val="0"/>
              </w:rPr>
              <w:t>根据《惠州市人民政府关于印发惠州市生态环境保护“十四五”规划的通知》（惠府〔2022〕11号）：</w:t>
            </w:r>
          </w:p>
          <w:p w14:paraId="55D15DFD">
            <w:pPr>
              <w:ind w:firstLine="482"/>
              <w:jc w:val="both"/>
              <w:rPr>
                <w:rFonts w:cs="宋体"/>
                <w:b/>
                <w:kern w:val="0"/>
              </w:rPr>
            </w:pPr>
            <w:r>
              <w:rPr>
                <w:rFonts w:hint="eastAsia" w:cs="宋体"/>
                <w:b/>
                <w:kern w:val="0"/>
              </w:rPr>
              <w:t>第五章加强大气环境精细化管理，打造全国空气质量</w:t>
            </w:r>
          </w:p>
          <w:p w14:paraId="08825221">
            <w:pPr>
              <w:ind w:firstLine="482"/>
              <w:jc w:val="both"/>
              <w:rPr>
                <w:rFonts w:cs="宋体"/>
                <w:b/>
                <w:kern w:val="0"/>
              </w:rPr>
            </w:pPr>
            <w:r>
              <w:rPr>
                <w:rFonts w:hint="eastAsia" w:cs="宋体"/>
                <w:b/>
                <w:kern w:val="0"/>
              </w:rPr>
              <w:t>第二节大力推进工业源深度治理</w:t>
            </w:r>
          </w:p>
          <w:p w14:paraId="3F870430">
            <w:pPr>
              <w:ind w:firstLine="480"/>
              <w:jc w:val="both"/>
            </w:pPr>
            <w:r>
              <w:rPr>
                <w:rFonts w:hint="eastAsia" w:cs="宋体"/>
                <w:kern w:val="0"/>
              </w:rPr>
              <w:t>加</w:t>
            </w:r>
            <w:r>
              <w:rPr>
                <w:rFonts w:hint="eastAsia"/>
              </w:rPr>
              <w:t>强挥发性有机物（</w:t>
            </w:r>
            <w:r>
              <w:t>VOCs</w:t>
            </w:r>
            <w:r>
              <w:rPr>
                <w:rFonts w:hint="eastAsia"/>
              </w:rPr>
              <w:t>）深度治理。建立健全全市</w:t>
            </w:r>
            <w:r>
              <w:t>VOCs</w:t>
            </w:r>
            <w:r>
              <w:rPr>
                <w:rFonts w:hint="eastAsia"/>
              </w:rPr>
              <w:t>重点管控企业清单，督促重点行业企业编制</w:t>
            </w:r>
            <w:r>
              <w:t>VOCs</w:t>
            </w:r>
            <w:r>
              <w:rPr>
                <w:rFonts w:hint="eastAsia"/>
              </w:rPr>
              <w:t>深度治理手册，指导辖区内</w:t>
            </w:r>
            <w:r>
              <w:t>VOCs</w:t>
            </w:r>
            <w:r>
              <w:rPr>
                <w:rFonts w:hint="eastAsia"/>
              </w:rPr>
              <w:t>重点监管企业“按单施治”。实施</w:t>
            </w:r>
            <w:r>
              <w:t>VOCs</w:t>
            </w:r>
            <w:r>
              <w:rPr>
                <w:rFonts w:hint="eastAsia"/>
              </w:rPr>
              <w:t>重点企业分级管控，更新建立重点企业分级管理台账。加强低挥发性有机物原辅材料替代，严格执行大宗有机溶剂产品</w:t>
            </w:r>
            <w:r>
              <w:t>VOCs</w:t>
            </w:r>
            <w:r>
              <w:rPr>
                <w:rFonts w:hint="eastAsia"/>
              </w:rPr>
              <w:t>含量限值标准，禁止建设生产和使用高</w:t>
            </w:r>
            <w:r>
              <w:t>VOCs</w:t>
            </w:r>
            <w:r>
              <w:rPr>
                <w:rFonts w:hint="eastAsia"/>
              </w:rPr>
              <w:t>含量的溶剂型涂料、油墨、胶粘剂等项目。落实建设项目</w:t>
            </w:r>
            <w:r>
              <w:t>VOCs</w:t>
            </w:r>
            <w:r>
              <w:rPr>
                <w:rFonts w:hint="eastAsia"/>
              </w:rPr>
              <w:t>削减替代制度，重点推进炼油石化、化工、工业涂装、印刷、制鞋、电子制造等重点行业，以及机动车和油品储运销等领域</w:t>
            </w:r>
            <w:r>
              <w:t>VOCs</w:t>
            </w:r>
            <w:r>
              <w:rPr>
                <w:rFonts w:hint="eastAsia"/>
              </w:rPr>
              <w:t>减排。以加油站、储油库为重点，加强</w:t>
            </w:r>
            <w:r>
              <w:t>VOCs</w:t>
            </w:r>
            <w:r>
              <w:rPr>
                <w:rFonts w:hint="eastAsia"/>
              </w:rPr>
              <w:t>无组织排放控制，加强储罐、装卸、设备管线组件、污水处理厂等通用设施污染源项管理。大亚湾石化区石油炼制及化工行业全面实施</w:t>
            </w:r>
            <w:r>
              <w:t>VOCs</w:t>
            </w:r>
            <w:r>
              <w:rPr>
                <w:rFonts w:hint="eastAsia"/>
              </w:rPr>
              <w:t>泄漏检测与修复（</w:t>
            </w:r>
            <w:r>
              <w:t>LDAR</w:t>
            </w:r>
            <w:r>
              <w:rPr>
                <w:rFonts w:hint="eastAsia"/>
              </w:rPr>
              <w:t>）工作，加快应用</w:t>
            </w:r>
            <w:r>
              <w:t>VOCs</w:t>
            </w:r>
            <w:r>
              <w:rPr>
                <w:rFonts w:hint="eastAsia"/>
              </w:rPr>
              <w:t>走航监测等新技术，加快推动车用汽油年销售量</w:t>
            </w:r>
            <w:r>
              <w:t>5000</w:t>
            </w:r>
            <w:r>
              <w:rPr>
                <w:rFonts w:hint="eastAsia"/>
              </w:rPr>
              <w:t>吨以上的加油站开展油气回收在线监控。</w:t>
            </w:r>
          </w:p>
          <w:p w14:paraId="16B2EEF6">
            <w:pPr>
              <w:ind w:firstLine="482"/>
              <w:jc w:val="both"/>
              <w:rPr>
                <w:b/>
              </w:rPr>
            </w:pPr>
            <w:r>
              <w:rPr>
                <w:rFonts w:hint="eastAsia"/>
                <w:b/>
              </w:rPr>
              <w:t>第六章推动水生态系统提质修复，打造河畅水清的水生态景观</w:t>
            </w:r>
          </w:p>
          <w:p w14:paraId="40AFC78F">
            <w:pPr>
              <w:ind w:firstLine="482"/>
              <w:jc w:val="both"/>
              <w:rPr>
                <w:b/>
              </w:rPr>
            </w:pPr>
            <w:r>
              <w:rPr>
                <w:rFonts w:hint="eastAsia"/>
                <w:b/>
              </w:rPr>
              <w:t>二、深化水污染源头治理</w:t>
            </w:r>
          </w:p>
          <w:p w14:paraId="67628B34">
            <w:pPr>
              <w:ind w:firstLine="480"/>
              <w:jc w:val="both"/>
              <w:rPr>
                <w:rFonts w:cs="宋体"/>
              </w:rPr>
            </w:pPr>
            <w:r>
              <w:rPr>
                <w:rFonts w:hint="eastAsia"/>
              </w:rPr>
              <w:t>持续开展入河排污口“查、测、溯、治”，按照封堵一批、整治一批、规范一批要求，建立入河排污口动态更新及定期排查机制，分类推进入河排污口规范化整治。严格实行东江、潼湖水沿岸，淡水河、潼湖、沙河等重点流域水污染型项目限批准入，对存在重大环境问题、未完成污染整治任务的区域实行区域限批，对定点园区外的电镀、印染、化工等重污染项目实行行业限批。以国省考断面汇水范围为重点，加强流域内电镀、制革、印染、有色金属、化工等行业企业搬迁和清</w:t>
            </w:r>
            <w:r>
              <w:rPr>
                <w:rFonts w:hint="eastAsia" w:cs="宋体"/>
              </w:rPr>
              <w:t>洁化改造，推进高耗水行业实施废水深度处理回用，推进工业集聚区“污水零直排区”创建。全面推进工业集聚区建设污水集中处理设施并安装在线监控系统。强化农村生活污水治理、畜禽及水产养殖污染防治、种植污染管控，严防禁养区内非法养殖反弹。以惠州港为重点，加强船舶污染物、废弃物接收、转运及处理处置设施建设，不满足船舶水污染物排放要求的</w:t>
            </w:r>
            <w:r>
              <w:rPr>
                <w:rFonts w:cs="宋体"/>
              </w:rPr>
              <w:t xml:space="preserve">400 </w:t>
            </w:r>
            <w:r>
              <w:rPr>
                <w:rFonts w:hint="eastAsia" w:cs="宋体"/>
              </w:rPr>
              <w:t>总吨以下内河船舶应当完成水污染物收集储存设备改造，采取船上储存、交岸接收的方式处置，确保船舶水污染物达标排放。</w:t>
            </w:r>
          </w:p>
          <w:p w14:paraId="5808092A">
            <w:pPr>
              <w:ind w:firstLine="482"/>
              <w:jc w:val="both"/>
              <w:rPr>
                <w:rFonts w:cs="宋体"/>
              </w:rPr>
            </w:pPr>
            <w:r>
              <w:rPr>
                <w:rFonts w:hint="eastAsia" w:cs="宋体"/>
                <w:b/>
                <w:bCs/>
              </w:rPr>
              <w:t>相符性分析：</w:t>
            </w:r>
            <w:r>
              <w:rPr>
                <w:rFonts w:hint="eastAsia" w:cs="宋体"/>
              </w:rPr>
              <w:t>本项目从事</w:t>
            </w:r>
            <w:bookmarkStart w:id="45" w:name="OLE_LINK179"/>
            <w:r>
              <w:rPr>
                <w:rFonts w:hint="eastAsia" w:cs="宋体"/>
              </w:rPr>
              <w:t>TPE热塑性弹性体、</w:t>
            </w:r>
            <w:r>
              <w:rPr>
                <w:rFonts w:hint="eastAsia"/>
              </w:rPr>
              <w:t>仿真娃娃</w:t>
            </w:r>
            <w:bookmarkEnd w:id="45"/>
            <w:r>
              <w:rPr>
                <w:rFonts w:hint="eastAsia" w:cs="宋体"/>
              </w:rPr>
              <w:t>的生产，项目不使用高</w:t>
            </w:r>
            <w:r>
              <w:rPr>
                <w:rFonts w:cs="宋体"/>
              </w:rPr>
              <w:t xml:space="preserve">VOCs </w:t>
            </w:r>
            <w:r>
              <w:rPr>
                <w:rFonts w:hint="eastAsia" w:cs="宋体"/>
              </w:rPr>
              <w:t>含量的溶剂型涂料、油墨、胶粘剂、清洗剂等，项目产生的有机废气、臭气浓度及颗粒物通过集气罩收集后经“水喷淋+干式过滤器+二级活性炭吸附装置”处理后经30m排气筒DA001高空排放；项目间接/直接冷却水循环使用不外排，定期补充，直接冷却水定期收集处理，经“混凝沉淀+压滤+保安过滤”处理后回用于冷却工序，不外排；喷淋用水循环使用，定期更换，更换的喷淋废水定期交由有危废处理资质的单位处理，不外排，故项目无生产废水排放，生活污水经三级化粪池处理后排入园洲镇第五污水处理厂，符合文件要求。</w:t>
            </w:r>
          </w:p>
          <w:p w14:paraId="4E8B2F16">
            <w:pPr>
              <w:widowControl/>
              <w:ind w:firstLine="482"/>
              <w:jc w:val="both"/>
              <w:rPr>
                <w:rFonts w:cs="宋体"/>
                <w:b/>
                <w:bCs/>
                <w:color w:val="000000"/>
                <w:kern w:val="0"/>
                <w:lang w:bidi="ar"/>
              </w:rPr>
            </w:pPr>
            <w:r>
              <w:rPr>
                <w:rFonts w:hint="eastAsia" w:cs="宋体"/>
                <w:b/>
                <w:bCs/>
                <w:color w:val="000000"/>
                <w:kern w:val="0"/>
                <w:lang w:bidi="ar"/>
              </w:rPr>
              <w:t>10、与《关于印发</w:t>
            </w:r>
            <w:r>
              <w:rPr>
                <w:b/>
                <w:bCs/>
                <w:color w:val="000000"/>
                <w:kern w:val="0"/>
                <w:lang w:bidi="ar"/>
              </w:rPr>
              <w:t>&lt;</w:t>
            </w:r>
            <w:r>
              <w:rPr>
                <w:rFonts w:hint="eastAsia" w:cs="宋体"/>
                <w:b/>
                <w:bCs/>
                <w:color w:val="000000"/>
                <w:kern w:val="0"/>
                <w:lang w:bidi="ar"/>
              </w:rPr>
              <w:t>惠州市</w:t>
            </w:r>
            <w:r>
              <w:rPr>
                <w:b/>
                <w:bCs/>
                <w:color w:val="000000"/>
                <w:kern w:val="0"/>
                <w:lang w:bidi="ar"/>
              </w:rPr>
              <w:t>2023</w:t>
            </w:r>
            <w:r>
              <w:rPr>
                <w:rFonts w:hint="eastAsia" w:cs="宋体"/>
                <w:b/>
                <w:bCs/>
                <w:color w:val="000000"/>
                <w:kern w:val="0"/>
                <w:lang w:bidi="ar"/>
              </w:rPr>
              <w:t>年土壤与地下水污染防治工作方案</w:t>
            </w:r>
            <w:r>
              <w:rPr>
                <w:b/>
                <w:bCs/>
                <w:color w:val="000000"/>
                <w:kern w:val="0"/>
                <w:lang w:bidi="ar"/>
              </w:rPr>
              <w:t>&gt;</w:t>
            </w:r>
            <w:r>
              <w:rPr>
                <w:rFonts w:hint="eastAsia" w:cs="宋体"/>
                <w:b/>
                <w:bCs/>
                <w:color w:val="000000"/>
                <w:kern w:val="0"/>
                <w:lang w:bidi="ar"/>
              </w:rPr>
              <w:t>的通知》（惠市环</w:t>
            </w:r>
            <w:r>
              <w:rPr>
                <w:b/>
                <w:bCs/>
                <w:color w:val="000000"/>
                <w:kern w:val="0"/>
                <w:lang w:bidi="ar"/>
              </w:rPr>
              <w:t>[2023]18</w:t>
            </w:r>
            <w:r>
              <w:rPr>
                <w:rFonts w:hint="eastAsia" w:cs="宋体"/>
                <w:b/>
                <w:bCs/>
                <w:color w:val="000000"/>
                <w:kern w:val="0"/>
                <w:lang w:bidi="ar"/>
              </w:rPr>
              <w:t>号）的相符性分析</w:t>
            </w:r>
          </w:p>
          <w:p w14:paraId="7007DA69">
            <w:pPr>
              <w:widowControl/>
              <w:ind w:firstLine="480"/>
              <w:jc w:val="both"/>
              <w:rPr>
                <w:rFonts w:cs="宋体"/>
                <w:color w:val="000000"/>
                <w:kern w:val="0"/>
                <w:lang w:bidi="ar"/>
              </w:rPr>
            </w:pPr>
            <w:r>
              <w:rPr>
                <w:rFonts w:hint="eastAsia" w:cs="宋体"/>
                <w:color w:val="000000"/>
                <w:kern w:val="0"/>
                <w:lang w:bidi="ar"/>
              </w:rPr>
              <w:t>（一）加强涉重金属行业污染防控。深化涉镉等重点行业企业污染源排查整治，动态更新污染源排查整治清单。</w:t>
            </w:r>
            <w:r>
              <w:rPr>
                <w:color w:val="000000"/>
                <w:kern w:val="0"/>
                <w:lang w:bidi="ar"/>
              </w:rPr>
              <w:t>2023</w:t>
            </w:r>
            <w:r>
              <w:rPr>
                <w:rFonts w:hint="eastAsia" w:cs="宋体"/>
                <w:color w:val="000000"/>
                <w:kern w:val="0"/>
                <w:lang w:bidi="ar"/>
              </w:rPr>
              <w:t>年底前，纳入大气环境重点排污单位名录的涉镉等重金属排放企业，对大气污染物中的颗粒物按排污许可证规定实现自动监测，并与生态环境部门的监控设备联网；以监测数据核算颗粒物、重金属等排放量。</w:t>
            </w:r>
          </w:p>
          <w:p w14:paraId="0AF7BC17">
            <w:pPr>
              <w:widowControl/>
              <w:ind w:firstLine="480"/>
              <w:jc w:val="both"/>
              <w:rPr>
                <w:rFonts w:ascii="宋体" w:hAnsi="宋体" w:cs="宋体"/>
                <w:color w:val="auto"/>
              </w:rPr>
            </w:pPr>
            <w:r>
              <w:rPr>
                <w:rFonts w:cs="宋体"/>
              </w:rPr>
              <w:t>（三）建立地下水污染防治重点排污单位名录。按照《环境监管重点单位名录管理办法》建立并公布我市地下水污染防治重点排污单位名录，指导重点排污单位开展地下水污染渗漏</w:t>
            </w:r>
            <w:r>
              <w:rPr>
                <w:rFonts w:cs="宋体"/>
                <w:color w:val="auto"/>
              </w:rPr>
              <w:t>排查，存在</w:t>
            </w:r>
            <w:r>
              <w:rPr>
                <w:rFonts w:ascii="宋体" w:hAnsi="宋体" w:cs="宋体"/>
                <w:color w:val="auto"/>
              </w:rPr>
              <w:t>问题的应开展防渗改造。</w:t>
            </w:r>
          </w:p>
          <w:p w14:paraId="40D9E63D">
            <w:pPr>
              <w:widowControl/>
              <w:ind w:firstLine="482"/>
              <w:jc w:val="both"/>
            </w:pPr>
            <w:r>
              <w:rPr>
                <w:rFonts w:hint="eastAsia" w:cs="宋体"/>
                <w:b/>
                <w:bCs/>
                <w:color w:val="auto"/>
                <w:kern w:val="0"/>
                <w:lang w:bidi="ar"/>
              </w:rPr>
              <w:t>相符性分析：</w:t>
            </w:r>
            <w:r>
              <w:rPr>
                <w:rFonts w:hint="eastAsia" w:cs="宋体"/>
                <w:color w:val="auto"/>
                <w:kern w:val="0"/>
                <w:lang w:bidi="ar"/>
              </w:rPr>
              <w:t>本项目不属于涉镉等重金属排放企业，项目间接/直接冷却水循环使用不外排，定期补充，直接冷却水定期收集处理，经“混凝沉淀+压滤+保安过滤”处理后回用于冷却工序，不外排；喷淋用水循环</w:t>
            </w:r>
            <w:r>
              <w:rPr>
                <w:rFonts w:hint="eastAsia" w:cs="宋体"/>
                <w:color w:val="000000"/>
                <w:kern w:val="0"/>
                <w:lang w:bidi="ar"/>
              </w:rPr>
              <w:t>使用，定期更换，更换的喷淋废水定期交由有危废处理资质的单位处理，不外排，故项目无生产废水排放，</w:t>
            </w:r>
            <w:r>
              <w:rPr>
                <w:rFonts w:hint="eastAsia" w:cs="宋体"/>
              </w:rPr>
              <w:t>生活污水经三级化粪池处理后排入园洲镇第五污水处理厂处理；</w:t>
            </w:r>
            <w:r>
              <w:rPr>
                <w:rFonts w:hint="eastAsia" w:cs="宋体"/>
                <w:color w:val="000000"/>
                <w:kern w:val="0"/>
                <w:lang w:bidi="ar"/>
              </w:rPr>
              <w:t>危险废物应做好防腐防渗等措施，定期委托有资质单位进行处理，不外排；项目厂区已全部硬底化，在落实分区防渗的前提下，不存在土壤、地下水污染途径，因此，项目符合《关于印发</w:t>
            </w:r>
            <w:r>
              <w:rPr>
                <w:color w:val="000000"/>
                <w:kern w:val="0"/>
                <w:lang w:bidi="ar"/>
              </w:rPr>
              <w:t>&lt;</w:t>
            </w:r>
            <w:r>
              <w:rPr>
                <w:rFonts w:hint="eastAsia" w:cs="宋体"/>
                <w:color w:val="000000"/>
                <w:kern w:val="0"/>
                <w:lang w:bidi="ar"/>
              </w:rPr>
              <w:t>惠州市</w:t>
            </w:r>
            <w:r>
              <w:rPr>
                <w:color w:val="000000"/>
                <w:kern w:val="0"/>
                <w:lang w:bidi="ar"/>
              </w:rPr>
              <w:t>2023</w:t>
            </w:r>
            <w:r>
              <w:rPr>
                <w:rFonts w:hint="eastAsia" w:cs="宋体"/>
                <w:color w:val="000000"/>
                <w:kern w:val="0"/>
                <w:lang w:bidi="ar"/>
              </w:rPr>
              <w:t>年土壤与地下水污染防治工作方案</w:t>
            </w:r>
            <w:r>
              <w:rPr>
                <w:color w:val="000000"/>
                <w:kern w:val="0"/>
                <w:lang w:bidi="ar"/>
              </w:rPr>
              <w:t>&gt;</w:t>
            </w:r>
            <w:r>
              <w:rPr>
                <w:rFonts w:hint="eastAsia" w:cs="宋体"/>
                <w:color w:val="000000"/>
                <w:kern w:val="0"/>
                <w:lang w:bidi="ar"/>
              </w:rPr>
              <w:t>的通知》（惠市环</w:t>
            </w:r>
            <w:r>
              <w:rPr>
                <w:color w:val="000000"/>
                <w:kern w:val="0"/>
                <w:lang w:bidi="ar"/>
              </w:rPr>
              <w:t>[2023]18</w:t>
            </w:r>
            <w:r>
              <w:rPr>
                <w:rFonts w:hint="eastAsia" w:cs="宋体"/>
                <w:color w:val="000000"/>
                <w:kern w:val="0"/>
                <w:lang w:bidi="ar"/>
              </w:rPr>
              <w:t>号）要求。</w:t>
            </w:r>
          </w:p>
        </w:tc>
      </w:tr>
    </w:tbl>
    <w:p w14:paraId="6D761DE1">
      <w:pPr>
        <w:ind w:firstLine="600"/>
        <w:rPr>
          <w:rFonts w:eastAsia="黑体"/>
          <w:sz w:val="30"/>
        </w:rPr>
        <w:sectPr>
          <w:footerReference r:id="rId12" w:type="default"/>
          <w:pgSz w:w="11906" w:h="16838"/>
          <w:pgMar w:top="1440" w:right="1440" w:bottom="1440" w:left="1440" w:header="851" w:footer="1077" w:gutter="0"/>
          <w:pgNumType w:start="1"/>
          <w:cols w:space="720" w:num="1"/>
          <w:docGrid w:linePitch="312" w:charSpace="0"/>
        </w:sectPr>
      </w:pPr>
    </w:p>
    <w:p w14:paraId="156B9757">
      <w:pPr>
        <w:pStyle w:val="30"/>
        <w:spacing w:before="0" w:beforeAutospacing="0" w:after="0" w:afterAutospacing="0" w:line="240" w:lineRule="auto"/>
        <w:ind w:firstLine="0" w:firstLineChars="0"/>
        <w:jc w:val="center"/>
        <w:outlineLvl w:val="0"/>
        <w:rPr>
          <w:rFonts w:ascii="Times New Roman" w:hAnsi="Times New Roman"/>
          <w:snapToGrid w:val="0"/>
          <w:sz w:val="30"/>
          <w:szCs w:val="30"/>
        </w:rPr>
      </w:pPr>
      <w:bookmarkStart w:id="46" w:name="_Toc167267308"/>
      <w:bookmarkStart w:id="47" w:name="_Toc7524"/>
      <w:bookmarkStart w:id="48" w:name="_Toc4227"/>
      <w:bookmarkStart w:id="49" w:name="_Toc13535"/>
      <w:bookmarkStart w:id="50" w:name="_Toc25632"/>
      <w:bookmarkStart w:id="51" w:name="_Toc7132"/>
      <w:r>
        <w:rPr>
          <w:rFonts w:ascii="Times New Roman" w:hAnsi="Times New Roman"/>
          <w:b/>
          <w:bCs/>
          <w:kern w:val="44"/>
          <w:sz w:val="30"/>
          <w:szCs w:val="30"/>
        </w:rPr>
        <w:t>二、建设项目工程分析</w:t>
      </w:r>
      <w:bookmarkEnd w:id="46"/>
      <w:bookmarkEnd w:id="47"/>
      <w:bookmarkEnd w:id="48"/>
      <w:bookmarkEnd w:id="49"/>
      <w:bookmarkEnd w:id="50"/>
      <w:bookmarkEnd w:id="51"/>
    </w:p>
    <w:tbl>
      <w:tblPr>
        <w:tblStyle w:val="3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4"/>
        <w:gridCol w:w="8788"/>
      </w:tblGrid>
      <w:tr w14:paraId="1C5AD4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017" w:hRule="atLeast"/>
          <w:jc w:val="center"/>
        </w:trPr>
        <w:tc>
          <w:tcPr>
            <w:tcW w:w="272" w:type="pct"/>
            <w:vAlign w:val="center"/>
          </w:tcPr>
          <w:p w14:paraId="3126CAC5">
            <w:pPr>
              <w:spacing w:line="240" w:lineRule="auto"/>
              <w:ind w:firstLine="0" w:firstLineChars="0"/>
              <w:jc w:val="center"/>
            </w:pPr>
            <w:r>
              <w:t>建设内容</w:t>
            </w:r>
          </w:p>
        </w:tc>
        <w:tc>
          <w:tcPr>
            <w:tcW w:w="4727" w:type="pct"/>
          </w:tcPr>
          <w:p w14:paraId="72FB1FC3">
            <w:pPr>
              <w:ind w:firstLine="482"/>
              <w:jc w:val="both"/>
              <w:rPr>
                <w:b/>
              </w:rPr>
            </w:pPr>
            <w:r>
              <w:rPr>
                <w:rFonts w:hint="eastAsia"/>
                <w:b/>
              </w:rPr>
              <w:t>1、项目由来</w:t>
            </w:r>
          </w:p>
          <w:p w14:paraId="37F24FC0">
            <w:pPr>
              <w:ind w:firstLine="480"/>
              <w:jc w:val="both"/>
            </w:pPr>
            <w:bookmarkStart w:id="52" w:name="OLE_LINK259"/>
            <w:bookmarkStart w:id="53" w:name="OLE_LINK62"/>
            <w:r>
              <w:rPr>
                <w:rFonts w:hint="eastAsia"/>
                <w:lang w:eastAsia="zh-CN"/>
              </w:rPr>
              <w:t>惠州市巨禾塑胶科技有限公司</w:t>
            </w:r>
            <w:bookmarkEnd w:id="52"/>
            <w:r>
              <w:rPr>
                <w:rFonts w:hint="eastAsia"/>
              </w:rPr>
              <w:t>原位于博罗县园洲镇田头村田头工业区（东经</w:t>
            </w:r>
            <w:r>
              <w:rPr>
                <w:color w:val="000000"/>
                <w:kern w:val="0"/>
              </w:rPr>
              <w:t>114º</w:t>
            </w:r>
            <w:r>
              <w:rPr>
                <w:rFonts w:hint="eastAsia"/>
                <w:color w:val="000000"/>
                <w:kern w:val="0"/>
              </w:rPr>
              <w:t>01</w:t>
            </w:r>
            <w:r>
              <w:rPr>
                <w:color w:val="000000"/>
                <w:kern w:val="0"/>
              </w:rPr>
              <w:t>′</w:t>
            </w:r>
            <w:r>
              <w:rPr>
                <w:rFonts w:hint="eastAsia"/>
                <w:color w:val="000000"/>
                <w:kern w:val="0"/>
              </w:rPr>
              <w:t>37.828</w:t>
            </w:r>
            <w:r>
              <w:t>″</w:t>
            </w:r>
            <w:r>
              <w:rPr>
                <w:rFonts w:hint="eastAsia"/>
              </w:rPr>
              <w:t>，</w:t>
            </w:r>
            <w:r>
              <w:rPr>
                <w:color w:val="000000"/>
                <w:kern w:val="0"/>
              </w:rPr>
              <w:t xml:space="preserve"> </w:t>
            </w:r>
            <w:r>
              <w:rPr>
                <w:rFonts w:hint="eastAsia"/>
              </w:rPr>
              <w:t>北纬</w:t>
            </w:r>
            <w:r>
              <w:rPr>
                <w:rFonts w:hint="eastAsia"/>
                <w:color w:val="000000"/>
                <w:kern w:val="0"/>
              </w:rPr>
              <w:t>23</w:t>
            </w:r>
            <w:r>
              <w:rPr>
                <w:color w:val="000000"/>
                <w:kern w:val="0"/>
              </w:rPr>
              <w:t xml:space="preserve">º </w:t>
            </w:r>
            <w:r>
              <w:rPr>
                <w:rFonts w:hint="eastAsia"/>
                <w:color w:val="000000"/>
                <w:kern w:val="0"/>
              </w:rPr>
              <w:t>6</w:t>
            </w:r>
            <w:r>
              <w:rPr>
                <w:color w:val="000000"/>
                <w:kern w:val="0"/>
              </w:rPr>
              <w:t>′</w:t>
            </w:r>
            <w:r>
              <w:rPr>
                <w:rFonts w:hint="eastAsia"/>
                <w:color w:val="000000"/>
                <w:kern w:val="0"/>
              </w:rPr>
              <w:t>22.264</w:t>
            </w:r>
            <w:r>
              <w:rPr>
                <w:color w:val="000000"/>
                <w:kern w:val="0"/>
              </w:rPr>
              <w:t>″</w:t>
            </w:r>
            <w:r>
              <w:rPr>
                <w:rFonts w:hint="eastAsia"/>
              </w:rPr>
              <w:t>），项目总投资200万元，环保投资20万元，租赁厂房占地面积1850m</w:t>
            </w:r>
            <w:r>
              <w:rPr>
                <w:rFonts w:hint="eastAsia"/>
                <w:vertAlign w:val="superscript"/>
              </w:rPr>
              <w:t>2</w:t>
            </w:r>
            <w:r>
              <w:rPr>
                <w:rFonts w:hint="eastAsia"/>
              </w:rPr>
              <w:t>，建筑面积1850m</w:t>
            </w:r>
            <w:r>
              <w:rPr>
                <w:rFonts w:hint="eastAsia"/>
                <w:vertAlign w:val="superscript"/>
              </w:rPr>
              <w:t>2</w:t>
            </w:r>
            <w:r>
              <w:rPr>
                <w:rFonts w:hint="eastAsia"/>
              </w:rPr>
              <w:t>，</w:t>
            </w:r>
            <w:r>
              <w:t>主要从事</w:t>
            </w:r>
            <w:r>
              <w:rPr>
                <w:rFonts w:hint="eastAsia"/>
              </w:rPr>
              <w:t>TPE热塑性弹性体的生产，年产TPE热塑性弹性体800吨，主要生产工艺为：搅拌、挤出、冷却、切粒、包装出货，项目员工5人，均不在厂区内食宿，全年工作300天，每天1班，每班8小时。</w:t>
            </w:r>
            <w:bookmarkEnd w:id="53"/>
            <w:r>
              <w:rPr>
                <w:rFonts w:hint="eastAsia"/>
              </w:rPr>
              <w:t>现有项目于2022年3月23日取得了惠州市生态环境局《关于</w:t>
            </w:r>
            <w:r>
              <w:rPr>
                <w:rFonts w:hint="eastAsia"/>
                <w:lang w:eastAsia="zh-CN"/>
              </w:rPr>
              <w:t>惠州市巨禾塑胶科技有限公司</w:t>
            </w:r>
            <w:r>
              <w:rPr>
                <w:rFonts w:hint="eastAsia"/>
              </w:rPr>
              <w:t>建设项目环境影响报告表的批复》（惠市环（博罗）建[2022]68号）（见</w:t>
            </w:r>
            <w:bookmarkStart w:id="54" w:name="OLE_LINK33"/>
            <w:r>
              <w:rPr>
                <w:rFonts w:hint="eastAsia"/>
              </w:rPr>
              <w:t>附件</w:t>
            </w:r>
            <w:bookmarkEnd w:id="54"/>
            <w:r>
              <w:rPr>
                <w:rFonts w:hint="eastAsia"/>
              </w:rPr>
              <w:t>6）。2023年3月27日取得了固定污染源排污登记回执，登记编号：91441322MA54U2M17G001X（见附件7）。2023年06月10日取得《</w:t>
            </w:r>
            <w:r>
              <w:rPr>
                <w:rFonts w:hint="eastAsia"/>
                <w:lang w:eastAsia="zh-CN"/>
              </w:rPr>
              <w:t>惠州市巨禾塑胶科技有限公司</w:t>
            </w:r>
            <w:r>
              <w:rPr>
                <w:rFonts w:hint="eastAsia"/>
              </w:rPr>
              <w:t>建设项目（一期）竣工环境保护验收工作组意见》（见附件8）。</w:t>
            </w:r>
          </w:p>
          <w:p w14:paraId="744E4E7B">
            <w:pPr>
              <w:ind w:firstLine="480"/>
              <w:jc w:val="both"/>
            </w:pPr>
            <w:r>
              <w:rPr>
                <w:rFonts w:hint="eastAsia"/>
              </w:rPr>
              <w:t>现因企业发展需要，建设单位</w:t>
            </w:r>
            <w:r>
              <w:rPr>
                <w:rFonts w:hint="eastAsia"/>
                <w:lang w:val="en-US" w:eastAsia="zh-CN"/>
              </w:rPr>
              <w:t>更名为</w:t>
            </w:r>
            <w:r>
              <w:rPr>
                <w:rFonts w:hint="eastAsia"/>
                <w:lang w:eastAsia="zh-CN"/>
              </w:rPr>
              <w:t>惠州市巨禾新材料科技有限公司，</w:t>
            </w:r>
            <w:r>
              <w:rPr>
                <w:rFonts w:hint="eastAsia"/>
                <w:lang w:val="en-US" w:eastAsia="zh-CN"/>
              </w:rPr>
              <w:t>营业执照及变更证明见附件1</w:t>
            </w:r>
            <w:r>
              <w:rPr>
                <w:rFonts w:hint="eastAsia"/>
                <w:lang w:eastAsia="zh-CN"/>
              </w:rPr>
              <w:t>，</w:t>
            </w:r>
            <w:r>
              <w:rPr>
                <w:rFonts w:hint="eastAsia"/>
                <w:lang w:val="en-US" w:eastAsia="zh-CN"/>
              </w:rPr>
              <w:t>项目</w:t>
            </w:r>
            <w:r>
              <w:rPr>
                <w:rFonts w:hint="eastAsia"/>
              </w:rPr>
              <w:t>拟迁址至惠州市博罗县园洲镇博罗智能装备产业园东片区绿化北路3</w:t>
            </w:r>
            <w:r>
              <w:rPr>
                <w:rFonts w:hint="eastAsia"/>
                <w:color w:val="auto"/>
              </w:rPr>
              <w:t>号20号厂房101、201，迁扩建后租赁厂房</w:t>
            </w:r>
            <w:bookmarkStart w:id="55" w:name="OLE_LINK216"/>
            <w:r>
              <w:rPr>
                <w:rFonts w:hint="eastAsia"/>
                <w:color w:val="auto"/>
              </w:rPr>
              <w:t>占地面积为2000m</w:t>
            </w:r>
            <w:r>
              <w:rPr>
                <w:rFonts w:hint="eastAsia"/>
                <w:color w:val="auto"/>
                <w:vertAlign w:val="superscript"/>
              </w:rPr>
              <w:t>2</w:t>
            </w:r>
            <w:r>
              <w:rPr>
                <w:rFonts w:hint="eastAsia"/>
                <w:color w:val="auto"/>
              </w:rPr>
              <w:t>，</w:t>
            </w:r>
            <w:bookmarkEnd w:id="55"/>
            <w:bookmarkStart w:id="56" w:name="OLE_LINK215"/>
            <w:r>
              <w:rPr>
                <w:rFonts w:hint="eastAsia"/>
                <w:color w:val="auto"/>
              </w:rPr>
              <w:t>总建筑面积3122</w:t>
            </w:r>
            <w:bookmarkStart w:id="57" w:name="OLE_LINK266"/>
            <w:r>
              <w:rPr>
                <w:rFonts w:hint="eastAsia"/>
                <w:color w:val="auto"/>
              </w:rPr>
              <w:t>m</w:t>
            </w:r>
            <w:r>
              <w:rPr>
                <w:rFonts w:hint="eastAsia"/>
                <w:color w:val="auto"/>
                <w:vertAlign w:val="superscript"/>
              </w:rPr>
              <w:t>2</w:t>
            </w:r>
            <w:bookmarkEnd w:id="56"/>
            <w:bookmarkEnd w:id="57"/>
            <w:r>
              <w:rPr>
                <w:rFonts w:hint="eastAsia"/>
                <w:color w:val="auto"/>
              </w:rPr>
              <w:t>。项目迁址后从事</w:t>
            </w:r>
            <w:bookmarkStart w:id="58" w:name="OLE_LINK263"/>
            <w:r>
              <w:rPr>
                <w:rFonts w:hint="eastAsia"/>
                <w:color w:val="auto"/>
              </w:rPr>
              <w:t>TPE热塑性弹性体、仿真娃娃</w:t>
            </w:r>
            <w:bookmarkEnd w:id="58"/>
            <w:r>
              <w:rPr>
                <w:rFonts w:hint="eastAsia"/>
                <w:color w:val="auto"/>
              </w:rPr>
              <w:t>的生产，预计年产量分别为1000吨TPE热塑性弹性体、200吨仿真娃娃，迁扩建后新增</w:t>
            </w:r>
            <w:bookmarkStart w:id="59" w:name="OLE_LINK222"/>
            <w:r>
              <w:rPr>
                <w:rFonts w:hint="eastAsia"/>
                <w:color w:val="auto"/>
              </w:rPr>
              <w:t>破碎</w:t>
            </w:r>
            <w:bookmarkEnd w:id="59"/>
            <w:r>
              <w:rPr>
                <w:rFonts w:hint="eastAsia"/>
                <w:color w:val="auto"/>
              </w:rPr>
              <w:t>、检测、溶胶等工艺，员工人数由5人增加至8人，年工作时间250</w:t>
            </w:r>
            <w:r>
              <w:rPr>
                <w:rFonts w:hint="eastAsia"/>
              </w:rPr>
              <w:t>天，每天工作8小时，均不在项目内食宿。</w:t>
            </w:r>
          </w:p>
          <w:p w14:paraId="45E876E5">
            <w:pPr>
              <w:ind w:firstLine="480"/>
              <w:jc w:val="both"/>
            </w:pPr>
            <w:r>
              <w:rPr>
                <w:color w:val="000000"/>
                <w:kern w:val="0"/>
              </w:rPr>
              <w:t>项目在经营过程中涉及到环境保护问题，</w:t>
            </w:r>
            <w:r>
              <w:rPr>
                <w:rFonts w:hint="eastAsia"/>
              </w:rPr>
              <w:t>根据《中华人民共和国环境影响评价法》、《建设项目环境保护管理条例》和《建设项目环境影响评价分类管理名录》等有关建设项目环境保护管理的规定，项目属于“二十六、橡胶和塑料制品业”53塑料制品业</w:t>
            </w:r>
            <w:r>
              <w:t>292</w:t>
            </w:r>
            <w:r>
              <w:rPr>
                <w:rFonts w:hint="eastAsia"/>
              </w:rPr>
              <w:t>-其他（年用非溶剂型低VOCs含量涂料10吨以下的除外），需编制环境影响评价报告表，因此，建设单位委托我司承担本项目的环境影响评价报告表的编制工作，对本项目进行环境影响评价。</w:t>
            </w:r>
          </w:p>
          <w:p w14:paraId="6EB0CC46">
            <w:pPr>
              <w:ind w:firstLine="482"/>
              <w:jc w:val="both"/>
              <w:rPr>
                <w:b/>
              </w:rPr>
            </w:pPr>
            <w:r>
              <w:rPr>
                <w:rFonts w:hint="eastAsia"/>
                <w:b/>
              </w:rPr>
              <w:t>2、建设项目内容</w:t>
            </w:r>
          </w:p>
          <w:p w14:paraId="3299071C">
            <w:pPr>
              <w:ind w:firstLine="480"/>
              <w:jc w:val="both"/>
            </w:pPr>
            <w:r>
              <w:rPr>
                <w:rFonts w:hint="eastAsia"/>
              </w:rPr>
              <w:t>项目</w:t>
            </w:r>
            <w:r>
              <w:t>具体工程组成情况详见表2-</w:t>
            </w:r>
            <w:r>
              <w:rPr>
                <w:rFonts w:hint="eastAsia"/>
              </w:rPr>
              <w:t>1</w:t>
            </w:r>
            <w:r>
              <w:t>所列。</w:t>
            </w:r>
          </w:p>
          <w:p w14:paraId="28956579">
            <w:pPr>
              <w:pStyle w:val="16"/>
              <w:rPr>
                <w:kern w:val="2"/>
                <w:szCs w:val="24"/>
              </w:rPr>
            </w:pPr>
            <w:r>
              <w:rPr>
                <w:kern w:val="2"/>
                <w:szCs w:val="24"/>
              </w:rPr>
              <w:t>表2-</w:t>
            </w:r>
            <w:r>
              <w:rPr>
                <w:rFonts w:hint="eastAsia"/>
                <w:kern w:val="2"/>
                <w:szCs w:val="24"/>
              </w:rPr>
              <w:t xml:space="preserve">1 </w:t>
            </w:r>
            <w:r>
              <w:rPr>
                <w:kern w:val="2"/>
                <w:szCs w:val="24"/>
              </w:rPr>
              <w:t>本项目工程情况一览表</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6"/>
              <w:gridCol w:w="680"/>
              <w:gridCol w:w="661"/>
              <w:gridCol w:w="2254"/>
              <w:gridCol w:w="3032"/>
              <w:gridCol w:w="1276"/>
            </w:tblGrid>
            <w:tr w14:paraId="64A12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383" w:type="pct"/>
                  <w:vAlign w:val="center"/>
                </w:tcPr>
                <w:p w14:paraId="2B67FEDD">
                  <w:pPr>
                    <w:pStyle w:val="8"/>
                    <w:rPr>
                      <w:b/>
                      <w:bCs/>
                    </w:rPr>
                  </w:pPr>
                  <w:r>
                    <w:rPr>
                      <w:b/>
                      <w:bCs/>
                    </w:rPr>
                    <w:t>项目</w:t>
                  </w:r>
                </w:p>
              </w:tc>
              <w:tc>
                <w:tcPr>
                  <w:tcW w:w="397" w:type="pct"/>
                  <w:vAlign w:val="center"/>
                </w:tcPr>
                <w:p w14:paraId="3285E455">
                  <w:pPr>
                    <w:pStyle w:val="8"/>
                    <w:rPr>
                      <w:b/>
                      <w:bCs/>
                    </w:rPr>
                  </w:pPr>
                  <w:r>
                    <w:rPr>
                      <w:b/>
                      <w:bCs/>
                    </w:rPr>
                    <w:t>内容</w:t>
                  </w:r>
                </w:p>
              </w:tc>
              <w:tc>
                <w:tcPr>
                  <w:tcW w:w="1702" w:type="pct"/>
                  <w:gridSpan w:val="2"/>
                  <w:vAlign w:val="center"/>
                </w:tcPr>
                <w:p w14:paraId="5148C24A">
                  <w:pPr>
                    <w:pStyle w:val="8"/>
                    <w:rPr>
                      <w:b/>
                      <w:bCs/>
                    </w:rPr>
                  </w:pPr>
                  <w:r>
                    <w:rPr>
                      <w:rFonts w:hint="eastAsia"/>
                      <w:b/>
                      <w:bCs/>
                    </w:rPr>
                    <w:t>迁扩建前工程内容</w:t>
                  </w:r>
                </w:p>
              </w:tc>
              <w:tc>
                <w:tcPr>
                  <w:tcW w:w="1770" w:type="pct"/>
                  <w:vAlign w:val="center"/>
                </w:tcPr>
                <w:p w14:paraId="4D39AEFC">
                  <w:pPr>
                    <w:pStyle w:val="8"/>
                    <w:rPr>
                      <w:b/>
                      <w:bCs/>
                    </w:rPr>
                  </w:pPr>
                  <w:r>
                    <w:rPr>
                      <w:b/>
                      <w:bCs/>
                    </w:rPr>
                    <w:t>迁扩建后工程内容</w:t>
                  </w:r>
                </w:p>
              </w:tc>
              <w:tc>
                <w:tcPr>
                  <w:tcW w:w="745" w:type="pct"/>
                  <w:vAlign w:val="center"/>
                </w:tcPr>
                <w:p w14:paraId="0D8B014D">
                  <w:pPr>
                    <w:pStyle w:val="8"/>
                    <w:rPr>
                      <w:b/>
                      <w:bCs/>
                    </w:rPr>
                  </w:pPr>
                  <w:r>
                    <w:rPr>
                      <w:rFonts w:hint="eastAsia"/>
                      <w:b/>
                      <w:bCs/>
                    </w:rPr>
                    <w:t>变化情况</w:t>
                  </w:r>
                </w:p>
              </w:tc>
            </w:tr>
            <w:tr w14:paraId="21062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383" w:type="pct"/>
                  <w:vAlign w:val="center"/>
                </w:tcPr>
                <w:p w14:paraId="3A2A75A7">
                  <w:pPr>
                    <w:pStyle w:val="8"/>
                  </w:pPr>
                  <w:r>
                    <w:t>主体工程</w:t>
                  </w:r>
                </w:p>
              </w:tc>
              <w:tc>
                <w:tcPr>
                  <w:tcW w:w="397" w:type="pct"/>
                  <w:vAlign w:val="center"/>
                </w:tcPr>
                <w:p w14:paraId="1BBCDF6B">
                  <w:pPr>
                    <w:pStyle w:val="8"/>
                  </w:pPr>
                  <w:r>
                    <w:rPr>
                      <w:rFonts w:hint="eastAsia"/>
                    </w:rPr>
                    <w:t>生产厂房</w:t>
                  </w:r>
                </w:p>
              </w:tc>
              <w:tc>
                <w:tcPr>
                  <w:tcW w:w="1702" w:type="pct"/>
                  <w:gridSpan w:val="2"/>
                  <w:vAlign w:val="center"/>
                </w:tcPr>
                <w:p w14:paraId="1AEA6C00">
                  <w:pPr>
                    <w:pStyle w:val="8"/>
                  </w:pPr>
                  <w:r>
                    <w:rPr>
                      <w:rFonts w:hint="eastAsia"/>
                    </w:rPr>
                    <w:t>占地面积1850m</w:t>
                  </w:r>
                  <w:r>
                    <w:rPr>
                      <w:rFonts w:hint="eastAsia"/>
                      <w:vertAlign w:val="superscript"/>
                    </w:rPr>
                    <w:t>2</w:t>
                  </w:r>
                  <w:r>
                    <w:rPr>
                      <w:rFonts w:hint="eastAsia"/>
                    </w:rPr>
                    <w:t>，建筑面积约为1850m</w:t>
                  </w:r>
                  <w:r>
                    <w:rPr>
                      <w:rFonts w:hint="eastAsia"/>
                      <w:vertAlign w:val="superscript"/>
                    </w:rPr>
                    <w:t>2</w:t>
                  </w:r>
                  <w:r>
                    <w:rPr>
                      <w:rFonts w:hint="eastAsia"/>
                    </w:rPr>
                    <w:t>，包含生产区（包括生产车间、仓库）</w:t>
                  </w:r>
                </w:p>
              </w:tc>
              <w:tc>
                <w:tcPr>
                  <w:tcW w:w="1770" w:type="pct"/>
                  <w:vAlign w:val="center"/>
                </w:tcPr>
                <w:p w14:paraId="0183CCCF">
                  <w:pPr>
                    <w:pStyle w:val="8"/>
                    <w:rPr>
                      <w:color w:val="auto"/>
                    </w:rPr>
                  </w:pPr>
                  <w:r>
                    <w:rPr>
                      <w:rFonts w:hint="eastAsia"/>
                      <w:color w:val="auto"/>
                    </w:rPr>
                    <w:t>占地面积为2000</w:t>
                  </w:r>
                  <w:bookmarkStart w:id="60" w:name="OLE_LINK264"/>
                  <w:r>
                    <w:rPr>
                      <w:rFonts w:hint="eastAsia"/>
                      <w:color w:val="auto"/>
                    </w:rPr>
                    <w:t>m</w:t>
                  </w:r>
                  <w:r>
                    <w:rPr>
                      <w:rFonts w:hint="eastAsia"/>
                      <w:color w:val="auto"/>
                      <w:vertAlign w:val="superscript"/>
                    </w:rPr>
                    <w:t>2</w:t>
                  </w:r>
                  <w:bookmarkEnd w:id="60"/>
                  <w:r>
                    <w:rPr>
                      <w:rFonts w:hint="eastAsia"/>
                      <w:color w:val="auto"/>
                    </w:rPr>
                    <w:t>，总建筑面积</w:t>
                  </w:r>
                  <w:bookmarkStart w:id="61" w:name="OLE_LINK265"/>
                  <w:r>
                    <w:rPr>
                      <w:rFonts w:hint="eastAsia"/>
                      <w:color w:val="auto"/>
                    </w:rPr>
                    <w:t>3122m</w:t>
                  </w:r>
                  <w:r>
                    <w:rPr>
                      <w:rFonts w:hint="eastAsia"/>
                      <w:color w:val="auto"/>
                      <w:vertAlign w:val="superscript"/>
                    </w:rPr>
                    <w:t>2</w:t>
                  </w:r>
                  <w:bookmarkEnd w:id="61"/>
                  <w:r>
                    <w:rPr>
                      <w:rFonts w:hint="eastAsia"/>
                      <w:color w:val="auto"/>
                    </w:rPr>
                    <w:t>，包含</w:t>
                  </w:r>
                  <w:bookmarkStart w:id="62" w:name="OLE_LINK255"/>
                  <w:r>
                    <w:rPr>
                      <w:rFonts w:hint="eastAsia"/>
                      <w:color w:val="auto"/>
                    </w:rPr>
                    <w:t>厂房</w:t>
                  </w:r>
                  <w:bookmarkEnd w:id="62"/>
                  <w:r>
                    <w:rPr>
                      <w:rFonts w:hint="eastAsia"/>
                      <w:color w:val="auto"/>
                    </w:rPr>
                    <w:t>一楼（包括挤出区、成品区、混料区、检测区等，</w:t>
                  </w:r>
                  <w:bookmarkStart w:id="63" w:name="OLE_LINK267"/>
                  <w:r>
                    <w:rPr>
                      <w:rFonts w:hint="eastAsia"/>
                      <w:color w:val="auto"/>
                    </w:rPr>
                    <w:t>约1800m</w:t>
                  </w:r>
                  <w:r>
                    <w:rPr>
                      <w:rFonts w:hint="eastAsia"/>
                      <w:color w:val="auto"/>
                      <w:vertAlign w:val="superscript"/>
                    </w:rPr>
                    <w:t>2</w:t>
                  </w:r>
                  <w:bookmarkEnd w:id="63"/>
                  <w:r>
                    <w:rPr>
                      <w:rFonts w:hint="eastAsia"/>
                      <w:color w:val="auto"/>
                    </w:rPr>
                    <w:t>）、一楼阁楼（主要为办公区，约810m</w:t>
                  </w:r>
                  <w:r>
                    <w:rPr>
                      <w:rFonts w:hint="eastAsia"/>
                      <w:color w:val="auto"/>
                      <w:vertAlign w:val="superscript"/>
                    </w:rPr>
                    <w:t>2</w:t>
                  </w:r>
                  <w:r>
                    <w:rPr>
                      <w:rFonts w:hint="eastAsia"/>
                      <w:color w:val="auto"/>
                    </w:rPr>
                    <w:t>）、厂房201（主要为溶胶车间，约500m</w:t>
                  </w:r>
                  <w:r>
                    <w:rPr>
                      <w:rFonts w:hint="eastAsia"/>
                      <w:color w:val="auto"/>
                      <w:vertAlign w:val="superscript"/>
                    </w:rPr>
                    <w:t>2</w:t>
                  </w:r>
                  <w:r>
                    <w:rPr>
                      <w:rFonts w:hint="eastAsia"/>
                      <w:color w:val="auto"/>
                    </w:rPr>
                    <w:t>），项目1楼层高7m，其中一楼阁楼层高3m，2-5楼层层高5m，总高27m</w:t>
                  </w:r>
                </w:p>
              </w:tc>
              <w:tc>
                <w:tcPr>
                  <w:tcW w:w="745" w:type="pct"/>
                  <w:vAlign w:val="center"/>
                </w:tcPr>
                <w:p w14:paraId="215BAC9E">
                  <w:pPr>
                    <w:pStyle w:val="8"/>
                    <w:rPr>
                      <w:color w:val="auto"/>
                    </w:rPr>
                  </w:pPr>
                  <w:r>
                    <w:rPr>
                      <w:rFonts w:hint="eastAsia"/>
                      <w:color w:val="auto"/>
                    </w:rPr>
                    <w:t>占地面积增加150m</w:t>
                  </w:r>
                  <w:r>
                    <w:rPr>
                      <w:rFonts w:hint="eastAsia"/>
                      <w:color w:val="auto"/>
                      <w:vertAlign w:val="superscript"/>
                    </w:rPr>
                    <w:t>2</w:t>
                  </w:r>
                  <w:r>
                    <w:rPr>
                      <w:rFonts w:hint="eastAsia"/>
                      <w:color w:val="auto"/>
                    </w:rPr>
                    <w:t>，建筑面积增加1272m</w:t>
                  </w:r>
                  <w:r>
                    <w:rPr>
                      <w:rFonts w:hint="eastAsia"/>
                      <w:color w:val="auto"/>
                      <w:vertAlign w:val="superscript"/>
                    </w:rPr>
                    <w:t>2</w:t>
                  </w:r>
                </w:p>
              </w:tc>
            </w:tr>
            <w:tr w14:paraId="642D8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383" w:type="pct"/>
                  <w:vAlign w:val="center"/>
                </w:tcPr>
                <w:p w14:paraId="78AB5AD7">
                  <w:pPr>
                    <w:pStyle w:val="8"/>
                  </w:pPr>
                  <w:r>
                    <w:rPr>
                      <w:rFonts w:hint="eastAsia"/>
                    </w:rPr>
                    <w:t>储运工程</w:t>
                  </w:r>
                </w:p>
              </w:tc>
              <w:tc>
                <w:tcPr>
                  <w:tcW w:w="397" w:type="pct"/>
                  <w:shd w:val="clear" w:color="auto" w:fill="auto"/>
                  <w:vAlign w:val="center"/>
                </w:tcPr>
                <w:p w14:paraId="7EBF40EC">
                  <w:pPr>
                    <w:pStyle w:val="8"/>
                  </w:pPr>
                  <w:r>
                    <w:rPr>
                      <w:rFonts w:hint="eastAsia"/>
                    </w:rPr>
                    <w:t>仓库</w:t>
                  </w:r>
                </w:p>
              </w:tc>
              <w:tc>
                <w:tcPr>
                  <w:tcW w:w="1702" w:type="pct"/>
                  <w:gridSpan w:val="2"/>
                  <w:shd w:val="clear" w:color="auto" w:fill="auto"/>
                  <w:vAlign w:val="center"/>
                </w:tcPr>
                <w:p w14:paraId="798E30FA">
                  <w:pPr>
                    <w:pStyle w:val="8"/>
                  </w:pPr>
                  <w:bookmarkStart w:id="64" w:name="OLE_LINK104"/>
                  <w:r>
                    <w:rPr>
                      <w:rFonts w:hint="eastAsia"/>
                    </w:rPr>
                    <w:t>位于厂房内，</w:t>
                  </w:r>
                  <w:bookmarkEnd w:id="64"/>
                  <w:r>
                    <w:rPr>
                      <w:rFonts w:hint="eastAsia"/>
                    </w:rPr>
                    <w:t>建筑面积900</w:t>
                  </w:r>
                  <w:r>
                    <w:rPr>
                      <w:rStyle w:val="133"/>
                      <w:rFonts w:eastAsia="Times New Roman"/>
                      <w:sz w:val="21"/>
                      <w:szCs w:val="21"/>
                    </w:rPr>
                    <w:t>m</w:t>
                  </w:r>
                  <w:r>
                    <w:rPr>
                      <w:rStyle w:val="133"/>
                      <w:rFonts w:eastAsia="Times New Roman"/>
                      <w:sz w:val="21"/>
                      <w:szCs w:val="21"/>
                      <w:vertAlign w:val="superscript"/>
                    </w:rPr>
                    <w:t>2</w:t>
                  </w:r>
                </w:p>
              </w:tc>
              <w:tc>
                <w:tcPr>
                  <w:tcW w:w="1770" w:type="pct"/>
                  <w:shd w:val="clear" w:color="auto" w:fill="auto"/>
                  <w:vAlign w:val="center"/>
                </w:tcPr>
                <w:p w14:paraId="17C05DCC">
                  <w:pPr>
                    <w:pStyle w:val="8"/>
                    <w:rPr>
                      <w:color w:val="auto"/>
                    </w:rPr>
                  </w:pPr>
                  <w:r>
                    <w:rPr>
                      <w:rFonts w:hint="eastAsia"/>
                      <w:color w:val="auto"/>
                    </w:rPr>
                    <w:t>位于厂房一楼，建筑面积约900m</w:t>
                  </w:r>
                  <w:r>
                    <w:rPr>
                      <w:rFonts w:hint="eastAsia"/>
                      <w:color w:val="auto"/>
                      <w:vertAlign w:val="superscript"/>
                    </w:rPr>
                    <w:t>2</w:t>
                  </w:r>
                </w:p>
              </w:tc>
              <w:tc>
                <w:tcPr>
                  <w:tcW w:w="745" w:type="pct"/>
                  <w:shd w:val="clear" w:color="auto" w:fill="auto"/>
                  <w:vAlign w:val="center"/>
                </w:tcPr>
                <w:p w14:paraId="1D48AB5C">
                  <w:pPr>
                    <w:pStyle w:val="8"/>
                    <w:rPr>
                      <w:color w:val="auto"/>
                    </w:rPr>
                  </w:pPr>
                  <w:r>
                    <w:rPr>
                      <w:rFonts w:hint="eastAsia"/>
                      <w:color w:val="auto"/>
                    </w:rPr>
                    <w:t>建筑面积不变</w:t>
                  </w:r>
                </w:p>
              </w:tc>
            </w:tr>
            <w:tr w14:paraId="10DEA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jc w:val="center"/>
              </w:trPr>
              <w:tc>
                <w:tcPr>
                  <w:tcW w:w="383" w:type="pct"/>
                  <w:vAlign w:val="center"/>
                </w:tcPr>
                <w:p w14:paraId="6E0775E0">
                  <w:pPr>
                    <w:pStyle w:val="9"/>
                    <w:snapToGrid/>
                    <w:spacing w:before="0" w:after="0" w:line="240" w:lineRule="auto"/>
                    <w:ind w:right="0" w:firstLine="0" w:firstLineChars="0"/>
                    <w:jc w:val="center"/>
                    <w:rPr>
                      <w:sz w:val="21"/>
                    </w:rPr>
                  </w:pPr>
                  <w:r>
                    <w:rPr>
                      <w:rFonts w:hint="eastAsia"/>
                      <w:sz w:val="21"/>
                    </w:rPr>
                    <w:t>辅助工程</w:t>
                  </w:r>
                </w:p>
              </w:tc>
              <w:tc>
                <w:tcPr>
                  <w:tcW w:w="397" w:type="pct"/>
                  <w:shd w:val="clear" w:color="auto" w:fill="auto"/>
                  <w:vAlign w:val="center"/>
                </w:tcPr>
                <w:p w14:paraId="5659F50C">
                  <w:pPr>
                    <w:pStyle w:val="8"/>
                  </w:pPr>
                  <w:r>
                    <w:rPr>
                      <w:rFonts w:hint="eastAsia"/>
                    </w:rPr>
                    <w:t>办公区</w:t>
                  </w:r>
                </w:p>
              </w:tc>
              <w:tc>
                <w:tcPr>
                  <w:tcW w:w="1702" w:type="pct"/>
                  <w:gridSpan w:val="2"/>
                  <w:shd w:val="clear" w:color="auto" w:fill="auto"/>
                  <w:vAlign w:val="center"/>
                </w:tcPr>
                <w:p w14:paraId="42FBEC39">
                  <w:pPr>
                    <w:pStyle w:val="8"/>
                  </w:pPr>
                  <w:r>
                    <w:rPr>
                      <w:rStyle w:val="133"/>
                      <w:sz w:val="21"/>
                      <w:szCs w:val="21"/>
                    </w:rPr>
                    <w:t>位于厂房内，建筑面积约</w:t>
                  </w:r>
                  <w:r>
                    <w:rPr>
                      <w:rStyle w:val="133"/>
                      <w:rFonts w:hint="eastAsia"/>
                      <w:sz w:val="21"/>
                      <w:szCs w:val="21"/>
                    </w:rPr>
                    <w:t>5</w:t>
                  </w:r>
                  <w:r>
                    <w:rPr>
                      <w:rStyle w:val="133"/>
                      <w:sz w:val="21"/>
                      <w:szCs w:val="21"/>
                    </w:rPr>
                    <w:t>0</w:t>
                  </w:r>
                  <w:bookmarkStart w:id="65" w:name="OLE_LINK103"/>
                  <w:r>
                    <w:rPr>
                      <w:rStyle w:val="133"/>
                      <w:rFonts w:eastAsia="Times New Roman"/>
                      <w:sz w:val="21"/>
                      <w:szCs w:val="21"/>
                    </w:rPr>
                    <w:t>m</w:t>
                  </w:r>
                  <w:r>
                    <w:rPr>
                      <w:rStyle w:val="133"/>
                      <w:rFonts w:eastAsia="Times New Roman"/>
                      <w:sz w:val="21"/>
                      <w:szCs w:val="21"/>
                      <w:vertAlign w:val="superscript"/>
                    </w:rPr>
                    <w:t>2</w:t>
                  </w:r>
                  <w:bookmarkEnd w:id="65"/>
                </w:p>
              </w:tc>
              <w:tc>
                <w:tcPr>
                  <w:tcW w:w="1770" w:type="pct"/>
                  <w:shd w:val="clear" w:color="auto" w:fill="auto"/>
                  <w:vAlign w:val="center"/>
                </w:tcPr>
                <w:p w14:paraId="5689801A">
                  <w:pPr>
                    <w:pStyle w:val="8"/>
                    <w:rPr>
                      <w:color w:val="auto"/>
                    </w:rPr>
                  </w:pPr>
                  <w:r>
                    <w:rPr>
                      <w:rFonts w:hint="eastAsia"/>
                      <w:color w:val="auto"/>
                    </w:rPr>
                    <w:t>位于厂房一楼阁楼，建筑面积约</w:t>
                  </w:r>
                  <w:bookmarkStart w:id="66" w:name="OLE_LINK214"/>
                  <w:r>
                    <w:rPr>
                      <w:rFonts w:hint="eastAsia"/>
                      <w:color w:val="auto"/>
                    </w:rPr>
                    <w:t>810m</w:t>
                  </w:r>
                  <w:r>
                    <w:rPr>
                      <w:rFonts w:hint="eastAsia"/>
                      <w:color w:val="auto"/>
                      <w:vertAlign w:val="superscript"/>
                    </w:rPr>
                    <w:t>2</w:t>
                  </w:r>
                  <w:bookmarkEnd w:id="66"/>
                </w:p>
              </w:tc>
              <w:tc>
                <w:tcPr>
                  <w:tcW w:w="745" w:type="pct"/>
                  <w:shd w:val="clear" w:color="auto" w:fill="auto"/>
                  <w:vAlign w:val="center"/>
                </w:tcPr>
                <w:p w14:paraId="5AB76E76">
                  <w:pPr>
                    <w:pStyle w:val="8"/>
                    <w:rPr>
                      <w:color w:val="auto"/>
                    </w:rPr>
                  </w:pPr>
                  <w:r>
                    <w:rPr>
                      <w:rFonts w:hint="eastAsia"/>
                      <w:color w:val="auto"/>
                    </w:rPr>
                    <w:t>建筑面积增加760m</w:t>
                  </w:r>
                  <w:r>
                    <w:rPr>
                      <w:rFonts w:hint="eastAsia"/>
                      <w:color w:val="auto"/>
                      <w:vertAlign w:val="superscript"/>
                    </w:rPr>
                    <w:t>2</w:t>
                  </w:r>
                </w:p>
              </w:tc>
            </w:tr>
            <w:tr w14:paraId="1AD43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jc w:val="center"/>
              </w:trPr>
              <w:tc>
                <w:tcPr>
                  <w:tcW w:w="383" w:type="pct"/>
                  <w:vMerge w:val="restart"/>
                  <w:vAlign w:val="center"/>
                </w:tcPr>
                <w:p w14:paraId="0AE25A0C">
                  <w:pPr>
                    <w:pStyle w:val="8"/>
                  </w:pPr>
                  <w:r>
                    <w:t>公用工程</w:t>
                  </w:r>
                </w:p>
              </w:tc>
              <w:tc>
                <w:tcPr>
                  <w:tcW w:w="397" w:type="pct"/>
                  <w:vAlign w:val="center"/>
                </w:tcPr>
                <w:p w14:paraId="3D031AEF">
                  <w:pPr>
                    <w:pStyle w:val="8"/>
                  </w:pPr>
                  <w:r>
                    <w:t>给水</w:t>
                  </w:r>
                </w:p>
              </w:tc>
              <w:tc>
                <w:tcPr>
                  <w:tcW w:w="1702" w:type="pct"/>
                  <w:gridSpan w:val="2"/>
                  <w:vAlign w:val="center"/>
                </w:tcPr>
                <w:p w14:paraId="5FCA77F8">
                  <w:pPr>
                    <w:pStyle w:val="8"/>
                  </w:pPr>
                  <w:bookmarkStart w:id="67" w:name="OLE_LINK1"/>
                  <w:r>
                    <w:rPr>
                      <w:rFonts w:hint="eastAsia"/>
                    </w:rPr>
                    <w:t>市政供水管网供给</w:t>
                  </w:r>
                </w:p>
              </w:tc>
              <w:tc>
                <w:tcPr>
                  <w:tcW w:w="1770" w:type="pct"/>
                  <w:vAlign w:val="center"/>
                </w:tcPr>
                <w:p w14:paraId="08F027AE">
                  <w:pPr>
                    <w:pStyle w:val="8"/>
                    <w:rPr>
                      <w:color w:val="auto"/>
                    </w:rPr>
                  </w:pPr>
                  <w:r>
                    <w:rPr>
                      <w:color w:val="auto"/>
                    </w:rPr>
                    <w:t>市政</w:t>
                  </w:r>
                  <w:r>
                    <w:rPr>
                      <w:rFonts w:hint="eastAsia"/>
                      <w:color w:val="auto"/>
                    </w:rPr>
                    <w:t>供水</w:t>
                  </w:r>
                  <w:r>
                    <w:rPr>
                      <w:color w:val="auto"/>
                    </w:rPr>
                    <w:t>管网</w:t>
                  </w:r>
                  <w:r>
                    <w:rPr>
                      <w:rFonts w:hint="eastAsia"/>
                      <w:color w:val="auto"/>
                    </w:rPr>
                    <w:t>供给</w:t>
                  </w:r>
                  <w:bookmarkEnd w:id="67"/>
                </w:p>
              </w:tc>
              <w:tc>
                <w:tcPr>
                  <w:tcW w:w="745" w:type="pct"/>
                  <w:vAlign w:val="center"/>
                </w:tcPr>
                <w:p w14:paraId="6E4F5BD7">
                  <w:pPr>
                    <w:pStyle w:val="8"/>
                    <w:rPr>
                      <w:color w:val="auto"/>
                    </w:rPr>
                  </w:pPr>
                  <w:r>
                    <w:rPr>
                      <w:rFonts w:hint="eastAsia"/>
                      <w:color w:val="auto"/>
                    </w:rPr>
                    <w:t>/</w:t>
                  </w:r>
                </w:p>
              </w:tc>
            </w:tr>
            <w:tr w14:paraId="45ED8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vAlign w:val="center"/>
                </w:tcPr>
                <w:p w14:paraId="0678F0B6">
                  <w:pPr>
                    <w:pStyle w:val="8"/>
                  </w:pPr>
                </w:p>
              </w:tc>
              <w:tc>
                <w:tcPr>
                  <w:tcW w:w="397" w:type="pct"/>
                  <w:vAlign w:val="center"/>
                </w:tcPr>
                <w:p w14:paraId="5FA6012E">
                  <w:pPr>
                    <w:pStyle w:val="8"/>
                  </w:pPr>
                  <w:r>
                    <w:t>排水</w:t>
                  </w:r>
                </w:p>
              </w:tc>
              <w:tc>
                <w:tcPr>
                  <w:tcW w:w="1702" w:type="pct"/>
                  <w:gridSpan w:val="2"/>
                  <w:vAlign w:val="center"/>
                </w:tcPr>
                <w:p w14:paraId="30CF6761">
                  <w:pPr>
                    <w:autoSpaceDE w:val="0"/>
                    <w:autoSpaceDN w:val="0"/>
                    <w:spacing w:line="240" w:lineRule="auto"/>
                    <w:ind w:firstLine="0" w:firstLineChars="0"/>
                    <w:jc w:val="center"/>
                    <w:rPr>
                      <w:kern w:val="0"/>
                      <w:sz w:val="21"/>
                      <w:szCs w:val="20"/>
                    </w:rPr>
                  </w:pPr>
                  <w:r>
                    <w:rPr>
                      <w:rFonts w:hint="eastAsia"/>
                      <w:kern w:val="0"/>
                      <w:sz w:val="21"/>
                      <w:szCs w:val="20"/>
                    </w:rPr>
                    <w:t>雨污分流，无生产废水外排，</w:t>
                  </w:r>
                  <w:bookmarkStart w:id="68" w:name="OLE_LINK217"/>
                  <w:bookmarkStart w:id="69" w:name="OLE_LINK106"/>
                  <w:r>
                    <w:rPr>
                      <w:rFonts w:hint="eastAsia"/>
                      <w:kern w:val="0"/>
                      <w:sz w:val="21"/>
                      <w:szCs w:val="20"/>
                    </w:rPr>
                    <w:t>生活污水</w:t>
                  </w:r>
                  <w:bookmarkEnd w:id="68"/>
                  <w:r>
                    <w:rPr>
                      <w:rFonts w:hint="eastAsia"/>
                      <w:kern w:val="0"/>
                      <w:sz w:val="21"/>
                      <w:szCs w:val="20"/>
                    </w:rPr>
                    <w:t>经三级化粪池预处理后排入市政污水管网纳入园洲镇第五污水处理厂处理</w:t>
                  </w:r>
                  <w:bookmarkEnd w:id="69"/>
                </w:p>
              </w:tc>
              <w:tc>
                <w:tcPr>
                  <w:tcW w:w="1770" w:type="pct"/>
                  <w:vAlign w:val="center"/>
                </w:tcPr>
                <w:p w14:paraId="636A49A6">
                  <w:pPr>
                    <w:autoSpaceDE w:val="0"/>
                    <w:autoSpaceDN w:val="0"/>
                    <w:spacing w:line="240" w:lineRule="auto"/>
                    <w:ind w:firstLine="0" w:firstLineChars="0"/>
                    <w:jc w:val="center"/>
                    <w:rPr>
                      <w:color w:val="auto"/>
                    </w:rPr>
                  </w:pPr>
                  <w:r>
                    <w:rPr>
                      <w:color w:val="auto"/>
                      <w:kern w:val="0"/>
                      <w:sz w:val="21"/>
                      <w:szCs w:val="20"/>
                    </w:rPr>
                    <w:t>雨污分流</w:t>
                  </w:r>
                  <w:r>
                    <w:rPr>
                      <w:rFonts w:hint="eastAsia"/>
                      <w:color w:val="auto"/>
                      <w:kern w:val="0"/>
                      <w:sz w:val="21"/>
                      <w:szCs w:val="20"/>
                    </w:rPr>
                    <w:t>，项目</w:t>
                  </w:r>
                  <w:bookmarkStart w:id="70" w:name="OLE_LINK105"/>
                  <w:r>
                    <w:rPr>
                      <w:rFonts w:hint="eastAsia"/>
                      <w:color w:val="auto"/>
                      <w:kern w:val="0"/>
                      <w:sz w:val="21"/>
                      <w:szCs w:val="20"/>
                    </w:rPr>
                    <w:t>无生产废水外排，</w:t>
                  </w:r>
                  <w:bookmarkEnd w:id="70"/>
                  <w:r>
                    <w:rPr>
                      <w:rFonts w:hint="eastAsia"/>
                      <w:color w:val="auto"/>
                      <w:kern w:val="0"/>
                      <w:sz w:val="21"/>
                      <w:szCs w:val="20"/>
                    </w:rPr>
                    <w:t>生活污水经三级化粪池预处理后经市政污水管网排入</w:t>
                  </w:r>
                  <w:bookmarkStart w:id="71" w:name="OLE_LINK218"/>
                  <w:r>
                    <w:rPr>
                      <w:rFonts w:hint="eastAsia"/>
                      <w:color w:val="auto"/>
                      <w:kern w:val="0"/>
                      <w:sz w:val="21"/>
                      <w:szCs w:val="20"/>
                    </w:rPr>
                    <w:t>园洲镇第五污水处理厂</w:t>
                  </w:r>
                  <w:bookmarkEnd w:id="71"/>
                  <w:r>
                    <w:rPr>
                      <w:rFonts w:hint="eastAsia"/>
                      <w:color w:val="auto"/>
                      <w:kern w:val="0"/>
                      <w:sz w:val="21"/>
                      <w:szCs w:val="20"/>
                    </w:rPr>
                    <w:t>处理</w:t>
                  </w:r>
                </w:p>
              </w:tc>
              <w:tc>
                <w:tcPr>
                  <w:tcW w:w="745" w:type="pct"/>
                  <w:vAlign w:val="center"/>
                </w:tcPr>
                <w:p w14:paraId="516BBFC0">
                  <w:pPr>
                    <w:autoSpaceDE w:val="0"/>
                    <w:autoSpaceDN w:val="0"/>
                    <w:spacing w:line="240" w:lineRule="auto"/>
                    <w:ind w:firstLine="0" w:firstLineChars="0"/>
                    <w:jc w:val="center"/>
                    <w:rPr>
                      <w:color w:val="auto"/>
                      <w:kern w:val="0"/>
                      <w:sz w:val="21"/>
                      <w:szCs w:val="20"/>
                    </w:rPr>
                  </w:pPr>
                  <w:bookmarkStart w:id="72" w:name="OLE_LINK220"/>
                  <w:r>
                    <w:rPr>
                      <w:rFonts w:hint="eastAsia"/>
                      <w:color w:val="auto"/>
                      <w:kern w:val="0"/>
                      <w:sz w:val="21"/>
                      <w:szCs w:val="20"/>
                    </w:rPr>
                    <w:t>不变</w:t>
                  </w:r>
                  <w:bookmarkEnd w:id="72"/>
                </w:p>
              </w:tc>
            </w:tr>
            <w:tr w14:paraId="35F57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jc w:val="center"/>
              </w:trPr>
              <w:tc>
                <w:tcPr>
                  <w:tcW w:w="383" w:type="pct"/>
                  <w:vMerge w:val="continue"/>
                  <w:vAlign w:val="center"/>
                </w:tcPr>
                <w:p w14:paraId="510CA7D6">
                  <w:pPr>
                    <w:pStyle w:val="8"/>
                  </w:pPr>
                </w:p>
              </w:tc>
              <w:tc>
                <w:tcPr>
                  <w:tcW w:w="397" w:type="pct"/>
                  <w:vAlign w:val="center"/>
                </w:tcPr>
                <w:p w14:paraId="3361289F">
                  <w:pPr>
                    <w:pStyle w:val="8"/>
                  </w:pPr>
                  <w:r>
                    <w:t>供电</w:t>
                  </w:r>
                </w:p>
              </w:tc>
              <w:tc>
                <w:tcPr>
                  <w:tcW w:w="1702" w:type="pct"/>
                  <w:gridSpan w:val="2"/>
                  <w:vAlign w:val="center"/>
                </w:tcPr>
                <w:p w14:paraId="31ED866A">
                  <w:pPr>
                    <w:pStyle w:val="8"/>
                  </w:pPr>
                  <w:bookmarkStart w:id="73" w:name="OLE_LINK2"/>
                  <w:r>
                    <w:rPr>
                      <w:rFonts w:hint="eastAsia"/>
                    </w:rPr>
                    <w:t>市政电网供给</w:t>
                  </w:r>
                </w:p>
              </w:tc>
              <w:tc>
                <w:tcPr>
                  <w:tcW w:w="1770" w:type="pct"/>
                  <w:vAlign w:val="center"/>
                </w:tcPr>
                <w:p w14:paraId="26ADD0C9">
                  <w:pPr>
                    <w:pStyle w:val="8"/>
                  </w:pPr>
                  <w:r>
                    <w:t>市政电网供给</w:t>
                  </w:r>
                  <w:bookmarkEnd w:id="73"/>
                </w:p>
              </w:tc>
              <w:tc>
                <w:tcPr>
                  <w:tcW w:w="745" w:type="pct"/>
                  <w:vAlign w:val="center"/>
                </w:tcPr>
                <w:p w14:paraId="796B915D">
                  <w:pPr>
                    <w:pStyle w:val="8"/>
                  </w:pPr>
                  <w:r>
                    <w:rPr>
                      <w:rFonts w:hint="eastAsia"/>
                    </w:rPr>
                    <w:t>/</w:t>
                  </w:r>
                </w:p>
              </w:tc>
            </w:tr>
            <w:tr w14:paraId="587F8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83" w:type="pct"/>
                  <w:vMerge w:val="restart"/>
                  <w:vAlign w:val="center"/>
                </w:tcPr>
                <w:p w14:paraId="2DF9DBD7">
                  <w:pPr>
                    <w:pStyle w:val="8"/>
                  </w:pPr>
                  <w:r>
                    <w:t>环保工程</w:t>
                  </w:r>
                </w:p>
              </w:tc>
              <w:tc>
                <w:tcPr>
                  <w:tcW w:w="397" w:type="pct"/>
                  <w:vAlign w:val="center"/>
                </w:tcPr>
                <w:p w14:paraId="6366C253">
                  <w:pPr>
                    <w:pStyle w:val="8"/>
                  </w:pPr>
                  <w:r>
                    <w:t>废水</w:t>
                  </w:r>
                </w:p>
              </w:tc>
              <w:tc>
                <w:tcPr>
                  <w:tcW w:w="1702" w:type="pct"/>
                  <w:gridSpan w:val="2"/>
                  <w:vAlign w:val="center"/>
                </w:tcPr>
                <w:p w14:paraId="43494134">
                  <w:pPr>
                    <w:pStyle w:val="8"/>
                  </w:pPr>
                  <w:r>
                    <w:rPr>
                      <w:rFonts w:hint="eastAsia"/>
                    </w:rPr>
                    <w:t>生活污水经三级化粪池预处理后排入市政污水管网纳入园洲镇第五污水处理厂处理；冷却水循环使用，</w:t>
                  </w:r>
                  <w:bookmarkStart w:id="74" w:name="OLE_LINK11"/>
                  <w:bookmarkStart w:id="75" w:name="OLE_LINK162"/>
                  <w:r>
                    <w:rPr>
                      <w:rFonts w:hint="eastAsia"/>
                    </w:rPr>
                    <w:t>直接冷却水定期收集处理</w:t>
                  </w:r>
                  <w:bookmarkEnd w:id="74"/>
                  <w:r>
                    <w:rPr>
                      <w:rFonts w:hint="eastAsia"/>
                    </w:rPr>
                    <w:t>，</w:t>
                  </w:r>
                  <w:bookmarkEnd w:id="75"/>
                  <w:r>
                    <w:rPr>
                      <w:rFonts w:hint="eastAsia"/>
                    </w:rPr>
                    <w:t>冷却水经“混凝沉淀+压滤+保安过滤”处理后回用于直接冷却工序，不外排；喷淋用水循环使用，定期更换，喷淋废水经收集后交由有危废资质单位处理</w:t>
                  </w:r>
                </w:p>
              </w:tc>
              <w:tc>
                <w:tcPr>
                  <w:tcW w:w="1770" w:type="pct"/>
                  <w:vAlign w:val="center"/>
                </w:tcPr>
                <w:p w14:paraId="69E94E4B">
                  <w:pPr>
                    <w:pStyle w:val="8"/>
                  </w:pPr>
                  <w:r>
                    <w:rPr>
                      <w:rFonts w:hint="eastAsia"/>
                    </w:rPr>
                    <w:t>生活污水经三级化粪池预处理后经市政污水管网排入园洲镇第五污水处理厂处理；</w:t>
                  </w:r>
                  <w:bookmarkStart w:id="76" w:name="OLE_LINK163"/>
                  <w:r>
                    <w:rPr>
                      <w:rFonts w:hint="eastAsia"/>
                    </w:rPr>
                    <w:t>间接/直接冷却水循环使用不外排，定期补充，直接冷却水定期收集处理，经“混凝沉淀+压滤+保安过滤”处理后回用于冷却工序，不外排</w:t>
                  </w:r>
                  <w:bookmarkEnd w:id="76"/>
                  <w:r>
                    <w:rPr>
                      <w:rFonts w:hint="eastAsia"/>
                    </w:rPr>
                    <w:t>；</w:t>
                  </w:r>
                  <w:bookmarkStart w:id="77" w:name="OLE_LINK219"/>
                  <w:r>
                    <w:rPr>
                      <w:rFonts w:hint="eastAsia"/>
                    </w:rPr>
                    <w:t>喷淋用水循环使用，定期更换，喷淋废水经收集后交由有危废资质单位处理</w:t>
                  </w:r>
                  <w:bookmarkEnd w:id="77"/>
                </w:p>
              </w:tc>
              <w:tc>
                <w:tcPr>
                  <w:tcW w:w="745" w:type="pct"/>
                  <w:vAlign w:val="center"/>
                </w:tcPr>
                <w:p w14:paraId="7323DAC1">
                  <w:pPr>
                    <w:pStyle w:val="8"/>
                  </w:pPr>
                  <w:r>
                    <w:rPr>
                      <w:rFonts w:hint="eastAsia"/>
                    </w:rPr>
                    <w:t>不变</w:t>
                  </w:r>
                </w:p>
              </w:tc>
            </w:tr>
            <w:tr w14:paraId="106E3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383" w:type="pct"/>
                  <w:vMerge w:val="continue"/>
                  <w:vAlign w:val="center"/>
                </w:tcPr>
                <w:p w14:paraId="4B27D46C">
                  <w:pPr>
                    <w:pStyle w:val="8"/>
                  </w:pPr>
                </w:p>
              </w:tc>
              <w:tc>
                <w:tcPr>
                  <w:tcW w:w="397" w:type="pct"/>
                  <w:vAlign w:val="center"/>
                </w:tcPr>
                <w:p w14:paraId="5B28CE1D">
                  <w:pPr>
                    <w:pStyle w:val="8"/>
                  </w:pPr>
                  <w:r>
                    <w:t>噪声</w:t>
                  </w:r>
                </w:p>
              </w:tc>
              <w:tc>
                <w:tcPr>
                  <w:tcW w:w="1702" w:type="pct"/>
                  <w:gridSpan w:val="2"/>
                  <w:vAlign w:val="center"/>
                </w:tcPr>
                <w:p w14:paraId="4F28CFFA">
                  <w:pPr>
                    <w:pStyle w:val="8"/>
                  </w:pPr>
                  <w:bookmarkStart w:id="78" w:name="OLE_LINK3"/>
                  <w:r>
                    <w:rPr>
                      <w:rFonts w:hint="eastAsia"/>
                    </w:rPr>
                    <w:t>厂房隔声、设备基础减振等综合降噪措施</w:t>
                  </w:r>
                </w:p>
              </w:tc>
              <w:tc>
                <w:tcPr>
                  <w:tcW w:w="1770" w:type="pct"/>
                  <w:vAlign w:val="center"/>
                </w:tcPr>
                <w:p w14:paraId="41025CC8">
                  <w:pPr>
                    <w:pStyle w:val="8"/>
                  </w:pPr>
                  <w:r>
                    <w:rPr>
                      <w:rFonts w:hint="eastAsia"/>
                    </w:rPr>
                    <w:t>选用低噪声设备，采用</w:t>
                  </w:r>
                  <w:r>
                    <w:t>隔声、</w:t>
                  </w:r>
                  <w:bookmarkStart w:id="79" w:name="OLE_LINK108"/>
                  <w:r>
                    <w:t>减振</w:t>
                  </w:r>
                  <w:bookmarkEnd w:id="79"/>
                  <w:r>
                    <w:t>等</w:t>
                  </w:r>
                  <w:r>
                    <w:rPr>
                      <w:rFonts w:hint="eastAsia"/>
                    </w:rPr>
                    <w:t>措施</w:t>
                  </w:r>
                  <w:bookmarkEnd w:id="78"/>
                </w:p>
              </w:tc>
              <w:tc>
                <w:tcPr>
                  <w:tcW w:w="745" w:type="pct"/>
                  <w:vAlign w:val="center"/>
                </w:tcPr>
                <w:p w14:paraId="7C3E66B8">
                  <w:pPr>
                    <w:pStyle w:val="8"/>
                  </w:pPr>
                  <w:bookmarkStart w:id="80" w:name="OLE_LINK221"/>
                  <w:r>
                    <w:rPr>
                      <w:rFonts w:hint="eastAsia"/>
                    </w:rPr>
                    <w:t>不变</w:t>
                  </w:r>
                  <w:bookmarkEnd w:id="80"/>
                </w:p>
              </w:tc>
            </w:tr>
            <w:tr w14:paraId="1D0B0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3" w:type="pct"/>
                  <w:vMerge w:val="continue"/>
                  <w:vAlign w:val="center"/>
                </w:tcPr>
                <w:p w14:paraId="3AB1AA40">
                  <w:pPr>
                    <w:pStyle w:val="8"/>
                  </w:pPr>
                </w:p>
              </w:tc>
              <w:tc>
                <w:tcPr>
                  <w:tcW w:w="397" w:type="pct"/>
                  <w:vAlign w:val="center"/>
                </w:tcPr>
                <w:p w14:paraId="64A338F0">
                  <w:pPr>
                    <w:pStyle w:val="8"/>
                  </w:pPr>
                  <w:r>
                    <w:rPr>
                      <w:rFonts w:hint="eastAsia"/>
                    </w:rPr>
                    <w:t>废气</w:t>
                  </w:r>
                </w:p>
              </w:tc>
              <w:tc>
                <w:tcPr>
                  <w:tcW w:w="1702" w:type="pct"/>
                  <w:gridSpan w:val="2"/>
                  <w:vAlign w:val="center"/>
                </w:tcPr>
                <w:p w14:paraId="57B2DD71">
                  <w:pPr>
                    <w:pStyle w:val="8"/>
                  </w:pPr>
                  <w:r>
                    <w:rPr>
                      <w:rFonts w:hint="eastAsia"/>
                    </w:rPr>
                    <w:t>搅拌、挤出工序废气采用集气罩收集后经“水喷淋+活性炭吸附”处理后由15m排气筒高空排放</w:t>
                  </w:r>
                </w:p>
              </w:tc>
              <w:tc>
                <w:tcPr>
                  <w:tcW w:w="1770" w:type="pct"/>
                  <w:vAlign w:val="center"/>
                </w:tcPr>
                <w:p w14:paraId="7FA82A33">
                  <w:pPr>
                    <w:pStyle w:val="8"/>
                    <w:rPr>
                      <w:color w:val="auto"/>
                    </w:rPr>
                  </w:pPr>
                  <w:r>
                    <w:rPr>
                      <w:rFonts w:hint="eastAsia"/>
                      <w:color w:val="auto"/>
                    </w:rPr>
                    <w:t>混料、挤出、破碎及溶胶工序废气采用集气罩收集后由“水喷淋+干式过滤器+二级活性炭吸附装置”处理后经30m排气筒DA001高空排放</w:t>
                  </w:r>
                </w:p>
              </w:tc>
              <w:tc>
                <w:tcPr>
                  <w:tcW w:w="745" w:type="pct"/>
                  <w:vAlign w:val="center"/>
                </w:tcPr>
                <w:p w14:paraId="44066F38">
                  <w:pPr>
                    <w:pStyle w:val="8"/>
                    <w:rPr>
                      <w:color w:val="auto"/>
                    </w:rPr>
                  </w:pPr>
                  <w:r>
                    <w:rPr>
                      <w:rFonts w:hint="eastAsia"/>
                      <w:color w:val="auto"/>
                    </w:rPr>
                    <w:t>新增破碎、溶胶工序废气</w:t>
                  </w:r>
                </w:p>
              </w:tc>
            </w:tr>
            <w:tr w14:paraId="69BA66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vAlign w:val="center"/>
                </w:tcPr>
                <w:p w14:paraId="28F4AFF7">
                  <w:pPr>
                    <w:pStyle w:val="8"/>
                  </w:pPr>
                </w:p>
              </w:tc>
              <w:tc>
                <w:tcPr>
                  <w:tcW w:w="397" w:type="pct"/>
                  <w:vMerge w:val="restart"/>
                  <w:vAlign w:val="center"/>
                </w:tcPr>
                <w:p w14:paraId="17DCBB36">
                  <w:pPr>
                    <w:pStyle w:val="8"/>
                  </w:pPr>
                  <w:r>
                    <w:t>固</w:t>
                  </w:r>
                  <w:r>
                    <w:rPr>
                      <w:rFonts w:hint="eastAsia"/>
                    </w:rPr>
                    <w:t>体废物</w:t>
                  </w:r>
                </w:p>
              </w:tc>
              <w:tc>
                <w:tcPr>
                  <w:tcW w:w="386" w:type="pct"/>
                  <w:vAlign w:val="center"/>
                </w:tcPr>
                <w:p w14:paraId="5815900D">
                  <w:pPr>
                    <w:pStyle w:val="8"/>
                  </w:pPr>
                  <w:r>
                    <w:t>生活垃圾</w:t>
                  </w:r>
                </w:p>
              </w:tc>
              <w:tc>
                <w:tcPr>
                  <w:tcW w:w="1316" w:type="pct"/>
                  <w:vAlign w:val="center"/>
                </w:tcPr>
                <w:p w14:paraId="7585B32A">
                  <w:pPr>
                    <w:pStyle w:val="8"/>
                  </w:pPr>
                  <w:bookmarkStart w:id="81" w:name="OLE_LINK112"/>
                  <w:r>
                    <w:t>交由</w:t>
                  </w:r>
                  <w:bookmarkStart w:id="82" w:name="OLE_LINK110"/>
                  <w:bookmarkStart w:id="83" w:name="OLE_LINK111"/>
                  <w:r>
                    <w:t>环卫部门</w:t>
                  </w:r>
                  <w:r>
                    <w:rPr>
                      <w:rFonts w:hint="eastAsia"/>
                    </w:rPr>
                    <w:t>统</w:t>
                  </w:r>
                  <w:bookmarkEnd w:id="82"/>
                  <w:r>
                    <w:rPr>
                      <w:rFonts w:hint="eastAsia"/>
                    </w:rPr>
                    <w:t>一</w:t>
                  </w:r>
                  <w:bookmarkEnd w:id="83"/>
                  <w:r>
                    <w:rPr>
                      <w:rFonts w:hint="eastAsia"/>
                    </w:rPr>
                    <w:t>清运</w:t>
                  </w:r>
                  <w:bookmarkEnd w:id="81"/>
                </w:p>
              </w:tc>
              <w:tc>
                <w:tcPr>
                  <w:tcW w:w="1770" w:type="pct"/>
                  <w:vAlign w:val="center"/>
                </w:tcPr>
                <w:p w14:paraId="74581D78">
                  <w:pPr>
                    <w:pStyle w:val="8"/>
                  </w:pPr>
                  <w:r>
                    <w:t>交由环卫部门</w:t>
                  </w:r>
                  <w:r>
                    <w:rPr>
                      <w:rFonts w:hint="eastAsia"/>
                    </w:rPr>
                    <w:t>统一清运</w:t>
                  </w:r>
                </w:p>
              </w:tc>
              <w:tc>
                <w:tcPr>
                  <w:tcW w:w="745" w:type="pct"/>
                  <w:vAlign w:val="center"/>
                </w:tcPr>
                <w:p w14:paraId="51101A6C">
                  <w:pPr>
                    <w:pStyle w:val="8"/>
                  </w:pPr>
                  <w:r>
                    <w:rPr>
                      <w:rFonts w:hint="eastAsia"/>
                    </w:rPr>
                    <w:t>/</w:t>
                  </w:r>
                </w:p>
              </w:tc>
            </w:tr>
            <w:tr w14:paraId="04C0C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vAlign w:val="center"/>
                </w:tcPr>
                <w:p w14:paraId="33F523C8">
                  <w:pPr>
                    <w:pStyle w:val="8"/>
                  </w:pPr>
                </w:p>
              </w:tc>
              <w:tc>
                <w:tcPr>
                  <w:tcW w:w="397" w:type="pct"/>
                  <w:vMerge w:val="continue"/>
                  <w:vAlign w:val="center"/>
                </w:tcPr>
                <w:p w14:paraId="665832E4">
                  <w:pPr>
                    <w:pStyle w:val="8"/>
                  </w:pPr>
                </w:p>
              </w:tc>
              <w:tc>
                <w:tcPr>
                  <w:tcW w:w="386" w:type="pct"/>
                  <w:vAlign w:val="center"/>
                </w:tcPr>
                <w:p w14:paraId="75BAE79F">
                  <w:pPr>
                    <w:pStyle w:val="8"/>
                  </w:pPr>
                  <w:r>
                    <w:t>一般工业固废</w:t>
                  </w:r>
                </w:p>
              </w:tc>
              <w:tc>
                <w:tcPr>
                  <w:tcW w:w="1316" w:type="pct"/>
                  <w:vAlign w:val="center"/>
                </w:tcPr>
                <w:p w14:paraId="1C48AF47">
                  <w:pPr>
                    <w:pStyle w:val="8"/>
                  </w:pPr>
                  <w:r>
                    <w:rPr>
                      <w:rFonts w:hint="eastAsia"/>
                    </w:rPr>
                    <w:t>设置一般固废仓，用于</w:t>
                  </w:r>
                  <w:bookmarkStart w:id="84" w:name="OLE_LINK6"/>
                  <w:r>
                    <w:rPr>
                      <w:rFonts w:hint="eastAsia"/>
                    </w:rPr>
                    <w:t>一般工业固体废物</w:t>
                  </w:r>
                  <w:bookmarkEnd w:id="84"/>
                  <w:r>
                    <w:rPr>
                      <w:rFonts w:hint="eastAsia"/>
                    </w:rPr>
                    <w:t>的存放，一般固废收集后交由</w:t>
                  </w:r>
                  <w:bookmarkStart w:id="85" w:name="OLE_LINK5"/>
                  <w:r>
                    <w:rPr>
                      <w:rFonts w:hint="eastAsia"/>
                    </w:rPr>
                    <w:t>专业公司回收处理</w:t>
                  </w:r>
                  <w:bookmarkEnd w:id="85"/>
                </w:p>
              </w:tc>
              <w:tc>
                <w:tcPr>
                  <w:tcW w:w="1770" w:type="pct"/>
                  <w:vAlign w:val="center"/>
                </w:tcPr>
                <w:p w14:paraId="4D1D7351">
                  <w:pPr>
                    <w:pStyle w:val="8"/>
                  </w:pPr>
                  <w:bookmarkStart w:id="86" w:name="OLE_LINK8"/>
                  <w:r>
                    <w:t>分类收集后</w:t>
                  </w:r>
                  <w:r>
                    <w:rPr>
                      <w:rFonts w:hint="eastAsia"/>
                    </w:rPr>
                    <w:t>暂存于一般固废间，定期</w:t>
                  </w:r>
                  <w:r>
                    <w:t>交由</w:t>
                  </w:r>
                  <w:r>
                    <w:rPr>
                      <w:rFonts w:hint="eastAsia"/>
                    </w:rPr>
                    <w:t>专业公司回收处理</w:t>
                  </w:r>
                  <w:r>
                    <w:t>，一般固废</w:t>
                  </w:r>
                  <w:r>
                    <w:rPr>
                      <w:rFonts w:hint="eastAsia"/>
                    </w:rPr>
                    <w:t>间</w:t>
                  </w:r>
                  <w:bookmarkStart w:id="87" w:name="OLE_LINK257"/>
                  <w:r>
                    <w:rPr>
                      <w:rFonts w:hint="eastAsia"/>
                    </w:rPr>
                    <w:t>位于项目厂房楼顶，</w:t>
                  </w:r>
                  <w:bookmarkEnd w:id="87"/>
                  <w:r>
                    <w:t>占地面积为</w:t>
                  </w:r>
                  <w:r>
                    <w:rPr>
                      <w:rFonts w:hint="eastAsia"/>
                    </w:rPr>
                    <w:t>6</w:t>
                  </w:r>
                  <w:r>
                    <w:t>m</w:t>
                  </w:r>
                  <w:r>
                    <w:rPr>
                      <w:vertAlign w:val="superscript"/>
                    </w:rPr>
                    <w:t>2</w:t>
                  </w:r>
                  <w:bookmarkEnd w:id="86"/>
                </w:p>
              </w:tc>
              <w:tc>
                <w:tcPr>
                  <w:tcW w:w="745" w:type="pct"/>
                  <w:vAlign w:val="center"/>
                </w:tcPr>
                <w:p w14:paraId="51D25248">
                  <w:pPr>
                    <w:pStyle w:val="8"/>
                  </w:pPr>
                  <w:r>
                    <w:rPr>
                      <w:rFonts w:hint="eastAsia"/>
                    </w:rPr>
                    <w:t>/</w:t>
                  </w:r>
                </w:p>
              </w:tc>
            </w:tr>
            <w:tr w14:paraId="0A9C9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Merge w:val="continue"/>
                  <w:vAlign w:val="center"/>
                </w:tcPr>
                <w:p w14:paraId="2CFEDD2B">
                  <w:pPr>
                    <w:pStyle w:val="8"/>
                  </w:pPr>
                </w:p>
              </w:tc>
              <w:tc>
                <w:tcPr>
                  <w:tcW w:w="397" w:type="pct"/>
                  <w:vMerge w:val="continue"/>
                  <w:vAlign w:val="center"/>
                </w:tcPr>
                <w:p w14:paraId="54CF2857">
                  <w:pPr>
                    <w:pStyle w:val="8"/>
                  </w:pPr>
                </w:p>
              </w:tc>
              <w:tc>
                <w:tcPr>
                  <w:tcW w:w="386" w:type="pct"/>
                  <w:vAlign w:val="center"/>
                </w:tcPr>
                <w:p w14:paraId="7F13E6C5">
                  <w:pPr>
                    <w:pStyle w:val="8"/>
                  </w:pPr>
                  <w:r>
                    <w:t>危险废物</w:t>
                  </w:r>
                </w:p>
              </w:tc>
              <w:tc>
                <w:tcPr>
                  <w:tcW w:w="1316" w:type="pct"/>
                  <w:vAlign w:val="center"/>
                </w:tcPr>
                <w:p w14:paraId="4CF7C94E">
                  <w:pPr>
                    <w:pStyle w:val="8"/>
                  </w:pPr>
                  <w:r>
                    <w:rPr>
                      <w:rFonts w:hint="eastAsia"/>
                    </w:rPr>
                    <w:t>设置危废仓，用于危险废物的存放，危险废物收集后交由有危废资质单位处理</w:t>
                  </w:r>
                </w:p>
              </w:tc>
              <w:tc>
                <w:tcPr>
                  <w:tcW w:w="1770" w:type="pct"/>
                  <w:vAlign w:val="center"/>
                </w:tcPr>
                <w:p w14:paraId="3BBC0E6C">
                  <w:pPr>
                    <w:pStyle w:val="8"/>
                  </w:pPr>
                  <w:r>
                    <w:rPr>
                      <w:rFonts w:hint="eastAsia"/>
                    </w:rPr>
                    <w:t>收集后暂存于危废暂存间，定期</w:t>
                  </w:r>
                  <w:r>
                    <w:t>交由</w:t>
                  </w:r>
                  <w:r>
                    <w:rPr>
                      <w:rFonts w:hint="eastAsia"/>
                    </w:rPr>
                    <w:t>有危废</w:t>
                  </w:r>
                  <w:r>
                    <w:t>资质单位处</w:t>
                  </w:r>
                  <w:r>
                    <w:rPr>
                      <w:rFonts w:hint="eastAsia"/>
                    </w:rPr>
                    <w:t>理</w:t>
                  </w:r>
                  <w:r>
                    <w:t>，危废暂存间</w:t>
                  </w:r>
                  <w:r>
                    <w:rPr>
                      <w:rFonts w:hint="eastAsia"/>
                    </w:rPr>
                    <w:t>位于项目厂房楼顶，</w:t>
                  </w:r>
                  <w:r>
                    <w:t>占地面积为</w:t>
                  </w:r>
                  <w:r>
                    <w:rPr>
                      <w:rFonts w:hint="eastAsia"/>
                    </w:rPr>
                    <w:t>6</w:t>
                  </w:r>
                  <w:r>
                    <w:t>m</w:t>
                  </w:r>
                  <w:r>
                    <w:rPr>
                      <w:vertAlign w:val="superscript"/>
                    </w:rPr>
                    <w:t>2</w:t>
                  </w:r>
                </w:p>
              </w:tc>
              <w:tc>
                <w:tcPr>
                  <w:tcW w:w="745" w:type="pct"/>
                  <w:vAlign w:val="center"/>
                </w:tcPr>
                <w:p w14:paraId="008B57EC">
                  <w:pPr>
                    <w:pStyle w:val="8"/>
                  </w:pPr>
                  <w:r>
                    <w:rPr>
                      <w:rFonts w:hint="eastAsia"/>
                    </w:rPr>
                    <w:t>/</w:t>
                  </w:r>
                </w:p>
              </w:tc>
            </w:tr>
            <w:tr w14:paraId="540D7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3" w:type="pct"/>
                  <w:vAlign w:val="center"/>
                </w:tcPr>
                <w:p w14:paraId="02753B48">
                  <w:pPr>
                    <w:pStyle w:val="8"/>
                  </w:pPr>
                  <w:r>
                    <w:rPr>
                      <w:rFonts w:hint="eastAsia"/>
                    </w:rPr>
                    <w:t>依托工程</w:t>
                  </w:r>
                </w:p>
              </w:tc>
              <w:tc>
                <w:tcPr>
                  <w:tcW w:w="397" w:type="pct"/>
                  <w:vAlign w:val="center"/>
                </w:tcPr>
                <w:p w14:paraId="04441B7F">
                  <w:pPr>
                    <w:pStyle w:val="8"/>
                  </w:pPr>
                  <w:r>
                    <w:rPr>
                      <w:rFonts w:hint="eastAsia"/>
                    </w:rPr>
                    <w:t>排水</w:t>
                  </w:r>
                </w:p>
              </w:tc>
              <w:tc>
                <w:tcPr>
                  <w:tcW w:w="386" w:type="pct"/>
                  <w:shd w:val="clear" w:color="auto" w:fill="auto"/>
                  <w:vAlign w:val="center"/>
                </w:tcPr>
                <w:p w14:paraId="64970E2F">
                  <w:pPr>
                    <w:pStyle w:val="8"/>
                  </w:pPr>
                  <w:r>
                    <w:rPr>
                      <w:rFonts w:hint="eastAsia"/>
                    </w:rPr>
                    <w:t>生活污水</w:t>
                  </w:r>
                </w:p>
              </w:tc>
              <w:tc>
                <w:tcPr>
                  <w:tcW w:w="1316" w:type="pct"/>
                  <w:shd w:val="clear" w:color="auto" w:fill="auto"/>
                  <w:vAlign w:val="center"/>
                </w:tcPr>
                <w:p w14:paraId="4AFCB72A">
                  <w:pPr>
                    <w:pStyle w:val="8"/>
                  </w:pPr>
                  <w:r>
                    <w:rPr>
                      <w:rFonts w:hint="eastAsia"/>
                    </w:rPr>
                    <w:t>园洲镇第五污水处理厂</w:t>
                  </w:r>
                </w:p>
              </w:tc>
              <w:tc>
                <w:tcPr>
                  <w:tcW w:w="1770" w:type="pct"/>
                  <w:shd w:val="clear" w:color="auto" w:fill="auto"/>
                  <w:vAlign w:val="center"/>
                </w:tcPr>
                <w:p w14:paraId="569D0FEF">
                  <w:pPr>
                    <w:pStyle w:val="8"/>
                  </w:pPr>
                  <w:r>
                    <w:rPr>
                      <w:rFonts w:hint="eastAsia"/>
                    </w:rPr>
                    <w:t>园洲镇第五污水处理厂</w:t>
                  </w:r>
                </w:p>
              </w:tc>
              <w:tc>
                <w:tcPr>
                  <w:tcW w:w="745" w:type="pct"/>
                  <w:shd w:val="clear" w:color="auto" w:fill="auto"/>
                  <w:vAlign w:val="center"/>
                </w:tcPr>
                <w:p w14:paraId="1CFA1648">
                  <w:pPr>
                    <w:pStyle w:val="8"/>
                  </w:pPr>
                  <w:r>
                    <w:rPr>
                      <w:rFonts w:hint="eastAsia"/>
                    </w:rPr>
                    <w:t>不变</w:t>
                  </w:r>
                </w:p>
              </w:tc>
            </w:tr>
          </w:tbl>
          <w:p w14:paraId="053B907A">
            <w:pPr>
              <w:ind w:firstLine="482"/>
              <w:rPr>
                <w:b/>
                <w:bCs/>
              </w:rPr>
            </w:pPr>
            <w:r>
              <w:rPr>
                <w:rFonts w:hint="eastAsia"/>
                <w:b/>
                <w:bCs/>
              </w:rPr>
              <w:t>3</w:t>
            </w:r>
            <w:r>
              <w:rPr>
                <w:b/>
                <w:bCs/>
              </w:rPr>
              <w:t>、本项目产品产量情况</w:t>
            </w:r>
          </w:p>
          <w:p w14:paraId="21E4D4B4">
            <w:pPr>
              <w:ind w:firstLine="480"/>
            </w:pPr>
            <w:r>
              <w:t>本项目产品及产量情况详见下表所列。</w:t>
            </w:r>
          </w:p>
          <w:p w14:paraId="7007623C">
            <w:pPr>
              <w:pStyle w:val="16"/>
              <w:rPr>
                <w:kern w:val="2"/>
                <w:szCs w:val="24"/>
              </w:rPr>
            </w:pPr>
            <w:r>
              <w:rPr>
                <w:kern w:val="2"/>
                <w:szCs w:val="24"/>
              </w:rPr>
              <w:t>表2-</w:t>
            </w:r>
            <w:r>
              <w:rPr>
                <w:rFonts w:hint="eastAsia"/>
                <w:kern w:val="2"/>
                <w:szCs w:val="24"/>
              </w:rPr>
              <w:t xml:space="preserve">2 </w:t>
            </w:r>
            <w:r>
              <w:rPr>
                <w:kern w:val="2"/>
                <w:szCs w:val="24"/>
              </w:rPr>
              <w:t>本项目产品产量一览表</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57" w:type="dxa"/>
              </w:tblCellMar>
            </w:tblPr>
            <w:tblGrid>
              <w:gridCol w:w="2105"/>
              <w:gridCol w:w="1461"/>
              <w:gridCol w:w="1435"/>
              <w:gridCol w:w="1343"/>
              <w:gridCol w:w="2218"/>
            </w:tblGrid>
            <w:tr w14:paraId="4F5A2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57" w:type="dxa"/>
                </w:tblCellMar>
              </w:tblPrEx>
              <w:trPr>
                <w:cantSplit/>
                <w:trHeight w:val="70" w:hRule="atLeast"/>
                <w:jc w:val="center"/>
              </w:trPr>
              <w:tc>
                <w:tcPr>
                  <w:tcW w:w="1229" w:type="pct"/>
                  <w:vMerge w:val="restart"/>
                  <w:vAlign w:val="center"/>
                </w:tcPr>
                <w:p w14:paraId="29838066">
                  <w:pPr>
                    <w:adjustRightInd w:val="0"/>
                    <w:snapToGrid w:val="0"/>
                    <w:spacing w:line="240" w:lineRule="auto"/>
                    <w:ind w:firstLine="0" w:firstLineChars="0"/>
                    <w:jc w:val="center"/>
                    <w:rPr>
                      <w:b/>
                      <w:bCs/>
                      <w:color w:val="000000"/>
                      <w:sz w:val="21"/>
                      <w:szCs w:val="21"/>
                    </w:rPr>
                  </w:pPr>
                  <w:r>
                    <w:rPr>
                      <w:b/>
                      <w:bCs/>
                      <w:color w:val="000000"/>
                      <w:sz w:val="21"/>
                      <w:szCs w:val="21"/>
                    </w:rPr>
                    <w:t>产品名称</w:t>
                  </w:r>
                </w:p>
              </w:tc>
              <w:tc>
                <w:tcPr>
                  <w:tcW w:w="2475" w:type="pct"/>
                  <w:gridSpan w:val="3"/>
                  <w:vAlign w:val="center"/>
                </w:tcPr>
                <w:p w14:paraId="02B5AA77">
                  <w:pPr>
                    <w:adjustRightInd w:val="0"/>
                    <w:snapToGrid w:val="0"/>
                    <w:spacing w:line="240" w:lineRule="auto"/>
                    <w:ind w:firstLine="0" w:firstLineChars="0"/>
                    <w:jc w:val="center"/>
                    <w:rPr>
                      <w:b/>
                      <w:bCs/>
                      <w:color w:val="000000"/>
                      <w:sz w:val="21"/>
                      <w:szCs w:val="21"/>
                    </w:rPr>
                  </w:pPr>
                  <w:r>
                    <w:rPr>
                      <w:b/>
                      <w:bCs/>
                      <w:color w:val="000000"/>
                      <w:sz w:val="21"/>
                      <w:szCs w:val="21"/>
                    </w:rPr>
                    <w:t>年</w:t>
                  </w:r>
                  <w:r>
                    <w:rPr>
                      <w:rFonts w:hint="eastAsia"/>
                      <w:b/>
                      <w:bCs/>
                      <w:color w:val="000000"/>
                      <w:sz w:val="21"/>
                      <w:szCs w:val="21"/>
                    </w:rPr>
                    <w:t>产量（t/a）</w:t>
                  </w:r>
                </w:p>
              </w:tc>
              <w:tc>
                <w:tcPr>
                  <w:tcW w:w="1295" w:type="pct"/>
                  <w:vMerge w:val="restart"/>
                  <w:vAlign w:val="center"/>
                </w:tcPr>
                <w:p w14:paraId="73343706">
                  <w:pPr>
                    <w:adjustRightInd w:val="0"/>
                    <w:snapToGrid w:val="0"/>
                    <w:spacing w:line="240" w:lineRule="auto"/>
                    <w:ind w:firstLine="0" w:firstLineChars="0"/>
                    <w:jc w:val="center"/>
                    <w:rPr>
                      <w:color w:val="000000"/>
                      <w:sz w:val="21"/>
                      <w:szCs w:val="21"/>
                    </w:rPr>
                  </w:pPr>
                  <w:r>
                    <w:rPr>
                      <w:rFonts w:hint="eastAsia"/>
                      <w:b/>
                      <w:bCs/>
                      <w:color w:val="000000"/>
                      <w:sz w:val="21"/>
                      <w:szCs w:val="21"/>
                    </w:rPr>
                    <w:t>备注</w:t>
                  </w:r>
                </w:p>
              </w:tc>
            </w:tr>
            <w:tr w14:paraId="1923D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57" w:type="dxa"/>
                </w:tblCellMar>
              </w:tblPrEx>
              <w:trPr>
                <w:cantSplit/>
                <w:trHeight w:val="70" w:hRule="atLeast"/>
                <w:jc w:val="center"/>
              </w:trPr>
              <w:tc>
                <w:tcPr>
                  <w:tcW w:w="1229" w:type="pct"/>
                  <w:vMerge w:val="continue"/>
                  <w:vAlign w:val="center"/>
                </w:tcPr>
                <w:p w14:paraId="61A3106E">
                  <w:pPr>
                    <w:adjustRightInd w:val="0"/>
                    <w:snapToGrid w:val="0"/>
                    <w:spacing w:line="240" w:lineRule="auto"/>
                    <w:ind w:firstLine="0" w:firstLineChars="0"/>
                    <w:jc w:val="center"/>
                    <w:rPr>
                      <w:b/>
                      <w:bCs/>
                      <w:color w:val="000000"/>
                      <w:sz w:val="21"/>
                      <w:szCs w:val="21"/>
                    </w:rPr>
                  </w:pPr>
                </w:p>
              </w:tc>
              <w:tc>
                <w:tcPr>
                  <w:tcW w:w="853" w:type="pct"/>
                  <w:vAlign w:val="center"/>
                </w:tcPr>
                <w:p w14:paraId="62669C36">
                  <w:pPr>
                    <w:adjustRightInd w:val="0"/>
                    <w:snapToGrid w:val="0"/>
                    <w:spacing w:line="240" w:lineRule="auto"/>
                    <w:ind w:firstLine="0" w:firstLineChars="0"/>
                    <w:jc w:val="center"/>
                    <w:rPr>
                      <w:b/>
                      <w:bCs/>
                      <w:color w:val="000000"/>
                      <w:sz w:val="21"/>
                      <w:szCs w:val="21"/>
                    </w:rPr>
                  </w:pPr>
                  <w:r>
                    <w:rPr>
                      <w:rFonts w:hint="eastAsia"/>
                      <w:b/>
                      <w:bCs/>
                      <w:color w:val="000000"/>
                      <w:sz w:val="21"/>
                      <w:szCs w:val="21"/>
                    </w:rPr>
                    <w:t>迁扩建</w:t>
                  </w:r>
                  <w:r>
                    <w:rPr>
                      <w:b/>
                      <w:bCs/>
                      <w:color w:val="000000"/>
                      <w:sz w:val="21"/>
                      <w:szCs w:val="21"/>
                    </w:rPr>
                    <w:t>前</w:t>
                  </w:r>
                </w:p>
              </w:tc>
              <w:tc>
                <w:tcPr>
                  <w:tcW w:w="838" w:type="pct"/>
                  <w:vAlign w:val="center"/>
                </w:tcPr>
                <w:p w14:paraId="7EA31024">
                  <w:pPr>
                    <w:adjustRightInd w:val="0"/>
                    <w:snapToGrid w:val="0"/>
                    <w:spacing w:line="240" w:lineRule="auto"/>
                    <w:ind w:firstLine="0" w:firstLineChars="0"/>
                    <w:jc w:val="center"/>
                    <w:rPr>
                      <w:b/>
                      <w:bCs/>
                      <w:color w:val="000000"/>
                      <w:sz w:val="21"/>
                      <w:szCs w:val="21"/>
                    </w:rPr>
                  </w:pPr>
                  <w:r>
                    <w:rPr>
                      <w:rFonts w:hint="eastAsia"/>
                      <w:b/>
                      <w:bCs/>
                      <w:color w:val="000000"/>
                      <w:sz w:val="21"/>
                      <w:szCs w:val="21"/>
                    </w:rPr>
                    <w:t>迁扩建</w:t>
                  </w:r>
                  <w:r>
                    <w:rPr>
                      <w:b/>
                      <w:bCs/>
                      <w:color w:val="000000"/>
                      <w:sz w:val="21"/>
                      <w:szCs w:val="21"/>
                    </w:rPr>
                    <w:t>后</w:t>
                  </w:r>
                </w:p>
              </w:tc>
              <w:tc>
                <w:tcPr>
                  <w:tcW w:w="784" w:type="pct"/>
                  <w:vAlign w:val="center"/>
                </w:tcPr>
                <w:p w14:paraId="00C4AEE5">
                  <w:pPr>
                    <w:adjustRightInd w:val="0"/>
                    <w:snapToGrid w:val="0"/>
                    <w:spacing w:line="240" w:lineRule="auto"/>
                    <w:ind w:firstLine="0" w:firstLineChars="0"/>
                    <w:jc w:val="center"/>
                    <w:rPr>
                      <w:b/>
                      <w:bCs/>
                      <w:color w:val="000000"/>
                      <w:sz w:val="21"/>
                      <w:szCs w:val="21"/>
                    </w:rPr>
                  </w:pPr>
                  <w:r>
                    <w:rPr>
                      <w:b/>
                      <w:bCs/>
                      <w:color w:val="000000"/>
                      <w:sz w:val="21"/>
                      <w:szCs w:val="21"/>
                    </w:rPr>
                    <w:t>变化量</w:t>
                  </w:r>
                </w:p>
              </w:tc>
              <w:tc>
                <w:tcPr>
                  <w:tcW w:w="1295" w:type="pct"/>
                  <w:vMerge w:val="continue"/>
                  <w:vAlign w:val="center"/>
                </w:tcPr>
                <w:p w14:paraId="083AC5B2">
                  <w:pPr>
                    <w:adjustRightInd w:val="0"/>
                    <w:snapToGrid w:val="0"/>
                    <w:spacing w:line="240" w:lineRule="auto"/>
                    <w:ind w:firstLine="0" w:firstLineChars="0"/>
                    <w:jc w:val="center"/>
                    <w:rPr>
                      <w:color w:val="000000"/>
                      <w:sz w:val="21"/>
                      <w:szCs w:val="21"/>
                    </w:rPr>
                  </w:pPr>
                </w:p>
              </w:tc>
            </w:tr>
            <w:tr w14:paraId="618BA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57" w:type="dxa"/>
                </w:tblCellMar>
              </w:tblPrEx>
              <w:trPr>
                <w:cantSplit/>
                <w:trHeight w:val="326" w:hRule="atLeast"/>
                <w:jc w:val="center"/>
              </w:trPr>
              <w:tc>
                <w:tcPr>
                  <w:tcW w:w="1229" w:type="pct"/>
                  <w:shd w:val="clear" w:color="auto" w:fill="auto"/>
                  <w:vAlign w:val="center"/>
                </w:tcPr>
                <w:p w14:paraId="56D0BFEB">
                  <w:pPr>
                    <w:pStyle w:val="8"/>
                  </w:pPr>
                  <w:bookmarkStart w:id="88" w:name="OLE_LINK275"/>
                  <w:r>
                    <w:rPr>
                      <w:rFonts w:hint="eastAsia"/>
                    </w:rPr>
                    <w:t>TPE热塑性弹性体</w:t>
                  </w:r>
                  <w:bookmarkEnd w:id="88"/>
                </w:p>
              </w:tc>
              <w:tc>
                <w:tcPr>
                  <w:tcW w:w="853" w:type="pct"/>
                  <w:shd w:val="clear" w:color="auto" w:fill="auto"/>
                  <w:vAlign w:val="center"/>
                </w:tcPr>
                <w:p w14:paraId="2D739532">
                  <w:pPr>
                    <w:pStyle w:val="8"/>
                  </w:pPr>
                  <w:r>
                    <w:rPr>
                      <w:rFonts w:hint="eastAsia"/>
                    </w:rPr>
                    <w:t>800</w:t>
                  </w:r>
                </w:p>
              </w:tc>
              <w:tc>
                <w:tcPr>
                  <w:tcW w:w="838" w:type="pct"/>
                  <w:vAlign w:val="center"/>
                </w:tcPr>
                <w:p w14:paraId="42E9BCAD">
                  <w:pPr>
                    <w:spacing w:line="240" w:lineRule="auto"/>
                    <w:ind w:firstLine="0" w:firstLineChars="0"/>
                    <w:jc w:val="center"/>
                    <w:rPr>
                      <w:bCs/>
                      <w:color w:val="000000"/>
                      <w:sz w:val="21"/>
                      <w:szCs w:val="21"/>
                    </w:rPr>
                  </w:pPr>
                  <w:r>
                    <w:rPr>
                      <w:rFonts w:hint="eastAsia"/>
                      <w:bCs/>
                      <w:color w:val="000000"/>
                      <w:sz w:val="21"/>
                      <w:szCs w:val="21"/>
                    </w:rPr>
                    <w:t>1000</w:t>
                  </w:r>
                </w:p>
              </w:tc>
              <w:tc>
                <w:tcPr>
                  <w:tcW w:w="784" w:type="pct"/>
                  <w:vAlign w:val="center"/>
                </w:tcPr>
                <w:p w14:paraId="1173ECF1">
                  <w:pPr>
                    <w:spacing w:line="240" w:lineRule="auto"/>
                    <w:ind w:firstLine="0" w:firstLineChars="0"/>
                    <w:jc w:val="center"/>
                    <w:rPr>
                      <w:bCs/>
                      <w:color w:val="000000"/>
                      <w:sz w:val="21"/>
                      <w:szCs w:val="21"/>
                    </w:rPr>
                  </w:pPr>
                  <w:r>
                    <w:rPr>
                      <w:rFonts w:hint="eastAsia"/>
                      <w:bCs/>
                      <w:color w:val="000000"/>
                      <w:sz w:val="21"/>
                      <w:szCs w:val="21"/>
                    </w:rPr>
                    <w:t>+200</w:t>
                  </w:r>
                </w:p>
              </w:tc>
              <w:tc>
                <w:tcPr>
                  <w:tcW w:w="1295" w:type="pct"/>
                  <w:vAlign w:val="center"/>
                </w:tcPr>
                <w:p w14:paraId="7450A508">
                  <w:pPr>
                    <w:adjustRightInd w:val="0"/>
                    <w:snapToGrid w:val="0"/>
                    <w:spacing w:line="240" w:lineRule="auto"/>
                    <w:ind w:firstLine="0" w:firstLineChars="0"/>
                    <w:jc w:val="center"/>
                    <w:rPr>
                      <w:color w:val="000000"/>
                      <w:sz w:val="21"/>
                      <w:szCs w:val="21"/>
                    </w:rPr>
                  </w:pPr>
                  <w:r>
                    <w:rPr>
                      <w:rFonts w:hint="eastAsia"/>
                      <w:color w:val="000000"/>
                      <w:sz w:val="21"/>
                      <w:szCs w:val="21"/>
                    </w:rPr>
                    <w:t>迁扩建后产品直接外售量约800t，剩余200t用于厂内生产仿真娃娃</w:t>
                  </w:r>
                </w:p>
              </w:tc>
            </w:tr>
            <w:tr w14:paraId="2D29C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57" w:type="dxa"/>
                </w:tblCellMar>
              </w:tblPrEx>
              <w:trPr>
                <w:cantSplit/>
                <w:trHeight w:val="326" w:hRule="atLeast"/>
                <w:jc w:val="center"/>
              </w:trPr>
              <w:tc>
                <w:tcPr>
                  <w:tcW w:w="1229" w:type="pct"/>
                  <w:shd w:val="clear" w:color="auto" w:fill="auto"/>
                  <w:vAlign w:val="center"/>
                </w:tcPr>
                <w:p w14:paraId="1E0C1498">
                  <w:pPr>
                    <w:pStyle w:val="8"/>
                  </w:pPr>
                  <w:r>
                    <w:rPr>
                      <w:rFonts w:hint="eastAsia"/>
                    </w:rPr>
                    <w:t>仿真娃娃</w:t>
                  </w:r>
                </w:p>
              </w:tc>
              <w:tc>
                <w:tcPr>
                  <w:tcW w:w="853" w:type="pct"/>
                  <w:shd w:val="clear" w:color="auto" w:fill="auto"/>
                  <w:vAlign w:val="center"/>
                </w:tcPr>
                <w:p w14:paraId="4C218665">
                  <w:pPr>
                    <w:pStyle w:val="8"/>
                  </w:pPr>
                  <w:r>
                    <w:rPr>
                      <w:rFonts w:hint="eastAsia"/>
                    </w:rPr>
                    <w:t>0</w:t>
                  </w:r>
                </w:p>
              </w:tc>
              <w:tc>
                <w:tcPr>
                  <w:tcW w:w="838" w:type="pct"/>
                  <w:vAlign w:val="center"/>
                </w:tcPr>
                <w:p w14:paraId="6F379AE9">
                  <w:pPr>
                    <w:spacing w:line="240" w:lineRule="auto"/>
                    <w:ind w:firstLine="0" w:firstLineChars="0"/>
                    <w:jc w:val="center"/>
                    <w:rPr>
                      <w:bCs/>
                      <w:color w:val="000000"/>
                      <w:sz w:val="21"/>
                      <w:szCs w:val="21"/>
                    </w:rPr>
                  </w:pPr>
                  <w:r>
                    <w:rPr>
                      <w:rFonts w:hint="eastAsia"/>
                      <w:bCs/>
                      <w:color w:val="000000"/>
                      <w:sz w:val="21"/>
                      <w:szCs w:val="21"/>
                    </w:rPr>
                    <w:t>200</w:t>
                  </w:r>
                </w:p>
              </w:tc>
              <w:tc>
                <w:tcPr>
                  <w:tcW w:w="784" w:type="pct"/>
                  <w:vAlign w:val="center"/>
                </w:tcPr>
                <w:p w14:paraId="72CD3207">
                  <w:pPr>
                    <w:spacing w:line="240" w:lineRule="auto"/>
                    <w:ind w:firstLine="0" w:firstLineChars="0"/>
                    <w:jc w:val="center"/>
                    <w:rPr>
                      <w:bCs/>
                      <w:color w:val="000000"/>
                      <w:sz w:val="21"/>
                      <w:szCs w:val="21"/>
                    </w:rPr>
                  </w:pPr>
                  <w:r>
                    <w:rPr>
                      <w:rFonts w:hint="eastAsia"/>
                      <w:bCs/>
                      <w:color w:val="000000"/>
                      <w:sz w:val="21"/>
                      <w:szCs w:val="21"/>
                    </w:rPr>
                    <w:t>+200</w:t>
                  </w:r>
                </w:p>
              </w:tc>
              <w:tc>
                <w:tcPr>
                  <w:tcW w:w="1295" w:type="pct"/>
                  <w:vAlign w:val="center"/>
                </w:tcPr>
                <w:p w14:paraId="365911D0">
                  <w:pPr>
                    <w:adjustRightInd w:val="0"/>
                    <w:snapToGrid w:val="0"/>
                    <w:spacing w:line="240" w:lineRule="auto"/>
                    <w:ind w:firstLine="0" w:firstLineChars="0"/>
                    <w:jc w:val="center"/>
                    <w:rPr>
                      <w:color w:val="000000"/>
                      <w:sz w:val="21"/>
                      <w:szCs w:val="21"/>
                    </w:rPr>
                  </w:pPr>
                  <w:r>
                    <w:rPr>
                      <w:rFonts w:hint="eastAsia"/>
                      <w:color w:val="000000"/>
                      <w:sz w:val="21"/>
                      <w:szCs w:val="21"/>
                    </w:rPr>
                    <w:t>/</w:t>
                  </w:r>
                </w:p>
              </w:tc>
            </w:tr>
          </w:tbl>
          <w:p w14:paraId="16508BE8">
            <w:pPr>
              <w:pStyle w:val="16"/>
              <w:rPr>
                <w:kern w:val="2"/>
                <w:szCs w:val="24"/>
              </w:rPr>
            </w:pPr>
            <w:r>
              <w:rPr>
                <w:kern w:val="2"/>
                <w:szCs w:val="24"/>
              </w:rPr>
              <w:t>表2-</w:t>
            </w:r>
            <w:r>
              <w:rPr>
                <w:rFonts w:hint="eastAsia"/>
                <w:kern w:val="2"/>
                <w:szCs w:val="24"/>
              </w:rPr>
              <w:t xml:space="preserve">3 </w:t>
            </w:r>
            <w:r>
              <w:rPr>
                <w:kern w:val="2"/>
                <w:szCs w:val="24"/>
              </w:rPr>
              <w:t>项目产品</w:t>
            </w:r>
            <w:r>
              <w:rPr>
                <w:rFonts w:hint="eastAsia"/>
                <w:kern w:val="2"/>
                <w:szCs w:val="24"/>
              </w:rPr>
              <w:t>情况</w:t>
            </w:r>
            <w:r>
              <w:rPr>
                <w:kern w:val="2"/>
                <w:szCs w:val="24"/>
              </w:rPr>
              <w:t>一览表</w:t>
            </w:r>
          </w:p>
          <w:tbl>
            <w:tblPr>
              <w:tblStyle w:val="34"/>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57" w:type="dxa"/>
              </w:tblCellMar>
            </w:tblPr>
            <w:tblGrid>
              <w:gridCol w:w="2114"/>
              <w:gridCol w:w="3223"/>
              <w:gridCol w:w="3223"/>
            </w:tblGrid>
            <w:tr w14:paraId="59ED3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601" w:hRule="atLeast"/>
                <w:jc w:val="center"/>
              </w:trPr>
              <w:tc>
                <w:tcPr>
                  <w:tcW w:w="1235" w:type="pct"/>
                  <w:vAlign w:val="center"/>
                </w:tcPr>
                <w:p w14:paraId="2472AED3">
                  <w:pPr>
                    <w:adjustRightInd w:val="0"/>
                    <w:snapToGrid w:val="0"/>
                    <w:spacing w:line="240" w:lineRule="auto"/>
                    <w:ind w:firstLine="0" w:firstLineChars="0"/>
                    <w:jc w:val="center"/>
                    <w:rPr>
                      <w:b/>
                      <w:bCs/>
                      <w:color w:val="000000"/>
                      <w:sz w:val="21"/>
                      <w:szCs w:val="21"/>
                    </w:rPr>
                  </w:pPr>
                  <w:r>
                    <w:rPr>
                      <w:b/>
                      <w:bCs/>
                      <w:color w:val="000000"/>
                      <w:sz w:val="21"/>
                      <w:szCs w:val="21"/>
                    </w:rPr>
                    <w:t>产品名称</w:t>
                  </w:r>
                </w:p>
              </w:tc>
              <w:tc>
                <w:tcPr>
                  <w:tcW w:w="1882" w:type="pct"/>
                  <w:vAlign w:val="center"/>
                </w:tcPr>
                <w:p w14:paraId="062F779C">
                  <w:pPr>
                    <w:adjustRightInd w:val="0"/>
                    <w:snapToGrid w:val="0"/>
                    <w:spacing w:line="240" w:lineRule="auto"/>
                    <w:ind w:firstLine="0" w:firstLineChars="0"/>
                    <w:jc w:val="center"/>
                    <w:rPr>
                      <w:b/>
                      <w:bCs/>
                      <w:color w:val="000000"/>
                      <w:sz w:val="21"/>
                      <w:szCs w:val="21"/>
                    </w:rPr>
                  </w:pPr>
                  <w:r>
                    <w:rPr>
                      <w:rFonts w:hint="eastAsia"/>
                      <w:b/>
                      <w:bCs/>
                      <w:color w:val="000000"/>
                      <w:sz w:val="21"/>
                      <w:szCs w:val="21"/>
                    </w:rPr>
                    <w:t>单个产品重量</w:t>
                  </w:r>
                </w:p>
              </w:tc>
              <w:tc>
                <w:tcPr>
                  <w:tcW w:w="1882" w:type="pct"/>
                  <w:vAlign w:val="center"/>
                </w:tcPr>
                <w:p w14:paraId="08032099">
                  <w:pPr>
                    <w:adjustRightInd w:val="0"/>
                    <w:snapToGrid w:val="0"/>
                    <w:spacing w:line="240" w:lineRule="auto"/>
                    <w:ind w:firstLine="0" w:firstLineChars="0"/>
                    <w:jc w:val="center"/>
                    <w:rPr>
                      <w:b/>
                      <w:bCs/>
                      <w:color w:val="000000"/>
                      <w:sz w:val="21"/>
                      <w:szCs w:val="21"/>
                    </w:rPr>
                  </w:pPr>
                  <w:r>
                    <w:rPr>
                      <w:rFonts w:hint="eastAsia"/>
                      <w:b/>
                      <w:bCs/>
                      <w:color w:val="000000"/>
                      <w:sz w:val="21"/>
                      <w:szCs w:val="21"/>
                    </w:rPr>
                    <w:t>产品照片</w:t>
                  </w:r>
                </w:p>
              </w:tc>
            </w:tr>
            <w:tr w14:paraId="3459F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57" w:type="dxa"/>
                </w:tblCellMar>
              </w:tblPrEx>
              <w:trPr>
                <w:cantSplit/>
                <w:trHeight w:val="326" w:hRule="atLeast"/>
                <w:jc w:val="center"/>
              </w:trPr>
              <w:tc>
                <w:tcPr>
                  <w:tcW w:w="1235" w:type="pct"/>
                  <w:shd w:val="clear" w:color="auto" w:fill="auto"/>
                  <w:vAlign w:val="center"/>
                </w:tcPr>
                <w:p w14:paraId="012A9845">
                  <w:pPr>
                    <w:pStyle w:val="8"/>
                  </w:pPr>
                  <w:bookmarkStart w:id="89" w:name="OLE_LINK276"/>
                  <w:r>
                    <w:rPr>
                      <w:rFonts w:hint="eastAsia"/>
                    </w:rPr>
                    <w:t>TPE热塑性弹性体</w:t>
                  </w:r>
                  <w:bookmarkEnd w:id="89"/>
                </w:p>
              </w:tc>
              <w:tc>
                <w:tcPr>
                  <w:tcW w:w="1882" w:type="pct"/>
                  <w:shd w:val="clear" w:color="auto" w:fill="auto"/>
                  <w:vAlign w:val="center"/>
                </w:tcPr>
                <w:p w14:paraId="5412025A">
                  <w:pPr>
                    <w:pStyle w:val="8"/>
                  </w:pPr>
                  <w:r>
                    <w:rPr>
                      <w:rFonts w:hint="eastAsia"/>
                    </w:rPr>
                    <w:t xml:space="preserve"> 0.1g</w:t>
                  </w:r>
                </w:p>
              </w:tc>
              <w:tc>
                <w:tcPr>
                  <w:tcW w:w="1882" w:type="pct"/>
                  <w:shd w:val="clear" w:color="auto" w:fill="auto"/>
                  <w:vAlign w:val="center"/>
                </w:tcPr>
                <w:p w14:paraId="74001282">
                  <w:pPr>
                    <w:spacing w:line="240" w:lineRule="auto"/>
                    <w:ind w:firstLine="0" w:firstLineChars="0"/>
                    <w:jc w:val="center"/>
                    <w:rPr>
                      <w:bCs/>
                      <w:color w:val="000000"/>
                      <w:sz w:val="21"/>
                      <w:szCs w:val="21"/>
                    </w:rPr>
                  </w:pPr>
                  <w:r>
                    <w:rPr>
                      <w:rFonts w:hint="eastAsia"/>
                      <w:bCs/>
                      <w:color w:val="000000"/>
                      <w:sz w:val="21"/>
                      <w:szCs w:val="21"/>
                    </w:rPr>
                    <w:drawing>
                      <wp:inline distT="0" distB="0" distL="114300" distR="114300">
                        <wp:extent cx="1840230" cy="1302385"/>
                        <wp:effectExtent l="0" t="0" r="7620" b="12065"/>
                        <wp:docPr id="38" name="图片 38" descr="176a07c6dca2e1119ac7d1444e70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176a07c6dca2e1119ac7d1444e70949"/>
                                <pic:cNvPicPr>
                                  <a:picLocks noChangeAspect="1"/>
                                </pic:cNvPicPr>
                              </pic:nvPicPr>
                              <pic:blipFill>
                                <a:blip r:embed="rId15"/>
                                <a:stretch>
                                  <a:fillRect/>
                                </a:stretch>
                              </pic:blipFill>
                              <pic:spPr>
                                <a:xfrm>
                                  <a:off x="0" y="0"/>
                                  <a:ext cx="1840230" cy="1302385"/>
                                </a:xfrm>
                                <a:prstGeom prst="rect">
                                  <a:avLst/>
                                </a:prstGeom>
                              </pic:spPr>
                            </pic:pic>
                          </a:graphicData>
                        </a:graphic>
                      </wp:inline>
                    </w:drawing>
                  </w:r>
                </w:p>
              </w:tc>
            </w:tr>
            <w:tr w14:paraId="34F7C7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57" w:type="dxa"/>
                </w:tblCellMar>
              </w:tblPrEx>
              <w:trPr>
                <w:cantSplit/>
                <w:trHeight w:val="326" w:hRule="atLeast"/>
                <w:jc w:val="center"/>
              </w:trPr>
              <w:tc>
                <w:tcPr>
                  <w:tcW w:w="1235" w:type="pct"/>
                  <w:shd w:val="clear" w:color="auto" w:fill="auto"/>
                  <w:vAlign w:val="center"/>
                </w:tcPr>
                <w:p w14:paraId="4F47F910">
                  <w:pPr>
                    <w:pStyle w:val="8"/>
                  </w:pPr>
                  <w:bookmarkStart w:id="90" w:name="OLE_LINK261"/>
                  <w:r>
                    <w:rPr>
                      <w:rFonts w:hint="eastAsia"/>
                    </w:rPr>
                    <w:t>仿真娃娃</w:t>
                  </w:r>
                  <w:bookmarkEnd w:id="90"/>
                </w:p>
              </w:tc>
              <w:tc>
                <w:tcPr>
                  <w:tcW w:w="1882" w:type="pct"/>
                  <w:shd w:val="clear" w:color="auto" w:fill="auto"/>
                  <w:vAlign w:val="center"/>
                </w:tcPr>
                <w:p w14:paraId="7B7F2C26">
                  <w:pPr>
                    <w:pStyle w:val="8"/>
                  </w:pPr>
                  <w:r>
                    <w:rPr>
                      <w:rFonts w:hint="eastAsia"/>
                    </w:rPr>
                    <w:t>30kg</w:t>
                  </w:r>
                </w:p>
              </w:tc>
              <w:tc>
                <w:tcPr>
                  <w:tcW w:w="1882" w:type="pct"/>
                  <w:shd w:val="clear" w:color="auto" w:fill="auto"/>
                  <w:vAlign w:val="center"/>
                </w:tcPr>
                <w:p w14:paraId="6F12796F">
                  <w:pPr>
                    <w:spacing w:line="240" w:lineRule="auto"/>
                    <w:ind w:firstLine="0" w:firstLineChars="0"/>
                    <w:jc w:val="center"/>
                    <w:rPr>
                      <w:bCs/>
                      <w:color w:val="000000"/>
                      <w:sz w:val="21"/>
                      <w:szCs w:val="21"/>
                    </w:rPr>
                  </w:pPr>
                  <w:r>
                    <w:rPr>
                      <w:rFonts w:hint="eastAsia"/>
                      <w:bCs/>
                      <w:color w:val="000000"/>
                      <w:sz w:val="21"/>
                      <w:szCs w:val="21"/>
                    </w:rPr>
                    <w:drawing>
                      <wp:inline distT="0" distB="0" distL="114300" distR="114300">
                        <wp:extent cx="1838960" cy="1461135"/>
                        <wp:effectExtent l="0" t="0" r="8890" b="5715"/>
                        <wp:docPr id="3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9"/>
                                <pic:cNvPicPr>
                                  <a:picLocks noChangeAspect="1"/>
                                </pic:cNvPicPr>
                              </pic:nvPicPr>
                              <pic:blipFill>
                                <a:blip r:embed="rId16"/>
                                <a:stretch>
                                  <a:fillRect/>
                                </a:stretch>
                              </pic:blipFill>
                              <pic:spPr>
                                <a:xfrm>
                                  <a:off x="0" y="0"/>
                                  <a:ext cx="1838960" cy="1461135"/>
                                </a:xfrm>
                                <a:prstGeom prst="rect">
                                  <a:avLst/>
                                </a:prstGeom>
                                <a:noFill/>
                                <a:ln>
                                  <a:noFill/>
                                </a:ln>
                              </pic:spPr>
                            </pic:pic>
                          </a:graphicData>
                        </a:graphic>
                      </wp:inline>
                    </w:drawing>
                  </w:r>
                </w:p>
              </w:tc>
            </w:tr>
          </w:tbl>
          <w:p w14:paraId="7C543490">
            <w:pPr>
              <w:snapToGrid w:val="0"/>
              <w:ind w:left="420" w:firstLine="0" w:firstLineChars="0"/>
            </w:pPr>
            <w:r>
              <w:rPr>
                <w:rFonts w:hint="eastAsia"/>
                <w:b/>
                <w:bCs/>
              </w:rPr>
              <w:t>4</w:t>
            </w:r>
            <w:r>
              <w:rPr>
                <w:b/>
                <w:bCs/>
              </w:rPr>
              <w:t>、本项目主要原辅材料情况</w:t>
            </w:r>
          </w:p>
          <w:p w14:paraId="5E20326B">
            <w:pPr>
              <w:ind w:firstLine="480"/>
              <w:jc w:val="both"/>
            </w:pPr>
            <w:r>
              <w:rPr>
                <w:rFonts w:hint="eastAsia"/>
              </w:rPr>
              <w:t>（1）</w:t>
            </w:r>
            <w:r>
              <w:t>项目主要原辅材料详见</w:t>
            </w:r>
            <w:r>
              <w:rPr>
                <w:rFonts w:hint="eastAsia"/>
              </w:rPr>
              <w:t>下</w:t>
            </w:r>
            <w:r>
              <w:t>表所示。</w:t>
            </w:r>
          </w:p>
          <w:p w14:paraId="3D234A2C">
            <w:pPr>
              <w:pStyle w:val="16"/>
              <w:rPr>
                <w:kern w:val="2"/>
                <w:szCs w:val="24"/>
              </w:rPr>
            </w:pPr>
            <w:bookmarkStart w:id="91" w:name="OLE_LINK272"/>
            <w:r>
              <w:rPr>
                <w:kern w:val="2"/>
                <w:szCs w:val="24"/>
              </w:rPr>
              <w:t>表2-</w:t>
            </w:r>
            <w:r>
              <w:rPr>
                <w:rFonts w:hint="eastAsia"/>
                <w:kern w:val="2"/>
                <w:szCs w:val="24"/>
              </w:rPr>
              <w:t xml:space="preserve">4 </w:t>
            </w:r>
            <w:r>
              <w:rPr>
                <w:kern w:val="2"/>
                <w:szCs w:val="24"/>
              </w:rPr>
              <w:t>本项目主要原辅材料一览表</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4"/>
              <w:gridCol w:w="1492"/>
              <w:gridCol w:w="1372"/>
              <w:gridCol w:w="1416"/>
              <w:gridCol w:w="1334"/>
              <w:gridCol w:w="1223"/>
              <w:gridCol w:w="1128"/>
            </w:tblGrid>
            <w:tr w14:paraId="3AB56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347" w:type="pct"/>
                  <w:vMerge w:val="restart"/>
                  <w:vAlign w:val="center"/>
                </w:tcPr>
                <w:p w14:paraId="6695AFCC">
                  <w:pPr>
                    <w:spacing w:line="240" w:lineRule="auto"/>
                    <w:ind w:firstLine="0" w:firstLineChars="0"/>
                    <w:jc w:val="center"/>
                    <w:rPr>
                      <w:b/>
                      <w:bCs/>
                      <w:color w:val="000000"/>
                      <w:sz w:val="21"/>
                      <w:szCs w:val="21"/>
                    </w:rPr>
                  </w:pPr>
                  <w:r>
                    <w:rPr>
                      <w:b/>
                      <w:bCs/>
                      <w:color w:val="000000"/>
                      <w:sz w:val="21"/>
                      <w:szCs w:val="21"/>
                    </w:rPr>
                    <w:t>序号</w:t>
                  </w:r>
                </w:p>
              </w:tc>
              <w:tc>
                <w:tcPr>
                  <w:tcW w:w="871" w:type="pct"/>
                  <w:vMerge w:val="restart"/>
                  <w:vAlign w:val="center"/>
                </w:tcPr>
                <w:p w14:paraId="476D9CA1">
                  <w:pPr>
                    <w:spacing w:line="240" w:lineRule="auto"/>
                    <w:ind w:firstLine="0" w:firstLineChars="0"/>
                    <w:jc w:val="center"/>
                    <w:rPr>
                      <w:b/>
                      <w:bCs/>
                      <w:color w:val="000000"/>
                      <w:sz w:val="21"/>
                      <w:szCs w:val="21"/>
                    </w:rPr>
                  </w:pPr>
                  <w:r>
                    <w:rPr>
                      <w:b/>
                      <w:bCs/>
                      <w:color w:val="000000"/>
                      <w:sz w:val="21"/>
                      <w:szCs w:val="21"/>
                    </w:rPr>
                    <w:t>名称</w:t>
                  </w:r>
                </w:p>
              </w:tc>
              <w:tc>
                <w:tcPr>
                  <w:tcW w:w="2407" w:type="pct"/>
                  <w:gridSpan w:val="3"/>
                  <w:vAlign w:val="center"/>
                </w:tcPr>
                <w:p w14:paraId="71218264">
                  <w:pPr>
                    <w:spacing w:line="240" w:lineRule="auto"/>
                    <w:ind w:firstLine="0" w:firstLineChars="0"/>
                    <w:jc w:val="center"/>
                    <w:rPr>
                      <w:b/>
                      <w:bCs/>
                      <w:color w:val="000000"/>
                      <w:sz w:val="21"/>
                      <w:szCs w:val="21"/>
                    </w:rPr>
                  </w:pPr>
                  <w:r>
                    <w:rPr>
                      <w:b/>
                      <w:bCs/>
                      <w:color w:val="000000"/>
                      <w:sz w:val="21"/>
                      <w:szCs w:val="21"/>
                    </w:rPr>
                    <w:t>年用量</w:t>
                  </w:r>
                  <w:bookmarkStart w:id="92" w:name="OLE_LINK233"/>
                  <w:r>
                    <w:rPr>
                      <w:rFonts w:hint="eastAsia"/>
                      <w:b/>
                      <w:bCs/>
                      <w:color w:val="000000"/>
                      <w:sz w:val="21"/>
                      <w:szCs w:val="21"/>
                    </w:rPr>
                    <w:t>（</w:t>
                  </w:r>
                  <w:bookmarkStart w:id="93" w:name="OLE_LINK232"/>
                  <w:r>
                    <w:rPr>
                      <w:rFonts w:hint="eastAsia"/>
                      <w:b/>
                      <w:bCs/>
                      <w:color w:val="000000"/>
                      <w:sz w:val="21"/>
                      <w:szCs w:val="21"/>
                    </w:rPr>
                    <w:t>t/a</w:t>
                  </w:r>
                  <w:bookmarkEnd w:id="93"/>
                  <w:r>
                    <w:rPr>
                      <w:rFonts w:hint="eastAsia"/>
                      <w:b/>
                      <w:bCs/>
                      <w:color w:val="000000"/>
                      <w:sz w:val="21"/>
                      <w:szCs w:val="21"/>
                    </w:rPr>
                    <w:t>）</w:t>
                  </w:r>
                  <w:bookmarkEnd w:id="92"/>
                </w:p>
              </w:tc>
              <w:tc>
                <w:tcPr>
                  <w:tcW w:w="714" w:type="pct"/>
                  <w:vMerge w:val="restart"/>
                  <w:vAlign w:val="center"/>
                </w:tcPr>
                <w:p w14:paraId="27A418B3">
                  <w:pPr>
                    <w:spacing w:line="240" w:lineRule="auto"/>
                    <w:ind w:firstLine="0" w:firstLineChars="0"/>
                    <w:jc w:val="center"/>
                    <w:rPr>
                      <w:b/>
                      <w:bCs/>
                      <w:color w:val="000000"/>
                      <w:sz w:val="21"/>
                      <w:szCs w:val="21"/>
                    </w:rPr>
                  </w:pPr>
                  <w:r>
                    <w:rPr>
                      <w:rFonts w:hint="eastAsia"/>
                      <w:b/>
                      <w:bCs/>
                      <w:sz w:val="21"/>
                      <w:szCs w:val="21"/>
                    </w:rPr>
                    <w:t>最大储存量t</w:t>
                  </w:r>
                </w:p>
              </w:tc>
              <w:tc>
                <w:tcPr>
                  <w:tcW w:w="659" w:type="pct"/>
                  <w:vMerge w:val="restart"/>
                  <w:vAlign w:val="center"/>
                </w:tcPr>
                <w:p w14:paraId="0D0097FA">
                  <w:pPr>
                    <w:spacing w:line="240" w:lineRule="auto"/>
                    <w:ind w:firstLine="0" w:firstLineChars="0"/>
                    <w:jc w:val="center"/>
                    <w:rPr>
                      <w:b/>
                      <w:bCs/>
                      <w:color w:val="000000"/>
                      <w:sz w:val="21"/>
                      <w:szCs w:val="21"/>
                    </w:rPr>
                  </w:pPr>
                  <w:r>
                    <w:rPr>
                      <w:rFonts w:hint="eastAsia"/>
                      <w:b/>
                      <w:bCs/>
                      <w:color w:val="000000"/>
                      <w:sz w:val="21"/>
                      <w:szCs w:val="21"/>
                    </w:rPr>
                    <w:t>包装规格</w:t>
                  </w:r>
                </w:p>
              </w:tc>
            </w:tr>
            <w:tr w14:paraId="02EBF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 w:type="pct"/>
                  <w:vMerge w:val="continue"/>
                  <w:vAlign w:val="center"/>
                </w:tcPr>
                <w:p w14:paraId="0D38D601">
                  <w:pPr>
                    <w:spacing w:line="240" w:lineRule="auto"/>
                    <w:ind w:firstLine="0" w:firstLineChars="0"/>
                    <w:jc w:val="center"/>
                    <w:rPr>
                      <w:b/>
                      <w:bCs/>
                      <w:color w:val="000000"/>
                      <w:sz w:val="21"/>
                      <w:szCs w:val="21"/>
                    </w:rPr>
                  </w:pPr>
                </w:p>
              </w:tc>
              <w:tc>
                <w:tcPr>
                  <w:tcW w:w="871" w:type="pct"/>
                  <w:vMerge w:val="continue"/>
                  <w:vAlign w:val="center"/>
                </w:tcPr>
                <w:p w14:paraId="449D539B">
                  <w:pPr>
                    <w:spacing w:line="240" w:lineRule="auto"/>
                    <w:ind w:firstLine="0" w:firstLineChars="0"/>
                    <w:jc w:val="center"/>
                    <w:rPr>
                      <w:b/>
                      <w:bCs/>
                      <w:color w:val="000000"/>
                      <w:sz w:val="21"/>
                      <w:szCs w:val="21"/>
                    </w:rPr>
                  </w:pPr>
                </w:p>
              </w:tc>
              <w:tc>
                <w:tcPr>
                  <w:tcW w:w="801" w:type="pct"/>
                  <w:shd w:val="clear" w:color="auto" w:fill="auto"/>
                  <w:vAlign w:val="center"/>
                </w:tcPr>
                <w:p w14:paraId="28ACD248">
                  <w:pPr>
                    <w:spacing w:line="240" w:lineRule="auto"/>
                    <w:ind w:firstLine="0" w:firstLineChars="0"/>
                    <w:jc w:val="center"/>
                    <w:rPr>
                      <w:b/>
                      <w:bCs/>
                      <w:color w:val="000000"/>
                      <w:sz w:val="21"/>
                      <w:szCs w:val="21"/>
                    </w:rPr>
                  </w:pPr>
                  <w:r>
                    <w:rPr>
                      <w:rFonts w:hint="eastAsia"/>
                      <w:b/>
                      <w:bCs/>
                      <w:color w:val="000000"/>
                      <w:sz w:val="21"/>
                      <w:szCs w:val="21"/>
                    </w:rPr>
                    <w:t>迁扩建</w:t>
                  </w:r>
                  <w:r>
                    <w:rPr>
                      <w:b/>
                      <w:bCs/>
                      <w:color w:val="000000"/>
                      <w:sz w:val="21"/>
                      <w:szCs w:val="21"/>
                    </w:rPr>
                    <w:t>前</w:t>
                  </w:r>
                </w:p>
              </w:tc>
              <w:tc>
                <w:tcPr>
                  <w:tcW w:w="827" w:type="pct"/>
                  <w:shd w:val="clear" w:color="auto" w:fill="auto"/>
                  <w:vAlign w:val="center"/>
                </w:tcPr>
                <w:p w14:paraId="482FA58B">
                  <w:pPr>
                    <w:spacing w:line="240" w:lineRule="auto"/>
                    <w:ind w:firstLine="0" w:firstLineChars="0"/>
                    <w:jc w:val="center"/>
                    <w:rPr>
                      <w:b/>
                      <w:bCs/>
                      <w:color w:val="000000"/>
                      <w:sz w:val="21"/>
                      <w:szCs w:val="21"/>
                    </w:rPr>
                  </w:pPr>
                  <w:r>
                    <w:rPr>
                      <w:rFonts w:hint="eastAsia"/>
                      <w:b/>
                      <w:bCs/>
                      <w:color w:val="000000"/>
                      <w:sz w:val="21"/>
                      <w:szCs w:val="21"/>
                    </w:rPr>
                    <w:t>迁扩建</w:t>
                  </w:r>
                  <w:r>
                    <w:rPr>
                      <w:b/>
                      <w:bCs/>
                      <w:color w:val="000000"/>
                      <w:sz w:val="21"/>
                      <w:szCs w:val="21"/>
                    </w:rPr>
                    <w:t>后</w:t>
                  </w:r>
                </w:p>
              </w:tc>
              <w:tc>
                <w:tcPr>
                  <w:tcW w:w="779" w:type="pct"/>
                  <w:vAlign w:val="center"/>
                </w:tcPr>
                <w:p w14:paraId="53B4D9C0">
                  <w:pPr>
                    <w:spacing w:line="240" w:lineRule="auto"/>
                    <w:ind w:firstLine="0" w:firstLineChars="0"/>
                    <w:jc w:val="center"/>
                    <w:rPr>
                      <w:b/>
                      <w:bCs/>
                      <w:color w:val="000000"/>
                      <w:sz w:val="21"/>
                      <w:szCs w:val="21"/>
                    </w:rPr>
                  </w:pPr>
                  <w:r>
                    <w:rPr>
                      <w:rFonts w:hint="eastAsia"/>
                      <w:b/>
                      <w:bCs/>
                      <w:color w:val="000000"/>
                      <w:sz w:val="21"/>
                      <w:szCs w:val="21"/>
                    </w:rPr>
                    <w:t>变化量</w:t>
                  </w:r>
                </w:p>
              </w:tc>
              <w:tc>
                <w:tcPr>
                  <w:tcW w:w="714" w:type="pct"/>
                  <w:vMerge w:val="continue"/>
                  <w:vAlign w:val="center"/>
                </w:tcPr>
                <w:p w14:paraId="38A9A7F9">
                  <w:pPr>
                    <w:spacing w:line="240" w:lineRule="auto"/>
                    <w:ind w:firstLine="0" w:firstLineChars="0"/>
                    <w:jc w:val="center"/>
                    <w:rPr>
                      <w:color w:val="000000"/>
                      <w:sz w:val="21"/>
                      <w:szCs w:val="21"/>
                    </w:rPr>
                  </w:pPr>
                </w:p>
              </w:tc>
              <w:tc>
                <w:tcPr>
                  <w:tcW w:w="659" w:type="pct"/>
                  <w:vMerge w:val="continue"/>
                  <w:vAlign w:val="center"/>
                </w:tcPr>
                <w:p w14:paraId="475B8202">
                  <w:pPr>
                    <w:spacing w:line="240" w:lineRule="auto"/>
                    <w:ind w:firstLine="0" w:firstLineChars="0"/>
                    <w:jc w:val="center"/>
                    <w:rPr>
                      <w:color w:val="000000"/>
                      <w:sz w:val="21"/>
                      <w:szCs w:val="21"/>
                    </w:rPr>
                  </w:pPr>
                </w:p>
              </w:tc>
            </w:tr>
            <w:tr w14:paraId="4CA85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 w:type="pct"/>
                  <w:vAlign w:val="center"/>
                </w:tcPr>
                <w:p w14:paraId="706891F7">
                  <w:pPr>
                    <w:spacing w:line="240" w:lineRule="auto"/>
                    <w:ind w:firstLine="0" w:firstLineChars="0"/>
                    <w:jc w:val="center"/>
                    <w:rPr>
                      <w:color w:val="000000"/>
                      <w:sz w:val="21"/>
                      <w:szCs w:val="21"/>
                    </w:rPr>
                  </w:pPr>
                  <w:bookmarkStart w:id="94" w:name="OLE_LINK273" w:colFirst="1" w:colLast="1"/>
                  <w:r>
                    <w:rPr>
                      <w:color w:val="000000"/>
                      <w:sz w:val="21"/>
                      <w:szCs w:val="21"/>
                    </w:rPr>
                    <w:t>1</w:t>
                  </w:r>
                </w:p>
              </w:tc>
              <w:tc>
                <w:tcPr>
                  <w:tcW w:w="871" w:type="pct"/>
                  <w:shd w:val="clear" w:color="auto" w:fill="auto"/>
                  <w:vAlign w:val="center"/>
                </w:tcPr>
                <w:p w14:paraId="4C2C33A9">
                  <w:pPr>
                    <w:spacing w:line="240" w:lineRule="auto"/>
                    <w:ind w:firstLine="0" w:firstLineChars="0"/>
                    <w:jc w:val="center"/>
                    <w:rPr>
                      <w:rFonts w:cs="宋体"/>
                      <w:color w:val="000000"/>
                      <w:sz w:val="21"/>
                      <w:szCs w:val="21"/>
                    </w:rPr>
                  </w:pPr>
                  <w:bookmarkStart w:id="95" w:name="OLE_LINK291"/>
                  <w:r>
                    <w:rPr>
                      <w:rFonts w:hint="eastAsia" w:cs="宋体"/>
                      <w:color w:val="000000"/>
                      <w:sz w:val="21"/>
                      <w:szCs w:val="21"/>
                    </w:rPr>
                    <w:t>SEBS热塑性弹性体</w:t>
                  </w:r>
                  <w:bookmarkEnd w:id="95"/>
                </w:p>
              </w:tc>
              <w:tc>
                <w:tcPr>
                  <w:tcW w:w="801" w:type="pct"/>
                  <w:vAlign w:val="center"/>
                </w:tcPr>
                <w:p w14:paraId="7E3D6798">
                  <w:pPr>
                    <w:spacing w:line="240" w:lineRule="auto"/>
                    <w:ind w:firstLine="0" w:firstLineChars="0"/>
                    <w:jc w:val="center"/>
                    <w:rPr>
                      <w:color w:val="000000"/>
                      <w:sz w:val="21"/>
                      <w:szCs w:val="21"/>
                    </w:rPr>
                  </w:pPr>
                  <w:r>
                    <w:rPr>
                      <w:rFonts w:hint="eastAsia"/>
                      <w:color w:val="000000"/>
                      <w:sz w:val="21"/>
                      <w:szCs w:val="21"/>
                    </w:rPr>
                    <w:t>512</w:t>
                  </w:r>
                </w:p>
              </w:tc>
              <w:tc>
                <w:tcPr>
                  <w:tcW w:w="827" w:type="pct"/>
                  <w:shd w:val="clear" w:color="auto" w:fill="auto"/>
                  <w:vAlign w:val="center"/>
                </w:tcPr>
                <w:p w14:paraId="77AF888E">
                  <w:pPr>
                    <w:spacing w:line="240" w:lineRule="auto"/>
                    <w:ind w:firstLine="0" w:firstLineChars="0"/>
                    <w:jc w:val="center"/>
                    <w:rPr>
                      <w:rFonts w:cs="宋体"/>
                      <w:color w:val="000000"/>
                      <w:sz w:val="21"/>
                      <w:szCs w:val="21"/>
                    </w:rPr>
                  </w:pPr>
                  <w:r>
                    <w:rPr>
                      <w:rFonts w:hint="eastAsia" w:cs="宋体"/>
                      <w:color w:val="000000"/>
                      <w:sz w:val="21"/>
                      <w:szCs w:val="21"/>
                    </w:rPr>
                    <w:t>100</w:t>
                  </w:r>
                </w:p>
              </w:tc>
              <w:tc>
                <w:tcPr>
                  <w:tcW w:w="779" w:type="pct"/>
                  <w:shd w:val="clear" w:color="auto" w:fill="auto"/>
                  <w:vAlign w:val="center"/>
                </w:tcPr>
                <w:p w14:paraId="18F17B6B">
                  <w:pPr>
                    <w:spacing w:line="240" w:lineRule="auto"/>
                    <w:ind w:firstLine="0" w:firstLineChars="0"/>
                    <w:jc w:val="center"/>
                    <w:rPr>
                      <w:color w:val="000000"/>
                      <w:sz w:val="21"/>
                      <w:szCs w:val="21"/>
                    </w:rPr>
                  </w:pPr>
                  <w:r>
                    <w:rPr>
                      <w:rFonts w:hint="eastAsia"/>
                      <w:color w:val="000000"/>
                      <w:sz w:val="21"/>
                      <w:szCs w:val="21"/>
                    </w:rPr>
                    <w:t>-412</w:t>
                  </w:r>
                </w:p>
              </w:tc>
              <w:tc>
                <w:tcPr>
                  <w:tcW w:w="714" w:type="pct"/>
                  <w:shd w:val="clear" w:color="auto" w:fill="auto"/>
                  <w:vAlign w:val="center"/>
                </w:tcPr>
                <w:p w14:paraId="6F50B1E9">
                  <w:pPr>
                    <w:spacing w:line="240" w:lineRule="auto"/>
                    <w:ind w:firstLine="0" w:firstLineChars="0"/>
                    <w:jc w:val="center"/>
                    <w:rPr>
                      <w:rFonts w:cs="宋体"/>
                      <w:color w:val="000000"/>
                      <w:sz w:val="21"/>
                      <w:szCs w:val="21"/>
                    </w:rPr>
                  </w:pPr>
                  <w:r>
                    <w:rPr>
                      <w:rFonts w:hint="eastAsia" w:cs="宋体"/>
                      <w:color w:val="000000"/>
                      <w:sz w:val="21"/>
                      <w:szCs w:val="21"/>
                    </w:rPr>
                    <w:t>30</w:t>
                  </w:r>
                </w:p>
              </w:tc>
              <w:tc>
                <w:tcPr>
                  <w:tcW w:w="659" w:type="pct"/>
                  <w:vAlign w:val="center"/>
                </w:tcPr>
                <w:p w14:paraId="6B063E47">
                  <w:pPr>
                    <w:spacing w:line="240" w:lineRule="auto"/>
                    <w:ind w:firstLine="0" w:firstLineChars="0"/>
                    <w:jc w:val="center"/>
                    <w:rPr>
                      <w:color w:val="000000"/>
                      <w:sz w:val="21"/>
                      <w:szCs w:val="21"/>
                    </w:rPr>
                  </w:pPr>
                  <w:r>
                    <w:rPr>
                      <w:rFonts w:hint="eastAsia"/>
                      <w:color w:val="000000"/>
                      <w:sz w:val="21"/>
                      <w:szCs w:val="21"/>
                    </w:rPr>
                    <w:t>13kg/袋</w:t>
                  </w:r>
                </w:p>
              </w:tc>
            </w:tr>
            <w:tr w14:paraId="74513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347" w:type="pct"/>
                  <w:vAlign w:val="center"/>
                </w:tcPr>
                <w:p w14:paraId="47AE0329">
                  <w:pPr>
                    <w:spacing w:line="240" w:lineRule="auto"/>
                    <w:ind w:firstLine="0" w:firstLineChars="0"/>
                    <w:jc w:val="center"/>
                    <w:rPr>
                      <w:color w:val="000000"/>
                      <w:sz w:val="21"/>
                      <w:szCs w:val="21"/>
                    </w:rPr>
                  </w:pPr>
                  <w:r>
                    <w:rPr>
                      <w:color w:val="000000"/>
                      <w:sz w:val="21"/>
                      <w:szCs w:val="21"/>
                    </w:rPr>
                    <w:t>2</w:t>
                  </w:r>
                </w:p>
              </w:tc>
              <w:tc>
                <w:tcPr>
                  <w:tcW w:w="871" w:type="pct"/>
                  <w:shd w:val="clear" w:color="auto" w:fill="auto"/>
                  <w:vAlign w:val="center"/>
                </w:tcPr>
                <w:p w14:paraId="5C53D0ED">
                  <w:pPr>
                    <w:spacing w:line="240" w:lineRule="auto"/>
                    <w:ind w:firstLine="0" w:firstLineChars="0"/>
                    <w:jc w:val="center"/>
                    <w:rPr>
                      <w:rFonts w:cs="宋体"/>
                      <w:color w:val="000000"/>
                      <w:sz w:val="21"/>
                      <w:szCs w:val="21"/>
                    </w:rPr>
                  </w:pPr>
                  <w:bookmarkStart w:id="96" w:name="OLE_LINK292"/>
                  <w:r>
                    <w:rPr>
                      <w:rFonts w:hint="eastAsia" w:cs="宋体"/>
                      <w:color w:val="000000"/>
                      <w:sz w:val="21"/>
                      <w:szCs w:val="21"/>
                    </w:rPr>
                    <w:t>PP新塑胶粒</w:t>
                  </w:r>
                  <w:bookmarkEnd w:id="96"/>
                </w:p>
              </w:tc>
              <w:tc>
                <w:tcPr>
                  <w:tcW w:w="801" w:type="pct"/>
                  <w:vAlign w:val="center"/>
                </w:tcPr>
                <w:p w14:paraId="3FD3BDFB">
                  <w:pPr>
                    <w:spacing w:line="240" w:lineRule="auto"/>
                    <w:ind w:firstLine="0" w:firstLineChars="0"/>
                    <w:jc w:val="center"/>
                    <w:rPr>
                      <w:color w:val="000000"/>
                      <w:sz w:val="21"/>
                      <w:szCs w:val="21"/>
                    </w:rPr>
                  </w:pPr>
                  <w:r>
                    <w:rPr>
                      <w:rFonts w:hint="eastAsia"/>
                      <w:color w:val="000000"/>
                      <w:sz w:val="21"/>
                      <w:szCs w:val="21"/>
                    </w:rPr>
                    <w:t>80</w:t>
                  </w:r>
                </w:p>
              </w:tc>
              <w:tc>
                <w:tcPr>
                  <w:tcW w:w="827" w:type="pct"/>
                  <w:shd w:val="clear" w:color="auto" w:fill="auto"/>
                  <w:vAlign w:val="center"/>
                </w:tcPr>
                <w:p w14:paraId="089DEE8F">
                  <w:pPr>
                    <w:spacing w:line="240" w:lineRule="auto"/>
                    <w:ind w:firstLine="0" w:firstLineChars="0"/>
                    <w:jc w:val="center"/>
                    <w:rPr>
                      <w:rFonts w:cs="宋体"/>
                      <w:color w:val="000000"/>
                      <w:sz w:val="21"/>
                      <w:szCs w:val="21"/>
                    </w:rPr>
                  </w:pPr>
                  <w:r>
                    <w:rPr>
                      <w:rFonts w:hint="eastAsia" w:cs="宋体"/>
                      <w:color w:val="000000"/>
                      <w:sz w:val="21"/>
                      <w:szCs w:val="21"/>
                    </w:rPr>
                    <w:t>100</w:t>
                  </w:r>
                </w:p>
              </w:tc>
              <w:tc>
                <w:tcPr>
                  <w:tcW w:w="779" w:type="pct"/>
                  <w:shd w:val="clear" w:color="auto" w:fill="auto"/>
                  <w:vAlign w:val="center"/>
                </w:tcPr>
                <w:p w14:paraId="60F74954">
                  <w:pPr>
                    <w:spacing w:line="240" w:lineRule="auto"/>
                    <w:ind w:firstLine="0" w:firstLineChars="0"/>
                    <w:jc w:val="center"/>
                    <w:rPr>
                      <w:color w:val="000000"/>
                      <w:sz w:val="21"/>
                      <w:szCs w:val="21"/>
                    </w:rPr>
                  </w:pPr>
                  <w:r>
                    <w:rPr>
                      <w:rFonts w:hint="eastAsia"/>
                      <w:color w:val="000000"/>
                      <w:sz w:val="21"/>
                      <w:szCs w:val="21"/>
                    </w:rPr>
                    <w:t>+20</w:t>
                  </w:r>
                </w:p>
              </w:tc>
              <w:tc>
                <w:tcPr>
                  <w:tcW w:w="714" w:type="pct"/>
                  <w:shd w:val="clear" w:color="auto" w:fill="auto"/>
                  <w:vAlign w:val="center"/>
                </w:tcPr>
                <w:p w14:paraId="6FFC4A20">
                  <w:pPr>
                    <w:spacing w:line="240" w:lineRule="auto"/>
                    <w:ind w:firstLine="0" w:firstLineChars="0"/>
                    <w:jc w:val="center"/>
                    <w:rPr>
                      <w:rFonts w:cs="宋体"/>
                      <w:color w:val="000000"/>
                      <w:sz w:val="21"/>
                      <w:szCs w:val="21"/>
                    </w:rPr>
                  </w:pPr>
                  <w:r>
                    <w:rPr>
                      <w:rFonts w:hint="eastAsia" w:cs="宋体"/>
                      <w:color w:val="000000"/>
                      <w:sz w:val="21"/>
                      <w:szCs w:val="21"/>
                    </w:rPr>
                    <w:t>10</w:t>
                  </w:r>
                </w:p>
              </w:tc>
              <w:tc>
                <w:tcPr>
                  <w:tcW w:w="659" w:type="pct"/>
                  <w:vAlign w:val="center"/>
                </w:tcPr>
                <w:p w14:paraId="1C7B14DA">
                  <w:pPr>
                    <w:spacing w:line="240" w:lineRule="auto"/>
                    <w:ind w:firstLine="0" w:firstLineChars="0"/>
                    <w:jc w:val="center"/>
                    <w:rPr>
                      <w:color w:val="000000"/>
                      <w:sz w:val="21"/>
                      <w:szCs w:val="21"/>
                    </w:rPr>
                  </w:pPr>
                  <w:r>
                    <w:rPr>
                      <w:rFonts w:hint="eastAsia"/>
                      <w:color w:val="000000"/>
                      <w:sz w:val="21"/>
                      <w:szCs w:val="21"/>
                    </w:rPr>
                    <w:t>25kg/袋</w:t>
                  </w:r>
                </w:p>
              </w:tc>
            </w:tr>
            <w:tr w14:paraId="63CB3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347" w:type="pct"/>
                  <w:vAlign w:val="center"/>
                </w:tcPr>
                <w:p w14:paraId="1016CAC0">
                  <w:pPr>
                    <w:spacing w:line="240" w:lineRule="auto"/>
                    <w:ind w:firstLine="0" w:firstLineChars="0"/>
                    <w:jc w:val="center"/>
                    <w:rPr>
                      <w:color w:val="auto"/>
                      <w:sz w:val="21"/>
                      <w:szCs w:val="21"/>
                    </w:rPr>
                  </w:pPr>
                  <w:r>
                    <w:rPr>
                      <w:color w:val="auto"/>
                      <w:sz w:val="21"/>
                      <w:szCs w:val="21"/>
                    </w:rPr>
                    <w:t>3</w:t>
                  </w:r>
                </w:p>
              </w:tc>
              <w:tc>
                <w:tcPr>
                  <w:tcW w:w="871" w:type="pct"/>
                  <w:shd w:val="clear" w:color="auto" w:fill="auto"/>
                  <w:vAlign w:val="center"/>
                </w:tcPr>
                <w:p w14:paraId="51D84A6A">
                  <w:pPr>
                    <w:spacing w:line="240" w:lineRule="auto"/>
                    <w:ind w:firstLine="0" w:firstLineChars="0"/>
                    <w:jc w:val="center"/>
                    <w:rPr>
                      <w:rFonts w:cs="宋体"/>
                      <w:color w:val="auto"/>
                      <w:sz w:val="21"/>
                      <w:szCs w:val="21"/>
                    </w:rPr>
                  </w:pPr>
                  <w:bookmarkStart w:id="97" w:name="OLE_LINK293"/>
                  <w:r>
                    <w:rPr>
                      <w:rFonts w:hint="eastAsia" w:cs="宋体"/>
                      <w:color w:val="auto"/>
                      <w:sz w:val="21"/>
                      <w:szCs w:val="21"/>
                    </w:rPr>
                    <w:t>PS塑胶粒</w:t>
                  </w:r>
                  <w:bookmarkEnd w:id="97"/>
                </w:p>
              </w:tc>
              <w:tc>
                <w:tcPr>
                  <w:tcW w:w="801" w:type="pct"/>
                  <w:vAlign w:val="center"/>
                </w:tcPr>
                <w:p w14:paraId="4A9DC6E2">
                  <w:pPr>
                    <w:spacing w:line="240" w:lineRule="auto"/>
                    <w:ind w:firstLine="0" w:firstLineChars="0"/>
                    <w:jc w:val="center"/>
                    <w:rPr>
                      <w:color w:val="auto"/>
                      <w:sz w:val="21"/>
                      <w:szCs w:val="21"/>
                    </w:rPr>
                  </w:pPr>
                  <w:r>
                    <w:rPr>
                      <w:rFonts w:hint="eastAsia"/>
                      <w:color w:val="auto"/>
                      <w:sz w:val="21"/>
                      <w:szCs w:val="21"/>
                    </w:rPr>
                    <w:t>0</w:t>
                  </w:r>
                </w:p>
              </w:tc>
              <w:tc>
                <w:tcPr>
                  <w:tcW w:w="827" w:type="pct"/>
                  <w:shd w:val="clear" w:color="auto" w:fill="auto"/>
                  <w:vAlign w:val="center"/>
                </w:tcPr>
                <w:p w14:paraId="074E8710">
                  <w:pPr>
                    <w:spacing w:line="240" w:lineRule="auto"/>
                    <w:ind w:firstLine="0" w:firstLineChars="0"/>
                    <w:jc w:val="center"/>
                    <w:rPr>
                      <w:rFonts w:cs="宋体"/>
                      <w:color w:val="auto"/>
                      <w:sz w:val="21"/>
                      <w:szCs w:val="21"/>
                    </w:rPr>
                  </w:pPr>
                  <w:r>
                    <w:rPr>
                      <w:rFonts w:hint="eastAsia" w:cs="宋体"/>
                      <w:color w:val="auto"/>
                      <w:sz w:val="21"/>
                      <w:szCs w:val="21"/>
                    </w:rPr>
                    <w:t>15.6144</w:t>
                  </w:r>
                </w:p>
              </w:tc>
              <w:tc>
                <w:tcPr>
                  <w:tcW w:w="779" w:type="pct"/>
                  <w:shd w:val="clear" w:color="auto" w:fill="auto"/>
                  <w:vAlign w:val="center"/>
                </w:tcPr>
                <w:p w14:paraId="102E00E8">
                  <w:pPr>
                    <w:spacing w:line="240" w:lineRule="auto"/>
                    <w:ind w:firstLine="0" w:firstLineChars="0"/>
                    <w:jc w:val="center"/>
                    <w:rPr>
                      <w:color w:val="auto"/>
                      <w:sz w:val="21"/>
                      <w:szCs w:val="21"/>
                    </w:rPr>
                  </w:pPr>
                  <w:r>
                    <w:rPr>
                      <w:rFonts w:hint="eastAsia"/>
                      <w:color w:val="auto"/>
                      <w:sz w:val="21"/>
                      <w:szCs w:val="21"/>
                    </w:rPr>
                    <w:t>+15.6144</w:t>
                  </w:r>
                </w:p>
              </w:tc>
              <w:tc>
                <w:tcPr>
                  <w:tcW w:w="714" w:type="pct"/>
                  <w:shd w:val="clear" w:color="auto" w:fill="auto"/>
                  <w:vAlign w:val="center"/>
                </w:tcPr>
                <w:p w14:paraId="3EBE6DA9">
                  <w:pPr>
                    <w:spacing w:line="240" w:lineRule="auto"/>
                    <w:ind w:firstLine="0" w:firstLineChars="0"/>
                    <w:jc w:val="center"/>
                    <w:rPr>
                      <w:rFonts w:cs="宋体"/>
                      <w:color w:val="auto"/>
                      <w:sz w:val="21"/>
                      <w:szCs w:val="21"/>
                    </w:rPr>
                  </w:pPr>
                  <w:r>
                    <w:rPr>
                      <w:rFonts w:hint="eastAsia" w:cs="宋体"/>
                      <w:color w:val="auto"/>
                      <w:sz w:val="21"/>
                      <w:szCs w:val="21"/>
                    </w:rPr>
                    <w:t>2</w:t>
                  </w:r>
                </w:p>
              </w:tc>
              <w:tc>
                <w:tcPr>
                  <w:tcW w:w="659" w:type="pct"/>
                  <w:vAlign w:val="center"/>
                </w:tcPr>
                <w:p w14:paraId="71DCB04D">
                  <w:pPr>
                    <w:spacing w:line="240" w:lineRule="auto"/>
                    <w:ind w:firstLine="0" w:firstLineChars="0"/>
                    <w:jc w:val="center"/>
                    <w:rPr>
                      <w:color w:val="auto"/>
                      <w:sz w:val="21"/>
                      <w:szCs w:val="21"/>
                    </w:rPr>
                  </w:pPr>
                  <w:r>
                    <w:rPr>
                      <w:rFonts w:hint="eastAsia"/>
                      <w:color w:val="auto"/>
                      <w:sz w:val="21"/>
                      <w:szCs w:val="21"/>
                    </w:rPr>
                    <w:t>25kg/袋</w:t>
                  </w:r>
                </w:p>
              </w:tc>
            </w:tr>
            <w:bookmarkEnd w:id="91"/>
            <w:tr w14:paraId="40811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jc w:val="center"/>
              </w:trPr>
              <w:tc>
                <w:tcPr>
                  <w:tcW w:w="347" w:type="pct"/>
                  <w:vAlign w:val="center"/>
                </w:tcPr>
                <w:p w14:paraId="5351A22D">
                  <w:pPr>
                    <w:spacing w:line="240" w:lineRule="auto"/>
                    <w:ind w:firstLine="0" w:firstLineChars="0"/>
                    <w:jc w:val="center"/>
                    <w:rPr>
                      <w:color w:val="auto"/>
                      <w:sz w:val="21"/>
                      <w:szCs w:val="21"/>
                    </w:rPr>
                  </w:pPr>
                  <w:r>
                    <w:rPr>
                      <w:rFonts w:hint="eastAsia"/>
                      <w:color w:val="auto"/>
                      <w:sz w:val="21"/>
                      <w:szCs w:val="21"/>
                    </w:rPr>
                    <w:t>4</w:t>
                  </w:r>
                </w:p>
              </w:tc>
              <w:tc>
                <w:tcPr>
                  <w:tcW w:w="871" w:type="pct"/>
                  <w:shd w:val="clear" w:color="auto" w:fill="auto"/>
                  <w:vAlign w:val="center"/>
                </w:tcPr>
                <w:p w14:paraId="71E5B0A1">
                  <w:pPr>
                    <w:spacing w:line="240" w:lineRule="auto"/>
                    <w:ind w:firstLine="0" w:firstLineChars="0"/>
                    <w:jc w:val="center"/>
                    <w:rPr>
                      <w:rFonts w:cs="宋体"/>
                      <w:color w:val="auto"/>
                      <w:sz w:val="21"/>
                      <w:szCs w:val="21"/>
                    </w:rPr>
                  </w:pPr>
                  <w:bookmarkStart w:id="98" w:name="OLE_LINK294"/>
                  <w:r>
                    <w:rPr>
                      <w:rFonts w:hint="eastAsia" w:cs="宋体"/>
                      <w:color w:val="auto"/>
                      <w:sz w:val="21"/>
                      <w:szCs w:val="21"/>
                    </w:rPr>
                    <w:t>软化油</w:t>
                  </w:r>
                  <w:bookmarkEnd w:id="98"/>
                </w:p>
              </w:tc>
              <w:tc>
                <w:tcPr>
                  <w:tcW w:w="801" w:type="pct"/>
                  <w:vAlign w:val="center"/>
                </w:tcPr>
                <w:p w14:paraId="0266CFB1">
                  <w:pPr>
                    <w:spacing w:line="240" w:lineRule="auto"/>
                    <w:ind w:firstLine="0" w:firstLineChars="0"/>
                    <w:jc w:val="center"/>
                    <w:rPr>
                      <w:color w:val="auto"/>
                      <w:sz w:val="21"/>
                      <w:szCs w:val="21"/>
                    </w:rPr>
                  </w:pPr>
                  <w:r>
                    <w:rPr>
                      <w:rFonts w:hint="eastAsia"/>
                      <w:color w:val="auto"/>
                      <w:sz w:val="21"/>
                      <w:szCs w:val="21"/>
                    </w:rPr>
                    <w:t>80</w:t>
                  </w:r>
                </w:p>
              </w:tc>
              <w:tc>
                <w:tcPr>
                  <w:tcW w:w="827" w:type="pct"/>
                  <w:shd w:val="clear" w:color="auto" w:fill="auto"/>
                  <w:vAlign w:val="center"/>
                </w:tcPr>
                <w:p w14:paraId="4BDD6323">
                  <w:pPr>
                    <w:spacing w:line="240" w:lineRule="auto"/>
                    <w:ind w:firstLine="0" w:firstLineChars="0"/>
                    <w:jc w:val="center"/>
                    <w:rPr>
                      <w:rFonts w:cs="宋体"/>
                      <w:color w:val="auto"/>
                      <w:sz w:val="21"/>
                      <w:szCs w:val="21"/>
                    </w:rPr>
                  </w:pPr>
                  <w:r>
                    <w:rPr>
                      <w:rFonts w:hint="eastAsia" w:cs="宋体"/>
                      <w:color w:val="auto"/>
                      <w:sz w:val="21"/>
                      <w:szCs w:val="21"/>
                    </w:rPr>
                    <w:t>390</w:t>
                  </w:r>
                </w:p>
              </w:tc>
              <w:tc>
                <w:tcPr>
                  <w:tcW w:w="779" w:type="pct"/>
                  <w:shd w:val="clear" w:color="auto" w:fill="auto"/>
                  <w:vAlign w:val="center"/>
                </w:tcPr>
                <w:p w14:paraId="222DFA69">
                  <w:pPr>
                    <w:spacing w:line="240" w:lineRule="auto"/>
                    <w:ind w:firstLine="0" w:firstLineChars="0"/>
                    <w:jc w:val="center"/>
                    <w:rPr>
                      <w:color w:val="auto"/>
                      <w:sz w:val="21"/>
                      <w:szCs w:val="21"/>
                    </w:rPr>
                  </w:pPr>
                  <w:r>
                    <w:rPr>
                      <w:rFonts w:hint="eastAsia"/>
                      <w:color w:val="auto"/>
                      <w:sz w:val="21"/>
                      <w:szCs w:val="21"/>
                    </w:rPr>
                    <w:t>+310</w:t>
                  </w:r>
                </w:p>
              </w:tc>
              <w:tc>
                <w:tcPr>
                  <w:tcW w:w="714" w:type="pct"/>
                  <w:shd w:val="clear" w:color="auto" w:fill="auto"/>
                  <w:vAlign w:val="center"/>
                </w:tcPr>
                <w:p w14:paraId="5E8B6BD3">
                  <w:pPr>
                    <w:spacing w:line="240" w:lineRule="auto"/>
                    <w:ind w:firstLine="0" w:firstLineChars="0"/>
                    <w:jc w:val="center"/>
                    <w:rPr>
                      <w:rFonts w:cs="宋体"/>
                      <w:color w:val="auto"/>
                      <w:sz w:val="21"/>
                      <w:szCs w:val="21"/>
                    </w:rPr>
                  </w:pPr>
                  <w:r>
                    <w:rPr>
                      <w:rFonts w:hint="eastAsia" w:cs="宋体"/>
                      <w:color w:val="auto"/>
                      <w:sz w:val="21"/>
                      <w:szCs w:val="21"/>
                    </w:rPr>
                    <w:t>30</w:t>
                  </w:r>
                </w:p>
              </w:tc>
              <w:tc>
                <w:tcPr>
                  <w:tcW w:w="659" w:type="pct"/>
                  <w:vAlign w:val="center"/>
                </w:tcPr>
                <w:p w14:paraId="1D4538F0">
                  <w:pPr>
                    <w:spacing w:line="240" w:lineRule="auto"/>
                    <w:ind w:firstLine="0" w:firstLineChars="0"/>
                    <w:jc w:val="center"/>
                    <w:rPr>
                      <w:color w:val="auto"/>
                      <w:sz w:val="21"/>
                      <w:szCs w:val="21"/>
                    </w:rPr>
                  </w:pPr>
                  <w:r>
                    <w:rPr>
                      <w:rFonts w:hint="eastAsia"/>
                      <w:color w:val="auto"/>
                      <w:sz w:val="21"/>
                      <w:szCs w:val="21"/>
                    </w:rPr>
                    <w:t>15t/罐</w:t>
                  </w:r>
                </w:p>
              </w:tc>
            </w:tr>
            <w:tr w14:paraId="5DE24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 w:type="pct"/>
                  <w:vAlign w:val="center"/>
                </w:tcPr>
                <w:p w14:paraId="3F394B10">
                  <w:pPr>
                    <w:spacing w:line="240" w:lineRule="auto"/>
                    <w:ind w:firstLine="0" w:firstLineChars="0"/>
                    <w:jc w:val="center"/>
                    <w:rPr>
                      <w:color w:val="auto"/>
                      <w:sz w:val="21"/>
                      <w:szCs w:val="21"/>
                    </w:rPr>
                  </w:pPr>
                  <w:r>
                    <w:rPr>
                      <w:rFonts w:hint="eastAsia"/>
                      <w:color w:val="auto"/>
                      <w:sz w:val="21"/>
                      <w:szCs w:val="21"/>
                    </w:rPr>
                    <w:t>5</w:t>
                  </w:r>
                </w:p>
              </w:tc>
              <w:tc>
                <w:tcPr>
                  <w:tcW w:w="871" w:type="pct"/>
                  <w:shd w:val="clear" w:color="auto" w:fill="auto"/>
                  <w:vAlign w:val="center"/>
                </w:tcPr>
                <w:p w14:paraId="2CEEAEA1">
                  <w:pPr>
                    <w:spacing w:line="240" w:lineRule="auto"/>
                    <w:ind w:firstLine="0" w:firstLineChars="0"/>
                    <w:jc w:val="center"/>
                    <w:rPr>
                      <w:rFonts w:cs="宋体"/>
                      <w:color w:val="auto"/>
                      <w:kern w:val="0"/>
                      <w:sz w:val="21"/>
                      <w:szCs w:val="21"/>
                    </w:rPr>
                  </w:pPr>
                  <w:r>
                    <w:rPr>
                      <w:rFonts w:hint="eastAsia" w:cs="宋体"/>
                      <w:color w:val="auto"/>
                      <w:kern w:val="0"/>
                      <w:sz w:val="21"/>
                      <w:szCs w:val="21"/>
                    </w:rPr>
                    <w:t>碳酸钙</w:t>
                  </w:r>
                </w:p>
              </w:tc>
              <w:tc>
                <w:tcPr>
                  <w:tcW w:w="801" w:type="pct"/>
                  <w:vAlign w:val="center"/>
                </w:tcPr>
                <w:p w14:paraId="11470CE8">
                  <w:pPr>
                    <w:spacing w:line="240" w:lineRule="auto"/>
                    <w:ind w:firstLine="0" w:firstLineChars="0"/>
                    <w:jc w:val="center"/>
                    <w:rPr>
                      <w:color w:val="auto"/>
                      <w:sz w:val="21"/>
                      <w:szCs w:val="21"/>
                    </w:rPr>
                  </w:pPr>
                  <w:r>
                    <w:rPr>
                      <w:rFonts w:hint="eastAsia"/>
                      <w:color w:val="auto"/>
                      <w:sz w:val="21"/>
                      <w:szCs w:val="21"/>
                    </w:rPr>
                    <w:t>0</w:t>
                  </w:r>
                </w:p>
              </w:tc>
              <w:tc>
                <w:tcPr>
                  <w:tcW w:w="827" w:type="pct"/>
                  <w:shd w:val="clear" w:color="auto" w:fill="auto"/>
                  <w:vAlign w:val="center"/>
                </w:tcPr>
                <w:p w14:paraId="0817B29E">
                  <w:pPr>
                    <w:spacing w:line="240" w:lineRule="auto"/>
                    <w:ind w:firstLine="0" w:firstLineChars="0"/>
                    <w:jc w:val="center"/>
                    <w:rPr>
                      <w:rFonts w:cs="宋体"/>
                      <w:color w:val="auto"/>
                      <w:sz w:val="21"/>
                      <w:szCs w:val="21"/>
                    </w:rPr>
                  </w:pPr>
                  <w:r>
                    <w:rPr>
                      <w:rFonts w:hint="eastAsia" w:cs="宋体"/>
                      <w:color w:val="auto"/>
                      <w:sz w:val="21"/>
                      <w:szCs w:val="21"/>
                    </w:rPr>
                    <w:t>400</w:t>
                  </w:r>
                </w:p>
              </w:tc>
              <w:tc>
                <w:tcPr>
                  <w:tcW w:w="779" w:type="pct"/>
                  <w:shd w:val="clear" w:color="auto" w:fill="auto"/>
                  <w:vAlign w:val="center"/>
                </w:tcPr>
                <w:p w14:paraId="6DDD2FCC">
                  <w:pPr>
                    <w:spacing w:line="240" w:lineRule="auto"/>
                    <w:ind w:firstLine="0" w:firstLineChars="0"/>
                    <w:jc w:val="center"/>
                    <w:rPr>
                      <w:color w:val="auto"/>
                      <w:sz w:val="21"/>
                      <w:szCs w:val="21"/>
                    </w:rPr>
                  </w:pPr>
                  <w:r>
                    <w:rPr>
                      <w:rFonts w:hint="eastAsia"/>
                      <w:color w:val="auto"/>
                      <w:sz w:val="21"/>
                      <w:szCs w:val="21"/>
                    </w:rPr>
                    <w:t>+400</w:t>
                  </w:r>
                </w:p>
              </w:tc>
              <w:tc>
                <w:tcPr>
                  <w:tcW w:w="714" w:type="pct"/>
                  <w:shd w:val="clear" w:color="auto" w:fill="auto"/>
                  <w:vAlign w:val="center"/>
                </w:tcPr>
                <w:p w14:paraId="33E2E625">
                  <w:pPr>
                    <w:spacing w:line="240" w:lineRule="auto"/>
                    <w:ind w:firstLine="0" w:firstLineChars="0"/>
                    <w:jc w:val="center"/>
                    <w:rPr>
                      <w:rFonts w:cs="宋体"/>
                      <w:color w:val="auto"/>
                      <w:sz w:val="21"/>
                      <w:szCs w:val="21"/>
                    </w:rPr>
                  </w:pPr>
                  <w:r>
                    <w:rPr>
                      <w:rFonts w:hint="eastAsia" w:cs="宋体"/>
                      <w:color w:val="auto"/>
                      <w:sz w:val="21"/>
                      <w:szCs w:val="21"/>
                    </w:rPr>
                    <w:t>50</w:t>
                  </w:r>
                </w:p>
              </w:tc>
              <w:tc>
                <w:tcPr>
                  <w:tcW w:w="659" w:type="pct"/>
                  <w:vAlign w:val="center"/>
                </w:tcPr>
                <w:p w14:paraId="43FAC9E4">
                  <w:pPr>
                    <w:spacing w:line="240" w:lineRule="auto"/>
                    <w:ind w:firstLine="0" w:firstLineChars="0"/>
                    <w:jc w:val="center"/>
                    <w:rPr>
                      <w:color w:val="auto"/>
                      <w:sz w:val="21"/>
                      <w:szCs w:val="21"/>
                    </w:rPr>
                  </w:pPr>
                  <w:r>
                    <w:rPr>
                      <w:rFonts w:hint="eastAsia"/>
                      <w:color w:val="auto"/>
                      <w:sz w:val="21"/>
                      <w:szCs w:val="21"/>
                    </w:rPr>
                    <w:t>25kg/袋</w:t>
                  </w:r>
                </w:p>
              </w:tc>
            </w:tr>
            <w:bookmarkEnd w:id="94"/>
            <w:tr w14:paraId="55556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 w:type="pct"/>
                  <w:vAlign w:val="center"/>
                </w:tcPr>
                <w:p w14:paraId="705B2E6C">
                  <w:pPr>
                    <w:spacing w:line="240" w:lineRule="auto"/>
                    <w:ind w:firstLine="0" w:firstLineChars="0"/>
                    <w:jc w:val="center"/>
                    <w:rPr>
                      <w:color w:val="auto"/>
                      <w:sz w:val="21"/>
                      <w:szCs w:val="21"/>
                    </w:rPr>
                  </w:pPr>
                  <w:r>
                    <w:rPr>
                      <w:rFonts w:hint="eastAsia"/>
                      <w:color w:val="auto"/>
                      <w:sz w:val="21"/>
                      <w:szCs w:val="21"/>
                    </w:rPr>
                    <w:t>6</w:t>
                  </w:r>
                </w:p>
              </w:tc>
              <w:tc>
                <w:tcPr>
                  <w:tcW w:w="871" w:type="pct"/>
                  <w:shd w:val="clear" w:color="auto" w:fill="auto"/>
                  <w:vAlign w:val="center"/>
                </w:tcPr>
                <w:p w14:paraId="2A236829">
                  <w:pPr>
                    <w:autoSpaceDE w:val="0"/>
                    <w:spacing w:line="240" w:lineRule="auto"/>
                    <w:ind w:firstLine="0" w:firstLineChars="0"/>
                    <w:jc w:val="center"/>
                    <w:rPr>
                      <w:color w:val="auto"/>
                      <w:sz w:val="21"/>
                      <w:szCs w:val="21"/>
                    </w:rPr>
                  </w:pPr>
                  <w:bookmarkStart w:id="99" w:name="OLE_LINK236"/>
                  <w:r>
                    <w:rPr>
                      <w:rStyle w:val="133"/>
                      <w:rFonts w:hint="eastAsia"/>
                      <w:color w:val="auto"/>
                      <w:sz w:val="21"/>
                      <w:szCs w:val="21"/>
                    </w:rPr>
                    <w:t>润滑油</w:t>
                  </w:r>
                  <w:bookmarkEnd w:id="99"/>
                </w:p>
              </w:tc>
              <w:tc>
                <w:tcPr>
                  <w:tcW w:w="801" w:type="pct"/>
                  <w:vAlign w:val="center"/>
                </w:tcPr>
                <w:p w14:paraId="1F73A839">
                  <w:pPr>
                    <w:spacing w:line="240" w:lineRule="auto"/>
                    <w:ind w:firstLine="0" w:firstLineChars="0"/>
                    <w:jc w:val="center"/>
                    <w:rPr>
                      <w:color w:val="auto"/>
                      <w:sz w:val="21"/>
                      <w:szCs w:val="21"/>
                    </w:rPr>
                  </w:pPr>
                  <w:r>
                    <w:rPr>
                      <w:rFonts w:hint="eastAsia"/>
                      <w:color w:val="auto"/>
                      <w:sz w:val="21"/>
                      <w:szCs w:val="21"/>
                    </w:rPr>
                    <w:t>0.005</w:t>
                  </w:r>
                </w:p>
              </w:tc>
              <w:tc>
                <w:tcPr>
                  <w:tcW w:w="827" w:type="pct"/>
                  <w:shd w:val="clear" w:color="auto" w:fill="auto"/>
                  <w:vAlign w:val="center"/>
                </w:tcPr>
                <w:p w14:paraId="4733525D">
                  <w:pPr>
                    <w:pStyle w:val="8"/>
                    <w:rPr>
                      <w:rFonts w:cs="宋体"/>
                      <w:color w:val="auto"/>
                      <w:szCs w:val="21"/>
                    </w:rPr>
                  </w:pPr>
                  <w:r>
                    <w:rPr>
                      <w:rFonts w:hint="eastAsia" w:cs="宋体"/>
                      <w:color w:val="auto"/>
                      <w:szCs w:val="21"/>
                    </w:rPr>
                    <w:t>0.07</w:t>
                  </w:r>
                </w:p>
              </w:tc>
              <w:tc>
                <w:tcPr>
                  <w:tcW w:w="779" w:type="pct"/>
                  <w:shd w:val="clear" w:color="auto" w:fill="auto"/>
                  <w:vAlign w:val="center"/>
                </w:tcPr>
                <w:p w14:paraId="0B09D9B1">
                  <w:pPr>
                    <w:pStyle w:val="8"/>
                    <w:rPr>
                      <w:rFonts w:cs="宋体"/>
                      <w:color w:val="auto"/>
                      <w:szCs w:val="21"/>
                    </w:rPr>
                  </w:pPr>
                  <w:r>
                    <w:rPr>
                      <w:rFonts w:hint="eastAsia" w:cs="宋体"/>
                      <w:color w:val="auto"/>
                      <w:szCs w:val="21"/>
                    </w:rPr>
                    <w:t>+0.065</w:t>
                  </w:r>
                </w:p>
              </w:tc>
              <w:tc>
                <w:tcPr>
                  <w:tcW w:w="714" w:type="pct"/>
                  <w:shd w:val="clear" w:color="auto" w:fill="auto"/>
                  <w:vAlign w:val="center"/>
                </w:tcPr>
                <w:p w14:paraId="70CF4008">
                  <w:pPr>
                    <w:spacing w:line="240" w:lineRule="auto"/>
                    <w:ind w:firstLine="0" w:firstLineChars="0"/>
                    <w:jc w:val="center"/>
                    <w:rPr>
                      <w:color w:val="auto"/>
                      <w:sz w:val="21"/>
                      <w:szCs w:val="21"/>
                    </w:rPr>
                  </w:pPr>
                  <w:r>
                    <w:rPr>
                      <w:rFonts w:hint="eastAsia"/>
                      <w:color w:val="auto"/>
                      <w:sz w:val="21"/>
                      <w:szCs w:val="21"/>
                    </w:rPr>
                    <w:t>0.07</w:t>
                  </w:r>
                </w:p>
              </w:tc>
              <w:tc>
                <w:tcPr>
                  <w:tcW w:w="659" w:type="pct"/>
                  <w:vAlign w:val="center"/>
                </w:tcPr>
                <w:p w14:paraId="6E8BD2F9">
                  <w:pPr>
                    <w:spacing w:line="240" w:lineRule="auto"/>
                    <w:ind w:firstLine="0" w:firstLineChars="0"/>
                    <w:jc w:val="center"/>
                    <w:rPr>
                      <w:color w:val="auto"/>
                      <w:sz w:val="21"/>
                      <w:szCs w:val="21"/>
                    </w:rPr>
                  </w:pPr>
                  <w:r>
                    <w:rPr>
                      <w:rFonts w:hint="eastAsia"/>
                      <w:color w:val="auto"/>
                      <w:sz w:val="21"/>
                      <w:szCs w:val="21"/>
                    </w:rPr>
                    <w:t>/</w:t>
                  </w:r>
                </w:p>
              </w:tc>
            </w:tr>
            <w:tr w14:paraId="472772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 w:type="pct"/>
                  <w:vAlign w:val="center"/>
                </w:tcPr>
                <w:p w14:paraId="77D9879D">
                  <w:pPr>
                    <w:spacing w:line="240" w:lineRule="auto"/>
                    <w:ind w:firstLine="0" w:firstLineChars="0"/>
                    <w:jc w:val="center"/>
                    <w:rPr>
                      <w:color w:val="auto"/>
                      <w:sz w:val="21"/>
                      <w:szCs w:val="21"/>
                    </w:rPr>
                  </w:pPr>
                  <w:r>
                    <w:rPr>
                      <w:rFonts w:hint="eastAsia"/>
                      <w:color w:val="auto"/>
                      <w:sz w:val="21"/>
                      <w:szCs w:val="21"/>
                    </w:rPr>
                    <w:t>7</w:t>
                  </w:r>
                </w:p>
              </w:tc>
              <w:tc>
                <w:tcPr>
                  <w:tcW w:w="871" w:type="pct"/>
                  <w:shd w:val="clear" w:color="auto" w:fill="auto"/>
                  <w:vAlign w:val="center"/>
                </w:tcPr>
                <w:p w14:paraId="27A0DC83">
                  <w:pPr>
                    <w:spacing w:line="240" w:lineRule="auto"/>
                    <w:ind w:firstLine="0" w:firstLineChars="0"/>
                    <w:jc w:val="center"/>
                    <w:rPr>
                      <w:rFonts w:cs="宋体"/>
                      <w:color w:val="auto"/>
                      <w:kern w:val="0"/>
                      <w:sz w:val="21"/>
                      <w:szCs w:val="21"/>
                    </w:rPr>
                  </w:pPr>
                  <w:r>
                    <w:rPr>
                      <w:rFonts w:hint="eastAsia" w:cs="宋体"/>
                      <w:color w:val="auto"/>
                      <w:kern w:val="0"/>
                      <w:sz w:val="21"/>
                      <w:szCs w:val="21"/>
                    </w:rPr>
                    <w:t>滑石粉</w:t>
                  </w:r>
                </w:p>
              </w:tc>
              <w:tc>
                <w:tcPr>
                  <w:tcW w:w="801" w:type="pct"/>
                  <w:vAlign w:val="center"/>
                </w:tcPr>
                <w:p w14:paraId="5FCE469D">
                  <w:pPr>
                    <w:spacing w:line="240" w:lineRule="auto"/>
                    <w:ind w:firstLine="0" w:firstLineChars="0"/>
                    <w:jc w:val="center"/>
                    <w:rPr>
                      <w:color w:val="auto"/>
                      <w:sz w:val="21"/>
                      <w:szCs w:val="21"/>
                    </w:rPr>
                  </w:pPr>
                  <w:r>
                    <w:rPr>
                      <w:rFonts w:hint="eastAsia"/>
                      <w:color w:val="auto"/>
                      <w:sz w:val="21"/>
                      <w:szCs w:val="21"/>
                    </w:rPr>
                    <w:t>80</w:t>
                  </w:r>
                </w:p>
              </w:tc>
              <w:tc>
                <w:tcPr>
                  <w:tcW w:w="827" w:type="pct"/>
                  <w:shd w:val="clear" w:color="auto" w:fill="auto"/>
                  <w:vAlign w:val="center"/>
                </w:tcPr>
                <w:p w14:paraId="7003861D">
                  <w:pPr>
                    <w:spacing w:line="240" w:lineRule="auto"/>
                    <w:ind w:firstLine="0" w:firstLineChars="0"/>
                    <w:jc w:val="center"/>
                    <w:rPr>
                      <w:rFonts w:cs="宋体"/>
                      <w:color w:val="auto"/>
                      <w:sz w:val="21"/>
                      <w:szCs w:val="21"/>
                    </w:rPr>
                  </w:pPr>
                  <w:r>
                    <w:rPr>
                      <w:rFonts w:hint="eastAsia" w:cs="宋体"/>
                      <w:color w:val="auto"/>
                      <w:sz w:val="21"/>
                      <w:szCs w:val="21"/>
                    </w:rPr>
                    <w:t>0</w:t>
                  </w:r>
                </w:p>
              </w:tc>
              <w:tc>
                <w:tcPr>
                  <w:tcW w:w="779" w:type="pct"/>
                  <w:shd w:val="clear" w:color="auto" w:fill="auto"/>
                  <w:vAlign w:val="center"/>
                </w:tcPr>
                <w:p w14:paraId="6BBDC684">
                  <w:pPr>
                    <w:spacing w:line="240" w:lineRule="auto"/>
                    <w:ind w:firstLine="0" w:firstLineChars="0"/>
                    <w:jc w:val="center"/>
                    <w:rPr>
                      <w:color w:val="auto"/>
                      <w:sz w:val="21"/>
                      <w:szCs w:val="21"/>
                    </w:rPr>
                  </w:pPr>
                  <w:r>
                    <w:rPr>
                      <w:rFonts w:hint="eastAsia"/>
                      <w:color w:val="auto"/>
                      <w:sz w:val="21"/>
                      <w:szCs w:val="21"/>
                    </w:rPr>
                    <w:t>-80</w:t>
                  </w:r>
                </w:p>
              </w:tc>
              <w:tc>
                <w:tcPr>
                  <w:tcW w:w="714" w:type="pct"/>
                  <w:vAlign w:val="center"/>
                </w:tcPr>
                <w:p w14:paraId="468B92DD">
                  <w:pPr>
                    <w:spacing w:line="240" w:lineRule="auto"/>
                    <w:ind w:firstLine="0" w:firstLineChars="0"/>
                    <w:jc w:val="center"/>
                    <w:rPr>
                      <w:color w:val="auto"/>
                      <w:sz w:val="21"/>
                      <w:szCs w:val="21"/>
                    </w:rPr>
                  </w:pPr>
                  <w:r>
                    <w:rPr>
                      <w:rFonts w:hint="eastAsia"/>
                      <w:color w:val="auto"/>
                      <w:sz w:val="21"/>
                      <w:szCs w:val="21"/>
                    </w:rPr>
                    <w:t>0</w:t>
                  </w:r>
                </w:p>
              </w:tc>
              <w:tc>
                <w:tcPr>
                  <w:tcW w:w="659" w:type="pct"/>
                  <w:vAlign w:val="center"/>
                </w:tcPr>
                <w:p w14:paraId="11C8C25B">
                  <w:pPr>
                    <w:spacing w:line="240" w:lineRule="auto"/>
                    <w:ind w:firstLine="0" w:firstLineChars="0"/>
                    <w:jc w:val="center"/>
                    <w:rPr>
                      <w:color w:val="auto"/>
                      <w:sz w:val="21"/>
                      <w:szCs w:val="21"/>
                    </w:rPr>
                  </w:pPr>
                  <w:r>
                    <w:rPr>
                      <w:rFonts w:hint="eastAsia"/>
                      <w:color w:val="auto"/>
                      <w:sz w:val="21"/>
                      <w:szCs w:val="21"/>
                    </w:rPr>
                    <w:t>/</w:t>
                  </w:r>
                </w:p>
              </w:tc>
            </w:tr>
            <w:tr w14:paraId="131818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 w:type="pct"/>
                  <w:vAlign w:val="center"/>
                </w:tcPr>
                <w:p w14:paraId="0BBD9287">
                  <w:pPr>
                    <w:spacing w:line="240" w:lineRule="auto"/>
                    <w:ind w:firstLine="0" w:firstLineChars="0"/>
                    <w:jc w:val="center"/>
                    <w:rPr>
                      <w:color w:val="auto"/>
                      <w:sz w:val="21"/>
                      <w:szCs w:val="21"/>
                    </w:rPr>
                  </w:pPr>
                  <w:r>
                    <w:rPr>
                      <w:rFonts w:hint="eastAsia"/>
                      <w:color w:val="auto"/>
                      <w:sz w:val="21"/>
                      <w:szCs w:val="21"/>
                    </w:rPr>
                    <w:t>8</w:t>
                  </w:r>
                </w:p>
              </w:tc>
              <w:tc>
                <w:tcPr>
                  <w:tcW w:w="871" w:type="pct"/>
                  <w:shd w:val="clear" w:color="auto" w:fill="auto"/>
                  <w:vAlign w:val="center"/>
                </w:tcPr>
                <w:p w14:paraId="0A2A3B0C">
                  <w:pPr>
                    <w:spacing w:line="240" w:lineRule="auto"/>
                    <w:ind w:firstLine="0" w:firstLineChars="0"/>
                    <w:jc w:val="center"/>
                    <w:rPr>
                      <w:rFonts w:cs="宋体"/>
                      <w:color w:val="auto"/>
                      <w:kern w:val="0"/>
                      <w:sz w:val="21"/>
                      <w:szCs w:val="21"/>
                    </w:rPr>
                  </w:pPr>
                  <w:r>
                    <w:rPr>
                      <w:rFonts w:hint="eastAsia" w:cs="宋体"/>
                      <w:color w:val="auto"/>
                      <w:kern w:val="0"/>
                      <w:sz w:val="21"/>
                      <w:szCs w:val="21"/>
                    </w:rPr>
                    <w:t>SBS热塑性弹性体</w:t>
                  </w:r>
                </w:p>
              </w:tc>
              <w:tc>
                <w:tcPr>
                  <w:tcW w:w="801" w:type="pct"/>
                  <w:vAlign w:val="center"/>
                </w:tcPr>
                <w:p w14:paraId="7C8BBC7A">
                  <w:pPr>
                    <w:spacing w:line="240" w:lineRule="auto"/>
                    <w:ind w:firstLine="0" w:firstLineChars="0"/>
                    <w:jc w:val="center"/>
                    <w:rPr>
                      <w:color w:val="auto"/>
                      <w:sz w:val="21"/>
                      <w:szCs w:val="21"/>
                    </w:rPr>
                  </w:pPr>
                  <w:r>
                    <w:rPr>
                      <w:rFonts w:hint="eastAsia"/>
                      <w:color w:val="auto"/>
                      <w:sz w:val="21"/>
                      <w:szCs w:val="21"/>
                    </w:rPr>
                    <w:t>40</w:t>
                  </w:r>
                </w:p>
              </w:tc>
              <w:tc>
                <w:tcPr>
                  <w:tcW w:w="827" w:type="pct"/>
                  <w:vAlign w:val="center"/>
                </w:tcPr>
                <w:p w14:paraId="61B3D93B">
                  <w:pPr>
                    <w:spacing w:line="240" w:lineRule="auto"/>
                    <w:ind w:firstLine="0" w:firstLineChars="0"/>
                    <w:jc w:val="center"/>
                    <w:rPr>
                      <w:color w:val="auto"/>
                      <w:sz w:val="21"/>
                      <w:szCs w:val="21"/>
                    </w:rPr>
                  </w:pPr>
                  <w:r>
                    <w:rPr>
                      <w:rFonts w:hint="eastAsia"/>
                      <w:color w:val="auto"/>
                      <w:sz w:val="21"/>
                      <w:szCs w:val="21"/>
                    </w:rPr>
                    <w:t>0</w:t>
                  </w:r>
                </w:p>
              </w:tc>
              <w:tc>
                <w:tcPr>
                  <w:tcW w:w="779" w:type="pct"/>
                  <w:shd w:val="clear" w:color="auto" w:fill="auto"/>
                  <w:vAlign w:val="center"/>
                </w:tcPr>
                <w:p w14:paraId="475357B7">
                  <w:pPr>
                    <w:spacing w:line="240" w:lineRule="auto"/>
                    <w:ind w:firstLine="0" w:firstLineChars="0"/>
                    <w:jc w:val="center"/>
                    <w:rPr>
                      <w:color w:val="auto"/>
                      <w:sz w:val="21"/>
                      <w:szCs w:val="21"/>
                    </w:rPr>
                  </w:pPr>
                  <w:r>
                    <w:rPr>
                      <w:rFonts w:hint="eastAsia"/>
                      <w:color w:val="auto"/>
                      <w:sz w:val="21"/>
                      <w:szCs w:val="21"/>
                    </w:rPr>
                    <w:t>-40</w:t>
                  </w:r>
                </w:p>
              </w:tc>
              <w:tc>
                <w:tcPr>
                  <w:tcW w:w="714" w:type="pct"/>
                  <w:vAlign w:val="center"/>
                </w:tcPr>
                <w:p w14:paraId="1A0E77E5">
                  <w:pPr>
                    <w:spacing w:line="240" w:lineRule="auto"/>
                    <w:ind w:firstLine="0" w:firstLineChars="0"/>
                    <w:jc w:val="center"/>
                    <w:rPr>
                      <w:color w:val="auto"/>
                      <w:sz w:val="21"/>
                      <w:szCs w:val="21"/>
                    </w:rPr>
                  </w:pPr>
                  <w:r>
                    <w:rPr>
                      <w:rFonts w:hint="eastAsia"/>
                      <w:color w:val="auto"/>
                      <w:sz w:val="21"/>
                      <w:szCs w:val="21"/>
                    </w:rPr>
                    <w:t>0</w:t>
                  </w:r>
                </w:p>
              </w:tc>
              <w:tc>
                <w:tcPr>
                  <w:tcW w:w="659" w:type="pct"/>
                  <w:vAlign w:val="center"/>
                </w:tcPr>
                <w:p w14:paraId="5D8A99FE">
                  <w:pPr>
                    <w:spacing w:line="240" w:lineRule="auto"/>
                    <w:ind w:firstLine="0" w:firstLineChars="0"/>
                    <w:jc w:val="center"/>
                    <w:rPr>
                      <w:color w:val="auto"/>
                      <w:sz w:val="21"/>
                      <w:szCs w:val="21"/>
                    </w:rPr>
                  </w:pPr>
                  <w:r>
                    <w:rPr>
                      <w:rFonts w:hint="eastAsia"/>
                      <w:color w:val="auto"/>
                      <w:sz w:val="21"/>
                      <w:szCs w:val="21"/>
                    </w:rPr>
                    <w:t>/</w:t>
                  </w:r>
                </w:p>
              </w:tc>
            </w:tr>
            <w:tr w14:paraId="1CC00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 w:type="pct"/>
                  <w:vAlign w:val="center"/>
                </w:tcPr>
                <w:p w14:paraId="62B4FD7C">
                  <w:pPr>
                    <w:spacing w:line="240" w:lineRule="auto"/>
                    <w:ind w:firstLine="0" w:firstLineChars="0"/>
                    <w:jc w:val="center"/>
                    <w:rPr>
                      <w:color w:val="auto"/>
                      <w:sz w:val="21"/>
                      <w:szCs w:val="21"/>
                    </w:rPr>
                  </w:pPr>
                  <w:r>
                    <w:rPr>
                      <w:rFonts w:hint="eastAsia"/>
                      <w:color w:val="auto"/>
                      <w:sz w:val="21"/>
                      <w:szCs w:val="21"/>
                    </w:rPr>
                    <w:t>9</w:t>
                  </w:r>
                </w:p>
              </w:tc>
              <w:tc>
                <w:tcPr>
                  <w:tcW w:w="871" w:type="pct"/>
                  <w:shd w:val="clear" w:color="auto" w:fill="auto"/>
                  <w:vAlign w:val="center"/>
                </w:tcPr>
                <w:p w14:paraId="377677E1">
                  <w:pPr>
                    <w:spacing w:line="240" w:lineRule="auto"/>
                    <w:ind w:firstLine="0" w:firstLineChars="0"/>
                    <w:jc w:val="center"/>
                    <w:rPr>
                      <w:rFonts w:cs="宋体"/>
                      <w:color w:val="auto"/>
                      <w:kern w:val="0"/>
                      <w:sz w:val="21"/>
                      <w:szCs w:val="21"/>
                    </w:rPr>
                  </w:pPr>
                  <w:r>
                    <w:rPr>
                      <w:rFonts w:hint="eastAsia" w:cs="宋体"/>
                      <w:color w:val="auto"/>
                      <w:kern w:val="0"/>
                      <w:sz w:val="21"/>
                      <w:szCs w:val="21"/>
                    </w:rPr>
                    <w:t>色母粒</w:t>
                  </w:r>
                </w:p>
              </w:tc>
              <w:tc>
                <w:tcPr>
                  <w:tcW w:w="801" w:type="pct"/>
                  <w:vAlign w:val="center"/>
                </w:tcPr>
                <w:p w14:paraId="6EE48C0F">
                  <w:pPr>
                    <w:spacing w:line="240" w:lineRule="auto"/>
                    <w:ind w:firstLine="0" w:firstLineChars="0"/>
                    <w:jc w:val="center"/>
                    <w:rPr>
                      <w:color w:val="auto"/>
                      <w:sz w:val="21"/>
                      <w:szCs w:val="21"/>
                    </w:rPr>
                  </w:pPr>
                  <w:r>
                    <w:rPr>
                      <w:rFonts w:hint="eastAsia"/>
                      <w:color w:val="auto"/>
                      <w:sz w:val="21"/>
                      <w:szCs w:val="21"/>
                    </w:rPr>
                    <w:t>0.16</w:t>
                  </w:r>
                </w:p>
              </w:tc>
              <w:tc>
                <w:tcPr>
                  <w:tcW w:w="827" w:type="pct"/>
                  <w:vAlign w:val="center"/>
                </w:tcPr>
                <w:p w14:paraId="0F04899F">
                  <w:pPr>
                    <w:spacing w:line="240" w:lineRule="auto"/>
                    <w:ind w:firstLine="0" w:firstLineChars="0"/>
                    <w:jc w:val="center"/>
                    <w:rPr>
                      <w:color w:val="auto"/>
                      <w:sz w:val="21"/>
                      <w:szCs w:val="21"/>
                    </w:rPr>
                  </w:pPr>
                  <w:r>
                    <w:rPr>
                      <w:rFonts w:hint="eastAsia"/>
                      <w:color w:val="auto"/>
                      <w:sz w:val="21"/>
                      <w:szCs w:val="21"/>
                    </w:rPr>
                    <w:t>0</w:t>
                  </w:r>
                </w:p>
              </w:tc>
              <w:tc>
                <w:tcPr>
                  <w:tcW w:w="779" w:type="pct"/>
                  <w:shd w:val="clear" w:color="auto" w:fill="auto"/>
                  <w:vAlign w:val="center"/>
                </w:tcPr>
                <w:p w14:paraId="0F51F4B8">
                  <w:pPr>
                    <w:spacing w:line="240" w:lineRule="auto"/>
                    <w:ind w:firstLine="0" w:firstLineChars="0"/>
                    <w:jc w:val="center"/>
                    <w:rPr>
                      <w:color w:val="auto"/>
                      <w:sz w:val="21"/>
                      <w:szCs w:val="21"/>
                    </w:rPr>
                  </w:pPr>
                  <w:r>
                    <w:rPr>
                      <w:rFonts w:hint="eastAsia"/>
                      <w:color w:val="auto"/>
                      <w:sz w:val="21"/>
                      <w:szCs w:val="21"/>
                    </w:rPr>
                    <w:t>-0.16</w:t>
                  </w:r>
                </w:p>
              </w:tc>
              <w:tc>
                <w:tcPr>
                  <w:tcW w:w="714" w:type="pct"/>
                  <w:vAlign w:val="center"/>
                </w:tcPr>
                <w:p w14:paraId="43A3219F">
                  <w:pPr>
                    <w:spacing w:line="240" w:lineRule="auto"/>
                    <w:ind w:firstLine="0" w:firstLineChars="0"/>
                    <w:jc w:val="center"/>
                    <w:rPr>
                      <w:color w:val="auto"/>
                      <w:sz w:val="21"/>
                      <w:szCs w:val="21"/>
                    </w:rPr>
                  </w:pPr>
                  <w:r>
                    <w:rPr>
                      <w:rFonts w:hint="eastAsia"/>
                      <w:color w:val="auto"/>
                      <w:sz w:val="21"/>
                      <w:szCs w:val="21"/>
                    </w:rPr>
                    <w:t>0</w:t>
                  </w:r>
                </w:p>
              </w:tc>
              <w:tc>
                <w:tcPr>
                  <w:tcW w:w="659" w:type="pct"/>
                  <w:vAlign w:val="center"/>
                </w:tcPr>
                <w:p w14:paraId="366B6909">
                  <w:pPr>
                    <w:spacing w:line="240" w:lineRule="auto"/>
                    <w:ind w:firstLine="0" w:firstLineChars="0"/>
                    <w:jc w:val="center"/>
                    <w:rPr>
                      <w:color w:val="auto"/>
                      <w:sz w:val="21"/>
                      <w:szCs w:val="21"/>
                    </w:rPr>
                  </w:pPr>
                  <w:r>
                    <w:rPr>
                      <w:rFonts w:hint="eastAsia"/>
                      <w:color w:val="auto"/>
                      <w:sz w:val="21"/>
                      <w:szCs w:val="21"/>
                    </w:rPr>
                    <w:t>/</w:t>
                  </w:r>
                </w:p>
              </w:tc>
            </w:tr>
            <w:tr w14:paraId="1D6FF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 w:type="pct"/>
                  <w:vAlign w:val="center"/>
                </w:tcPr>
                <w:p w14:paraId="06065C5C">
                  <w:pPr>
                    <w:spacing w:line="240" w:lineRule="auto"/>
                    <w:ind w:firstLine="0" w:firstLineChars="0"/>
                    <w:jc w:val="center"/>
                    <w:rPr>
                      <w:color w:val="auto"/>
                      <w:sz w:val="21"/>
                      <w:szCs w:val="21"/>
                    </w:rPr>
                  </w:pPr>
                  <w:r>
                    <w:rPr>
                      <w:rFonts w:hint="eastAsia"/>
                      <w:color w:val="auto"/>
                      <w:sz w:val="21"/>
                      <w:szCs w:val="21"/>
                    </w:rPr>
                    <w:t>10</w:t>
                  </w:r>
                </w:p>
              </w:tc>
              <w:tc>
                <w:tcPr>
                  <w:tcW w:w="871" w:type="pct"/>
                  <w:shd w:val="clear" w:color="auto" w:fill="auto"/>
                  <w:vAlign w:val="center"/>
                </w:tcPr>
                <w:p w14:paraId="31B10983">
                  <w:pPr>
                    <w:autoSpaceDE w:val="0"/>
                    <w:spacing w:line="240" w:lineRule="auto"/>
                    <w:ind w:firstLine="0" w:firstLineChars="0"/>
                    <w:jc w:val="center"/>
                    <w:rPr>
                      <w:color w:val="auto"/>
                      <w:sz w:val="21"/>
                      <w:szCs w:val="21"/>
                    </w:rPr>
                  </w:pPr>
                  <w:r>
                    <w:rPr>
                      <w:rStyle w:val="133"/>
                      <w:color w:val="auto"/>
                      <w:sz w:val="21"/>
                      <w:szCs w:val="21"/>
                    </w:rPr>
                    <w:t>抗氧剂</w:t>
                  </w:r>
                </w:p>
              </w:tc>
              <w:tc>
                <w:tcPr>
                  <w:tcW w:w="801" w:type="pct"/>
                  <w:vAlign w:val="center"/>
                </w:tcPr>
                <w:p w14:paraId="2B836B4A">
                  <w:pPr>
                    <w:spacing w:line="240" w:lineRule="auto"/>
                    <w:ind w:firstLine="0" w:firstLineChars="0"/>
                    <w:jc w:val="center"/>
                    <w:rPr>
                      <w:color w:val="auto"/>
                      <w:sz w:val="21"/>
                      <w:szCs w:val="21"/>
                    </w:rPr>
                  </w:pPr>
                  <w:r>
                    <w:rPr>
                      <w:rFonts w:hint="eastAsia"/>
                      <w:color w:val="auto"/>
                      <w:sz w:val="21"/>
                      <w:szCs w:val="21"/>
                    </w:rPr>
                    <w:t>4</w:t>
                  </w:r>
                </w:p>
              </w:tc>
              <w:tc>
                <w:tcPr>
                  <w:tcW w:w="827" w:type="pct"/>
                  <w:vAlign w:val="center"/>
                </w:tcPr>
                <w:p w14:paraId="5C6729B2">
                  <w:pPr>
                    <w:spacing w:line="240" w:lineRule="auto"/>
                    <w:ind w:firstLine="0" w:firstLineChars="0"/>
                    <w:jc w:val="center"/>
                    <w:rPr>
                      <w:color w:val="auto"/>
                      <w:sz w:val="21"/>
                      <w:szCs w:val="21"/>
                    </w:rPr>
                  </w:pPr>
                  <w:r>
                    <w:rPr>
                      <w:rFonts w:hint="eastAsia"/>
                      <w:color w:val="auto"/>
                      <w:sz w:val="21"/>
                      <w:szCs w:val="21"/>
                    </w:rPr>
                    <w:t>0</w:t>
                  </w:r>
                </w:p>
              </w:tc>
              <w:tc>
                <w:tcPr>
                  <w:tcW w:w="779" w:type="pct"/>
                  <w:shd w:val="clear" w:color="auto" w:fill="auto"/>
                  <w:vAlign w:val="center"/>
                </w:tcPr>
                <w:p w14:paraId="0C59441E">
                  <w:pPr>
                    <w:spacing w:line="240" w:lineRule="auto"/>
                    <w:ind w:firstLine="0" w:firstLineChars="0"/>
                    <w:jc w:val="center"/>
                    <w:rPr>
                      <w:color w:val="auto"/>
                      <w:sz w:val="21"/>
                      <w:szCs w:val="21"/>
                    </w:rPr>
                  </w:pPr>
                  <w:bookmarkStart w:id="100" w:name="OLE_LINK12"/>
                  <w:r>
                    <w:rPr>
                      <w:rFonts w:hint="eastAsia"/>
                      <w:color w:val="auto"/>
                      <w:sz w:val="21"/>
                      <w:szCs w:val="21"/>
                    </w:rPr>
                    <w:t>-4</w:t>
                  </w:r>
                  <w:bookmarkEnd w:id="100"/>
                </w:p>
              </w:tc>
              <w:tc>
                <w:tcPr>
                  <w:tcW w:w="714" w:type="pct"/>
                  <w:vAlign w:val="center"/>
                </w:tcPr>
                <w:p w14:paraId="42EA2E7A">
                  <w:pPr>
                    <w:spacing w:line="240" w:lineRule="auto"/>
                    <w:ind w:firstLine="0" w:firstLineChars="0"/>
                    <w:jc w:val="center"/>
                    <w:rPr>
                      <w:color w:val="auto"/>
                      <w:sz w:val="21"/>
                      <w:szCs w:val="21"/>
                    </w:rPr>
                  </w:pPr>
                  <w:r>
                    <w:rPr>
                      <w:rFonts w:hint="eastAsia"/>
                      <w:color w:val="auto"/>
                      <w:sz w:val="21"/>
                      <w:szCs w:val="21"/>
                    </w:rPr>
                    <w:t>0</w:t>
                  </w:r>
                </w:p>
              </w:tc>
              <w:tc>
                <w:tcPr>
                  <w:tcW w:w="659" w:type="pct"/>
                  <w:vAlign w:val="center"/>
                </w:tcPr>
                <w:p w14:paraId="2EB93B27">
                  <w:pPr>
                    <w:spacing w:line="240" w:lineRule="auto"/>
                    <w:ind w:firstLine="0" w:firstLineChars="0"/>
                    <w:jc w:val="center"/>
                    <w:rPr>
                      <w:color w:val="auto"/>
                      <w:sz w:val="21"/>
                      <w:szCs w:val="21"/>
                    </w:rPr>
                  </w:pPr>
                  <w:r>
                    <w:rPr>
                      <w:rFonts w:hint="eastAsia"/>
                      <w:color w:val="auto"/>
                      <w:sz w:val="21"/>
                      <w:szCs w:val="21"/>
                    </w:rPr>
                    <w:t>/</w:t>
                  </w:r>
                </w:p>
              </w:tc>
            </w:tr>
            <w:tr w14:paraId="6B58B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 w:type="pct"/>
                  <w:vAlign w:val="center"/>
                </w:tcPr>
                <w:p w14:paraId="0F42C25D">
                  <w:pPr>
                    <w:spacing w:line="240" w:lineRule="auto"/>
                    <w:ind w:firstLine="0" w:firstLineChars="0"/>
                    <w:jc w:val="center"/>
                    <w:rPr>
                      <w:color w:val="auto"/>
                      <w:sz w:val="21"/>
                      <w:szCs w:val="21"/>
                    </w:rPr>
                  </w:pPr>
                  <w:r>
                    <w:rPr>
                      <w:rFonts w:hint="eastAsia"/>
                      <w:color w:val="auto"/>
                      <w:sz w:val="21"/>
                      <w:szCs w:val="21"/>
                    </w:rPr>
                    <w:t>11</w:t>
                  </w:r>
                </w:p>
              </w:tc>
              <w:tc>
                <w:tcPr>
                  <w:tcW w:w="871" w:type="pct"/>
                  <w:shd w:val="clear" w:color="auto" w:fill="auto"/>
                  <w:vAlign w:val="center"/>
                </w:tcPr>
                <w:p w14:paraId="2334F463">
                  <w:pPr>
                    <w:autoSpaceDE w:val="0"/>
                    <w:spacing w:line="240" w:lineRule="auto"/>
                    <w:ind w:firstLine="0" w:firstLineChars="0"/>
                    <w:jc w:val="center"/>
                    <w:rPr>
                      <w:color w:val="auto"/>
                      <w:sz w:val="21"/>
                      <w:szCs w:val="21"/>
                    </w:rPr>
                  </w:pPr>
                  <w:r>
                    <w:rPr>
                      <w:rStyle w:val="133"/>
                      <w:color w:val="auto"/>
                      <w:sz w:val="21"/>
                      <w:szCs w:val="21"/>
                    </w:rPr>
                    <w:t>爽滑剂</w:t>
                  </w:r>
                </w:p>
              </w:tc>
              <w:tc>
                <w:tcPr>
                  <w:tcW w:w="801" w:type="pct"/>
                  <w:vAlign w:val="center"/>
                </w:tcPr>
                <w:p w14:paraId="24CA1159">
                  <w:pPr>
                    <w:spacing w:line="240" w:lineRule="auto"/>
                    <w:ind w:firstLine="0" w:firstLineChars="0"/>
                    <w:jc w:val="center"/>
                    <w:rPr>
                      <w:color w:val="auto"/>
                      <w:sz w:val="21"/>
                      <w:szCs w:val="21"/>
                    </w:rPr>
                  </w:pPr>
                  <w:r>
                    <w:rPr>
                      <w:rFonts w:hint="eastAsia"/>
                      <w:color w:val="auto"/>
                      <w:sz w:val="21"/>
                      <w:szCs w:val="21"/>
                    </w:rPr>
                    <w:t>4</w:t>
                  </w:r>
                </w:p>
              </w:tc>
              <w:tc>
                <w:tcPr>
                  <w:tcW w:w="827" w:type="pct"/>
                  <w:vAlign w:val="center"/>
                </w:tcPr>
                <w:p w14:paraId="18B334F9">
                  <w:pPr>
                    <w:spacing w:line="240" w:lineRule="auto"/>
                    <w:ind w:firstLine="0" w:firstLineChars="0"/>
                    <w:jc w:val="center"/>
                    <w:rPr>
                      <w:color w:val="auto"/>
                      <w:sz w:val="21"/>
                      <w:szCs w:val="21"/>
                    </w:rPr>
                  </w:pPr>
                  <w:r>
                    <w:rPr>
                      <w:rFonts w:hint="eastAsia"/>
                      <w:color w:val="auto"/>
                      <w:sz w:val="21"/>
                      <w:szCs w:val="21"/>
                    </w:rPr>
                    <w:t>0</w:t>
                  </w:r>
                </w:p>
              </w:tc>
              <w:tc>
                <w:tcPr>
                  <w:tcW w:w="779" w:type="pct"/>
                  <w:shd w:val="clear" w:color="auto" w:fill="auto"/>
                  <w:vAlign w:val="center"/>
                </w:tcPr>
                <w:p w14:paraId="62348B0E">
                  <w:pPr>
                    <w:spacing w:line="240" w:lineRule="auto"/>
                    <w:ind w:firstLine="0" w:firstLineChars="0"/>
                    <w:jc w:val="center"/>
                    <w:rPr>
                      <w:color w:val="auto"/>
                      <w:sz w:val="21"/>
                      <w:szCs w:val="21"/>
                    </w:rPr>
                  </w:pPr>
                  <w:r>
                    <w:rPr>
                      <w:rFonts w:hint="eastAsia"/>
                      <w:color w:val="auto"/>
                      <w:sz w:val="21"/>
                      <w:szCs w:val="21"/>
                    </w:rPr>
                    <w:t>-4</w:t>
                  </w:r>
                </w:p>
              </w:tc>
              <w:tc>
                <w:tcPr>
                  <w:tcW w:w="714" w:type="pct"/>
                  <w:vAlign w:val="center"/>
                </w:tcPr>
                <w:p w14:paraId="257AB4FF">
                  <w:pPr>
                    <w:spacing w:line="240" w:lineRule="auto"/>
                    <w:ind w:firstLine="0" w:firstLineChars="0"/>
                    <w:jc w:val="center"/>
                    <w:rPr>
                      <w:color w:val="auto"/>
                      <w:sz w:val="21"/>
                      <w:szCs w:val="21"/>
                    </w:rPr>
                  </w:pPr>
                  <w:r>
                    <w:rPr>
                      <w:rFonts w:hint="eastAsia"/>
                      <w:color w:val="auto"/>
                      <w:sz w:val="21"/>
                      <w:szCs w:val="21"/>
                    </w:rPr>
                    <w:t>0</w:t>
                  </w:r>
                </w:p>
              </w:tc>
              <w:tc>
                <w:tcPr>
                  <w:tcW w:w="659" w:type="pct"/>
                  <w:vAlign w:val="center"/>
                </w:tcPr>
                <w:p w14:paraId="3D57B377">
                  <w:pPr>
                    <w:spacing w:line="240" w:lineRule="auto"/>
                    <w:ind w:firstLine="0" w:firstLineChars="0"/>
                    <w:jc w:val="center"/>
                    <w:rPr>
                      <w:color w:val="auto"/>
                      <w:sz w:val="21"/>
                      <w:szCs w:val="21"/>
                    </w:rPr>
                  </w:pPr>
                  <w:r>
                    <w:rPr>
                      <w:rFonts w:hint="eastAsia"/>
                      <w:color w:val="auto"/>
                      <w:sz w:val="21"/>
                      <w:szCs w:val="21"/>
                    </w:rPr>
                    <w:t>/</w:t>
                  </w:r>
                </w:p>
              </w:tc>
            </w:tr>
            <w:tr w14:paraId="65C87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 w:type="pct"/>
                  <w:vAlign w:val="center"/>
                </w:tcPr>
                <w:p w14:paraId="6A0EE1D2">
                  <w:pPr>
                    <w:spacing w:line="240" w:lineRule="auto"/>
                    <w:ind w:firstLine="0" w:firstLineChars="0"/>
                    <w:jc w:val="center"/>
                    <w:rPr>
                      <w:color w:val="auto"/>
                      <w:sz w:val="21"/>
                      <w:szCs w:val="21"/>
                    </w:rPr>
                  </w:pPr>
                  <w:r>
                    <w:rPr>
                      <w:rFonts w:hint="eastAsia"/>
                      <w:color w:val="auto"/>
                      <w:sz w:val="21"/>
                      <w:szCs w:val="21"/>
                    </w:rPr>
                    <w:t>12</w:t>
                  </w:r>
                </w:p>
              </w:tc>
              <w:tc>
                <w:tcPr>
                  <w:tcW w:w="871" w:type="pct"/>
                  <w:shd w:val="clear" w:color="auto" w:fill="auto"/>
                  <w:vAlign w:val="center"/>
                </w:tcPr>
                <w:p w14:paraId="566FEB2C">
                  <w:pPr>
                    <w:autoSpaceDE w:val="0"/>
                    <w:spacing w:line="240" w:lineRule="auto"/>
                    <w:ind w:firstLine="0" w:firstLineChars="0"/>
                    <w:jc w:val="center"/>
                    <w:rPr>
                      <w:rStyle w:val="133"/>
                      <w:color w:val="auto"/>
                      <w:sz w:val="21"/>
                      <w:szCs w:val="21"/>
                    </w:rPr>
                  </w:pPr>
                  <w:r>
                    <w:rPr>
                      <w:rStyle w:val="133"/>
                      <w:rFonts w:hint="eastAsia"/>
                      <w:color w:val="auto"/>
                      <w:sz w:val="21"/>
                      <w:szCs w:val="21"/>
                    </w:rPr>
                    <w:t>模具</w:t>
                  </w:r>
                </w:p>
              </w:tc>
              <w:tc>
                <w:tcPr>
                  <w:tcW w:w="801" w:type="pct"/>
                  <w:vAlign w:val="center"/>
                </w:tcPr>
                <w:p w14:paraId="2342E046">
                  <w:pPr>
                    <w:spacing w:line="240" w:lineRule="auto"/>
                    <w:ind w:firstLine="0" w:firstLineChars="0"/>
                    <w:jc w:val="center"/>
                    <w:rPr>
                      <w:color w:val="auto"/>
                      <w:sz w:val="21"/>
                      <w:szCs w:val="21"/>
                    </w:rPr>
                  </w:pPr>
                  <w:r>
                    <w:rPr>
                      <w:rFonts w:hint="eastAsia"/>
                      <w:color w:val="auto"/>
                      <w:sz w:val="21"/>
                      <w:szCs w:val="21"/>
                    </w:rPr>
                    <w:t>0</w:t>
                  </w:r>
                </w:p>
              </w:tc>
              <w:tc>
                <w:tcPr>
                  <w:tcW w:w="827" w:type="pct"/>
                  <w:vAlign w:val="center"/>
                </w:tcPr>
                <w:p w14:paraId="0753BDED">
                  <w:pPr>
                    <w:spacing w:line="240" w:lineRule="auto"/>
                    <w:ind w:firstLine="0" w:firstLineChars="0"/>
                    <w:jc w:val="center"/>
                    <w:rPr>
                      <w:color w:val="auto"/>
                      <w:sz w:val="21"/>
                      <w:szCs w:val="21"/>
                    </w:rPr>
                  </w:pPr>
                  <w:bookmarkStart w:id="101" w:name="OLE_LINK246"/>
                  <w:r>
                    <w:rPr>
                      <w:rFonts w:hint="eastAsia"/>
                      <w:color w:val="auto"/>
                      <w:sz w:val="21"/>
                      <w:szCs w:val="21"/>
                    </w:rPr>
                    <w:t>20套</w:t>
                  </w:r>
                  <w:bookmarkEnd w:id="101"/>
                </w:p>
              </w:tc>
              <w:tc>
                <w:tcPr>
                  <w:tcW w:w="779" w:type="pct"/>
                  <w:shd w:val="clear" w:color="auto" w:fill="auto"/>
                  <w:vAlign w:val="center"/>
                </w:tcPr>
                <w:p w14:paraId="7D9F15BC">
                  <w:pPr>
                    <w:spacing w:line="240" w:lineRule="auto"/>
                    <w:ind w:firstLine="0" w:firstLineChars="0"/>
                    <w:jc w:val="center"/>
                    <w:rPr>
                      <w:color w:val="auto"/>
                      <w:sz w:val="21"/>
                      <w:szCs w:val="21"/>
                    </w:rPr>
                  </w:pPr>
                  <w:r>
                    <w:rPr>
                      <w:rFonts w:hint="eastAsia"/>
                      <w:color w:val="auto"/>
                      <w:sz w:val="21"/>
                      <w:szCs w:val="21"/>
                    </w:rPr>
                    <w:t>+20套</w:t>
                  </w:r>
                </w:p>
              </w:tc>
              <w:tc>
                <w:tcPr>
                  <w:tcW w:w="714" w:type="pct"/>
                  <w:vAlign w:val="center"/>
                </w:tcPr>
                <w:p w14:paraId="4CC987BA">
                  <w:pPr>
                    <w:spacing w:line="240" w:lineRule="auto"/>
                    <w:ind w:firstLine="0" w:firstLineChars="0"/>
                    <w:jc w:val="center"/>
                    <w:rPr>
                      <w:color w:val="auto"/>
                      <w:sz w:val="21"/>
                      <w:szCs w:val="21"/>
                    </w:rPr>
                  </w:pPr>
                  <w:r>
                    <w:rPr>
                      <w:rFonts w:hint="eastAsia"/>
                      <w:color w:val="auto"/>
                      <w:sz w:val="21"/>
                      <w:szCs w:val="21"/>
                    </w:rPr>
                    <w:t>20套</w:t>
                  </w:r>
                </w:p>
              </w:tc>
              <w:tc>
                <w:tcPr>
                  <w:tcW w:w="659" w:type="pct"/>
                  <w:vAlign w:val="center"/>
                </w:tcPr>
                <w:p w14:paraId="407F7423">
                  <w:pPr>
                    <w:spacing w:line="240" w:lineRule="auto"/>
                    <w:ind w:firstLine="0" w:firstLineChars="0"/>
                    <w:jc w:val="center"/>
                    <w:rPr>
                      <w:color w:val="auto"/>
                      <w:sz w:val="21"/>
                      <w:szCs w:val="21"/>
                    </w:rPr>
                  </w:pPr>
                  <w:r>
                    <w:rPr>
                      <w:rFonts w:hint="eastAsia"/>
                      <w:color w:val="auto"/>
                      <w:sz w:val="21"/>
                      <w:szCs w:val="21"/>
                    </w:rPr>
                    <w:t>/</w:t>
                  </w:r>
                </w:p>
              </w:tc>
            </w:tr>
            <w:tr w14:paraId="64E0F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 w:type="pct"/>
                  <w:vAlign w:val="center"/>
                </w:tcPr>
                <w:p w14:paraId="52A878A4">
                  <w:pPr>
                    <w:spacing w:line="240" w:lineRule="auto"/>
                    <w:ind w:firstLine="0" w:firstLineChars="0"/>
                    <w:jc w:val="center"/>
                    <w:rPr>
                      <w:color w:val="auto"/>
                      <w:sz w:val="21"/>
                      <w:szCs w:val="21"/>
                    </w:rPr>
                  </w:pPr>
                  <w:r>
                    <w:rPr>
                      <w:rFonts w:hint="eastAsia"/>
                      <w:color w:val="auto"/>
                      <w:sz w:val="21"/>
                      <w:szCs w:val="21"/>
                    </w:rPr>
                    <w:t>13</w:t>
                  </w:r>
                </w:p>
              </w:tc>
              <w:tc>
                <w:tcPr>
                  <w:tcW w:w="871" w:type="pct"/>
                  <w:shd w:val="clear" w:color="auto" w:fill="auto"/>
                  <w:vAlign w:val="center"/>
                </w:tcPr>
                <w:p w14:paraId="1255E312">
                  <w:pPr>
                    <w:autoSpaceDE w:val="0"/>
                    <w:spacing w:line="240" w:lineRule="auto"/>
                    <w:ind w:firstLine="0" w:firstLineChars="0"/>
                    <w:jc w:val="center"/>
                    <w:rPr>
                      <w:rStyle w:val="133"/>
                      <w:color w:val="auto"/>
                      <w:sz w:val="21"/>
                      <w:szCs w:val="21"/>
                    </w:rPr>
                  </w:pPr>
                  <w:r>
                    <w:rPr>
                      <w:rStyle w:val="133"/>
                      <w:rFonts w:hint="eastAsia"/>
                      <w:color w:val="auto"/>
                      <w:sz w:val="21"/>
                      <w:szCs w:val="21"/>
                    </w:rPr>
                    <w:t>纸箱</w:t>
                  </w:r>
                </w:p>
              </w:tc>
              <w:tc>
                <w:tcPr>
                  <w:tcW w:w="801" w:type="pct"/>
                  <w:vAlign w:val="center"/>
                </w:tcPr>
                <w:p w14:paraId="010915C0">
                  <w:pPr>
                    <w:spacing w:line="240" w:lineRule="auto"/>
                    <w:ind w:firstLine="0" w:firstLineChars="0"/>
                    <w:jc w:val="center"/>
                    <w:rPr>
                      <w:color w:val="auto"/>
                      <w:sz w:val="21"/>
                      <w:szCs w:val="21"/>
                    </w:rPr>
                  </w:pPr>
                  <w:r>
                    <w:rPr>
                      <w:rFonts w:hint="eastAsia"/>
                      <w:color w:val="auto"/>
                      <w:sz w:val="21"/>
                      <w:szCs w:val="21"/>
                    </w:rPr>
                    <w:t>0</w:t>
                  </w:r>
                </w:p>
              </w:tc>
              <w:tc>
                <w:tcPr>
                  <w:tcW w:w="827" w:type="pct"/>
                  <w:vAlign w:val="center"/>
                </w:tcPr>
                <w:p w14:paraId="007A17FA">
                  <w:pPr>
                    <w:spacing w:line="240" w:lineRule="auto"/>
                    <w:ind w:firstLine="0" w:firstLineChars="0"/>
                    <w:jc w:val="center"/>
                    <w:rPr>
                      <w:color w:val="auto"/>
                      <w:sz w:val="21"/>
                      <w:szCs w:val="21"/>
                    </w:rPr>
                  </w:pPr>
                  <w:r>
                    <w:rPr>
                      <w:rFonts w:hint="eastAsia"/>
                      <w:color w:val="auto"/>
                      <w:sz w:val="21"/>
                      <w:szCs w:val="21"/>
                    </w:rPr>
                    <w:t>3</w:t>
                  </w:r>
                </w:p>
              </w:tc>
              <w:tc>
                <w:tcPr>
                  <w:tcW w:w="779" w:type="pct"/>
                  <w:shd w:val="clear" w:color="auto" w:fill="auto"/>
                  <w:vAlign w:val="center"/>
                </w:tcPr>
                <w:p w14:paraId="2750040F">
                  <w:pPr>
                    <w:spacing w:line="240" w:lineRule="auto"/>
                    <w:ind w:firstLine="0" w:firstLineChars="0"/>
                    <w:jc w:val="center"/>
                    <w:rPr>
                      <w:color w:val="auto"/>
                      <w:sz w:val="21"/>
                      <w:szCs w:val="21"/>
                    </w:rPr>
                  </w:pPr>
                  <w:r>
                    <w:rPr>
                      <w:rFonts w:hint="eastAsia"/>
                      <w:color w:val="auto"/>
                      <w:sz w:val="21"/>
                      <w:szCs w:val="21"/>
                    </w:rPr>
                    <w:t>+3</w:t>
                  </w:r>
                </w:p>
              </w:tc>
              <w:tc>
                <w:tcPr>
                  <w:tcW w:w="714" w:type="pct"/>
                  <w:vAlign w:val="center"/>
                </w:tcPr>
                <w:p w14:paraId="06D4E6B1">
                  <w:pPr>
                    <w:spacing w:line="240" w:lineRule="auto"/>
                    <w:ind w:firstLine="0" w:firstLineChars="0"/>
                    <w:jc w:val="center"/>
                    <w:rPr>
                      <w:color w:val="auto"/>
                      <w:sz w:val="21"/>
                      <w:szCs w:val="21"/>
                    </w:rPr>
                  </w:pPr>
                  <w:r>
                    <w:rPr>
                      <w:rFonts w:hint="eastAsia"/>
                      <w:color w:val="auto"/>
                      <w:sz w:val="21"/>
                      <w:szCs w:val="21"/>
                    </w:rPr>
                    <w:t>1</w:t>
                  </w:r>
                </w:p>
              </w:tc>
              <w:tc>
                <w:tcPr>
                  <w:tcW w:w="659" w:type="pct"/>
                  <w:vAlign w:val="center"/>
                </w:tcPr>
                <w:p w14:paraId="1FC7A5BC">
                  <w:pPr>
                    <w:spacing w:line="240" w:lineRule="auto"/>
                    <w:ind w:firstLine="0" w:firstLineChars="0"/>
                    <w:jc w:val="center"/>
                    <w:rPr>
                      <w:color w:val="auto"/>
                      <w:sz w:val="21"/>
                      <w:szCs w:val="21"/>
                    </w:rPr>
                  </w:pPr>
                  <w:r>
                    <w:rPr>
                      <w:rFonts w:hint="eastAsia"/>
                      <w:color w:val="auto"/>
                      <w:sz w:val="21"/>
                      <w:szCs w:val="21"/>
                    </w:rPr>
                    <w:t>/</w:t>
                  </w:r>
                </w:p>
              </w:tc>
            </w:tr>
            <w:tr w14:paraId="00A01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 w:type="pct"/>
                  <w:vAlign w:val="center"/>
                </w:tcPr>
                <w:p w14:paraId="105BE0B8">
                  <w:pPr>
                    <w:spacing w:line="240" w:lineRule="auto"/>
                    <w:ind w:firstLine="0" w:firstLineChars="0"/>
                    <w:jc w:val="center"/>
                    <w:rPr>
                      <w:color w:val="auto"/>
                      <w:sz w:val="21"/>
                      <w:szCs w:val="21"/>
                    </w:rPr>
                  </w:pPr>
                  <w:r>
                    <w:rPr>
                      <w:rFonts w:hint="eastAsia"/>
                      <w:color w:val="auto"/>
                      <w:sz w:val="21"/>
                      <w:szCs w:val="21"/>
                    </w:rPr>
                    <w:t>14</w:t>
                  </w:r>
                </w:p>
              </w:tc>
              <w:tc>
                <w:tcPr>
                  <w:tcW w:w="871" w:type="pct"/>
                  <w:shd w:val="clear" w:color="auto" w:fill="auto"/>
                  <w:vAlign w:val="center"/>
                </w:tcPr>
                <w:p w14:paraId="326C95E0">
                  <w:pPr>
                    <w:autoSpaceDE w:val="0"/>
                    <w:spacing w:line="240" w:lineRule="auto"/>
                    <w:ind w:firstLine="0" w:firstLineChars="0"/>
                    <w:jc w:val="center"/>
                    <w:rPr>
                      <w:rStyle w:val="133"/>
                      <w:color w:val="auto"/>
                      <w:sz w:val="21"/>
                      <w:szCs w:val="21"/>
                    </w:rPr>
                  </w:pPr>
                  <w:r>
                    <w:rPr>
                      <w:rStyle w:val="133"/>
                      <w:rFonts w:hint="eastAsia"/>
                      <w:color w:val="auto"/>
                      <w:sz w:val="21"/>
                      <w:szCs w:val="21"/>
                    </w:rPr>
                    <w:t>塑料包装袋</w:t>
                  </w:r>
                </w:p>
              </w:tc>
              <w:tc>
                <w:tcPr>
                  <w:tcW w:w="801" w:type="pct"/>
                  <w:vAlign w:val="center"/>
                </w:tcPr>
                <w:p w14:paraId="52FF65FC">
                  <w:pPr>
                    <w:spacing w:line="240" w:lineRule="auto"/>
                    <w:ind w:firstLine="0" w:firstLineChars="0"/>
                    <w:jc w:val="center"/>
                    <w:rPr>
                      <w:color w:val="auto"/>
                      <w:sz w:val="21"/>
                      <w:szCs w:val="21"/>
                    </w:rPr>
                  </w:pPr>
                  <w:r>
                    <w:rPr>
                      <w:rFonts w:hint="eastAsia"/>
                      <w:color w:val="auto"/>
                      <w:sz w:val="21"/>
                      <w:szCs w:val="21"/>
                    </w:rPr>
                    <w:t>0.7</w:t>
                  </w:r>
                </w:p>
              </w:tc>
              <w:tc>
                <w:tcPr>
                  <w:tcW w:w="827" w:type="pct"/>
                  <w:vAlign w:val="center"/>
                </w:tcPr>
                <w:p w14:paraId="0F1E2AC2">
                  <w:pPr>
                    <w:spacing w:line="240" w:lineRule="auto"/>
                    <w:ind w:firstLine="0" w:firstLineChars="0"/>
                    <w:jc w:val="center"/>
                    <w:rPr>
                      <w:color w:val="auto"/>
                      <w:sz w:val="21"/>
                      <w:szCs w:val="21"/>
                    </w:rPr>
                  </w:pPr>
                  <w:r>
                    <w:rPr>
                      <w:rFonts w:hint="eastAsia"/>
                      <w:color w:val="auto"/>
                      <w:sz w:val="21"/>
                      <w:szCs w:val="21"/>
                    </w:rPr>
                    <w:t>1</w:t>
                  </w:r>
                </w:p>
              </w:tc>
              <w:tc>
                <w:tcPr>
                  <w:tcW w:w="779" w:type="pct"/>
                  <w:shd w:val="clear" w:color="auto" w:fill="auto"/>
                  <w:vAlign w:val="center"/>
                </w:tcPr>
                <w:p w14:paraId="12B98640">
                  <w:pPr>
                    <w:spacing w:line="240" w:lineRule="auto"/>
                    <w:ind w:firstLine="0" w:firstLineChars="0"/>
                    <w:jc w:val="center"/>
                    <w:rPr>
                      <w:color w:val="auto"/>
                      <w:sz w:val="21"/>
                      <w:szCs w:val="21"/>
                    </w:rPr>
                  </w:pPr>
                  <w:r>
                    <w:rPr>
                      <w:rFonts w:hint="eastAsia"/>
                      <w:color w:val="auto"/>
                      <w:sz w:val="21"/>
                      <w:szCs w:val="21"/>
                    </w:rPr>
                    <w:t>+0.3</w:t>
                  </w:r>
                </w:p>
              </w:tc>
              <w:tc>
                <w:tcPr>
                  <w:tcW w:w="714" w:type="pct"/>
                  <w:vAlign w:val="center"/>
                </w:tcPr>
                <w:p w14:paraId="70C2C31F">
                  <w:pPr>
                    <w:spacing w:line="240" w:lineRule="auto"/>
                    <w:ind w:firstLine="0" w:firstLineChars="0"/>
                    <w:jc w:val="center"/>
                    <w:rPr>
                      <w:color w:val="auto"/>
                      <w:sz w:val="21"/>
                      <w:szCs w:val="21"/>
                    </w:rPr>
                  </w:pPr>
                  <w:r>
                    <w:rPr>
                      <w:rFonts w:hint="eastAsia"/>
                      <w:color w:val="auto"/>
                      <w:sz w:val="21"/>
                      <w:szCs w:val="21"/>
                    </w:rPr>
                    <w:t>0.5</w:t>
                  </w:r>
                </w:p>
              </w:tc>
              <w:tc>
                <w:tcPr>
                  <w:tcW w:w="659" w:type="pct"/>
                  <w:vAlign w:val="center"/>
                </w:tcPr>
                <w:p w14:paraId="294833E9">
                  <w:pPr>
                    <w:spacing w:line="240" w:lineRule="auto"/>
                    <w:ind w:firstLine="0" w:firstLineChars="0"/>
                    <w:jc w:val="center"/>
                    <w:rPr>
                      <w:color w:val="auto"/>
                      <w:sz w:val="21"/>
                      <w:szCs w:val="21"/>
                    </w:rPr>
                  </w:pPr>
                  <w:r>
                    <w:rPr>
                      <w:rFonts w:hint="eastAsia"/>
                      <w:color w:val="auto"/>
                      <w:sz w:val="21"/>
                      <w:szCs w:val="21"/>
                    </w:rPr>
                    <w:t>/</w:t>
                  </w:r>
                </w:p>
              </w:tc>
            </w:tr>
            <w:tr w14:paraId="06540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 w:type="pct"/>
                  <w:vAlign w:val="center"/>
                </w:tcPr>
                <w:p w14:paraId="2015810B">
                  <w:pPr>
                    <w:spacing w:line="240" w:lineRule="auto"/>
                    <w:ind w:firstLine="0" w:firstLineChars="0"/>
                    <w:jc w:val="center"/>
                    <w:rPr>
                      <w:color w:val="auto"/>
                      <w:sz w:val="21"/>
                      <w:szCs w:val="21"/>
                    </w:rPr>
                  </w:pPr>
                  <w:r>
                    <w:rPr>
                      <w:rFonts w:hint="eastAsia"/>
                      <w:color w:val="auto"/>
                      <w:sz w:val="21"/>
                      <w:szCs w:val="21"/>
                    </w:rPr>
                    <w:t>15</w:t>
                  </w:r>
                </w:p>
              </w:tc>
              <w:tc>
                <w:tcPr>
                  <w:tcW w:w="871" w:type="pct"/>
                  <w:shd w:val="clear" w:color="auto" w:fill="auto"/>
                  <w:vAlign w:val="center"/>
                </w:tcPr>
                <w:p w14:paraId="56239406">
                  <w:pPr>
                    <w:autoSpaceDE w:val="0"/>
                    <w:spacing w:line="240" w:lineRule="auto"/>
                    <w:ind w:firstLine="0" w:firstLineChars="0"/>
                    <w:jc w:val="center"/>
                    <w:rPr>
                      <w:rStyle w:val="133"/>
                      <w:color w:val="auto"/>
                      <w:sz w:val="21"/>
                      <w:szCs w:val="21"/>
                    </w:rPr>
                  </w:pPr>
                  <w:r>
                    <w:rPr>
                      <w:rStyle w:val="133"/>
                      <w:rFonts w:hint="eastAsia"/>
                      <w:color w:val="auto"/>
                      <w:sz w:val="21"/>
                      <w:szCs w:val="21"/>
                    </w:rPr>
                    <w:t>泡沫箱</w:t>
                  </w:r>
                </w:p>
              </w:tc>
              <w:tc>
                <w:tcPr>
                  <w:tcW w:w="801" w:type="pct"/>
                  <w:vAlign w:val="center"/>
                </w:tcPr>
                <w:p w14:paraId="39B0DC55">
                  <w:pPr>
                    <w:spacing w:line="240" w:lineRule="auto"/>
                    <w:ind w:firstLine="0" w:firstLineChars="0"/>
                    <w:jc w:val="center"/>
                    <w:rPr>
                      <w:color w:val="auto"/>
                      <w:sz w:val="21"/>
                      <w:szCs w:val="21"/>
                    </w:rPr>
                  </w:pPr>
                  <w:r>
                    <w:rPr>
                      <w:rFonts w:hint="eastAsia"/>
                      <w:color w:val="auto"/>
                      <w:sz w:val="21"/>
                      <w:szCs w:val="21"/>
                    </w:rPr>
                    <w:t>0</w:t>
                  </w:r>
                </w:p>
              </w:tc>
              <w:tc>
                <w:tcPr>
                  <w:tcW w:w="827" w:type="pct"/>
                  <w:vAlign w:val="center"/>
                </w:tcPr>
                <w:p w14:paraId="1224551D">
                  <w:pPr>
                    <w:spacing w:line="240" w:lineRule="auto"/>
                    <w:ind w:firstLine="0" w:firstLineChars="0"/>
                    <w:jc w:val="center"/>
                    <w:rPr>
                      <w:color w:val="auto"/>
                      <w:sz w:val="21"/>
                      <w:szCs w:val="21"/>
                    </w:rPr>
                  </w:pPr>
                  <w:r>
                    <w:rPr>
                      <w:rFonts w:hint="eastAsia"/>
                      <w:color w:val="auto"/>
                      <w:sz w:val="21"/>
                      <w:szCs w:val="21"/>
                    </w:rPr>
                    <w:t>1</w:t>
                  </w:r>
                </w:p>
              </w:tc>
              <w:tc>
                <w:tcPr>
                  <w:tcW w:w="779" w:type="pct"/>
                  <w:shd w:val="clear" w:color="auto" w:fill="auto"/>
                  <w:vAlign w:val="center"/>
                </w:tcPr>
                <w:p w14:paraId="5444FDE9">
                  <w:pPr>
                    <w:spacing w:line="240" w:lineRule="auto"/>
                    <w:ind w:firstLine="0" w:firstLineChars="0"/>
                    <w:jc w:val="center"/>
                    <w:rPr>
                      <w:color w:val="auto"/>
                      <w:sz w:val="21"/>
                      <w:szCs w:val="21"/>
                    </w:rPr>
                  </w:pPr>
                  <w:r>
                    <w:rPr>
                      <w:rFonts w:hint="eastAsia"/>
                      <w:color w:val="auto"/>
                      <w:sz w:val="21"/>
                      <w:szCs w:val="21"/>
                    </w:rPr>
                    <w:t>+1</w:t>
                  </w:r>
                </w:p>
              </w:tc>
              <w:tc>
                <w:tcPr>
                  <w:tcW w:w="714" w:type="pct"/>
                  <w:vAlign w:val="center"/>
                </w:tcPr>
                <w:p w14:paraId="197F08CC">
                  <w:pPr>
                    <w:spacing w:line="240" w:lineRule="auto"/>
                    <w:ind w:firstLine="0" w:firstLineChars="0"/>
                    <w:jc w:val="center"/>
                    <w:rPr>
                      <w:color w:val="auto"/>
                      <w:sz w:val="21"/>
                      <w:szCs w:val="21"/>
                    </w:rPr>
                  </w:pPr>
                  <w:r>
                    <w:rPr>
                      <w:rFonts w:hint="eastAsia"/>
                      <w:color w:val="auto"/>
                      <w:sz w:val="21"/>
                      <w:szCs w:val="21"/>
                    </w:rPr>
                    <w:t>0.5</w:t>
                  </w:r>
                </w:p>
              </w:tc>
              <w:tc>
                <w:tcPr>
                  <w:tcW w:w="659" w:type="pct"/>
                  <w:vAlign w:val="center"/>
                </w:tcPr>
                <w:p w14:paraId="0C46C95D">
                  <w:pPr>
                    <w:spacing w:line="240" w:lineRule="auto"/>
                    <w:ind w:firstLine="0" w:firstLineChars="0"/>
                    <w:jc w:val="center"/>
                    <w:rPr>
                      <w:color w:val="auto"/>
                      <w:sz w:val="21"/>
                      <w:szCs w:val="21"/>
                    </w:rPr>
                  </w:pPr>
                  <w:r>
                    <w:rPr>
                      <w:rFonts w:hint="eastAsia"/>
                      <w:color w:val="auto"/>
                      <w:sz w:val="21"/>
                      <w:szCs w:val="21"/>
                    </w:rPr>
                    <w:t>/</w:t>
                  </w:r>
                </w:p>
              </w:tc>
            </w:tr>
            <w:tr w14:paraId="1D40C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47" w:type="pct"/>
                  <w:vAlign w:val="center"/>
                </w:tcPr>
                <w:p w14:paraId="1D44534F">
                  <w:pPr>
                    <w:spacing w:line="240" w:lineRule="auto"/>
                    <w:ind w:firstLine="0" w:firstLineChars="0"/>
                    <w:jc w:val="center"/>
                    <w:rPr>
                      <w:color w:val="auto"/>
                      <w:sz w:val="21"/>
                      <w:szCs w:val="21"/>
                    </w:rPr>
                  </w:pPr>
                  <w:r>
                    <w:rPr>
                      <w:rFonts w:hint="eastAsia"/>
                      <w:color w:val="auto"/>
                      <w:sz w:val="21"/>
                      <w:szCs w:val="21"/>
                    </w:rPr>
                    <w:t>16</w:t>
                  </w:r>
                </w:p>
              </w:tc>
              <w:tc>
                <w:tcPr>
                  <w:tcW w:w="871" w:type="pct"/>
                  <w:shd w:val="clear" w:color="auto" w:fill="auto"/>
                  <w:vAlign w:val="center"/>
                </w:tcPr>
                <w:p w14:paraId="4B9C2A7C">
                  <w:pPr>
                    <w:autoSpaceDE w:val="0"/>
                    <w:spacing w:line="240" w:lineRule="auto"/>
                    <w:ind w:firstLine="0" w:firstLineChars="0"/>
                    <w:jc w:val="center"/>
                    <w:rPr>
                      <w:rStyle w:val="133"/>
                      <w:color w:val="auto"/>
                      <w:sz w:val="21"/>
                      <w:szCs w:val="21"/>
                    </w:rPr>
                  </w:pPr>
                  <w:bookmarkStart w:id="102" w:name="OLE_LINK247"/>
                  <w:r>
                    <w:rPr>
                      <w:rStyle w:val="133"/>
                      <w:rFonts w:hint="eastAsia"/>
                      <w:color w:val="auto"/>
                      <w:sz w:val="21"/>
                      <w:szCs w:val="21"/>
                    </w:rPr>
                    <w:t>包装服饰</w:t>
                  </w:r>
                  <w:bookmarkEnd w:id="102"/>
                </w:p>
              </w:tc>
              <w:tc>
                <w:tcPr>
                  <w:tcW w:w="801" w:type="pct"/>
                  <w:vAlign w:val="center"/>
                </w:tcPr>
                <w:p w14:paraId="24B153ED">
                  <w:pPr>
                    <w:spacing w:line="240" w:lineRule="auto"/>
                    <w:ind w:firstLine="0" w:firstLineChars="0"/>
                    <w:jc w:val="center"/>
                    <w:rPr>
                      <w:color w:val="auto"/>
                      <w:sz w:val="21"/>
                      <w:szCs w:val="21"/>
                    </w:rPr>
                  </w:pPr>
                  <w:r>
                    <w:rPr>
                      <w:rFonts w:hint="eastAsia"/>
                      <w:color w:val="auto"/>
                      <w:sz w:val="21"/>
                      <w:szCs w:val="21"/>
                    </w:rPr>
                    <w:t>0</w:t>
                  </w:r>
                </w:p>
              </w:tc>
              <w:tc>
                <w:tcPr>
                  <w:tcW w:w="827" w:type="pct"/>
                  <w:vAlign w:val="center"/>
                </w:tcPr>
                <w:p w14:paraId="67B25BE0">
                  <w:pPr>
                    <w:spacing w:line="240" w:lineRule="auto"/>
                    <w:ind w:firstLine="0" w:firstLineChars="0"/>
                    <w:jc w:val="center"/>
                    <w:rPr>
                      <w:color w:val="auto"/>
                      <w:sz w:val="21"/>
                      <w:szCs w:val="21"/>
                    </w:rPr>
                  </w:pPr>
                  <w:r>
                    <w:rPr>
                      <w:rFonts w:hint="eastAsia"/>
                      <w:color w:val="auto"/>
                      <w:sz w:val="21"/>
                      <w:szCs w:val="21"/>
                    </w:rPr>
                    <w:t>0.5</w:t>
                  </w:r>
                </w:p>
              </w:tc>
              <w:tc>
                <w:tcPr>
                  <w:tcW w:w="779" w:type="pct"/>
                  <w:shd w:val="clear" w:color="auto" w:fill="auto"/>
                  <w:vAlign w:val="center"/>
                </w:tcPr>
                <w:p w14:paraId="5DB63477">
                  <w:pPr>
                    <w:spacing w:line="240" w:lineRule="auto"/>
                    <w:ind w:firstLine="0" w:firstLineChars="0"/>
                    <w:jc w:val="center"/>
                    <w:rPr>
                      <w:color w:val="auto"/>
                      <w:sz w:val="21"/>
                      <w:szCs w:val="21"/>
                    </w:rPr>
                  </w:pPr>
                  <w:r>
                    <w:rPr>
                      <w:rFonts w:hint="eastAsia"/>
                      <w:color w:val="auto"/>
                      <w:sz w:val="21"/>
                      <w:szCs w:val="21"/>
                    </w:rPr>
                    <w:t>+0.5</w:t>
                  </w:r>
                </w:p>
              </w:tc>
              <w:tc>
                <w:tcPr>
                  <w:tcW w:w="714" w:type="pct"/>
                  <w:vAlign w:val="center"/>
                </w:tcPr>
                <w:p w14:paraId="6070325D">
                  <w:pPr>
                    <w:spacing w:line="240" w:lineRule="auto"/>
                    <w:ind w:firstLine="0" w:firstLineChars="0"/>
                    <w:jc w:val="center"/>
                    <w:rPr>
                      <w:color w:val="auto"/>
                      <w:sz w:val="21"/>
                      <w:szCs w:val="21"/>
                    </w:rPr>
                  </w:pPr>
                  <w:r>
                    <w:rPr>
                      <w:rFonts w:hint="eastAsia"/>
                      <w:color w:val="auto"/>
                      <w:sz w:val="21"/>
                      <w:szCs w:val="21"/>
                    </w:rPr>
                    <w:t>0.2</w:t>
                  </w:r>
                </w:p>
              </w:tc>
              <w:tc>
                <w:tcPr>
                  <w:tcW w:w="659" w:type="pct"/>
                  <w:vAlign w:val="center"/>
                </w:tcPr>
                <w:p w14:paraId="160099C4">
                  <w:pPr>
                    <w:spacing w:line="240" w:lineRule="auto"/>
                    <w:ind w:firstLine="0" w:firstLineChars="0"/>
                    <w:jc w:val="center"/>
                    <w:rPr>
                      <w:color w:val="auto"/>
                      <w:sz w:val="21"/>
                      <w:szCs w:val="21"/>
                    </w:rPr>
                  </w:pPr>
                  <w:r>
                    <w:rPr>
                      <w:rFonts w:hint="eastAsia"/>
                      <w:color w:val="auto"/>
                      <w:sz w:val="21"/>
                      <w:szCs w:val="21"/>
                    </w:rPr>
                    <w:t>/</w:t>
                  </w:r>
                </w:p>
              </w:tc>
            </w:tr>
          </w:tbl>
          <w:p w14:paraId="2C3F99DC">
            <w:pPr>
              <w:autoSpaceDE w:val="0"/>
              <w:autoSpaceDN w:val="0"/>
              <w:ind w:firstLine="422"/>
              <w:jc w:val="both"/>
              <w:rPr>
                <w:rFonts w:cs="宋体"/>
                <w:b/>
                <w:bCs/>
                <w:color w:val="auto"/>
                <w:sz w:val="21"/>
                <w:szCs w:val="21"/>
              </w:rPr>
            </w:pPr>
            <w:r>
              <w:rPr>
                <w:rFonts w:cs="宋体"/>
                <w:b/>
                <w:bCs/>
                <w:color w:val="auto"/>
                <w:sz w:val="21"/>
                <w:szCs w:val="21"/>
              </w:rPr>
              <w:t>原辅材料</w:t>
            </w:r>
            <w:r>
              <w:rPr>
                <w:rFonts w:hint="eastAsia" w:cs="宋体"/>
                <w:b/>
                <w:bCs/>
                <w:color w:val="auto"/>
                <w:sz w:val="21"/>
                <w:szCs w:val="21"/>
              </w:rPr>
              <w:t>理</w:t>
            </w:r>
            <w:r>
              <w:rPr>
                <w:rFonts w:cs="宋体"/>
                <w:b/>
                <w:bCs/>
                <w:color w:val="auto"/>
                <w:sz w:val="21"/>
                <w:szCs w:val="21"/>
              </w:rPr>
              <w:t>化特性：</w:t>
            </w:r>
          </w:p>
          <w:p w14:paraId="7BD1DED6">
            <w:pPr>
              <w:autoSpaceDE w:val="0"/>
              <w:autoSpaceDN w:val="0"/>
              <w:ind w:firstLine="420"/>
              <w:jc w:val="both"/>
              <w:rPr>
                <w:rFonts w:cs="宋体"/>
                <w:color w:val="FF0000"/>
                <w:kern w:val="0"/>
                <w:sz w:val="21"/>
                <w:szCs w:val="21"/>
              </w:rPr>
            </w:pPr>
            <w:bookmarkStart w:id="103" w:name="OLE_LINK268"/>
            <w:r>
              <w:rPr>
                <w:rFonts w:hint="eastAsia" w:cs="宋体"/>
                <w:color w:val="auto"/>
                <w:kern w:val="0"/>
                <w:sz w:val="21"/>
                <w:szCs w:val="21"/>
              </w:rPr>
              <w:t>SEBS</w:t>
            </w:r>
            <w:r>
              <w:rPr>
                <w:rFonts w:hint="eastAsia" w:cs="宋体"/>
                <w:color w:val="auto"/>
                <w:sz w:val="21"/>
                <w:szCs w:val="18"/>
              </w:rPr>
              <w:t>热塑性弹性体</w:t>
            </w:r>
            <w:bookmarkEnd w:id="103"/>
            <w:r>
              <w:rPr>
                <w:rFonts w:hint="eastAsia" w:cs="宋体"/>
                <w:color w:val="auto"/>
                <w:kern w:val="0"/>
                <w:sz w:val="21"/>
                <w:szCs w:val="21"/>
              </w:rPr>
              <w:t>：SEBS是以聚苯乙烯为末端段，以聚丁二烯加氢得到的乙烯-丁烯共聚物为中间弹性嵌段的线性三嵌共聚物，其熔点为120~140℃，分解温度&gt;270</w:t>
            </w:r>
            <w:bookmarkStart w:id="104" w:name="OLE_LINK270"/>
            <w:r>
              <w:rPr>
                <w:rFonts w:hint="eastAsia" w:cs="宋体"/>
                <w:color w:val="auto"/>
                <w:kern w:val="0"/>
                <w:sz w:val="21"/>
                <w:szCs w:val="21"/>
              </w:rPr>
              <w:t>℃</w:t>
            </w:r>
            <w:bookmarkEnd w:id="104"/>
            <w:r>
              <w:rPr>
                <w:rFonts w:hint="eastAsia" w:cs="宋体"/>
                <w:color w:val="auto"/>
                <w:kern w:val="0"/>
                <w:sz w:val="21"/>
                <w:szCs w:val="21"/>
              </w:rPr>
              <w:t>，SEBS不含不饱和双键，因此具有良好的稳定性和耐老化性，既具有可塑性，又具有高弹性，无需硫化即可加工使用边角料可重使用，广泛用于生产高档弹性体、塑料改性、胶粘剂、润滑油增粘剂、电线电缆的填充料和护套料等。</w:t>
            </w:r>
          </w:p>
          <w:p w14:paraId="45E14477">
            <w:pPr>
              <w:autoSpaceDE w:val="0"/>
              <w:autoSpaceDN w:val="0"/>
              <w:ind w:firstLine="420"/>
              <w:jc w:val="both"/>
              <w:rPr>
                <w:rFonts w:cs="宋体"/>
                <w:color w:val="000000"/>
                <w:kern w:val="0"/>
                <w:sz w:val="21"/>
                <w:szCs w:val="21"/>
              </w:rPr>
            </w:pPr>
            <w:r>
              <w:rPr>
                <w:rFonts w:hint="eastAsia" w:cs="宋体"/>
                <w:color w:val="000000"/>
                <w:kern w:val="0"/>
                <w:sz w:val="21"/>
                <w:szCs w:val="21"/>
              </w:rPr>
              <w:t>PP新塑胶粒：聚丙烯，由丙烯聚合而制成的一种热塑性树脂。</w:t>
            </w:r>
            <w:r>
              <w:rPr>
                <w:rFonts w:hint="eastAsia" w:cs="宋体"/>
                <w:color w:val="000000"/>
                <w:sz w:val="21"/>
                <w:szCs w:val="18"/>
              </w:rPr>
              <w:t>白色、无臭、无味固体，</w:t>
            </w:r>
            <w:r>
              <w:rPr>
                <w:rFonts w:hint="eastAsia" w:cs="宋体"/>
                <w:color w:val="000000"/>
                <w:kern w:val="0"/>
                <w:sz w:val="21"/>
                <w:szCs w:val="21"/>
              </w:rPr>
              <w:t>密度0.85-0.90g/cm</w:t>
            </w:r>
            <w:r>
              <w:rPr>
                <w:rFonts w:hint="eastAsia" w:cs="宋体"/>
                <w:color w:val="000000"/>
                <w:kern w:val="0"/>
                <w:sz w:val="21"/>
                <w:szCs w:val="21"/>
                <w:vertAlign w:val="superscript"/>
              </w:rPr>
              <w:t>3</w:t>
            </w:r>
            <w:r>
              <w:rPr>
                <w:rFonts w:hint="eastAsia" w:cs="宋体"/>
                <w:color w:val="000000"/>
                <w:kern w:val="0"/>
                <w:sz w:val="21"/>
                <w:szCs w:val="21"/>
              </w:rPr>
              <w:t>，熔点164</w:t>
            </w:r>
            <w:bookmarkStart w:id="105" w:name="OLE_LINK271"/>
            <w:r>
              <w:rPr>
                <w:rFonts w:hint="eastAsia" w:cs="宋体"/>
                <w:color w:val="000000"/>
                <w:kern w:val="0"/>
                <w:sz w:val="21"/>
                <w:szCs w:val="21"/>
              </w:rPr>
              <w:t>~</w:t>
            </w:r>
            <w:bookmarkEnd w:id="105"/>
            <w:r>
              <w:rPr>
                <w:rFonts w:hint="eastAsia" w:cs="宋体"/>
                <w:color w:val="000000"/>
                <w:kern w:val="0"/>
                <w:sz w:val="21"/>
                <w:szCs w:val="21"/>
              </w:rPr>
              <w:t>170℃，分解温度为300</w:t>
            </w:r>
            <w:bookmarkStart w:id="106" w:name="OLE_LINK17"/>
            <w:r>
              <w:rPr>
                <w:rFonts w:hint="eastAsia" w:cs="宋体"/>
                <w:color w:val="000000"/>
                <w:kern w:val="0"/>
                <w:sz w:val="21"/>
                <w:szCs w:val="21"/>
              </w:rPr>
              <w:t>℃</w:t>
            </w:r>
            <w:bookmarkEnd w:id="106"/>
            <w:r>
              <w:rPr>
                <w:rFonts w:hint="eastAsia" w:cs="宋体"/>
                <w:color w:val="000000"/>
                <w:kern w:val="0"/>
                <w:sz w:val="21"/>
                <w:szCs w:val="21"/>
              </w:rPr>
              <w:t>。特点：密度小，强度刚度，硬度耐热性均低于低压聚乙烯。具有良好的电性，能和高频绝缘性不受湿度影响，但低温时变脆、不耐磨、易老化。适于制作一般机械零件，耐腐蚀零件和绝缘零件。</w:t>
            </w:r>
          </w:p>
          <w:p w14:paraId="3040DACC">
            <w:pPr>
              <w:widowControl/>
              <w:autoSpaceDE w:val="0"/>
              <w:autoSpaceDN w:val="0"/>
              <w:ind w:firstLine="420"/>
              <w:jc w:val="both"/>
              <w:rPr>
                <w:rFonts w:cs="宋体"/>
                <w:color w:val="333333"/>
                <w:sz w:val="21"/>
                <w:szCs w:val="21"/>
                <w:shd w:val="clear" w:color="auto" w:fill="FFFFFF"/>
              </w:rPr>
            </w:pPr>
            <w:r>
              <w:rPr>
                <w:rFonts w:hint="eastAsia" w:cs="宋体"/>
                <w:color w:val="000000"/>
                <w:sz w:val="21"/>
                <w:szCs w:val="18"/>
              </w:rPr>
              <w:t>PS塑胶粒：聚苯乙烯，</w:t>
            </w:r>
            <w:r>
              <w:rPr>
                <w:rFonts w:cs="宋体"/>
                <w:color w:val="333333"/>
                <w:sz w:val="21"/>
                <w:szCs w:val="21"/>
                <w:shd w:val="clear" w:color="auto" w:fill="FFFFFF"/>
              </w:rPr>
              <w:t>是一种无色透明的热塑性塑料</w:t>
            </w:r>
            <w:r>
              <w:rPr>
                <w:rFonts w:hint="eastAsia" w:cs="宋体"/>
                <w:color w:val="333333"/>
                <w:sz w:val="21"/>
                <w:szCs w:val="21"/>
                <w:shd w:val="clear" w:color="auto" w:fill="FFFFFF"/>
              </w:rPr>
              <w:t>，</w:t>
            </w:r>
            <w:r>
              <w:rPr>
                <w:rFonts w:hint="eastAsia" w:cs="宋体"/>
                <w:color w:val="000000"/>
                <w:sz w:val="21"/>
                <w:szCs w:val="18"/>
              </w:rPr>
              <w:t>重量百分率:&gt;96%：(添加剂≤4%)，</w:t>
            </w:r>
            <w:r>
              <w:rPr>
                <w:rFonts w:hint="eastAsia" w:cs="宋体"/>
                <w:color w:val="000000"/>
                <w:kern w:val="0"/>
                <w:sz w:val="21"/>
                <w:szCs w:val="21"/>
              </w:rPr>
              <w:t>熔点</w:t>
            </w:r>
            <w:bookmarkStart w:id="107" w:name="OLE_LINK269"/>
            <w:r>
              <w:rPr>
                <w:rFonts w:hint="eastAsia" w:cs="宋体"/>
                <w:color w:val="000000"/>
                <w:kern w:val="0"/>
                <w:sz w:val="21"/>
                <w:szCs w:val="21"/>
              </w:rPr>
              <w:t>&gt;180℃</w:t>
            </w:r>
            <w:bookmarkEnd w:id="107"/>
            <w:r>
              <w:rPr>
                <w:rFonts w:hint="eastAsia" w:cs="宋体"/>
                <w:color w:val="000000"/>
                <w:kern w:val="0"/>
                <w:sz w:val="21"/>
                <w:szCs w:val="21"/>
              </w:rPr>
              <w:t>，分解温度为250~300℃，不溶于水，温时固体颗粒状，高温受热时软化，</w:t>
            </w:r>
            <w:r>
              <w:rPr>
                <w:rFonts w:cs="宋体"/>
                <w:color w:val="333333"/>
                <w:sz w:val="21"/>
                <w:szCs w:val="21"/>
                <w:shd w:val="clear" w:color="auto" w:fill="FFFFFF"/>
              </w:rPr>
              <w:t>具有较好的光泽、透光率</w:t>
            </w:r>
            <w:r>
              <w:rPr>
                <w:rFonts w:hint="eastAsia" w:cs="宋体"/>
                <w:color w:val="333333"/>
                <w:sz w:val="21"/>
                <w:szCs w:val="21"/>
                <w:shd w:val="clear" w:color="auto" w:fill="FFFFFF"/>
              </w:rPr>
              <w:t>、</w:t>
            </w:r>
            <w:r>
              <w:rPr>
                <w:rFonts w:cs="宋体"/>
                <w:color w:val="333333"/>
                <w:sz w:val="21"/>
                <w:szCs w:val="21"/>
                <w:shd w:val="clear" w:color="auto" w:fill="FFFFFF"/>
              </w:rPr>
              <w:t>着色性</w:t>
            </w:r>
            <w:r>
              <w:rPr>
                <w:rFonts w:hint="eastAsia" w:cs="宋体"/>
                <w:color w:val="333333"/>
                <w:sz w:val="21"/>
                <w:szCs w:val="21"/>
                <w:shd w:val="clear" w:color="auto" w:fill="FFFFFF"/>
              </w:rPr>
              <w:t>、化学稳定性等。</w:t>
            </w:r>
          </w:p>
          <w:p w14:paraId="704EA53A">
            <w:pPr>
              <w:autoSpaceDE w:val="0"/>
              <w:autoSpaceDN w:val="0"/>
              <w:ind w:firstLine="420"/>
              <w:jc w:val="both"/>
              <w:rPr>
                <w:rFonts w:cs="宋体"/>
                <w:color w:val="000000"/>
                <w:kern w:val="0"/>
                <w:sz w:val="21"/>
                <w:szCs w:val="21"/>
              </w:rPr>
            </w:pPr>
            <w:r>
              <w:rPr>
                <w:rFonts w:hint="eastAsia" w:cs="宋体"/>
                <w:color w:val="000000"/>
                <w:kern w:val="0"/>
                <w:sz w:val="21"/>
                <w:szCs w:val="21"/>
              </w:rPr>
              <w:t>软化油：150NⅡ类加氢润滑油基础油，成分：97%饱和烃混合物，为可燃、无色透明液体，相对密度（水以1计）：0.825-0.870，开口闪点：</w:t>
            </w:r>
            <w:r>
              <w:rPr>
                <w:rFonts w:cs="Arial"/>
                <w:color w:val="000000"/>
                <w:kern w:val="0"/>
                <w:sz w:val="21"/>
                <w:szCs w:val="21"/>
              </w:rPr>
              <w:t>≥</w:t>
            </w:r>
            <w:r>
              <w:rPr>
                <w:rFonts w:hint="eastAsia" w:cs="宋体"/>
                <w:color w:val="000000"/>
                <w:kern w:val="0"/>
                <w:sz w:val="21"/>
                <w:szCs w:val="21"/>
              </w:rPr>
              <w:t>320℃，自然温度：334</w:t>
            </w:r>
            <w:bookmarkStart w:id="108" w:name="OLE_LINK18"/>
            <w:r>
              <w:rPr>
                <w:rFonts w:hint="eastAsia" w:cs="宋体"/>
                <w:color w:val="000000"/>
                <w:kern w:val="0"/>
                <w:sz w:val="21"/>
                <w:szCs w:val="21"/>
              </w:rPr>
              <w:t>℃</w:t>
            </w:r>
            <w:bookmarkEnd w:id="108"/>
            <w:r>
              <w:rPr>
                <w:rFonts w:hint="eastAsia" w:cs="宋体"/>
                <w:color w:val="000000"/>
                <w:kern w:val="0"/>
                <w:sz w:val="21"/>
                <w:szCs w:val="21"/>
              </w:rPr>
              <w:t>，主要可用于高档发动机油、液压油、汽轮机油等润滑油的基础油，石蜡基环保橡胶油等。软化油MSDS见</w:t>
            </w:r>
            <w:bookmarkStart w:id="109" w:name="OLE_LINK202"/>
            <w:r>
              <w:rPr>
                <w:rFonts w:hint="eastAsia" w:cs="宋体"/>
                <w:color w:val="000000"/>
                <w:kern w:val="0"/>
                <w:sz w:val="21"/>
                <w:szCs w:val="21"/>
              </w:rPr>
              <w:t>附件11</w:t>
            </w:r>
            <w:bookmarkEnd w:id="109"/>
            <w:r>
              <w:rPr>
                <w:rFonts w:hint="eastAsia" w:cs="宋体"/>
                <w:color w:val="000000"/>
                <w:kern w:val="0"/>
                <w:sz w:val="21"/>
                <w:szCs w:val="21"/>
              </w:rPr>
              <w:t>。</w:t>
            </w:r>
          </w:p>
          <w:p w14:paraId="43BE1908">
            <w:pPr>
              <w:autoSpaceDE w:val="0"/>
              <w:autoSpaceDN w:val="0"/>
              <w:ind w:firstLine="420"/>
              <w:jc w:val="both"/>
              <w:rPr>
                <w:rFonts w:cs="宋体"/>
                <w:color w:val="000000"/>
                <w:kern w:val="0"/>
                <w:sz w:val="21"/>
                <w:szCs w:val="21"/>
              </w:rPr>
            </w:pPr>
            <w:r>
              <w:rPr>
                <w:rFonts w:hint="eastAsia" w:cs="宋体"/>
                <w:kern w:val="0"/>
                <w:sz w:val="21"/>
                <w:szCs w:val="21"/>
              </w:rPr>
              <w:t>碳酸钙：是一种无机化合物，俗称灰石、石灰石、石粉、大理石等，为白色微细结晶粉末，碳酸钙呈中性，微溶于水，溶于盐酸。</w:t>
            </w:r>
            <w:r>
              <w:rPr>
                <w:rFonts w:hint="eastAsia" w:cs="宋体"/>
                <w:color w:val="000000"/>
                <w:kern w:val="0"/>
                <w:sz w:val="21"/>
                <w:szCs w:val="21"/>
              </w:rPr>
              <w:t>‌</w:t>
            </w:r>
          </w:p>
          <w:p w14:paraId="6E560CEB">
            <w:pPr>
              <w:autoSpaceDE w:val="0"/>
              <w:autoSpaceDN w:val="0"/>
              <w:ind w:firstLine="420"/>
              <w:jc w:val="both"/>
              <w:rPr>
                <w:rFonts w:cs="宋体"/>
                <w:color w:val="auto"/>
                <w:kern w:val="0"/>
                <w:sz w:val="21"/>
                <w:szCs w:val="21"/>
              </w:rPr>
            </w:pPr>
            <w:r>
              <w:rPr>
                <w:rFonts w:hint="eastAsia" w:cs="宋体"/>
                <w:color w:val="000000"/>
                <w:kern w:val="0"/>
                <w:sz w:val="21"/>
                <w:szCs w:val="21"/>
              </w:rPr>
              <w:t>润滑油：润滑油是用在各种类型汽车、机械设备上以减少摩擦，保护机械及加工件的液体或半固体润滑剂</w:t>
            </w:r>
            <w:r>
              <w:rPr>
                <w:rFonts w:hint="eastAsia" w:cs="宋体"/>
                <w:color w:val="auto"/>
                <w:kern w:val="0"/>
                <w:sz w:val="21"/>
                <w:szCs w:val="21"/>
              </w:rPr>
              <w:t>，主要起润滑、辅助冷却、防锈、清洁、密封和缓冲等作用。润滑油一般由基础油和添加剂两部分组成。基础油是润滑油的主要成分，决定着润滑油的基本性质，添加剂则可弥补和改善基础油性能方面的不足，赋予某些新的性能，是润滑油的重要组成部分。</w:t>
            </w:r>
          </w:p>
          <w:p w14:paraId="63B0C8C4">
            <w:pPr>
              <w:ind w:firstLine="480"/>
              <w:jc w:val="both"/>
              <w:rPr>
                <w:color w:val="auto"/>
              </w:rPr>
            </w:pPr>
            <w:r>
              <w:rPr>
                <w:rFonts w:hint="eastAsia"/>
                <w:color w:val="auto"/>
              </w:rPr>
              <w:t>（2）项目物料平衡如下表所示：</w:t>
            </w:r>
          </w:p>
          <w:p w14:paraId="47189488">
            <w:pPr>
              <w:pStyle w:val="16"/>
              <w:rPr>
                <w:color w:val="auto"/>
                <w:kern w:val="2"/>
                <w:szCs w:val="24"/>
              </w:rPr>
            </w:pPr>
            <w:r>
              <w:rPr>
                <w:color w:val="auto"/>
                <w:kern w:val="2"/>
                <w:szCs w:val="24"/>
              </w:rPr>
              <w:t>表2-</w:t>
            </w:r>
            <w:r>
              <w:rPr>
                <w:rFonts w:hint="eastAsia"/>
                <w:color w:val="auto"/>
                <w:kern w:val="2"/>
                <w:szCs w:val="24"/>
              </w:rPr>
              <w:t xml:space="preserve">5 </w:t>
            </w:r>
            <w:r>
              <w:rPr>
                <w:color w:val="auto"/>
                <w:kern w:val="2"/>
                <w:szCs w:val="24"/>
              </w:rPr>
              <w:t>项目</w:t>
            </w:r>
            <w:r>
              <w:rPr>
                <w:rFonts w:hint="eastAsia"/>
                <w:color w:val="auto"/>
                <w:kern w:val="2"/>
                <w:szCs w:val="24"/>
              </w:rPr>
              <w:t>物料平衡</w:t>
            </w:r>
            <w:r>
              <w:rPr>
                <w:color w:val="auto"/>
                <w:kern w:val="2"/>
                <w:szCs w:val="24"/>
              </w:rPr>
              <w:t>一览表</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41"/>
              <w:gridCol w:w="1279"/>
              <w:gridCol w:w="1423"/>
              <w:gridCol w:w="1252"/>
              <w:gridCol w:w="1433"/>
              <w:gridCol w:w="1431"/>
            </w:tblGrid>
            <w:tr w14:paraId="45DC8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764" w:type="pct"/>
                  <w:gridSpan w:val="2"/>
                  <w:vAlign w:val="center"/>
                </w:tcPr>
                <w:p w14:paraId="0861FAAB">
                  <w:pPr>
                    <w:spacing w:line="240" w:lineRule="auto"/>
                    <w:ind w:firstLine="0" w:firstLineChars="0"/>
                    <w:jc w:val="center"/>
                    <w:rPr>
                      <w:b/>
                      <w:bCs/>
                      <w:color w:val="auto"/>
                      <w:sz w:val="21"/>
                      <w:szCs w:val="21"/>
                    </w:rPr>
                  </w:pPr>
                  <w:r>
                    <w:rPr>
                      <w:rFonts w:hint="eastAsia"/>
                      <w:b/>
                      <w:bCs/>
                      <w:color w:val="auto"/>
                      <w:sz w:val="21"/>
                      <w:szCs w:val="21"/>
                    </w:rPr>
                    <w:t>输入</w:t>
                  </w:r>
                </w:p>
              </w:tc>
              <w:tc>
                <w:tcPr>
                  <w:tcW w:w="3235" w:type="pct"/>
                  <w:gridSpan w:val="4"/>
                  <w:vAlign w:val="center"/>
                </w:tcPr>
                <w:p w14:paraId="7B26D974">
                  <w:pPr>
                    <w:spacing w:line="240" w:lineRule="auto"/>
                    <w:ind w:firstLine="0" w:firstLineChars="0"/>
                    <w:jc w:val="center"/>
                    <w:rPr>
                      <w:b/>
                      <w:bCs/>
                      <w:color w:val="auto"/>
                      <w:sz w:val="21"/>
                      <w:szCs w:val="21"/>
                    </w:rPr>
                  </w:pPr>
                  <w:r>
                    <w:rPr>
                      <w:rFonts w:hint="eastAsia"/>
                      <w:b/>
                      <w:bCs/>
                      <w:color w:val="auto"/>
                      <w:sz w:val="21"/>
                      <w:szCs w:val="21"/>
                    </w:rPr>
                    <w:t>输出</w:t>
                  </w:r>
                </w:p>
              </w:tc>
            </w:tr>
            <w:tr w14:paraId="3B0AB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7" w:type="pct"/>
                  <w:vAlign w:val="center"/>
                </w:tcPr>
                <w:p w14:paraId="0F01FD33">
                  <w:pPr>
                    <w:spacing w:line="240" w:lineRule="auto"/>
                    <w:ind w:firstLine="0" w:firstLineChars="0"/>
                    <w:jc w:val="center"/>
                    <w:rPr>
                      <w:color w:val="auto"/>
                      <w:sz w:val="21"/>
                      <w:szCs w:val="21"/>
                    </w:rPr>
                  </w:pPr>
                  <w:r>
                    <w:rPr>
                      <w:rFonts w:hint="eastAsia"/>
                      <w:color w:val="auto"/>
                      <w:sz w:val="21"/>
                      <w:szCs w:val="21"/>
                    </w:rPr>
                    <w:t>原料名称</w:t>
                  </w:r>
                </w:p>
              </w:tc>
              <w:tc>
                <w:tcPr>
                  <w:tcW w:w="747" w:type="pct"/>
                  <w:shd w:val="clear" w:color="auto" w:fill="auto"/>
                  <w:vAlign w:val="center"/>
                </w:tcPr>
                <w:p w14:paraId="41FE2AFF">
                  <w:pPr>
                    <w:spacing w:line="240" w:lineRule="auto"/>
                    <w:ind w:firstLine="0" w:firstLineChars="0"/>
                    <w:jc w:val="center"/>
                    <w:rPr>
                      <w:rFonts w:cs="宋体"/>
                      <w:color w:val="auto"/>
                      <w:sz w:val="21"/>
                      <w:szCs w:val="21"/>
                    </w:rPr>
                  </w:pPr>
                  <w:r>
                    <w:rPr>
                      <w:rFonts w:hint="eastAsia" w:cs="宋体"/>
                      <w:color w:val="auto"/>
                      <w:sz w:val="21"/>
                      <w:szCs w:val="21"/>
                    </w:rPr>
                    <w:t>用量</w:t>
                  </w:r>
                  <w:bookmarkStart w:id="110" w:name="OLE_LINK274"/>
                  <w:r>
                    <w:rPr>
                      <w:rFonts w:hint="eastAsia" w:cs="宋体"/>
                      <w:color w:val="auto"/>
                      <w:sz w:val="21"/>
                      <w:szCs w:val="21"/>
                    </w:rPr>
                    <w:t>（t/a）</w:t>
                  </w:r>
                  <w:bookmarkEnd w:id="110"/>
                </w:p>
              </w:tc>
              <w:tc>
                <w:tcPr>
                  <w:tcW w:w="831" w:type="pct"/>
                  <w:vAlign w:val="center"/>
                </w:tcPr>
                <w:p w14:paraId="5C71F892">
                  <w:pPr>
                    <w:spacing w:line="240" w:lineRule="auto"/>
                    <w:ind w:firstLine="0" w:firstLineChars="0"/>
                    <w:jc w:val="center"/>
                    <w:rPr>
                      <w:color w:val="auto"/>
                      <w:sz w:val="21"/>
                      <w:szCs w:val="21"/>
                    </w:rPr>
                  </w:pPr>
                  <w:r>
                    <w:rPr>
                      <w:rFonts w:hint="eastAsia"/>
                      <w:color w:val="auto"/>
                      <w:sz w:val="21"/>
                      <w:szCs w:val="21"/>
                    </w:rPr>
                    <w:t>产品名称</w:t>
                  </w:r>
                </w:p>
              </w:tc>
              <w:tc>
                <w:tcPr>
                  <w:tcW w:w="731" w:type="pct"/>
                  <w:shd w:val="clear" w:color="auto" w:fill="auto"/>
                  <w:vAlign w:val="center"/>
                </w:tcPr>
                <w:p w14:paraId="4730FB88">
                  <w:pPr>
                    <w:spacing w:line="240" w:lineRule="auto"/>
                    <w:ind w:firstLine="0" w:firstLineChars="0"/>
                    <w:jc w:val="center"/>
                    <w:rPr>
                      <w:rFonts w:cs="宋体"/>
                      <w:color w:val="auto"/>
                      <w:sz w:val="21"/>
                      <w:szCs w:val="21"/>
                    </w:rPr>
                  </w:pPr>
                  <w:r>
                    <w:rPr>
                      <w:rFonts w:hint="eastAsia" w:cs="宋体"/>
                      <w:color w:val="auto"/>
                      <w:sz w:val="21"/>
                      <w:szCs w:val="21"/>
                    </w:rPr>
                    <w:t>产量（t/a）</w:t>
                  </w:r>
                </w:p>
              </w:tc>
              <w:tc>
                <w:tcPr>
                  <w:tcW w:w="837" w:type="pct"/>
                  <w:shd w:val="clear" w:color="auto" w:fill="auto"/>
                  <w:vAlign w:val="center"/>
                </w:tcPr>
                <w:p w14:paraId="16A3E398">
                  <w:pPr>
                    <w:spacing w:line="240" w:lineRule="auto"/>
                    <w:ind w:firstLine="0" w:firstLineChars="0"/>
                    <w:jc w:val="center"/>
                    <w:rPr>
                      <w:color w:val="auto"/>
                      <w:sz w:val="21"/>
                      <w:szCs w:val="21"/>
                    </w:rPr>
                  </w:pPr>
                  <w:r>
                    <w:rPr>
                      <w:rFonts w:hint="eastAsia"/>
                      <w:color w:val="auto"/>
                      <w:sz w:val="21"/>
                      <w:szCs w:val="21"/>
                    </w:rPr>
                    <w:t>损耗（废气）</w:t>
                  </w:r>
                </w:p>
              </w:tc>
              <w:tc>
                <w:tcPr>
                  <w:tcW w:w="835" w:type="pct"/>
                  <w:shd w:val="clear" w:color="auto" w:fill="auto"/>
                  <w:vAlign w:val="center"/>
                </w:tcPr>
                <w:p w14:paraId="67E576EB">
                  <w:pPr>
                    <w:spacing w:line="240" w:lineRule="auto"/>
                    <w:ind w:firstLine="0" w:firstLineChars="0"/>
                    <w:jc w:val="center"/>
                    <w:rPr>
                      <w:color w:val="auto"/>
                      <w:sz w:val="21"/>
                      <w:szCs w:val="21"/>
                    </w:rPr>
                  </w:pPr>
                  <w:r>
                    <w:rPr>
                      <w:rFonts w:hint="eastAsia"/>
                      <w:color w:val="auto"/>
                      <w:sz w:val="21"/>
                      <w:szCs w:val="21"/>
                    </w:rPr>
                    <w:t>产生量（t/a）</w:t>
                  </w:r>
                </w:p>
              </w:tc>
            </w:tr>
            <w:tr w14:paraId="245506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1017" w:type="pct"/>
                  <w:vAlign w:val="center"/>
                </w:tcPr>
                <w:p w14:paraId="7F928E11">
                  <w:pPr>
                    <w:spacing w:line="240" w:lineRule="auto"/>
                    <w:ind w:firstLine="0" w:firstLineChars="0"/>
                    <w:jc w:val="center"/>
                    <w:rPr>
                      <w:rFonts w:cs="宋体"/>
                      <w:color w:val="auto"/>
                      <w:sz w:val="21"/>
                      <w:szCs w:val="21"/>
                    </w:rPr>
                  </w:pPr>
                  <w:r>
                    <w:rPr>
                      <w:rFonts w:hint="eastAsia" w:cs="宋体"/>
                      <w:color w:val="auto"/>
                      <w:sz w:val="21"/>
                      <w:szCs w:val="21"/>
                    </w:rPr>
                    <w:t>SEBS热塑性弹性体</w:t>
                  </w:r>
                </w:p>
              </w:tc>
              <w:tc>
                <w:tcPr>
                  <w:tcW w:w="747" w:type="pct"/>
                  <w:shd w:val="clear" w:color="auto" w:fill="auto"/>
                  <w:vAlign w:val="center"/>
                </w:tcPr>
                <w:p w14:paraId="38EA5B2D">
                  <w:pPr>
                    <w:spacing w:line="240" w:lineRule="auto"/>
                    <w:ind w:firstLine="0" w:firstLineChars="0"/>
                    <w:jc w:val="center"/>
                    <w:rPr>
                      <w:rFonts w:cs="宋体"/>
                      <w:color w:val="auto"/>
                      <w:sz w:val="21"/>
                      <w:szCs w:val="21"/>
                    </w:rPr>
                  </w:pPr>
                  <w:r>
                    <w:rPr>
                      <w:rFonts w:hint="eastAsia" w:cs="宋体"/>
                      <w:color w:val="auto"/>
                      <w:sz w:val="21"/>
                      <w:szCs w:val="21"/>
                    </w:rPr>
                    <w:t>100</w:t>
                  </w:r>
                </w:p>
              </w:tc>
              <w:tc>
                <w:tcPr>
                  <w:tcW w:w="831" w:type="pct"/>
                  <w:vAlign w:val="center"/>
                </w:tcPr>
                <w:p w14:paraId="424BE2F4">
                  <w:pPr>
                    <w:spacing w:line="240" w:lineRule="auto"/>
                    <w:ind w:firstLine="0" w:firstLineChars="0"/>
                    <w:jc w:val="center"/>
                    <w:rPr>
                      <w:color w:val="auto"/>
                      <w:sz w:val="21"/>
                      <w:szCs w:val="21"/>
                    </w:rPr>
                  </w:pPr>
                  <w:r>
                    <w:rPr>
                      <w:rFonts w:hint="eastAsia"/>
                      <w:color w:val="auto"/>
                      <w:sz w:val="21"/>
                      <w:szCs w:val="21"/>
                    </w:rPr>
                    <w:t>TPE热塑性弹性体</w:t>
                  </w:r>
                </w:p>
              </w:tc>
              <w:tc>
                <w:tcPr>
                  <w:tcW w:w="731" w:type="pct"/>
                  <w:shd w:val="clear" w:color="auto" w:fill="auto"/>
                  <w:vAlign w:val="center"/>
                </w:tcPr>
                <w:p w14:paraId="3848DE36">
                  <w:pPr>
                    <w:spacing w:line="240" w:lineRule="auto"/>
                    <w:ind w:firstLine="0" w:firstLineChars="0"/>
                    <w:jc w:val="center"/>
                    <w:rPr>
                      <w:rFonts w:cs="宋体"/>
                      <w:color w:val="auto"/>
                      <w:sz w:val="21"/>
                      <w:szCs w:val="21"/>
                    </w:rPr>
                  </w:pPr>
                  <w:r>
                    <w:rPr>
                      <w:rFonts w:hint="eastAsia" w:cs="宋体"/>
                      <w:color w:val="auto"/>
                      <w:sz w:val="21"/>
                      <w:szCs w:val="21"/>
                    </w:rPr>
                    <w:t>1000t/a</w:t>
                  </w:r>
                </w:p>
              </w:tc>
              <w:tc>
                <w:tcPr>
                  <w:tcW w:w="837" w:type="pct"/>
                  <w:shd w:val="clear" w:color="auto" w:fill="auto"/>
                  <w:vAlign w:val="center"/>
                </w:tcPr>
                <w:p w14:paraId="30D9C312">
                  <w:pPr>
                    <w:spacing w:line="240" w:lineRule="auto"/>
                    <w:ind w:firstLine="0" w:firstLineChars="0"/>
                    <w:jc w:val="center"/>
                    <w:rPr>
                      <w:color w:val="auto"/>
                      <w:sz w:val="21"/>
                      <w:szCs w:val="21"/>
                    </w:rPr>
                  </w:pPr>
                  <w:bookmarkStart w:id="111" w:name="OLE_LINK277"/>
                  <w:r>
                    <w:rPr>
                      <w:rFonts w:hint="eastAsia"/>
                      <w:color w:val="auto"/>
                      <w:sz w:val="21"/>
                      <w:szCs w:val="21"/>
                    </w:rPr>
                    <w:t>非甲烷总烃</w:t>
                  </w:r>
                  <w:bookmarkEnd w:id="111"/>
                </w:p>
              </w:tc>
              <w:tc>
                <w:tcPr>
                  <w:tcW w:w="835" w:type="pct"/>
                  <w:shd w:val="clear" w:color="auto" w:fill="auto"/>
                  <w:vAlign w:val="center"/>
                </w:tcPr>
                <w:p w14:paraId="14D0B366">
                  <w:pPr>
                    <w:spacing w:line="240" w:lineRule="auto"/>
                    <w:ind w:firstLine="0" w:firstLineChars="0"/>
                    <w:jc w:val="center"/>
                    <w:rPr>
                      <w:color w:val="auto"/>
                      <w:sz w:val="21"/>
                      <w:szCs w:val="21"/>
                    </w:rPr>
                  </w:pPr>
                  <w:r>
                    <w:rPr>
                      <w:rFonts w:hint="eastAsia"/>
                      <w:color w:val="auto"/>
                      <w:sz w:val="21"/>
                      <w:szCs w:val="21"/>
                    </w:rPr>
                    <w:t>4.6</w:t>
                  </w:r>
                </w:p>
              </w:tc>
            </w:tr>
            <w:tr w14:paraId="53A7B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17" w:type="pct"/>
                  <w:vAlign w:val="center"/>
                </w:tcPr>
                <w:p w14:paraId="709D5C42">
                  <w:pPr>
                    <w:spacing w:line="240" w:lineRule="auto"/>
                    <w:ind w:firstLine="0" w:firstLineChars="0"/>
                    <w:jc w:val="center"/>
                    <w:rPr>
                      <w:rFonts w:cs="宋体"/>
                      <w:color w:val="auto"/>
                      <w:sz w:val="21"/>
                      <w:szCs w:val="21"/>
                    </w:rPr>
                  </w:pPr>
                  <w:r>
                    <w:rPr>
                      <w:rFonts w:hint="eastAsia" w:cs="宋体"/>
                      <w:color w:val="auto"/>
                      <w:sz w:val="21"/>
                      <w:szCs w:val="21"/>
                    </w:rPr>
                    <w:t>PP新塑胶粒</w:t>
                  </w:r>
                </w:p>
              </w:tc>
              <w:tc>
                <w:tcPr>
                  <w:tcW w:w="747" w:type="pct"/>
                  <w:shd w:val="clear" w:color="auto" w:fill="auto"/>
                  <w:vAlign w:val="center"/>
                </w:tcPr>
                <w:p w14:paraId="244479DB">
                  <w:pPr>
                    <w:spacing w:line="240" w:lineRule="auto"/>
                    <w:ind w:firstLine="0" w:firstLineChars="0"/>
                    <w:jc w:val="center"/>
                    <w:rPr>
                      <w:rFonts w:cs="宋体"/>
                      <w:color w:val="auto"/>
                      <w:sz w:val="21"/>
                      <w:szCs w:val="21"/>
                    </w:rPr>
                  </w:pPr>
                  <w:r>
                    <w:rPr>
                      <w:rFonts w:hint="eastAsia" w:cs="宋体"/>
                      <w:color w:val="auto"/>
                      <w:sz w:val="21"/>
                      <w:szCs w:val="21"/>
                    </w:rPr>
                    <w:t>100</w:t>
                  </w:r>
                </w:p>
              </w:tc>
              <w:tc>
                <w:tcPr>
                  <w:tcW w:w="831" w:type="pct"/>
                  <w:vAlign w:val="center"/>
                </w:tcPr>
                <w:p w14:paraId="66B4096B">
                  <w:pPr>
                    <w:spacing w:line="240" w:lineRule="auto"/>
                    <w:ind w:firstLine="0" w:firstLineChars="0"/>
                    <w:jc w:val="center"/>
                    <w:rPr>
                      <w:color w:val="auto"/>
                      <w:sz w:val="21"/>
                      <w:szCs w:val="21"/>
                    </w:rPr>
                  </w:pPr>
                  <w:r>
                    <w:rPr>
                      <w:rFonts w:hint="eastAsia"/>
                      <w:color w:val="auto"/>
                      <w:sz w:val="21"/>
                      <w:szCs w:val="21"/>
                    </w:rPr>
                    <w:t>产品合计</w:t>
                  </w:r>
                </w:p>
              </w:tc>
              <w:tc>
                <w:tcPr>
                  <w:tcW w:w="731" w:type="pct"/>
                  <w:shd w:val="clear" w:color="auto" w:fill="auto"/>
                  <w:vAlign w:val="center"/>
                </w:tcPr>
                <w:p w14:paraId="1ED22026">
                  <w:pPr>
                    <w:spacing w:line="240" w:lineRule="auto"/>
                    <w:ind w:firstLine="0" w:firstLineChars="0"/>
                    <w:jc w:val="center"/>
                    <w:rPr>
                      <w:rFonts w:cs="宋体"/>
                      <w:color w:val="auto"/>
                      <w:sz w:val="21"/>
                      <w:szCs w:val="21"/>
                    </w:rPr>
                  </w:pPr>
                  <w:r>
                    <w:rPr>
                      <w:rFonts w:hint="eastAsia" w:cs="宋体"/>
                      <w:color w:val="auto"/>
                      <w:sz w:val="21"/>
                      <w:szCs w:val="21"/>
                    </w:rPr>
                    <w:t>1000</w:t>
                  </w:r>
                </w:p>
              </w:tc>
              <w:tc>
                <w:tcPr>
                  <w:tcW w:w="837" w:type="pct"/>
                  <w:shd w:val="clear" w:color="auto" w:fill="auto"/>
                  <w:vAlign w:val="center"/>
                </w:tcPr>
                <w:p w14:paraId="2159B848">
                  <w:pPr>
                    <w:spacing w:line="240" w:lineRule="auto"/>
                    <w:ind w:firstLine="0" w:firstLineChars="0"/>
                    <w:jc w:val="center"/>
                    <w:rPr>
                      <w:color w:val="auto"/>
                      <w:sz w:val="21"/>
                      <w:szCs w:val="21"/>
                    </w:rPr>
                  </w:pPr>
                  <w:r>
                    <w:rPr>
                      <w:rFonts w:hint="eastAsia"/>
                      <w:color w:val="auto"/>
                      <w:sz w:val="21"/>
                      <w:szCs w:val="21"/>
                    </w:rPr>
                    <w:t>颗粒物</w:t>
                  </w:r>
                </w:p>
              </w:tc>
              <w:tc>
                <w:tcPr>
                  <w:tcW w:w="835" w:type="pct"/>
                  <w:shd w:val="clear" w:color="auto" w:fill="auto"/>
                  <w:vAlign w:val="center"/>
                </w:tcPr>
                <w:p w14:paraId="484456EE">
                  <w:pPr>
                    <w:spacing w:line="240" w:lineRule="auto"/>
                    <w:ind w:firstLine="0" w:firstLineChars="0"/>
                    <w:jc w:val="center"/>
                    <w:rPr>
                      <w:color w:val="auto"/>
                      <w:sz w:val="21"/>
                      <w:szCs w:val="21"/>
                    </w:rPr>
                  </w:pPr>
                  <w:r>
                    <w:rPr>
                      <w:rFonts w:hint="eastAsia"/>
                      <w:color w:val="auto"/>
                      <w:sz w:val="21"/>
                      <w:szCs w:val="21"/>
                    </w:rPr>
                    <w:t>1.0144</w:t>
                  </w:r>
                </w:p>
              </w:tc>
            </w:tr>
            <w:tr w14:paraId="01CEE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17" w:type="pct"/>
                  <w:vAlign w:val="center"/>
                </w:tcPr>
                <w:p w14:paraId="19DEE482">
                  <w:pPr>
                    <w:spacing w:line="240" w:lineRule="auto"/>
                    <w:ind w:firstLine="0" w:firstLineChars="0"/>
                    <w:jc w:val="center"/>
                    <w:rPr>
                      <w:rFonts w:cs="宋体"/>
                      <w:color w:val="auto"/>
                      <w:sz w:val="21"/>
                      <w:szCs w:val="21"/>
                    </w:rPr>
                  </w:pPr>
                  <w:r>
                    <w:rPr>
                      <w:rFonts w:hint="eastAsia" w:cs="宋体"/>
                      <w:color w:val="auto"/>
                      <w:sz w:val="21"/>
                      <w:szCs w:val="21"/>
                    </w:rPr>
                    <w:t>PS塑胶粒</w:t>
                  </w:r>
                </w:p>
              </w:tc>
              <w:tc>
                <w:tcPr>
                  <w:tcW w:w="747" w:type="pct"/>
                  <w:shd w:val="clear" w:color="auto" w:fill="auto"/>
                  <w:vAlign w:val="center"/>
                </w:tcPr>
                <w:p w14:paraId="07502949">
                  <w:pPr>
                    <w:spacing w:line="240" w:lineRule="auto"/>
                    <w:ind w:firstLine="0" w:firstLineChars="0"/>
                    <w:jc w:val="center"/>
                    <w:rPr>
                      <w:rFonts w:cs="宋体"/>
                      <w:color w:val="auto"/>
                      <w:sz w:val="21"/>
                      <w:szCs w:val="21"/>
                    </w:rPr>
                  </w:pPr>
                  <w:r>
                    <w:rPr>
                      <w:rFonts w:hint="eastAsia" w:cs="宋体"/>
                      <w:color w:val="auto"/>
                      <w:sz w:val="21"/>
                      <w:szCs w:val="21"/>
                    </w:rPr>
                    <w:t>15.6144</w:t>
                  </w:r>
                </w:p>
              </w:tc>
              <w:tc>
                <w:tcPr>
                  <w:tcW w:w="831" w:type="pct"/>
                  <w:vAlign w:val="center"/>
                </w:tcPr>
                <w:p w14:paraId="15EF7DEF">
                  <w:pPr>
                    <w:spacing w:line="240" w:lineRule="auto"/>
                    <w:ind w:firstLine="0" w:firstLineChars="0"/>
                    <w:jc w:val="center"/>
                    <w:rPr>
                      <w:color w:val="auto"/>
                      <w:sz w:val="21"/>
                      <w:szCs w:val="21"/>
                    </w:rPr>
                  </w:pPr>
                  <w:r>
                    <w:rPr>
                      <w:rFonts w:hint="eastAsia"/>
                      <w:color w:val="auto"/>
                      <w:sz w:val="21"/>
                      <w:szCs w:val="21"/>
                    </w:rPr>
                    <w:t>/</w:t>
                  </w:r>
                </w:p>
              </w:tc>
              <w:tc>
                <w:tcPr>
                  <w:tcW w:w="731" w:type="pct"/>
                  <w:shd w:val="clear" w:color="auto" w:fill="auto"/>
                  <w:vAlign w:val="center"/>
                </w:tcPr>
                <w:p w14:paraId="3D4BDE00">
                  <w:pPr>
                    <w:spacing w:line="240" w:lineRule="auto"/>
                    <w:ind w:firstLine="0" w:firstLineChars="0"/>
                    <w:jc w:val="center"/>
                    <w:rPr>
                      <w:rFonts w:cs="宋体"/>
                      <w:color w:val="auto"/>
                      <w:sz w:val="21"/>
                      <w:szCs w:val="21"/>
                    </w:rPr>
                  </w:pPr>
                  <w:r>
                    <w:rPr>
                      <w:rFonts w:hint="eastAsia" w:cs="宋体"/>
                      <w:color w:val="auto"/>
                      <w:sz w:val="21"/>
                      <w:szCs w:val="21"/>
                    </w:rPr>
                    <w:t>/</w:t>
                  </w:r>
                </w:p>
              </w:tc>
              <w:tc>
                <w:tcPr>
                  <w:tcW w:w="837" w:type="pct"/>
                  <w:shd w:val="clear" w:color="auto" w:fill="auto"/>
                  <w:vAlign w:val="center"/>
                </w:tcPr>
                <w:p w14:paraId="012C38D3">
                  <w:pPr>
                    <w:spacing w:line="240" w:lineRule="auto"/>
                    <w:ind w:firstLine="0" w:firstLineChars="0"/>
                    <w:jc w:val="center"/>
                    <w:rPr>
                      <w:color w:val="auto"/>
                      <w:sz w:val="21"/>
                      <w:szCs w:val="21"/>
                    </w:rPr>
                  </w:pPr>
                  <w:r>
                    <w:rPr>
                      <w:rFonts w:hint="eastAsia"/>
                      <w:color w:val="auto"/>
                      <w:sz w:val="21"/>
                      <w:szCs w:val="21"/>
                    </w:rPr>
                    <w:t>损耗合计</w:t>
                  </w:r>
                </w:p>
              </w:tc>
              <w:tc>
                <w:tcPr>
                  <w:tcW w:w="835" w:type="pct"/>
                  <w:shd w:val="clear" w:color="auto" w:fill="auto"/>
                  <w:vAlign w:val="center"/>
                </w:tcPr>
                <w:p w14:paraId="2D09D111">
                  <w:pPr>
                    <w:spacing w:line="240" w:lineRule="auto"/>
                    <w:ind w:firstLine="0" w:firstLineChars="0"/>
                    <w:jc w:val="center"/>
                    <w:rPr>
                      <w:color w:val="auto"/>
                      <w:sz w:val="21"/>
                      <w:szCs w:val="21"/>
                    </w:rPr>
                  </w:pPr>
                  <w:r>
                    <w:rPr>
                      <w:rFonts w:hint="eastAsia"/>
                      <w:color w:val="auto"/>
                      <w:sz w:val="21"/>
                      <w:szCs w:val="21"/>
                    </w:rPr>
                    <w:t>5.6144</w:t>
                  </w:r>
                </w:p>
              </w:tc>
            </w:tr>
            <w:tr w14:paraId="79F19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17" w:type="pct"/>
                  <w:vAlign w:val="center"/>
                </w:tcPr>
                <w:p w14:paraId="1BBE7010">
                  <w:pPr>
                    <w:spacing w:line="240" w:lineRule="auto"/>
                    <w:ind w:firstLine="0" w:firstLineChars="0"/>
                    <w:jc w:val="center"/>
                    <w:rPr>
                      <w:rFonts w:cs="宋体"/>
                      <w:color w:val="auto"/>
                      <w:sz w:val="21"/>
                      <w:szCs w:val="21"/>
                    </w:rPr>
                  </w:pPr>
                  <w:r>
                    <w:rPr>
                      <w:rFonts w:hint="eastAsia" w:cs="宋体"/>
                      <w:color w:val="auto"/>
                      <w:sz w:val="21"/>
                      <w:szCs w:val="21"/>
                    </w:rPr>
                    <w:t>软化油</w:t>
                  </w:r>
                </w:p>
              </w:tc>
              <w:tc>
                <w:tcPr>
                  <w:tcW w:w="747" w:type="pct"/>
                  <w:shd w:val="clear" w:color="auto" w:fill="auto"/>
                  <w:vAlign w:val="center"/>
                </w:tcPr>
                <w:p w14:paraId="18C41ABB">
                  <w:pPr>
                    <w:spacing w:line="240" w:lineRule="auto"/>
                    <w:ind w:firstLine="0" w:firstLineChars="0"/>
                    <w:jc w:val="center"/>
                    <w:rPr>
                      <w:rFonts w:cs="宋体"/>
                      <w:color w:val="auto"/>
                      <w:sz w:val="21"/>
                      <w:szCs w:val="21"/>
                    </w:rPr>
                  </w:pPr>
                  <w:r>
                    <w:rPr>
                      <w:rFonts w:hint="eastAsia" w:cs="宋体"/>
                      <w:color w:val="auto"/>
                      <w:sz w:val="21"/>
                      <w:szCs w:val="21"/>
                    </w:rPr>
                    <w:t>390</w:t>
                  </w:r>
                </w:p>
              </w:tc>
              <w:tc>
                <w:tcPr>
                  <w:tcW w:w="831" w:type="pct"/>
                  <w:vAlign w:val="center"/>
                </w:tcPr>
                <w:p w14:paraId="52023898">
                  <w:pPr>
                    <w:spacing w:line="240" w:lineRule="auto"/>
                    <w:ind w:firstLine="0" w:firstLineChars="0"/>
                    <w:jc w:val="center"/>
                    <w:rPr>
                      <w:color w:val="auto"/>
                      <w:sz w:val="21"/>
                      <w:szCs w:val="21"/>
                    </w:rPr>
                  </w:pPr>
                </w:p>
              </w:tc>
              <w:tc>
                <w:tcPr>
                  <w:tcW w:w="731" w:type="pct"/>
                  <w:shd w:val="clear" w:color="auto" w:fill="auto"/>
                  <w:vAlign w:val="center"/>
                </w:tcPr>
                <w:p w14:paraId="6C087F1C">
                  <w:pPr>
                    <w:spacing w:line="240" w:lineRule="auto"/>
                    <w:ind w:firstLine="0" w:firstLineChars="0"/>
                    <w:jc w:val="center"/>
                    <w:rPr>
                      <w:rFonts w:cs="宋体"/>
                      <w:color w:val="auto"/>
                      <w:sz w:val="21"/>
                      <w:szCs w:val="21"/>
                    </w:rPr>
                  </w:pPr>
                </w:p>
              </w:tc>
              <w:tc>
                <w:tcPr>
                  <w:tcW w:w="837" w:type="pct"/>
                  <w:shd w:val="clear" w:color="auto" w:fill="auto"/>
                </w:tcPr>
                <w:p w14:paraId="3B64E5B7">
                  <w:pPr>
                    <w:spacing w:line="240" w:lineRule="auto"/>
                    <w:ind w:firstLine="0" w:firstLineChars="0"/>
                    <w:jc w:val="center"/>
                    <w:rPr>
                      <w:color w:val="auto"/>
                      <w:sz w:val="21"/>
                      <w:szCs w:val="21"/>
                    </w:rPr>
                  </w:pPr>
                  <w:r>
                    <w:rPr>
                      <w:rFonts w:hint="eastAsia"/>
                      <w:color w:val="auto"/>
                      <w:sz w:val="21"/>
                      <w:szCs w:val="21"/>
                    </w:rPr>
                    <w:t>/</w:t>
                  </w:r>
                </w:p>
              </w:tc>
              <w:tc>
                <w:tcPr>
                  <w:tcW w:w="835" w:type="pct"/>
                  <w:shd w:val="clear" w:color="auto" w:fill="auto"/>
                </w:tcPr>
                <w:p w14:paraId="7C8F0391">
                  <w:pPr>
                    <w:spacing w:line="240" w:lineRule="auto"/>
                    <w:ind w:firstLine="0" w:firstLineChars="0"/>
                    <w:jc w:val="center"/>
                    <w:rPr>
                      <w:color w:val="auto"/>
                      <w:sz w:val="21"/>
                      <w:szCs w:val="21"/>
                    </w:rPr>
                  </w:pPr>
                  <w:r>
                    <w:rPr>
                      <w:rFonts w:hint="eastAsia"/>
                      <w:color w:val="auto"/>
                      <w:sz w:val="21"/>
                      <w:szCs w:val="21"/>
                    </w:rPr>
                    <w:t>/</w:t>
                  </w:r>
                </w:p>
              </w:tc>
            </w:tr>
            <w:tr w14:paraId="05F66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17" w:type="pct"/>
                  <w:vAlign w:val="center"/>
                </w:tcPr>
                <w:p w14:paraId="763EBF2B">
                  <w:pPr>
                    <w:spacing w:line="240" w:lineRule="auto"/>
                    <w:ind w:firstLine="0" w:firstLineChars="0"/>
                    <w:jc w:val="center"/>
                    <w:rPr>
                      <w:rFonts w:cs="宋体"/>
                      <w:color w:val="auto"/>
                      <w:kern w:val="0"/>
                      <w:sz w:val="21"/>
                      <w:szCs w:val="21"/>
                    </w:rPr>
                  </w:pPr>
                  <w:r>
                    <w:rPr>
                      <w:rFonts w:hint="eastAsia" w:cs="宋体"/>
                      <w:color w:val="auto"/>
                      <w:kern w:val="0"/>
                      <w:sz w:val="21"/>
                      <w:szCs w:val="21"/>
                    </w:rPr>
                    <w:t>碳酸钙</w:t>
                  </w:r>
                </w:p>
              </w:tc>
              <w:tc>
                <w:tcPr>
                  <w:tcW w:w="747" w:type="pct"/>
                  <w:vAlign w:val="center"/>
                </w:tcPr>
                <w:p w14:paraId="44FD115B">
                  <w:pPr>
                    <w:spacing w:line="240" w:lineRule="auto"/>
                    <w:ind w:firstLine="0" w:firstLineChars="0"/>
                    <w:jc w:val="center"/>
                    <w:rPr>
                      <w:rFonts w:cs="宋体"/>
                      <w:color w:val="auto"/>
                      <w:sz w:val="21"/>
                      <w:szCs w:val="21"/>
                    </w:rPr>
                  </w:pPr>
                  <w:r>
                    <w:rPr>
                      <w:rFonts w:hint="eastAsia" w:cs="宋体"/>
                      <w:color w:val="auto"/>
                      <w:sz w:val="21"/>
                      <w:szCs w:val="21"/>
                    </w:rPr>
                    <w:t>400</w:t>
                  </w:r>
                </w:p>
              </w:tc>
              <w:tc>
                <w:tcPr>
                  <w:tcW w:w="831" w:type="pct"/>
                </w:tcPr>
                <w:p w14:paraId="2362AADB">
                  <w:pPr>
                    <w:spacing w:line="240" w:lineRule="auto"/>
                    <w:ind w:firstLine="0" w:firstLineChars="0"/>
                    <w:jc w:val="center"/>
                    <w:rPr>
                      <w:color w:val="auto"/>
                      <w:sz w:val="21"/>
                      <w:szCs w:val="21"/>
                    </w:rPr>
                  </w:pPr>
                </w:p>
              </w:tc>
              <w:tc>
                <w:tcPr>
                  <w:tcW w:w="731" w:type="pct"/>
                </w:tcPr>
                <w:p w14:paraId="568E63B2">
                  <w:pPr>
                    <w:spacing w:line="240" w:lineRule="auto"/>
                    <w:ind w:firstLine="0" w:firstLineChars="0"/>
                    <w:jc w:val="center"/>
                    <w:rPr>
                      <w:rFonts w:cs="宋体"/>
                      <w:color w:val="auto"/>
                      <w:sz w:val="21"/>
                      <w:szCs w:val="21"/>
                    </w:rPr>
                  </w:pPr>
                </w:p>
              </w:tc>
              <w:tc>
                <w:tcPr>
                  <w:tcW w:w="837" w:type="pct"/>
                </w:tcPr>
                <w:p w14:paraId="73E3D0C5">
                  <w:pPr>
                    <w:spacing w:line="240" w:lineRule="auto"/>
                    <w:ind w:firstLine="0" w:firstLineChars="0"/>
                    <w:jc w:val="center"/>
                    <w:rPr>
                      <w:color w:val="auto"/>
                      <w:sz w:val="21"/>
                      <w:szCs w:val="21"/>
                    </w:rPr>
                  </w:pPr>
                </w:p>
              </w:tc>
              <w:tc>
                <w:tcPr>
                  <w:tcW w:w="835" w:type="pct"/>
                </w:tcPr>
                <w:p w14:paraId="28BD1C9B">
                  <w:pPr>
                    <w:spacing w:line="240" w:lineRule="auto"/>
                    <w:ind w:firstLine="0" w:firstLineChars="0"/>
                    <w:jc w:val="center"/>
                    <w:rPr>
                      <w:color w:val="auto"/>
                      <w:sz w:val="21"/>
                      <w:szCs w:val="21"/>
                    </w:rPr>
                  </w:pPr>
                </w:p>
              </w:tc>
            </w:tr>
            <w:tr w14:paraId="097B1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17" w:type="pct"/>
                  <w:vAlign w:val="center"/>
                </w:tcPr>
                <w:p w14:paraId="15D1210D">
                  <w:pPr>
                    <w:spacing w:line="240" w:lineRule="auto"/>
                    <w:ind w:firstLine="0" w:firstLineChars="0"/>
                    <w:jc w:val="center"/>
                    <w:rPr>
                      <w:rFonts w:cs="宋体"/>
                      <w:color w:val="auto"/>
                      <w:kern w:val="0"/>
                      <w:sz w:val="21"/>
                      <w:szCs w:val="21"/>
                    </w:rPr>
                  </w:pPr>
                  <w:bookmarkStart w:id="112" w:name="OLE_LINK278"/>
                  <w:r>
                    <w:rPr>
                      <w:rFonts w:hint="eastAsia" w:cs="宋体"/>
                      <w:b/>
                      <w:bCs/>
                      <w:color w:val="auto"/>
                      <w:kern w:val="0"/>
                      <w:sz w:val="21"/>
                      <w:szCs w:val="21"/>
                    </w:rPr>
                    <w:t>输入合计</w:t>
                  </w:r>
                  <w:bookmarkEnd w:id="112"/>
                </w:p>
              </w:tc>
              <w:tc>
                <w:tcPr>
                  <w:tcW w:w="747" w:type="pct"/>
                  <w:vAlign w:val="center"/>
                </w:tcPr>
                <w:p w14:paraId="2F7A908E">
                  <w:pPr>
                    <w:spacing w:line="240" w:lineRule="auto"/>
                    <w:ind w:firstLine="0" w:firstLineChars="0"/>
                    <w:jc w:val="center"/>
                    <w:rPr>
                      <w:rFonts w:cs="宋体"/>
                      <w:color w:val="auto"/>
                      <w:sz w:val="21"/>
                      <w:szCs w:val="21"/>
                    </w:rPr>
                  </w:pPr>
                  <w:r>
                    <w:rPr>
                      <w:rFonts w:hint="eastAsia" w:cs="宋体"/>
                      <w:color w:val="auto"/>
                      <w:sz w:val="21"/>
                      <w:szCs w:val="21"/>
                    </w:rPr>
                    <w:t>1005.6144</w:t>
                  </w:r>
                </w:p>
              </w:tc>
              <w:tc>
                <w:tcPr>
                  <w:tcW w:w="2399" w:type="pct"/>
                  <w:gridSpan w:val="3"/>
                </w:tcPr>
                <w:p w14:paraId="2566BA35">
                  <w:pPr>
                    <w:spacing w:line="240" w:lineRule="auto"/>
                    <w:ind w:firstLine="0" w:firstLineChars="0"/>
                    <w:jc w:val="center"/>
                    <w:rPr>
                      <w:color w:val="auto"/>
                      <w:sz w:val="21"/>
                      <w:szCs w:val="21"/>
                    </w:rPr>
                  </w:pPr>
                  <w:bookmarkStart w:id="113" w:name="OLE_LINK279"/>
                  <w:r>
                    <w:rPr>
                      <w:rFonts w:hint="eastAsia"/>
                      <w:b/>
                      <w:bCs/>
                      <w:color w:val="auto"/>
                      <w:sz w:val="21"/>
                      <w:szCs w:val="21"/>
                    </w:rPr>
                    <w:t>输出合计</w:t>
                  </w:r>
                  <w:bookmarkEnd w:id="113"/>
                </w:p>
              </w:tc>
              <w:tc>
                <w:tcPr>
                  <w:tcW w:w="835" w:type="pct"/>
                </w:tcPr>
                <w:p w14:paraId="7A2116EA">
                  <w:pPr>
                    <w:spacing w:line="240" w:lineRule="auto"/>
                    <w:ind w:firstLine="0" w:firstLineChars="0"/>
                    <w:jc w:val="center"/>
                    <w:rPr>
                      <w:color w:val="auto"/>
                      <w:sz w:val="21"/>
                      <w:szCs w:val="21"/>
                    </w:rPr>
                  </w:pPr>
                  <w:r>
                    <w:rPr>
                      <w:rFonts w:hint="eastAsia"/>
                      <w:color w:val="auto"/>
                      <w:sz w:val="21"/>
                      <w:szCs w:val="21"/>
                    </w:rPr>
                    <w:t>1005.6144</w:t>
                  </w:r>
                </w:p>
              </w:tc>
            </w:tr>
            <w:tr w14:paraId="54F66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17" w:type="pct"/>
                  <w:vAlign w:val="center"/>
                </w:tcPr>
                <w:p w14:paraId="7E468918">
                  <w:pPr>
                    <w:spacing w:line="240" w:lineRule="auto"/>
                    <w:ind w:firstLine="0" w:firstLineChars="0"/>
                    <w:jc w:val="center"/>
                    <w:rPr>
                      <w:color w:val="auto"/>
                      <w:sz w:val="21"/>
                      <w:szCs w:val="21"/>
                    </w:rPr>
                  </w:pPr>
                  <w:r>
                    <w:rPr>
                      <w:rFonts w:hint="eastAsia"/>
                      <w:color w:val="auto"/>
                      <w:sz w:val="21"/>
                      <w:szCs w:val="21"/>
                    </w:rPr>
                    <w:t>原料名称</w:t>
                  </w:r>
                </w:p>
              </w:tc>
              <w:tc>
                <w:tcPr>
                  <w:tcW w:w="747" w:type="pct"/>
                  <w:vAlign w:val="center"/>
                </w:tcPr>
                <w:p w14:paraId="5F6D6CA4">
                  <w:pPr>
                    <w:spacing w:line="240" w:lineRule="auto"/>
                    <w:ind w:firstLine="0" w:firstLineChars="0"/>
                    <w:jc w:val="center"/>
                    <w:rPr>
                      <w:rFonts w:cs="宋体"/>
                      <w:color w:val="auto"/>
                      <w:sz w:val="21"/>
                      <w:szCs w:val="21"/>
                    </w:rPr>
                  </w:pPr>
                  <w:r>
                    <w:rPr>
                      <w:rFonts w:hint="eastAsia" w:cs="宋体"/>
                      <w:color w:val="auto"/>
                      <w:sz w:val="21"/>
                      <w:szCs w:val="21"/>
                    </w:rPr>
                    <w:t>用量（t/a）</w:t>
                  </w:r>
                </w:p>
              </w:tc>
              <w:tc>
                <w:tcPr>
                  <w:tcW w:w="831" w:type="pct"/>
                  <w:vAlign w:val="center"/>
                </w:tcPr>
                <w:p w14:paraId="3A07DFC6">
                  <w:pPr>
                    <w:spacing w:line="240" w:lineRule="auto"/>
                    <w:ind w:firstLine="0" w:firstLineChars="0"/>
                    <w:jc w:val="center"/>
                    <w:rPr>
                      <w:color w:val="auto"/>
                      <w:sz w:val="21"/>
                      <w:szCs w:val="21"/>
                    </w:rPr>
                  </w:pPr>
                  <w:r>
                    <w:rPr>
                      <w:rFonts w:hint="eastAsia"/>
                      <w:color w:val="auto"/>
                      <w:sz w:val="21"/>
                      <w:szCs w:val="21"/>
                    </w:rPr>
                    <w:t>产品名称</w:t>
                  </w:r>
                </w:p>
              </w:tc>
              <w:tc>
                <w:tcPr>
                  <w:tcW w:w="731" w:type="pct"/>
                  <w:vAlign w:val="center"/>
                </w:tcPr>
                <w:p w14:paraId="7A034266">
                  <w:pPr>
                    <w:spacing w:line="240" w:lineRule="auto"/>
                    <w:ind w:firstLine="0" w:firstLineChars="0"/>
                    <w:jc w:val="center"/>
                    <w:rPr>
                      <w:rFonts w:cs="宋体"/>
                      <w:color w:val="auto"/>
                      <w:sz w:val="21"/>
                      <w:szCs w:val="21"/>
                    </w:rPr>
                  </w:pPr>
                  <w:r>
                    <w:rPr>
                      <w:rFonts w:hint="eastAsia" w:cs="宋体"/>
                      <w:color w:val="auto"/>
                      <w:sz w:val="21"/>
                      <w:szCs w:val="21"/>
                    </w:rPr>
                    <w:t>产量（t/a）</w:t>
                  </w:r>
                </w:p>
              </w:tc>
              <w:tc>
                <w:tcPr>
                  <w:tcW w:w="837" w:type="pct"/>
                  <w:vAlign w:val="center"/>
                </w:tcPr>
                <w:p w14:paraId="7B3CA29D">
                  <w:pPr>
                    <w:spacing w:line="240" w:lineRule="auto"/>
                    <w:ind w:firstLine="0" w:firstLineChars="0"/>
                    <w:jc w:val="center"/>
                    <w:rPr>
                      <w:color w:val="auto"/>
                      <w:sz w:val="21"/>
                      <w:szCs w:val="21"/>
                    </w:rPr>
                  </w:pPr>
                  <w:r>
                    <w:rPr>
                      <w:rFonts w:hint="eastAsia"/>
                      <w:color w:val="auto"/>
                      <w:sz w:val="21"/>
                      <w:szCs w:val="21"/>
                    </w:rPr>
                    <w:t>损耗（废气）</w:t>
                  </w:r>
                </w:p>
              </w:tc>
              <w:tc>
                <w:tcPr>
                  <w:tcW w:w="835" w:type="pct"/>
                  <w:vAlign w:val="center"/>
                </w:tcPr>
                <w:p w14:paraId="5C5FB7DE">
                  <w:pPr>
                    <w:spacing w:line="240" w:lineRule="auto"/>
                    <w:ind w:firstLine="0" w:firstLineChars="0"/>
                    <w:jc w:val="center"/>
                    <w:rPr>
                      <w:color w:val="auto"/>
                      <w:sz w:val="21"/>
                      <w:szCs w:val="21"/>
                    </w:rPr>
                  </w:pPr>
                  <w:r>
                    <w:rPr>
                      <w:rFonts w:hint="eastAsia"/>
                      <w:color w:val="auto"/>
                      <w:sz w:val="21"/>
                      <w:szCs w:val="21"/>
                    </w:rPr>
                    <w:t>产生量（t/a）</w:t>
                  </w:r>
                </w:p>
              </w:tc>
            </w:tr>
            <w:tr w14:paraId="05EE2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17" w:type="pct"/>
                  <w:vAlign w:val="center"/>
                </w:tcPr>
                <w:p w14:paraId="7AF3EB3D">
                  <w:pPr>
                    <w:spacing w:line="240" w:lineRule="auto"/>
                    <w:ind w:firstLine="0" w:firstLineChars="0"/>
                    <w:jc w:val="center"/>
                    <w:rPr>
                      <w:color w:val="auto"/>
                      <w:sz w:val="21"/>
                      <w:szCs w:val="21"/>
                    </w:rPr>
                  </w:pPr>
                  <w:r>
                    <w:rPr>
                      <w:rFonts w:hint="eastAsia"/>
                      <w:color w:val="auto"/>
                      <w:sz w:val="21"/>
                      <w:szCs w:val="21"/>
                    </w:rPr>
                    <w:t>TPE热塑性弹性体（厂内生产）</w:t>
                  </w:r>
                </w:p>
              </w:tc>
              <w:tc>
                <w:tcPr>
                  <w:tcW w:w="747" w:type="pct"/>
                  <w:vAlign w:val="center"/>
                </w:tcPr>
                <w:p w14:paraId="4B1B671A">
                  <w:pPr>
                    <w:spacing w:line="240" w:lineRule="auto"/>
                    <w:ind w:firstLine="0" w:firstLineChars="0"/>
                    <w:jc w:val="center"/>
                    <w:rPr>
                      <w:rFonts w:cs="宋体"/>
                      <w:color w:val="auto"/>
                      <w:sz w:val="21"/>
                      <w:szCs w:val="21"/>
                    </w:rPr>
                  </w:pPr>
                  <w:r>
                    <w:rPr>
                      <w:rFonts w:hint="eastAsia" w:cs="宋体"/>
                      <w:color w:val="auto"/>
                      <w:sz w:val="21"/>
                      <w:szCs w:val="21"/>
                    </w:rPr>
                    <w:t>200.4736</w:t>
                  </w:r>
                </w:p>
              </w:tc>
              <w:tc>
                <w:tcPr>
                  <w:tcW w:w="831" w:type="pct"/>
                  <w:vAlign w:val="center"/>
                </w:tcPr>
                <w:p w14:paraId="1F834EB6">
                  <w:pPr>
                    <w:spacing w:line="240" w:lineRule="auto"/>
                    <w:ind w:firstLine="0" w:firstLineChars="0"/>
                    <w:jc w:val="center"/>
                    <w:rPr>
                      <w:color w:val="auto"/>
                      <w:sz w:val="21"/>
                      <w:szCs w:val="21"/>
                    </w:rPr>
                  </w:pPr>
                  <w:r>
                    <w:rPr>
                      <w:rFonts w:hint="eastAsia"/>
                      <w:color w:val="auto"/>
                      <w:sz w:val="21"/>
                      <w:szCs w:val="21"/>
                    </w:rPr>
                    <w:t>仿真娃娃</w:t>
                  </w:r>
                </w:p>
              </w:tc>
              <w:tc>
                <w:tcPr>
                  <w:tcW w:w="731" w:type="pct"/>
                  <w:vAlign w:val="center"/>
                </w:tcPr>
                <w:p w14:paraId="0D5FE813">
                  <w:pPr>
                    <w:spacing w:line="240" w:lineRule="auto"/>
                    <w:ind w:firstLine="0" w:firstLineChars="0"/>
                    <w:jc w:val="center"/>
                    <w:rPr>
                      <w:rFonts w:cs="宋体"/>
                      <w:color w:val="auto"/>
                      <w:sz w:val="21"/>
                      <w:szCs w:val="21"/>
                    </w:rPr>
                  </w:pPr>
                  <w:r>
                    <w:rPr>
                      <w:rFonts w:hint="eastAsia" w:cs="宋体"/>
                      <w:color w:val="auto"/>
                      <w:sz w:val="21"/>
                      <w:szCs w:val="21"/>
                    </w:rPr>
                    <w:t>200</w:t>
                  </w:r>
                </w:p>
              </w:tc>
              <w:tc>
                <w:tcPr>
                  <w:tcW w:w="837" w:type="pct"/>
                  <w:vAlign w:val="center"/>
                </w:tcPr>
                <w:p w14:paraId="0BA34C84">
                  <w:pPr>
                    <w:spacing w:line="240" w:lineRule="auto"/>
                    <w:ind w:firstLine="0" w:firstLineChars="0"/>
                    <w:jc w:val="center"/>
                    <w:rPr>
                      <w:color w:val="auto"/>
                      <w:sz w:val="21"/>
                      <w:szCs w:val="21"/>
                    </w:rPr>
                  </w:pPr>
                  <w:r>
                    <w:rPr>
                      <w:rFonts w:hint="eastAsia"/>
                      <w:color w:val="auto"/>
                      <w:sz w:val="21"/>
                      <w:szCs w:val="21"/>
                    </w:rPr>
                    <w:t>非甲烷总烃</w:t>
                  </w:r>
                </w:p>
              </w:tc>
              <w:tc>
                <w:tcPr>
                  <w:tcW w:w="835" w:type="pct"/>
                  <w:vAlign w:val="center"/>
                </w:tcPr>
                <w:p w14:paraId="6739F42E">
                  <w:pPr>
                    <w:spacing w:line="240" w:lineRule="auto"/>
                    <w:ind w:firstLine="0" w:firstLineChars="0"/>
                    <w:jc w:val="center"/>
                    <w:rPr>
                      <w:color w:val="auto"/>
                      <w:sz w:val="21"/>
                      <w:szCs w:val="21"/>
                    </w:rPr>
                  </w:pPr>
                  <w:bookmarkStart w:id="114" w:name="OLE_LINK305"/>
                  <w:r>
                    <w:rPr>
                      <w:rFonts w:hint="eastAsia"/>
                      <w:color w:val="auto"/>
                      <w:sz w:val="21"/>
                      <w:szCs w:val="21"/>
                    </w:rPr>
                    <w:t>0.4736</w:t>
                  </w:r>
                  <w:bookmarkEnd w:id="114"/>
                </w:p>
              </w:tc>
            </w:tr>
            <w:tr w14:paraId="040FB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17" w:type="pct"/>
                  <w:vAlign w:val="center"/>
                </w:tcPr>
                <w:p w14:paraId="4FB0C76B">
                  <w:pPr>
                    <w:spacing w:line="240" w:lineRule="auto"/>
                    <w:ind w:firstLine="0" w:firstLineChars="0"/>
                    <w:jc w:val="center"/>
                    <w:rPr>
                      <w:color w:val="auto"/>
                      <w:sz w:val="21"/>
                      <w:szCs w:val="21"/>
                    </w:rPr>
                  </w:pPr>
                  <w:r>
                    <w:rPr>
                      <w:rFonts w:hint="eastAsia"/>
                      <w:b/>
                      <w:bCs/>
                      <w:color w:val="auto"/>
                      <w:sz w:val="21"/>
                      <w:szCs w:val="21"/>
                    </w:rPr>
                    <w:t>输入合计</w:t>
                  </w:r>
                </w:p>
              </w:tc>
              <w:tc>
                <w:tcPr>
                  <w:tcW w:w="747" w:type="pct"/>
                  <w:vAlign w:val="center"/>
                </w:tcPr>
                <w:p w14:paraId="6CE21E9E">
                  <w:pPr>
                    <w:spacing w:line="240" w:lineRule="auto"/>
                    <w:ind w:firstLine="0" w:firstLineChars="0"/>
                    <w:jc w:val="center"/>
                    <w:rPr>
                      <w:rFonts w:cs="宋体"/>
                      <w:color w:val="auto"/>
                      <w:sz w:val="21"/>
                      <w:szCs w:val="21"/>
                    </w:rPr>
                  </w:pPr>
                  <w:r>
                    <w:rPr>
                      <w:rFonts w:hint="eastAsia" w:cs="宋体"/>
                      <w:color w:val="auto"/>
                      <w:sz w:val="21"/>
                      <w:szCs w:val="21"/>
                    </w:rPr>
                    <w:t>200.4736</w:t>
                  </w:r>
                </w:p>
              </w:tc>
              <w:tc>
                <w:tcPr>
                  <w:tcW w:w="831" w:type="pct"/>
                  <w:vAlign w:val="center"/>
                </w:tcPr>
                <w:p w14:paraId="64F9FE8F">
                  <w:pPr>
                    <w:spacing w:line="240" w:lineRule="auto"/>
                    <w:ind w:firstLine="0" w:firstLineChars="0"/>
                    <w:jc w:val="center"/>
                    <w:rPr>
                      <w:color w:val="auto"/>
                      <w:sz w:val="21"/>
                      <w:szCs w:val="21"/>
                    </w:rPr>
                  </w:pPr>
                  <w:r>
                    <w:rPr>
                      <w:rFonts w:hint="eastAsia"/>
                      <w:color w:val="auto"/>
                      <w:sz w:val="21"/>
                      <w:szCs w:val="21"/>
                    </w:rPr>
                    <w:t>/</w:t>
                  </w:r>
                </w:p>
              </w:tc>
              <w:tc>
                <w:tcPr>
                  <w:tcW w:w="731" w:type="pct"/>
                  <w:vAlign w:val="center"/>
                </w:tcPr>
                <w:p w14:paraId="4FC436BF">
                  <w:pPr>
                    <w:spacing w:line="240" w:lineRule="auto"/>
                    <w:ind w:firstLine="0" w:firstLineChars="0"/>
                    <w:jc w:val="center"/>
                    <w:rPr>
                      <w:rFonts w:cs="宋体"/>
                      <w:color w:val="auto"/>
                      <w:sz w:val="21"/>
                      <w:szCs w:val="21"/>
                    </w:rPr>
                  </w:pPr>
                  <w:r>
                    <w:rPr>
                      <w:rFonts w:hint="eastAsia" w:cs="宋体"/>
                      <w:color w:val="auto"/>
                      <w:sz w:val="21"/>
                      <w:szCs w:val="21"/>
                    </w:rPr>
                    <w:t>/</w:t>
                  </w:r>
                </w:p>
              </w:tc>
              <w:tc>
                <w:tcPr>
                  <w:tcW w:w="837" w:type="pct"/>
                  <w:vAlign w:val="center"/>
                </w:tcPr>
                <w:p w14:paraId="53481111">
                  <w:pPr>
                    <w:spacing w:line="240" w:lineRule="auto"/>
                    <w:ind w:firstLine="0" w:firstLineChars="0"/>
                    <w:jc w:val="center"/>
                    <w:rPr>
                      <w:color w:val="auto"/>
                      <w:sz w:val="21"/>
                      <w:szCs w:val="21"/>
                    </w:rPr>
                  </w:pPr>
                  <w:r>
                    <w:rPr>
                      <w:rFonts w:hint="eastAsia"/>
                      <w:color w:val="auto"/>
                      <w:sz w:val="21"/>
                      <w:szCs w:val="21"/>
                    </w:rPr>
                    <w:t>损耗合计</w:t>
                  </w:r>
                </w:p>
              </w:tc>
              <w:tc>
                <w:tcPr>
                  <w:tcW w:w="835" w:type="pct"/>
                  <w:vAlign w:val="center"/>
                </w:tcPr>
                <w:p w14:paraId="6302885B">
                  <w:pPr>
                    <w:spacing w:line="240" w:lineRule="auto"/>
                    <w:ind w:firstLine="0" w:firstLineChars="0"/>
                    <w:jc w:val="center"/>
                    <w:rPr>
                      <w:color w:val="auto"/>
                      <w:sz w:val="21"/>
                      <w:szCs w:val="21"/>
                    </w:rPr>
                  </w:pPr>
                  <w:r>
                    <w:rPr>
                      <w:rFonts w:hint="eastAsia"/>
                      <w:color w:val="auto"/>
                      <w:sz w:val="21"/>
                      <w:szCs w:val="21"/>
                    </w:rPr>
                    <w:t>0.4736</w:t>
                  </w:r>
                </w:p>
              </w:tc>
            </w:tr>
            <w:tr w14:paraId="691E4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017" w:type="pct"/>
                  <w:vAlign w:val="center"/>
                </w:tcPr>
                <w:p w14:paraId="7C54368B">
                  <w:pPr>
                    <w:spacing w:line="240" w:lineRule="auto"/>
                    <w:ind w:firstLine="0" w:firstLineChars="0"/>
                    <w:jc w:val="center"/>
                    <w:rPr>
                      <w:color w:val="auto"/>
                      <w:sz w:val="21"/>
                      <w:szCs w:val="21"/>
                    </w:rPr>
                  </w:pPr>
                  <w:r>
                    <w:rPr>
                      <w:rFonts w:hint="eastAsia"/>
                      <w:color w:val="auto"/>
                      <w:sz w:val="21"/>
                      <w:szCs w:val="21"/>
                    </w:rPr>
                    <w:t>/</w:t>
                  </w:r>
                </w:p>
              </w:tc>
              <w:tc>
                <w:tcPr>
                  <w:tcW w:w="747" w:type="pct"/>
                  <w:vAlign w:val="center"/>
                </w:tcPr>
                <w:p w14:paraId="2AEDF58B">
                  <w:pPr>
                    <w:spacing w:line="240" w:lineRule="auto"/>
                    <w:ind w:firstLine="0" w:firstLineChars="0"/>
                    <w:jc w:val="center"/>
                    <w:rPr>
                      <w:rFonts w:cs="宋体"/>
                      <w:color w:val="auto"/>
                      <w:sz w:val="21"/>
                      <w:szCs w:val="21"/>
                    </w:rPr>
                  </w:pPr>
                  <w:r>
                    <w:rPr>
                      <w:rFonts w:hint="eastAsia" w:cs="宋体"/>
                      <w:color w:val="auto"/>
                      <w:sz w:val="21"/>
                      <w:szCs w:val="21"/>
                    </w:rPr>
                    <w:t>/</w:t>
                  </w:r>
                </w:p>
              </w:tc>
              <w:tc>
                <w:tcPr>
                  <w:tcW w:w="2399" w:type="pct"/>
                  <w:gridSpan w:val="3"/>
                  <w:vAlign w:val="center"/>
                </w:tcPr>
                <w:p w14:paraId="483354DA">
                  <w:pPr>
                    <w:spacing w:line="240" w:lineRule="auto"/>
                    <w:ind w:firstLine="0" w:firstLineChars="0"/>
                    <w:jc w:val="center"/>
                    <w:rPr>
                      <w:b/>
                      <w:bCs/>
                      <w:color w:val="auto"/>
                      <w:sz w:val="21"/>
                      <w:szCs w:val="21"/>
                    </w:rPr>
                  </w:pPr>
                  <w:r>
                    <w:rPr>
                      <w:rFonts w:hint="eastAsia" w:cs="宋体"/>
                      <w:b/>
                      <w:bCs/>
                      <w:color w:val="auto"/>
                      <w:sz w:val="21"/>
                      <w:szCs w:val="21"/>
                    </w:rPr>
                    <w:t>输出合计</w:t>
                  </w:r>
                </w:p>
              </w:tc>
              <w:tc>
                <w:tcPr>
                  <w:tcW w:w="835" w:type="pct"/>
                  <w:vAlign w:val="center"/>
                </w:tcPr>
                <w:p w14:paraId="4AC2295D">
                  <w:pPr>
                    <w:spacing w:line="240" w:lineRule="auto"/>
                    <w:ind w:firstLine="0" w:firstLineChars="0"/>
                    <w:jc w:val="center"/>
                    <w:rPr>
                      <w:color w:val="auto"/>
                      <w:sz w:val="21"/>
                      <w:szCs w:val="21"/>
                    </w:rPr>
                  </w:pPr>
                  <w:r>
                    <w:rPr>
                      <w:rFonts w:hint="eastAsia"/>
                      <w:color w:val="auto"/>
                      <w:sz w:val="21"/>
                      <w:szCs w:val="21"/>
                    </w:rPr>
                    <w:t>200.4736</w:t>
                  </w:r>
                </w:p>
              </w:tc>
            </w:tr>
          </w:tbl>
          <w:p w14:paraId="3AA8D32B">
            <w:pPr>
              <w:ind w:firstLine="482"/>
              <w:rPr>
                <w:b/>
                <w:bCs/>
                <w:color w:val="auto"/>
              </w:rPr>
            </w:pPr>
            <w:r>
              <w:rPr>
                <w:rFonts w:hint="eastAsia"/>
                <w:b/>
                <w:bCs/>
                <w:color w:val="auto"/>
              </w:rPr>
              <w:t>5</w:t>
            </w:r>
            <w:r>
              <w:rPr>
                <w:b/>
                <w:bCs/>
                <w:color w:val="auto"/>
              </w:rPr>
              <w:t>、主要生产设备情况</w:t>
            </w:r>
          </w:p>
          <w:p w14:paraId="4570A18B">
            <w:pPr>
              <w:snapToGrid w:val="0"/>
              <w:ind w:left="480" w:leftChars="200" w:firstLine="0" w:firstLineChars="0"/>
              <w:rPr>
                <w:bCs/>
              </w:rPr>
            </w:pPr>
            <w:r>
              <w:rPr>
                <w:rFonts w:hint="eastAsia"/>
                <w:bCs/>
              </w:rPr>
              <w:t>（1）</w:t>
            </w:r>
            <w:r>
              <w:rPr>
                <w:bCs/>
              </w:rPr>
              <w:t>本项目主要生产设备详见</w:t>
            </w:r>
            <w:r>
              <w:rPr>
                <w:rFonts w:hint="eastAsia"/>
                <w:bCs/>
              </w:rPr>
              <w:t>下</w:t>
            </w:r>
            <w:r>
              <w:rPr>
                <w:bCs/>
              </w:rPr>
              <w:t>表所列。</w:t>
            </w:r>
          </w:p>
          <w:p w14:paraId="44ADD05B">
            <w:pPr>
              <w:pStyle w:val="16"/>
              <w:rPr>
                <w:kern w:val="2"/>
                <w:szCs w:val="24"/>
              </w:rPr>
            </w:pPr>
            <w:r>
              <w:rPr>
                <w:kern w:val="2"/>
                <w:szCs w:val="24"/>
              </w:rPr>
              <w:t>表2</w:t>
            </w:r>
            <w:r>
              <w:rPr>
                <w:rFonts w:hint="eastAsia"/>
                <w:kern w:val="2"/>
                <w:szCs w:val="24"/>
              </w:rPr>
              <w:t>-6</w:t>
            </w:r>
            <w:r>
              <w:rPr>
                <w:kern w:val="2"/>
                <w:szCs w:val="24"/>
              </w:rPr>
              <w:t xml:space="preserve"> 本项目主要设备一览表</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7"/>
              <w:gridCol w:w="1508"/>
              <w:gridCol w:w="1653"/>
              <w:gridCol w:w="1211"/>
              <w:gridCol w:w="1216"/>
              <w:gridCol w:w="1218"/>
              <w:gridCol w:w="1216"/>
            </w:tblGrid>
            <w:tr w14:paraId="3B4FE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329" w:type="pct"/>
                  <w:vMerge w:val="restart"/>
                  <w:vAlign w:val="center"/>
                </w:tcPr>
                <w:p w14:paraId="5243A211">
                  <w:pPr>
                    <w:pStyle w:val="8"/>
                    <w:rPr>
                      <w:b/>
                      <w:bCs/>
                    </w:rPr>
                  </w:pPr>
                  <w:r>
                    <w:rPr>
                      <w:b/>
                      <w:bCs/>
                    </w:rPr>
                    <w:t>序号</w:t>
                  </w:r>
                </w:p>
              </w:tc>
              <w:tc>
                <w:tcPr>
                  <w:tcW w:w="896" w:type="pct"/>
                  <w:vMerge w:val="restart"/>
                  <w:vAlign w:val="center"/>
                </w:tcPr>
                <w:p w14:paraId="41371BA8">
                  <w:pPr>
                    <w:pStyle w:val="8"/>
                    <w:rPr>
                      <w:b/>
                      <w:bCs/>
                    </w:rPr>
                  </w:pPr>
                  <w:r>
                    <w:rPr>
                      <w:b/>
                      <w:bCs/>
                    </w:rPr>
                    <w:t>设备名称</w:t>
                  </w:r>
                </w:p>
              </w:tc>
              <w:tc>
                <w:tcPr>
                  <w:tcW w:w="875" w:type="pct"/>
                  <w:vMerge w:val="restart"/>
                  <w:vAlign w:val="center"/>
                </w:tcPr>
                <w:p w14:paraId="1335D661">
                  <w:pPr>
                    <w:pStyle w:val="8"/>
                    <w:rPr>
                      <w:b/>
                      <w:color w:val="000000" w:themeColor="text1"/>
                      <w14:textFill>
                        <w14:solidFill>
                          <w14:schemeClr w14:val="tx1"/>
                        </w14:solidFill>
                      </w14:textFill>
                    </w:rPr>
                  </w:pPr>
                  <w:r>
                    <w:rPr>
                      <w:rFonts w:hint="eastAsia"/>
                      <w:b/>
                      <w:color w:val="000000" w:themeColor="text1"/>
                      <w14:textFill>
                        <w14:solidFill>
                          <w14:schemeClr w14:val="tx1"/>
                        </w14:solidFill>
                      </w14:textFill>
                    </w:rPr>
                    <w:t>型号/规格</w:t>
                  </w:r>
                </w:p>
              </w:tc>
              <w:tc>
                <w:tcPr>
                  <w:tcW w:w="2173" w:type="pct"/>
                  <w:gridSpan w:val="3"/>
                  <w:vAlign w:val="center"/>
                </w:tcPr>
                <w:p w14:paraId="0C1C0268">
                  <w:pPr>
                    <w:pStyle w:val="8"/>
                    <w:rPr>
                      <w:b/>
                      <w:color w:val="000000" w:themeColor="text1"/>
                      <w14:textFill>
                        <w14:solidFill>
                          <w14:schemeClr w14:val="tx1"/>
                        </w14:solidFill>
                      </w14:textFill>
                    </w:rPr>
                  </w:pPr>
                  <w:r>
                    <w:rPr>
                      <w:b/>
                      <w:color w:val="000000" w:themeColor="text1"/>
                      <w14:textFill>
                        <w14:solidFill>
                          <w14:schemeClr w14:val="tx1"/>
                        </w14:solidFill>
                      </w14:textFill>
                    </w:rPr>
                    <w:t>数量</w:t>
                  </w:r>
                  <w:r>
                    <w:rPr>
                      <w:rFonts w:hint="eastAsia"/>
                      <w:b/>
                      <w:color w:val="000000" w:themeColor="text1"/>
                      <w14:textFill>
                        <w14:solidFill>
                          <w14:schemeClr w14:val="tx1"/>
                        </w14:solidFill>
                      </w14:textFill>
                    </w:rPr>
                    <w:t>（台）</w:t>
                  </w:r>
                </w:p>
              </w:tc>
              <w:tc>
                <w:tcPr>
                  <w:tcW w:w="725" w:type="pct"/>
                  <w:vMerge w:val="restart"/>
                  <w:vAlign w:val="center"/>
                </w:tcPr>
                <w:p w14:paraId="0DFE06A5">
                  <w:pPr>
                    <w:pStyle w:val="8"/>
                    <w:rPr>
                      <w:b/>
                      <w:bCs/>
                    </w:rPr>
                  </w:pPr>
                  <w:r>
                    <w:rPr>
                      <w:rFonts w:hint="eastAsia"/>
                      <w:b/>
                      <w:bCs/>
                    </w:rPr>
                    <w:t>工序</w:t>
                  </w:r>
                </w:p>
              </w:tc>
            </w:tr>
            <w:tr w14:paraId="0CF00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 w:hRule="atLeast"/>
                <w:jc w:val="center"/>
              </w:trPr>
              <w:tc>
                <w:tcPr>
                  <w:tcW w:w="329" w:type="pct"/>
                  <w:vMerge w:val="continue"/>
                  <w:vAlign w:val="center"/>
                </w:tcPr>
                <w:p w14:paraId="0DC9BBA3">
                  <w:pPr>
                    <w:pStyle w:val="8"/>
                    <w:rPr>
                      <w:b/>
                      <w:bCs/>
                    </w:rPr>
                  </w:pPr>
                </w:p>
              </w:tc>
              <w:tc>
                <w:tcPr>
                  <w:tcW w:w="896" w:type="pct"/>
                  <w:vMerge w:val="continue"/>
                  <w:vAlign w:val="center"/>
                </w:tcPr>
                <w:p w14:paraId="5FD72C7C">
                  <w:pPr>
                    <w:pStyle w:val="8"/>
                    <w:rPr>
                      <w:b/>
                      <w:bCs/>
                    </w:rPr>
                  </w:pPr>
                </w:p>
              </w:tc>
              <w:tc>
                <w:tcPr>
                  <w:tcW w:w="875" w:type="pct"/>
                  <w:vMerge w:val="continue"/>
                  <w:vAlign w:val="center"/>
                </w:tcPr>
                <w:p w14:paraId="1DFE40E0">
                  <w:pPr>
                    <w:pStyle w:val="8"/>
                    <w:rPr>
                      <w:b/>
                      <w:color w:val="000000" w:themeColor="text1"/>
                      <w14:textFill>
                        <w14:solidFill>
                          <w14:schemeClr w14:val="tx1"/>
                        </w14:solidFill>
                      </w14:textFill>
                    </w:rPr>
                  </w:pPr>
                </w:p>
              </w:tc>
              <w:tc>
                <w:tcPr>
                  <w:tcW w:w="722" w:type="pct"/>
                  <w:vAlign w:val="center"/>
                </w:tcPr>
                <w:p w14:paraId="3C9913A1">
                  <w:pPr>
                    <w:pStyle w:val="8"/>
                    <w:rPr>
                      <w:b/>
                      <w:color w:val="000000" w:themeColor="text1"/>
                      <w14:textFill>
                        <w14:solidFill>
                          <w14:schemeClr w14:val="tx1"/>
                        </w14:solidFill>
                      </w14:textFill>
                    </w:rPr>
                  </w:pPr>
                  <w:r>
                    <w:rPr>
                      <w:rFonts w:hint="eastAsia"/>
                      <w:b/>
                      <w:color w:val="000000" w:themeColor="text1"/>
                      <w14:textFill>
                        <w14:solidFill>
                          <w14:schemeClr w14:val="tx1"/>
                        </w14:solidFill>
                      </w14:textFill>
                    </w:rPr>
                    <w:t>迁扩建前</w:t>
                  </w:r>
                </w:p>
              </w:tc>
              <w:tc>
                <w:tcPr>
                  <w:tcW w:w="725" w:type="pct"/>
                  <w:vAlign w:val="center"/>
                </w:tcPr>
                <w:p w14:paraId="6D184864">
                  <w:pPr>
                    <w:pStyle w:val="8"/>
                    <w:rPr>
                      <w:b/>
                      <w:color w:val="000000" w:themeColor="text1"/>
                      <w14:textFill>
                        <w14:solidFill>
                          <w14:schemeClr w14:val="tx1"/>
                        </w14:solidFill>
                      </w14:textFill>
                    </w:rPr>
                  </w:pPr>
                  <w:r>
                    <w:rPr>
                      <w:rFonts w:hint="eastAsia"/>
                      <w:b/>
                      <w:color w:val="000000" w:themeColor="text1"/>
                      <w14:textFill>
                        <w14:solidFill>
                          <w14:schemeClr w14:val="tx1"/>
                        </w14:solidFill>
                      </w14:textFill>
                    </w:rPr>
                    <w:t>迁扩建后</w:t>
                  </w:r>
                </w:p>
              </w:tc>
              <w:tc>
                <w:tcPr>
                  <w:tcW w:w="726" w:type="pct"/>
                  <w:vAlign w:val="center"/>
                </w:tcPr>
                <w:p w14:paraId="1AC37051">
                  <w:pPr>
                    <w:pStyle w:val="8"/>
                    <w:rPr>
                      <w:b/>
                      <w:color w:val="000000" w:themeColor="text1"/>
                      <w14:textFill>
                        <w14:solidFill>
                          <w14:schemeClr w14:val="tx1"/>
                        </w14:solidFill>
                      </w14:textFill>
                    </w:rPr>
                  </w:pPr>
                  <w:r>
                    <w:rPr>
                      <w:rFonts w:hint="eastAsia"/>
                      <w:b/>
                      <w:color w:val="000000" w:themeColor="text1"/>
                      <w14:textFill>
                        <w14:solidFill>
                          <w14:schemeClr w14:val="tx1"/>
                        </w14:solidFill>
                      </w14:textFill>
                    </w:rPr>
                    <w:t>变化量</w:t>
                  </w:r>
                </w:p>
              </w:tc>
              <w:tc>
                <w:tcPr>
                  <w:tcW w:w="725" w:type="pct"/>
                  <w:vMerge w:val="continue"/>
                  <w:vAlign w:val="center"/>
                </w:tcPr>
                <w:p w14:paraId="33F76378">
                  <w:pPr>
                    <w:pStyle w:val="8"/>
                    <w:rPr>
                      <w:b/>
                      <w:bCs/>
                    </w:rPr>
                  </w:pPr>
                </w:p>
              </w:tc>
            </w:tr>
            <w:tr w14:paraId="3AB56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jc w:val="center"/>
              </w:trPr>
              <w:tc>
                <w:tcPr>
                  <w:tcW w:w="329" w:type="pct"/>
                  <w:vAlign w:val="center"/>
                </w:tcPr>
                <w:p w14:paraId="4973F671">
                  <w:pPr>
                    <w:pStyle w:val="8"/>
                    <w:numPr>
                      <w:ilvl w:val="0"/>
                      <w:numId w:val="1"/>
                    </w:numPr>
                  </w:pPr>
                </w:p>
              </w:tc>
              <w:tc>
                <w:tcPr>
                  <w:tcW w:w="896" w:type="pct"/>
                  <w:shd w:val="clear" w:color="auto" w:fill="auto"/>
                  <w:vAlign w:val="center"/>
                </w:tcPr>
                <w:p w14:paraId="483DEA19">
                  <w:pPr>
                    <w:spacing w:line="240" w:lineRule="auto"/>
                    <w:ind w:firstLine="0" w:firstLineChars="0"/>
                    <w:jc w:val="center"/>
                    <w:rPr>
                      <w:sz w:val="21"/>
                      <w:szCs w:val="21"/>
                    </w:rPr>
                  </w:pPr>
                  <w:bookmarkStart w:id="115" w:name="OLE_LINK195"/>
                  <w:r>
                    <w:rPr>
                      <w:rFonts w:hint="eastAsia"/>
                      <w:sz w:val="21"/>
                      <w:szCs w:val="21"/>
                    </w:rPr>
                    <w:t>双螺杆挤出机</w:t>
                  </w:r>
                  <w:bookmarkEnd w:id="115"/>
                </w:p>
              </w:tc>
              <w:tc>
                <w:tcPr>
                  <w:tcW w:w="875" w:type="pct"/>
                  <w:shd w:val="clear" w:color="auto" w:fill="auto"/>
                  <w:vAlign w:val="center"/>
                </w:tcPr>
                <w:p w14:paraId="14731517">
                  <w:pPr>
                    <w:spacing w:line="240" w:lineRule="auto"/>
                    <w:ind w:firstLine="0" w:firstLineChars="0"/>
                    <w:jc w:val="center"/>
                    <w:rPr>
                      <w:sz w:val="21"/>
                      <w:szCs w:val="21"/>
                    </w:rPr>
                  </w:pPr>
                  <w:r>
                    <w:rPr>
                      <w:rFonts w:hint="eastAsia"/>
                      <w:sz w:val="21"/>
                      <w:szCs w:val="21"/>
                    </w:rPr>
                    <w:t>120</w:t>
                  </w:r>
                </w:p>
              </w:tc>
              <w:tc>
                <w:tcPr>
                  <w:tcW w:w="722" w:type="pct"/>
                  <w:shd w:val="clear" w:color="auto" w:fill="auto"/>
                  <w:vAlign w:val="center"/>
                </w:tcPr>
                <w:p w14:paraId="7E4A5323">
                  <w:pPr>
                    <w:spacing w:line="240" w:lineRule="auto"/>
                    <w:ind w:firstLine="0" w:firstLineChars="0"/>
                    <w:jc w:val="center"/>
                    <w:rPr>
                      <w:rFonts w:cs="微软雅黑"/>
                      <w:sz w:val="21"/>
                    </w:rPr>
                  </w:pPr>
                  <w:r>
                    <w:rPr>
                      <w:rFonts w:hint="eastAsia" w:cs="微软雅黑"/>
                      <w:sz w:val="21"/>
                    </w:rPr>
                    <w:t>2</w:t>
                  </w:r>
                </w:p>
              </w:tc>
              <w:tc>
                <w:tcPr>
                  <w:tcW w:w="725" w:type="pct"/>
                  <w:shd w:val="clear" w:color="auto" w:fill="auto"/>
                  <w:vAlign w:val="center"/>
                </w:tcPr>
                <w:p w14:paraId="36FDB4D6">
                  <w:pPr>
                    <w:pStyle w:val="8"/>
                  </w:pPr>
                  <w:r>
                    <w:rPr>
                      <w:rFonts w:hint="eastAsia"/>
                    </w:rPr>
                    <w:t>3</w:t>
                  </w:r>
                </w:p>
              </w:tc>
              <w:tc>
                <w:tcPr>
                  <w:tcW w:w="726" w:type="pct"/>
                  <w:shd w:val="clear" w:color="auto" w:fill="auto"/>
                  <w:vAlign w:val="center"/>
                </w:tcPr>
                <w:p w14:paraId="571589FA">
                  <w:pPr>
                    <w:spacing w:line="240" w:lineRule="auto"/>
                    <w:ind w:firstLine="0" w:firstLineChars="0"/>
                    <w:jc w:val="center"/>
                    <w:rPr>
                      <w:rFonts w:cs="微软雅黑"/>
                      <w:sz w:val="21"/>
                    </w:rPr>
                  </w:pPr>
                  <w:r>
                    <w:rPr>
                      <w:rFonts w:hint="eastAsia" w:cs="微软雅黑"/>
                      <w:sz w:val="21"/>
                    </w:rPr>
                    <w:t>+1</w:t>
                  </w:r>
                </w:p>
              </w:tc>
              <w:tc>
                <w:tcPr>
                  <w:tcW w:w="725" w:type="pct"/>
                  <w:vMerge w:val="restart"/>
                  <w:shd w:val="clear" w:color="auto" w:fill="auto"/>
                  <w:vAlign w:val="center"/>
                </w:tcPr>
                <w:p w14:paraId="5DAE51D4">
                  <w:pPr>
                    <w:pStyle w:val="8"/>
                  </w:pPr>
                  <w:r>
                    <w:rPr>
                      <w:rFonts w:hint="eastAsia"/>
                    </w:rPr>
                    <w:t>挤出</w:t>
                  </w:r>
                </w:p>
              </w:tc>
            </w:tr>
            <w:tr w14:paraId="6BBF0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9" w:type="pct"/>
                  <w:vAlign w:val="center"/>
                </w:tcPr>
                <w:p w14:paraId="7D9C0D4E">
                  <w:pPr>
                    <w:pStyle w:val="8"/>
                    <w:numPr>
                      <w:ilvl w:val="0"/>
                      <w:numId w:val="1"/>
                    </w:numPr>
                  </w:pPr>
                </w:p>
              </w:tc>
              <w:tc>
                <w:tcPr>
                  <w:tcW w:w="896" w:type="pct"/>
                  <w:shd w:val="clear" w:color="auto" w:fill="auto"/>
                  <w:vAlign w:val="center"/>
                </w:tcPr>
                <w:p w14:paraId="1FF665AF">
                  <w:pPr>
                    <w:spacing w:line="240" w:lineRule="auto"/>
                    <w:ind w:firstLine="0" w:firstLineChars="0"/>
                    <w:jc w:val="center"/>
                    <w:rPr>
                      <w:sz w:val="21"/>
                      <w:szCs w:val="21"/>
                      <w:lang w:eastAsia="en-US"/>
                    </w:rPr>
                  </w:pPr>
                  <w:bookmarkStart w:id="116" w:name="OLE_LINK196"/>
                  <w:r>
                    <w:rPr>
                      <w:rFonts w:hint="eastAsia"/>
                      <w:sz w:val="21"/>
                      <w:szCs w:val="21"/>
                    </w:rPr>
                    <w:t>单螺杆挤出机</w:t>
                  </w:r>
                  <w:bookmarkEnd w:id="116"/>
                </w:p>
              </w:tc>
              <w:tc>
                <w:tcPr>
                  <w:tcW w:w="875" w:type="pct"/>
                  <w:shd w:val="clear" w:color="auto" w:fill="auto"/>
                  <w:vAlign w:val="center"/>
                </w:tcPr>
                <w:p w14:paraId="0A10576C">
                  <w:pPr>
                    <w:spacing w:line="240" w:lineRule="auto"/>
                    <w:ind w:firstLine="0" w:firstLineChars="0"/>
                    <w:jc w:val="center"/>
                    <w:rPr>
                      <w:sz w:val="21"/>
                      <w:szCs w:val="21"/>
                    </w:rPr>
                  </w:pPr>
                  <w:r>
                    <w:rPr>
                      <w:rFonts w:hint="eastAsia"/>
                      <w:sz w:val="21"/>
                      <w:szCs w:val="21"/>
                    </w:rPr>
                    <w:t>100</w:t>
                  </w:r>
                </w:p>
              </w:tc>
              <w:tc>
                <w:tcPr>
                  <w:tcW w:w="722" w:type="pct"/>
                  <w:shd w:val="clear" w:color="auto" w:fill="auto"/>
                  <w:vAlign w:val="center"/>
                </w:tcPr>
                <w:p w14:paraId="7A510C5D">
                  <w:pPr>
                    <w:spacing w:line="240" w:lineRule="auto"/>
                    <w:ind w:firstLine="0" w:firstLineChars="0"/>
                    <w:jc w:val="center"/>
                    <w:rPr>
                      <w:rFonts w:cs="微软雅黑"/>
                      <w:sz w:val="21"/>
                    </w:rPr>
                  </w:pPr>
                  <w:r>
                    <w:rPr>
                      <w:rFonts w:hint="eastAsia" w:cs="微软雅黑"/>
                      <w:sz w:val="21"/>
                    </w:rPr>
                    <w:t>0</w:t>
                  </w:r>
                </w:p>
              </w:tc>
              <w:tc>
                <w:tcPr>
                  <w:tcW w:w="725" w:type="pct"/>
                  <w:shd w:val="clear" w:color="auto" w:fill="auto"/>
                  <w:vAlign w:val="center"/>
                </w:tcPr>
                <w:p w14:paraId="6BF9EFD9">
                  <w:pPr>
                    <w:pStyle w:val="8"/>
                  </w:pPr>
                  <w:r>
                    <w:rPr>
                      <w:rFonts w:hint="eastAsia"/>
                    </w:rPr>
                    <w:t>1</w:t>
                  </w:r>
                </w:p>
              </w:tc>
              <w:tc>
                <w:tcPr>
                  <w:tcW w:w="726" w:type="pct"/>
                  <w:shd w:val="clear" w:color="auto" w:fill="auto"/>
                  <w:vAlign w:val="center"/>
                </w:tcPr>
                <w:p w14:paraId="6C6D6411">
                  <w:pPr>
                    <w:spacing w:line="240" w:lineRule="auto"/>
                    <w:ind w:firstLine="0" w:firstLineChars="0"/>
                    <w:jc w:val="center"/>
                    <w:rPr>
                      <w:rFonts w:cs="微软雅黑"/>
                      <w:sz w:val="21"/>
                    </w:rPr>
                  </w:pPr>
                  <w:r>
                    <w:rPr>
                      <w:rFonts w:hint="eastAsia" w:cs="微软雅黑"/>
                      <w:sz w:val="21"/>
                    </w:rPr>
                    <w:t>+1</w:t>
                  </w:r>
                </w:p>
              </w:tc>
              <w:tc>
                <w:tcPr>
                  <w:tcW w:w="725" w:type="pct"/>
                  <w:vMerge w:val="continue"/>
                  <w:shd w:val="clear" w:color="auto" w:fill="auto"/>
                  <w:vAlign w:val="center"/>
                </w:tcPr>
                <w:p w14:paraId="57876E62">
                  <w:pPr>
                    <w:pStyle w:val="8"/>
                  </w:pPr>
                </w:p>
              </w:tc>
            </w:tr>
            <w:tr w14:paraId="3F87B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9" w:type="pct"/>
                  <w:vAlign w:val="center"/>
                </w:tcPr>
                <w:p w14:paraId="57A6C0B5">
                  <w:pPr>
                    <w:pStyle w:val="8"/>
                    <w:numPr>
                      <w:ilvl w:val="0"/>
                      <w:numId w:val="1"/>
                    </w:numPr>
                  </w:pPr>
                </w:p>
              </w:tc>
              <w:tc>
                <w:tcPr>
                  <w:tcW w:w="896" w:type="pct"/>
                  <w:shd w:val="clear" w:color="auto" w:fill="auto"/>
                  <w:vAlign w:val="center"/>
                </w:tcPr>
                <w:p w14:paraId="004EFA4A">
                  <w:pPr>
                    <w:spacing w:line="240" w:lineRule="auto"/>
                    <w:ind w:firstLine="0" w:firstLineChars="0"/>
                    <w:jc w:val="center"/>
                    <w:rPr>
                      <w:sz w:val="21"/>
                      <w:szCs w:val="21"/>
                    </w:rPr>
                  </w:pPr>
                  <w:bookmarkStart w:id="117" w:name="OLE_LINK197"/>
                  <w:r>
                    <w:rPr>
                      <w:rFonts w:hint="eastAsia"/>
                      <w:sz w:val="21"/>
                      <w:szCs w:val="21"/>
                    </w:rPr>
                    <w:t>混料机</w:t>
                  </w:r>
                  <w:bookmarkEnd w:id="117"/>
                </w:p>
              </w:tc>
              <w:tc>
                <w:tcPr>
                  <w:tcW w:w="875" w:type="pct"/>
                  <w:shd w:val="clear" w:color="auto" w:fill="auto"/>
                  <w:vAlign w:val="center"/>
                </w:tcPr>
                <w:p w14:paraId="594167C6">
                  <w:pPr>
                    <w:spacing w:line="240" w:lineRule="auto"/>
                    <w:ind w:firstLine="0" w:firstLineChars="0"/>
                    <w:jc w:val="center"/>
                    <w:rPr>
                      <w:sz w:val="21"/>
                      <w:szCs w:val="21"/>
                    </w:rPr>
                  </w:pPr>
                  <w:r>
                    <w:rPr>
                      <w:rFonts w:hint="eastAsia"/>
                      <w:sz w:val="21"/>
                      <w:szCs w:val="21"/>
                    </w:rPr>
                    <w:t>1.5kw</w:t>
                  </w:r>
                </w:p>
              </w:tc>
              <w:tc>
                <w:tcPr>
                  <w:tcW w:w="722" w:type="pct"/>
                  <w:shd w:val="clear" w:color="auto" w:fill="auto"/>
                  <w:vAlign w:val="center"/>
                </w:tcPr>
                <w:p w14:paraId="5FE1E1EB">
                  <w:pPr>
                    <w:spacing w:line="240" w:lineRule="auto"/>
                    <w:ind w:firstLine="0" w:firstLineChars="0"/>
                    <w:jc w:val="center"/>
                    <w:rPr>
                      <w:rFonts w:cs="微软雅黑"/>
                      <w:sz w:val="21"/>
                    </w:rPr>
                  </w:pPr>
                  <w:r>
                    <w:rPr>
                      <w:rFonts w:hint="eastAsia" w:cs="微软雅黑"/>
                      <w:sz w:val="21"/>
                    </w:rPr>
                    <w:t>2</w:t>
                  </w:r>
                </w:p>
              </w:tc>
              <w:tc>
                <w:tcPr>
                  <w:tcW w:w="725" w:type="pct"/>
                  <w:shd w:val="clear" w:color="auto" w:fill="auto"/>
                  <w:vAlign w:val="center"/>
                </w:tcPr>
                <w:p w14:paraId="2EEBAB1D">
                  <w:pPr>
                    <w:pStyle w:val="8"/>
                  </w:pPr>
                  <w:r>
                    <w:rPr>
                      <w:rFonts w:hint="eastAsia"/>
                    </w:rPr>
                    <w:t>4</w:t>
                  </w:r>
                </w:p>
              </w:tc>
              <w:tc>
                <w:tcPr>
                  <w:tcW w:w="726" w:type="pct"/>
                  <w:shd w:val="clear" w:color="auto" w:fill="auto"/>
                  <w:vAlign w:val="center"/>
                </w:tcPr>
                <w:p w14:paraId="73E2FE6E">
                  <w:pPr>
                    <w:spacing w:line="240" w:lineRule="auto"/>
                    <w:ind w:firstLine="0" w:firstLineChars="0"/>
                    <w:jc w:val="center"/>
                    <w:rPr>
                      <w:rFonts w:cs="微软雅黑"/>
                      <w:sz w:val="21"/>
                    </w:rPr>
                  </w:pPr>
                  <w:r>
                    <w:rPr>
                      <w:rFonts w:hint="eastAsia" w:cs="微软雅黑"/>
                      <w:sz w:val="21"/>
                    </w:rPr>
                    <w:t>+2</w:t>
                  </w:r>
                </w:p>
              </w:tc>
              <w:tc>
                <w:tcPr>
                  <w:tcW w:w="725" w:type="pct"/>
                  <w:shd w:val="clear" w:color="auto" w:fill="auto"/>
                  <w:vAlign w:val="center"/>
                </w:tcPr>
                <w:p w14:paraId="6A1413A0">
                  <w:pPr>
                    <w:pStyle w:val="8"/>
                  </w:pPr>
                  <w:r>
                    <w:rPr>
                      <w:rFonts w:hint="eastAsia"/>
                    </w:rPr>
                    <w:t>混料</w:t>
                  </w:r>
                </w:p>
              </w:tc>
            </w:tr>
            <w:tr w14:paraId="1CC38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9" w:type="pct"/>
                  <w:vAlign w:val="center"/>
                </w:tcPr>
                <w:p w14:paraId="63E3FE7D">
                  <w:pPr>
                    <w:pStyle w:val="8"/>
                    <w:numPr>
                      <w:ilvl w:val="0"/>
                      <w:numId w:val="1"/>
                    </w:numPr>
                  </w:pPr>
                </w:p>
              </w:tc>
              <w:tc>
                <w:tcPr>
                  <w:tcW w:w="896" w:type="pct"/>
                  <w:shd w:val="clear" w:color="auto" w:fill="auto"/>
                  <w:vAlign w:val="center"/>
                </w:tcPr>
                <w:p w14:paraId="20C9B5C5">
                  <w:pPr>
                    <w:spacing w:line="240" w:lineRule="auto"/>
                    <w:ind w:firstLine="0" w:firstLineChars="0"/>
                    <w:jc w:val="center"/>
                    <w:rPr>
                      <w:sz w:val="21"/>
                      <w:szCs w:val="21"/>
                    </w:rPr>
                  </w:pPr>
                  <w:bookmarkStart w:id="118" w:name="OLE_LINK198"/>
                  <w:r>
                    <w:rPr>
                      <w:rFonts w:hint="eastAsia"/>
                      <w:sz w:val="21"/>
                      <w:szCs w:val="21"/>
                    </w:rPr>
                    <w:t>破碎机</w:t>
                  </w:r>
                  <w:bookmarkEnd w:id="118"/>
                </w:p>
              </w:tc>
              <w:tc>
                <w:tcPr>
                  <w:tcW w:w="875" w:type="pct"/>
                  <w:shd w:val="clear" w:color="auto" w:fill="auto"/>
                  <w:vAlign w:val="center"/>
                </w:tcPr>
                <w:p w14:paraId="260AA5D7">
                  <w:pPr>
                    <w:spacing w:line="240" w:lineRule="auto"/>
                    <w:ind w:firstLine="0" w:firstLineChars="0"/>
                    <w:jc w:val="center"/>
                    <w:rPr>
                      <w:sz w:val="21"/>
                      <w:szCs w:val="21"/>
                    </w:rPr>
                  </w:pPr>
                  <w:r>
                    <w:rPr>
                      <w:rFonts w:hint="eastAsia"/>
                      <w:sz w:val="21"/>
                      <w:szCs w:val="21"/>
                    </w:rPr>
                    <w:t>11kw</w:t>
                  </w:r>
                </w:p>
              </w:tc>
              <w:tc>
                <w:tcPr>
                  <w:tcW w:w="722" w:type="pct"/>
                  <w:shd w:val="clear" w:color="auto" w:fill="auto"/>
                  <w:vAlign w:val="center"/>
                </w:tcPr>
                <w:p w14:paraId="46F9DA16">
                  <w:pPr>
                    <w:spacing w:line="240" w:lineRule="auto"/>
                    <w:ind w:firstLine="0" w:firstLineChars="0"/>
                    <w:jc w:val="center"/>
                    <w:rPr>
                      <w:rFonts w:cs="微软雅黑"/>
                      <w:sz w:val="21"/>
                    </w:rPr>
                  </w:pPr>
                  <w:r>
                    <w:rPr>
                      <w:rFonts w:hint="eastAsia" w:cs="微软雅黑"/>
                      <w:sz w:val="21"/>
                    </w:rPr>
                    <w:t>0</w:t>
                  </w:r>
                </w:p>
              </w:tc>
              <w:tc>
                <w:tcPr>
                  <w:tcW w:w="725" w:type="pct"/>
                  <w:shd w:val="clear" w:color="auto" w:fill="auto"/>
                  <w:vAlign w:val="center"/>
                </w:tcPr>
                <w:p w14:paraId="080F0D27">
                  <w:pPr>
                    <w:pStyle w:val="8"/>
                  </w:pPr>
                  <w:r>
                    <w:rPr>
                      <w:rFonts w:hint="eastAsia"/>
                    </w:rPr>
                    <w:t>2</w:t>
                  </w:r>
                </w:p>
              </w:tc>
              <w:tc>
                <w:tcPr>
                  <w:tcW w:w="726" w:type="pct"/>
                  <w:shd w:val="clear" w:color="auto" w:fill="auto"/>
                  <w:vAlign w:val="center"/>
                </w:tcPr>
                <w:p w14:paraId="6A09C92B">
                  <w:pPr>
                    <w:spacing w:line="240" w:lineRule="auto"/>
                    <w:ind w:firstLine="0" w:firstLineChars="0"/>
                    <w:jc w:val="center"/>
                    <w:rPr>
                      <w:rFonts w:cs="微软雅黑"/>
                      <w:sz w:val="21"/>
                    </w:rPr>
                  </w:pPr>
                  <w:r>
                    <w:rPr>
                      <w:rFonts w:hint="eastAsia" w:cs="微软雅黑"/>
                      <w:sz w:val="21"/>
                    </w:rPr>
                    <w:t>+2</w:t>
                  </w:r>
                </w:p>
              </w:tc>
              <w:tc>
                <w:tcPr>
                  <w:tcW w:w="725" w:type="pct"/>
                  <w:shd w:val="clear" w:color="auto" w:fill="auto"/>
                  <w:vAlign w:val="center"/>
                </w:tcPr>
                <w:p w14:paraId="5049295F">
                  <w:pPr>
                    <w:pStyle w:val="8"/>
                  </w:pPr>
                  <w:r>
                    <w:rPr>
                      <w:rFonts w:hint="eastAsia"/>
                    </w:rPr>
                    <w:t>破碎</w:t>
                  </w:r>
                </w:p>
              </w:tc>
            </w:tr>
            <w:tr w14:paraId="5E566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9" w:type="pct"/>
                  <w:vAlign w:val="center"/>
                </w:tcPr>
                <w:p w14:paraId="3AF6AA4A">
                  <w:pPr>
                    <w:pStyle w:val="8"/>
                    <w:numPr>
                      <w:ilvl w:val="0"/>
                      <w:numId w:val="1"/>
                    </w:numPr>
                  </w:pPr>
                </w:p>
              </w:tc>
              <w:tc>
                <w:tcPr>
                  <w:tcW w:w="896" w:type="pct"/>
                  <w:shd w:val="clear" w:color="auto" w:fill="auto"/>
                  <w:vAlign w:val="center"/>
                </w:tcPr>
                <w:p w14:paraId="23889EB3">
                  <w:pPr>
                    <w:spacing w:line="240" w:lineRule="auto"/>
                    <w:ind w:firstLine="0" w:firstLineChars="0"/>
                    <w:jc w:val="center"/>
                    <w:rPr>
                      <w:sz w:val="21"/>
                      <w:szCs w:val="21"/>
                    </w:rPr>
                  </w:pPr>
                  <w:r>
                    <w:rPr>
                      <w:rFonts w:hint="eastAsia"/>
                      <w:sz w:val="21"/>
                      <w:szCs w:val="21"/>
                    </w:rPr>
                    <w:t>切粒机</w:t>
                  </w:r>
                </w:p>
              </w:tc>
              <w:tc>
                <w:tcPr>
                  <w:tcW w:w="875" w:type="pct"/>
                  <w:shd w:val="clear" w:color="auto" w:fill="auto"/>
                  <w:vAlign w:val="center"/>
                </w:tcPr>
                <w:p w14:paraId="5672CEB6">
                  <w:pPr>
                    <w:spacing w:line="240" w:lineRule="auto"/>
                    <w:ind w:firstLine="0" w:firstLineChars="0"/>
                    <w:jc w:val="center"/>
                    <w:rPr>
                      <w:sz w:val="21"/>
                      <w:szCs w:val="21"/>
                    </w:rPr>
                  </w:pPr>
                  <w:r>
                    <w:rPr>
                      <w:sz w:val="21"/>
                      <w:szCs w:val="21"/>
                    </w:rPr>
                    <w:t>/</w:t>
                  </w:r>
                </w:p>
              </w:tc>
              <w:tc>
                <w:tcPr>
                  <w:tcW w:w="722" w:type="pct"/>
                  <w:shd w:val="clear" w:color="auto" w:fill="auto"/>
                  <w:vAlign w:val="center"/>
                </w:tcPr>
                <w:p w14:paraId="4AF785A1">
                  <w:pPr>
                    <w:spacing w:line="240" w:lineRule="auto"/>
                    <w:ind w:firstLine="0" w:firstLineChars="0"/>
                    <w:jc w:val="center"/>
                    <w:rPr>
                      <w:rFonts w:cs="微软雅黑"/>
                      <w:sz w:val="21"/>
                    </w:rPr>
                  </w:pPr>
                  <w:r>
                    <w:rPr>
                      <w:rFonts w:hint="eastAsia" w:cs="微软雅黑"/>
                      <w:sz w:val="21"/>
                    </w:rPr>
                    <w:t>2</w:t>
                  </w:r>
                </w:p>
              </w:tc>
              <w:tc>
                <w:tcPr>
                  <w:tcW w:w="725" w:type="pct"/>
                  <w:shd w:val="clear" w:color="auto" w:fill="auto"/>
                  <w:vAlign w:val="center"/>
                </w:tcPr>
                <w:p w14:paraId="2D0973C6">
                  <w:pPr>
                    <w:pStyle w:val="8"/>
                  </w:pPr>
                  <w:r>
                    <w:rPr>
                      <w:rFonts w:hint="eastAsia"/>
                    </w:rPr>
                    <w:t>3</w:t>
                  </w:r>
                </w:p>
              </w:tc>
              <w:tc>
                <w:tcPr>
                  <w:tcW w:w="726" w:type="pct"/>
                  <w:shd w:val="clear" w:color="auto" w:fill="auto"/>
                  <w:vAlign w:val="center"/>
                </w:tcPr>
                <w:p w14:paraId="3F101F5C">
                  <w:pPr>
                    <w:spacing w:line="240" w:lineRule="auto"/>
                    <w:ind w:firstLine="0" w:firstLineChars="0"/>
                    <w:jc w:val="center"/>
                    <w:rPr>
                      <w:rFonts w:cs="微软雅黑"/>
                      <w:sz w:val="21"/>
                    </w:rPr>
                  </w:pPr>
                  <w:r>
                    <w:rPr>
                      <w:rFonts w:hint="eastAsia" w:cs="微软雅黑"/>
                      <w:sz w:val="21"/>
                    </w:rPr>
                    <w:t>+1</w:t>
                  </w:r>
                </w:p>
              </w:tc>
              <w:tc>
                <w:tcPr>
                  <w:tcW w:w="725" w:type="pct"/>
                  <w:shd w:val="clear" w:color="auto" w:fill="auto"/>
                  <w:vAlign w:val="center"/>
                </w:tcPr>
                <w:p w14:paraId="0F89DEFD">
                  <w:pPr>
                    <w:pStyle w:val="8"/>
                  </w:pPr>
                  <w:r>
                    <w:rPr>
                      <w:rFonts w:hint="eastAsia"/>
                    </w:rPr>
                    <w:t>切粒</w:t>
                  </w:r>
                </w:p>
              </w:tc>
            </w:tr>
            <w:tr w14:paraId="0D2E5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9" w:type="pct"/>
                  <w:vAlign w:val="center"/>
                </w:tcPr>
                <w:p w14:paraId="6C291BE7">
                  <w:pPr>
                    <w:pStyle w:val="8"/>
                    <w:numPr>
                      <w:ilvl w:val="0"/>
                      <w:numId w:val="1"/>
                    </w:numPr>
                  </w:pPr>
                </w:p>
              </w:tc>
              <w:tc>
                <w:tcPr>
                  <w:tcW w:w="896" w:type="pct"/>
                  <w:shd w:val="clear" w:color="auto" w:fill="auto"/>
                  <w:vAlign w:val="center"/>
                </w:tcPr>
                <w:p w14:paraId="562B85B1">
                  <w:pPr>
                    <w:spacing w:line="240" w:lineRule="auto"/>
                    <w:ind w:firstLine="0" w:firstLineChars="0"/>
                    <w:jc w:val="center"/>
                    <w:rPr>
                      <w:sz w:val="21"/>
                      <w:szCs w:val="21"/>
                    </w:rPr>
                  </w:pPr>
                  <w:r>
                    <w:rPr>
                      <w:rFonts w:hint="eastAsia"/>
                      <w:sz w:val="21"/>
                      <w:szCs w:val="21"/>
                    </w:rPr>
                    <w:t>脱水机</w:t>
                  </w:r>
                </w:p>
              </w:tc>
              <w:tc>
                <w:tcPr>
                  <w:tcW w:w="875" w:type="pct"/>
                  <w:shd w:val="clear" w:color="auto" w:fill="auto"/>
                  <w:vAlign w:val="center"/>
                </w:tcPr>
                <w:p w14:paraId="1E43E427">
                  <w:pPr>
                    <w:spacing w:line="240" w:lineRule="auto"/>
                    <w:ind w:firstLine="0" w:firstLineChars="0"/>
                    <w:jc w:val="center"/>
                    <w:rPr>
                      <w:sz w:val="21"/>
                      <w:szCs w:val="21"/>
                    </w:rPr>
                  </w:pPr>
                  <w:r>
                    <w:rPr>
                      <w:rFonts w:hint="eastAsia"/>
                      <w:sz w:val="21"/>
                      <w:szCs w:val="21"/>
                    </w:rPr>
                    <w:t>/</w:t>
                  </w:r>
                </w:p>
              </w:tc>
              <w:tc>
                <w:tcPr>
                  <w:tcW w:w="722" w:type="pct"/>
                  <w:shd w:val="clear" w:color="auto" w:fill="auto"/>
                  <w:vAlign w:val="center"/>
                </w:tcPr>
                <w:p w14:paraId="1E419B57">
                  <w:pPr>
                    <w:spacing w:line="240" w:lineRule="auto"/>
                    <w:ind w:firstLine="0" w:firstLineChars="0"/>
                    <w:jc w:val="center"/>
                    <w:rPr>
                      <w:rFonts w:cs="微软雅黑"/>
                      <w:sz w:val="21"/>
                    </w:rPr>
                  </w:pPr>
                  <w:r>
                    <w:rPr>
                      <w:rFonts w:hint="eastAsia" w:cs="微软雅黑"/>
                      <w:sz w:val="21"/>
                    </w:rPr>
                    <w:t>0</w:t>
                  </w:r>
                </w:p>
              </w:tc>
              <w:tc>
                <w:tcPr>
                  <w:tcW w:w="725" w:type="pct"/>
                  <w:shd w:val="clear" w:color="auto" w:fill="auto"/>
                  <w:vAlign w:val="center"/>
                </w:tcPr>
                <w:p w14:paraId="5A7071EA">
                  <w:pPr>
                    <w:spacing w:line="240" w:lineRule="auto"/>
                    <w:ind w:firstLine="0" w:firstLineChars="0"/>
                    <w:jc w:val="center"/>
                    <w:rPr>
                      <w:sz w:val="21"/>
                      <w:szCs w:val="21"/>
                    </w:rPr>
                  </w:pPr>
                  <w:r>
                    <w:rPr>
                      <w:rFonts w:hint="eastAsia"/>
                      <w:sz w:val="21"/>
                      <w:szCs w:val="21"/>
                    </w:rPr>
                    <w:t>1</w:t>
                  </w:r>
                </w:p>
              </w:tc>
              <w:tc>
                <w:tcPr>
                  <w:tcW w:w="726" w:type="pct"/>
                  <w:shd w:val="clear" w:color="auto" w:fill="auto"/>
                  <w:vAlign w:val="center"/>
                </w:tcPr>
                <w:p w14:paraId="17B2E036">
                  <w:pPr>
                    <w:spacing w:line="240" w:lineRule="auto"/>
                    <w:ind w:firstLine="0" w:firstLineChars="0"/>
                    <w:jc w:val="center"/>
                    <w:rPr>
                      <w:rFonts w:cs="微软雅黑"/>
                      <w:sz w:val="21"/>
                    </w:rPr>
                  </w:pPr>
                  <w:bookmarkStart w:id="119" w:name="OLE_LINK13"/>
                  <w:r>
                    <w:rPr>
                      <w:rFonts w:hint="eastAsia" w:cs="微软雅黑"/>
                      <w:sz w:val="21"/>
                    </w:rPr>
                    <w:t>+1</w:t>
                  </w:r>
                  <w:bookmarkEnd w:id="119"/>
                </w:p>
              </w:tc>
              <w:tc>
                <w:tcPr>
                  <w:tcW w:w="725" w:type="pct"/>
                  <w:shd w:val="clear" w:color="auto" w:fill="auto"/>
                  <w:vAlign w:val="center"/>
                </w:tcPr>
                <w:p w14:paraId="75F1E175">
                  <w:pPr>
                    <w:pStyle w:val="8"/>
                  </w:pPr>
                  <w:r>
                    <w:rPr>
                      <w:rFonts w:hint="eastAsia"/>
                    </w:rPr>
                    <w:t>脱水</w:t>
                  </w:r>
                </w:p>
              </w:tc>
            </w:tr>
            <w:tr w14:paraId="542F8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9" w:type="pct"/>
                  <w:vAlign w:val="center"/>
                </w:tcPr>
                <w:p w14:paraId="3E754988">
                  <w:pPr>
                    <w:pStyle w:val="8"/>
                    <w:numPr>
                      <w:ilvl w:val="0"/>
                      <w:numId w:val="1"/>
                    </w:numPr>
                  </w:pPr>
                </w:p>
              </w:tc>
              <w:tc>
                <w:tcPr>
                  <w:tcW w:w="896" w:type="pct"/>
                  <w:shd w:val="clear" w:color="auto" w:fill="auto"/>
                  <w:vAlign w:val="center"/>
                </w:tcPr>
                <w:p w14:paraId="6218D87D">
                  <w:pPr>
                    <w:spacing w:line="240" w:lineRule="auto"/>
                    <w:ind w:firstLine="0" w:firstLineChars="0"/>
                    <w:jc w:val="center"/>
                    <w:rPr>
                      <w:sz w:val="21"/>
                      <w:szCs w:val="21"/>
                    </w:rPr>
                  </w:pPr>
                  <w:r>
                    <w:rPr>
                      <w:rFonts w:hint="eastAsia"/>
                      <w:sz w:val="21"/>
                      <w:szCs w:val="21"/>
                    </w:rPr>
                    <w:t>风冷储料桶</w:t>
                  </w:r>
                </w:p>
              </w:tc>
              <w:tc>
                <w:tcPr>
                  <w:tcW w:w="875" w:type="pct"/>
                  <w:shd w:val="clear" w:color="auto" w:fill="auto"/>
                  <w:vAlign w:val="center"/>
                </w:tcPr>
                <w:p w14:paraId="2DBE9BE9">
                  <w:pPr>
                    <w:spacing w:line="240" w:lineRule="auto"/>
                    <w:ind w:firstLine="0" w:firstLineChars="0"/>
                    <w:jc w:val="center"/>
                    <w:rPr>
                      <w:sz w:val="21"/>
                      <w:szCs w:val="21"/>
                    </w:rPr>
                  </w:pPr>
                  <w:r>
                    <w:rPr>
                      <w:rFonts w:hint="eastAsia"/>
                      <w:sz w:val="21"/>
                      <w:szCs w:val="21"/>
                    </w:rPr>
                    <w:t>50hp，37kw</w:t>
                  </w:r>
                </w:p>
              </w:tc>
              <w:tc>
                <w:tcPr>
                  <w:tcW w:w="722" w:type="pct"/>
                  <w:shd w:val="clear" w:color="auto" w:fill="auto"/>
                  <w:vAlign w:val="center"/>
                </w:tcPr>
                <w:p w14:paraId="12E65BD8">
                  <w:pPr>
                    <w:spacing w:line="240" w:lineRule="auto"/>
                    <w:ind w:firstLine="0" w:firstLineChars="0"/>
                    <w:jc w:val="center"/>
                    <w:rPr>
                      <w:rFonts w:cs="微软雅黑"/>
                      <w:sz w:val="21"/>
                    </w:rPr>
                  </w:pPr>
                  <w:r>
                    <w:rPr>
                      <w:rFonts w:hint="eastAsia" w:cs="微软雅黑"/>
                      <w:sz w:val="21"/>
                    </w:rPr>
                    <w:t>2</w:t>
                  </w:r>
                </w:p>
              </w:tc>
              <w:tc>
                <w:tcPr>
                  <w:tcW w:w="725" w:type="pct"/>
                  <w:shd w:val="clear" w:color="auto" w:fill="auto"/>
                  <w:vAlign w:val="center"/>
                </w:tcPr>
                <w:p w14:paraId="28401D4F">
                  <w:pPr>
                    <w:spacing w:line="240" w:lineRule="auto"/>
                    <w:ind w:firstLine="0" w:firstLineChars="0"/>
                    <w:jc w:val="center"/>
                    <w:rPr>
                      <w:sz w:val="21"/>
                      <w:szCs w:val="21"/>
                    </w:rPr>
                  </w:pPr>
                  <w:r>
                    <w:rPr>
                      <w:rFonts w:hint="eastAsia"/>
                      <w:sz w:val="21"/>
                      <w:szCs w:val="21"/>
                    </w:rPr>
                    <w:t>3</w:t>
                  </w:r>
                </w:p>
              </w:tc>
              <w:tc>
                <w:tcPr>
                  <w:tcW w:w="726" w:type="pct"/>
                  <w:shd w:val="clear" w:color="auto" w:fill="auto"/>
                  <w:vAlign w:val="center"/>
                </w:tcPr>
                <w:p w14:paraId="2B123C89">
                  <w:pPr>
                    <w:spacing w:line="240" w:lineRule="auto"/>
                    <w:ind w:firstLine="0" w:firstLineChars="0"/>
                    <w:jc w:val="center"/>
                    <w:rPr>
                      <w:rFonts w:cs="微软雅黑"/>
                      <w:sz w:val="21"/>
                    </w:rPr>
                  </w:pPr>
                  <w:r>
                    <w:rPr>
                      <w:rFonts w:hint="eastAsia" w:cs="微软雅黑"/>
                      <w:sz w:val="21"/>
                    </w:rPr>
                    <w:t>+1</w:t>
                  </w:r>
                </w:p>
              </w:tc>
              <w:tc>
                <w:tcPr>
                  <w:tcW w:w="725" w:type="pct"/>
                  <w:shd w:val="clear" w:color="auto" w:fill="auto"/>
                  <w:vAlign w:val="center"/>
                </w:tcPr>
                <w:p w14:paraId="2942392D">
                  <w:pPr>
                    <w:spacing w:line="240" w:lineRule="auto"/>
                    <w:ind w:firstLine="0" w:firstLineChars="0"/>
                    <w:jc w:val="center"/>
                    <w:rPr>
                      <w:sz w:val="21"/>
                      <w:szCs w:val="21"/>
                    </w:rPr>
                  </w:pPr>
                  <w:r>
                    <w:rPr>
                      <w:rFonts w:hint="eastAsia"/>
                      <w:sz w:val="21"/>
                      <w:szCs w:val="21"/>
                    </w:rPr>
                    <w:t>风冷</w:t>
                  </w:r>
                </w:p>
              </w:tc>
            </w:tr>
            <w:tr w14:paraId="09B4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9" w:type="pct"/>
                  <w:vAlign w:val="center"/>
                </w:tcPr>
                <w:p w14:paraId="1B4C60BC">
                  <w:pPr>
                    <w:pStyle w:val="8"/>
                    <w:numPr>
                      <w:ilvl w:val="0"/>
                      <w:numId w:val="1"/>
                    </w:numPr>
                  </w:pPr>
                </w:p>
              </w:tc>
              <w:tc>
                <w:tcPr>
                  <w:tcW w:w="896" w:type="pct"/>
                  <w:shd w:val="clear" w:color="auto" w:fill="auto"/>
                  <w:vAlign w:val="center"/>
                </w:tcPr>
                <w:p w14:paraId="39255FDD">
                  <w:pPr>
                    <w:spacing w:line="240" w:lineRule="auto"/>
                    <w:ind w:firstLine="0" w:firstLineChars="0"/>
                    <w:jc w:val="center"/>
                    <w:rPr>
                      <w:sz w:val="21"/>
                      <w:szCs w:val="21"/>
                    </w:rPr>
                  </w:pPr>
                  <w:r>
                    <w:rPr>
                      <w:rFonts w:hint="eastAsia"/>
                      <w:sz w:val="21"/>
                      <w:szCs w:val="21"/>
                    </w:rPr>
                    <w:t>冷却塔</w:t>
                  </w:r>
                </w:p>
              </w:tc>
              <w:tc>
                <w:tcPr>
                  <w:tcW w:w="875" w:type="pct"/>
                  <w:shd w:val="clear" w:color="auto" w:fill="auto"/>
                  <w:vAlign w:val="center"/>
                </w:tcPr>
                <w:p w14:paraId="7BACC563">
                  <w:pPr>
                    <w:spacing w:line="240" w:lineRule="auto"/>
                    <w:ind w:firstLine="0" w:firstLineChars="0"/>
                    <w:jc w:val="center"/>
                    <w:rPr>
                      <w:sz w:val="21"/>
                      <w:szCs w:val="21"/>
                    </w:rPr>
                  </w:pPr>
                  <w:r>
                    <w:rPr>
                      <w:rFonts w:hint="eastAsia"/>
                      <w:sz w:val="21"/>
                      <w:szCs w:val="21"/>
                    </w:rPr>
                    <w:t>/</w:t>
                  </w:r>
                </w:p>
              </w:tc>
              <w:tc>
                <w:tcPr>
                  <w:tcW w:w="722" w:type="pct"/>
                  <w:shd w:val="clear" w:color="auto" w:fill="auto"/>
                  <w:vAlign w:val="center"/>
                </w:tcPr>
                <w:p w14:paraId="3570624D">
                  <w:pPr>
                    <w:spacing w:line="240" w:lineRule="auto"/>
                    <w:ind w:firstLine="0" w:firstLineChars="0"/>
                    <w:jc w:val="center"/>
                    <w:rPr>
                      <w:rFonts w:cs="微软雅黑"/>
                      <w:sz w:val="21"/>
                    </w:rPr>
                  </w:pPr>
                  <w:r>
                    <w:rPr>
                      <w:rFonts w:hint="eastAsia" w:cs="微软雅黑"/>
                      <w:sz w:val="21"/>
                    </w:rPr>
                    <w:t>1</w:t>
                  </w:r>
                </w:p>
              </w:tc>
              <w:tc>
                <w:tcPr>
                  <w:tcW w:w="725" w:type="pct"/>
                  <w:shd w:val="clear" w:color="auto" w:fill="auto"/>
                  <w:vAlign w:val="center"/>
                </w:tcPr>
                <w:p w14:paraId="19FC451C">
                  <w:pPr>
                    <w:spacing w:line="240" w:lineRule="auto"/>
                    <w:ind w:firstLine="0" w:firstLineChars="0"/>
                    <w:jc w:val="center"/>
                    <w:rPr>
                      <w:sz w:val="21"/>
                      <w:szCs w:val="21"/>
                    </w:rPr>
                  </w:pPr>
                  <w:r>
                    <w:rPr>
                      <w:rFonts w:hint="eastAsia"/>
                      <w:sz w:val="21"/>
                      <w:szCs w:val="21"/>
                    </w:rPr>
                    <w:t>1</w:t>
                  </w:r>
                </w:p>
              </w:tc>
              <w:tc>
                <w:tcPr>
                  <w:tcW w:w="726" w:type="pct"/>
                  <w:shd w:val="clear" w:color="auto" w:fill="auto"/>
                  <w:vAlign w:val="center"/>
                </w:tcPr>
                <w:p w14:paraId="4D496CED">
                  <w:pPr>
                    <w:spacing w:line="240" w:lineRule="auto"/>
                    <w:ind w:firstLine="0" w:firstLineChars="0"/>
                    <w:jc w:val="center"/>
                    <w:rPr>
                      <w:rFonts w:cs="微软雅黑"/>
                      <w:sz w:val="21"/>
                    </w:rPr>
                  </w:pPr>
                  <w:r>
                    <w:rPr>
                      <w:rFonts w:hint="eastAsia" w:cs="微软雅黑"/>
                      <w:sz w:val="21"/>
                    </w:rPr>
                    <w:t>0</w:t>
                  </w:r>
                </w:p>
              </w:tc>
              <w:tc>
                <w:tcPr>
                  <w:tcW w:w="725" w:type="pct"/>
                  <w:shd w:val="clear" w:color="auto" w:fill="auto"/>
                  <w:vAlign w:val="center"/>
                </w:tcPr>
                <w:p w14:paraId="14C6BE88">
                  <w:pPr>
                    <w:spacing w:line="240" w:lineRule="auto"/>
                    <w:ind w:firstLine="0" w:firstLineChars="0"/>
                    <w:jc w:val="center"/>
                    <w:rPr>
                      <w:sz w:val="21"/>
                      <w:szCs w:val="21"/>
                    </w:rPr>
                  </w:pPr>
                  <w:r>
                    <w:rPr>
                      <w:rFonts w:hint="eastAsia"/>
                      <w:sz w:val="21"/>
                      <w:szCs w:val="21"/>
                    </w:rPr>
                    <w:t>辅助设备</w:t>
                  </w:r>
                </w:p>
              </w:tc>
            </w:tr>
            <w:tr w14:paraId="5787C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9" w:type="pct"/>
                  <w:vAlign w:val="center"/>
                </w:tcPr>
                <w:p w14:paraId="764246A8">
                  <w:pPr>
                    <w:pStyle w:val="8"/>
                    <w:numPr>
                      <w:ilvl w:val="0"/>
                      <w:numId w:val="1"/>
                    </w:numPr>
                  </w:pPr>
                </w:p>
              </w:tc>
              <w:tc>
                <w:tcPr>
                  <w:tcW w:w="896" w:type="pct"/>
                  <w:shd w:val="clear" w:color="auto" w:fill="auto"/>
                  <w:vAlign w:val="center"/>
                </w:tcPr>
                <w:p w14:paraId="02B0BC14">
                  <w:pPr>
                    <w:spacing w:line="240" w:lineRule="auto"/>
                    <w:ind w:firstLine="0" w:firstLineChars="0"/>
                    <w:jc w:val="center"/>
                    <w:rPr>
                      <w:sz w:val="21"/>
                      <w:szCs w:val="21"/>
                    </w:rPr>
                  </w:pPr>
                  <w:r>
                    <w:rPr>
                      <w:rFonts w:hint="eastAsia"/>
                      <w:sz w:val="21"/>
                      <w:szCs w:val="21"/>
                    </w:rPr>
                    <w:t>硬度计</w:t>
                  </w:r>
                </w:p>
              </w:tc>
              <w:tc>
                <w:tcPr>
                  <w:tcW w:w="875" w:type="pct"/>
                  <w:shd w:val="clear" w:color="auto" w:fill="auto"/>
                  <w:vAlign w:val="center"/>
                </w:tcPr>
                <w:p w14:paraId="1F2D2009">
                  <w:pPr>
                    <w:spacing w:line="240" w:lineRule="auto"/>
                    <w:ind w:firstLine="0" w:firstLineChars="0"/>
                    <w:jc w:val="center"/>
                    <w:rPr>
                      <w:sz w:val="21"/>
                      <w:szCs w:val="21"/>
                    </w:rPr>
                  </w:pPr>
                  <w:r>
                    <w:rPr>
                      <w:rFonts w:hint="eastAsia"/>
                      <w:sz w:val="21"/>
                      <w:szCs w:val="21"/>
                    </w:rPr>
                    <w:t>/</w:t>
                  </w:r>
                </w:p>
              </w:tc>
              <w:tc>
                <w:tcPr>
                  <w:tcW w:w="722" w:type="pct"/>
                  <w:shd w:val="clear" w:color="auto" w:fill="auto"/>
                  <w:vAlign w:val="center"/>
                </w:tcPr>
                <w:p w14:paraId="69BE409F">
                  <w:pPr>
                    <w:spacing w:line="240" w:lineRule="auto"/>
                    <w:ind w:firstLine="0" w:firstLineChars="0"/>
                    <w:jc w:val="center"/>
                    <w:rPr>
                      <w:rFonts w:cs="微软雅黑"/>
                      <w:sz w:val="21"/>
                    </w:rPr>
                  </w:pPr>
                  <w:r>
                    <w:rPr>
                      <w:rFonts w:hint="eastAsia" w:cs="微软雅黑"/>
                      <w:sz w:val="21"/>
                    </w:rPr>
                    <w:t>0</w:t>
                  </w:r>
                </w:p>
              </w:tc>
              <w:tc>
                <w:tcPr>
                  <w:tcW w:w="725" w:type="pct"/>
                  <w:shd w:val="clear" w:color="auto" w:fill="auto"/>
                  <w:vAlign w:val="center"/>
                </w:tcPr>
                <w:p w14:paraId="678ECC6B">
                  <w:pPr>
                    <w:spacing w:line="240" w:lineRule="auto"/>
                    <w:ind w:firstLine="0" w:firstLineChars="0"/>
                    <w:jc w:val="center"/>
                    <w:rPr>
                      <w:sz w:val="21"/>
                      <w:szCs w:val="21"/>
                    </w:rPr>
                  </w:pPr>
                  <w:r>
                    <w:rPr>
                      <w:rFonts w:hint="eastAsia"/>
                      <w:sz w:val="21"/>
                      <w:szCs w:val="21"/>
                    </w:rPr>
                    <w:t>1</w:t>
                  </w:r>
                </w:p>
              </w:tc>
              <w:tc>
                <w:tcPr>
                  <w:tcW w:w="726" w:type="pct"/>
                  <w:shd w:val="clear" w:color="auto" w:fill="auto"/>
                  <w:vAlign w:val="center"/>
                </w:tcPr>
                <w:p w14:paraId="1BF6BFFB">
                  <w:pPr>
                    <w:spacing w:line="240" w:lineRule="auto"/>
                    <w:ind w:firstLine="0" w:firstLineChars="0"/>
                    <w:jc w:val="center"/>
                    <w:rPr>
                      <w:rFonts w:cs="微软雅黑"/>
                      <w:sz w:val="21"/>
                    </w:rPr>
                  </w:pPr>
                  <w:bookmarkStart w:id="120" w:name="OLE_LINK14"/>
                  <w:r>
                    <w:rPr>
                      <w:rFonts w:hint="eastAsia" w:cs="微软雅黑"/>
                      <w:sz w:val="21"/>
                    </w:rPr>
                    <w:t>+1</w:t>
                  </w:r>
                  <w:bookmarkEnd w:id="120"/>
                </w:p>
              </w:tc>
              <w:tc>
                <w:tcPr>
                  <w:tcW w:w="725" w:type="pct"/>
                  <w:vMerge w:val="restart"/>
                  <w:shd w:val="clear" w:color="auto" w:fill="auto"/>
                  <w:vAlign w:val="center"/>
                </w:tcPr>
                <w:p w14:paraId="2378F762">
                  <w:pPr>
                    <w:spacing w:line="240" w:lineRule="auto"/>
                    <w:ind w:firstLine="0" w:firstLineChars="0"/>
                    <w:jc w:val="center"/>
                    <w:rPr>
                      <w:sz w:val="21"/>
                      <w:szCs w:val="21"/>
                    </w:rPr>
                  </w:pPr>
                  <w:r>
                    <w:rPr>
                      <w:rFonts w:hint="eastAsia"/>
                      <w:sz w:val="21"/>
                      <w:szCs w:val="21"/>
                    </w:rPr>
                    <w:t>检测</w:t>
                  </w:r>
                </w:p>
              </w:tc>
            </w:tr>
            <w:tr w14:paraId="0AEF4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9" w:type="pct"/>
                  <w:vAlign w:val="center"/>
                </w:tcPr>
                <w:p w14:paraId="137173C7">
                  <w:pPr>
                    <w:pStyle w:val="8"/>
                    <w:numPr>
                      <w:ilvl w:val="0"/>
                      <w:numId w:val="1"/>
                    </w:numPr>
                  </w:pPr>
                </w:p>
              </w:tc>
              <w:tc>
                <w:tcPr>
                  <w:tcW w:w="896" w:type="pct"/>
                  <w:shd w:val="clear" w:color="auto" w:fill="auto"/>
                  <w:vAlign w:val="center"/>
                </w:tcPr>
                <w:p w14:paraId="7802C226">
                  <w:pPr>
                    <w:spacing w:line="240" w:lineRule="auto"/>
                    <w:ind w:firstLine="0" w:firstLineChars="0"/>
                    <w:jc w:val="center"/>
                    <w:rPr>
                      <w:sz w:val="21"/>
                      <w:szCs w:val="21"/>
                    </w:rPr>
                  </w:pPr>
                  <w:r>
                    <w:rPr>
                      <w:rFonts w:hint="eastAsia"/>
                      <w:sz w:val="21"/>
                      <w:szCs w:val="21"/>
                    </w:rPr>
                    <w:t>比重仪</w:t>
                  </w:r>
                </w:p>
              </w:tc>
              <w:tc>
                <w:tcPr>
                  <w:tcW w:w="875" w:type="pct"/>
                  <w:shd w:val="clear" w:color="auto" w:fill="auto"/>
                  <w:vAlign w:val="center"/>
                </w:tcPr>
                <w:p w14:paraId="0EFCE544">
                  <w:pPr>
                    <w:spacing w:line="240" w:lineRule="auto"/>
                    <w:ind w:firstLine="0" w:firstLineChars="0"/>
                    <w:jc w:val="center"/>
                    <w:rPr>
                      <w:sz w:val="21"/>
                      <w:szCs w:val="21"/>
                    </w:rPr>
                  </w:pPr>
                  <w:r>
                    <w:rPr>
                      <w:rFonts w:hint="eastAsia"/>
                      <w:sz w:val="21"/>
                      <w:szCs w:val="21"/>
                    </w:rPr>
                    <w:t>/</w:t>
                  </w:r>
                </w:p>
              </w:tc>
              <w:tc>
                <w:tcPr>
                  <w:tcW w:w="722" w:type="pct"/>
                  <w:shd w:val="clear" w:color="auto" w:fill="auto"/>
                  <w:vAlign w:val="center"/>
                </w:tcPr>
                <w:p w14:paraId="15D7AD0A">
                  <w:pPr>
                    <w:spacing w:line="240" w:lineRule="auto"/>
                    <w:ind w:firstLine="0" w:firstLineChars="0"/>
                    <w:jc w:val="center"/>
                    <w:rPr>
                      <w:rFonts w:cs="微软雅黑"/>
                      <w:sz w:val="21"/>
                    </w:rPr>
                  </w:pPr>
                  <w:r>
                    <w:rPr>
                      <w:rFonts w:hint="eastAsia" w:cs="微软雅黑"/>
                      <w:sz w:val="21"/>
                    </w:rPr>
                    <w:t>0</w:t>
                  </w:r>
                </w:p>
              </w:tc>
              <w:tc>
                <w:tcPr>
                  <w:tcW w:w="725" w:type="pct"/>
                  <w:shd w:val="clear" w:color="auto" w:fill="auto"/>
                  <w:vAlign w:val="center"/>
                </w:tcPr>
                <w:p w14:paraId="6CC21508">
                  <w:pPr>
                    <w:spacing w:line="240" w:lineRule="auto"/>
                    <w:ind w:firstLine="0" w:firstLineChars="0"/>
                    <w:jc w:val="center"/>
                    <w:rPr>
                      <w:sz w:val="21"/>
                      <w:szCs w:val="21"/>
                    </w:rPr>
                  </w:pPr>
                  <w:r>
                    <w:rPr>
                      <w:rFonts w:hint="eastAsia"/>
                      <w:sz w:val="21"/>
                      <w:szCs w:val="21"/>
                    </w:rPr>
                    <w:t>1</w:t>
                  </w:r>
                </w:p>
              </w:tc>
              <w:tc>
                <w:tcPr>
                  <w:tcW w:w="726" w:type="pct"/>
                  <w:shd w:val="clear" w:color="auto" w:fill="auto"/>
                  <w:vAlign w:val="center"/>
                </w:tcPr>
                <w:p w14:paraId="0E19633B">
                  <w:pPr>
                    <w:spacing w:line="240" w:lineRule="auto"/>
                    <w:ind w:firstLine="0" w:firstLineChars="0"/>
                    <w:jc w:val="center"/>
                    <w:rPr>
                      <w:rFonts w:cs="微软雅黑"/>
                      <w:sz w:val="21"/>
                    </w:rPr>
                  </w:pPr>
                  <w:r>
                    <w:rPr>
                      <w:rFonts w:cs="微软雅黑"/>
                      <w:sz w:val="21"/>
                    </w:rPr>
                    <w:t>+1</w:t>
                  </w:r>
                </w:p>
              </w:tc>
              <w:tc>
                <w:tcPr>
                  <w:tcW w:w="725" w:type="pct"/>
                  <w:vMerge w:val="continue"/>
                  <w:shd w:val="clear" w:color="auto" w:fill="auto"/>
                  <w:vAlign w:val="center"/>
                </w:tcPr>
                <w:p w14:paraId="4C8E53CC">
                  <w:pPr>
                    <w:spacing w:line="240" w:lineRule="auto"/>
                    <w:ind w:firstLine="0" w:firstLineChars="0"/>
                    <w:jc w:val="center"/>
                    <w:rPr>
                      <w:sz w:val="21"/>
                      <w:szCs w:val="21"/>
                    </w:rPr>
                  </w:pPr>
                </w:p>
              </w:tc>
            </w:tr>
            <w:tr w14:paraId="21321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9" w:type="pct"/>
                  <w:vAlign w:val="center"/>
                </w:tcPr>
                <w:p w14:paraId="20B3D562">
                  <w:pPr>
                    <w:pStyle w:val="8"/>
                    <w:numPr>
                      <w:ilvl w:val="0"/>
                      <w:numId w:val="1"/>
                    </w:numPr>
                  </w:pPr>
                </w:p>
              </w:tc>
              <w:tc>
                <w:tcPr>
                  <w:tcW w:w="896" w:type="pct"/>
                  <w:shd w:val="clear" w:color="auto" w:fill="auto"/>
                  <w:vAlign w:val="center"/>
                </w:tcPr>
                <w:p w14:paraId="48D71E6C">
                  <w:pPr>
                    <w:spacing w:line="240" w:lineRule="auto"/>
                    <w:ind w:firstLine="0" w:firstLineChars="0"/>
                    <w:jc w:val="center"/>
                    <w:rPr>
                      <w:sz w:val="21"/>
                      <w:szCs w:val="21"/>
                    </w:rPr>
                  </w:pPr>
                  <w:r>
                    <w:rPr>
                      <w:rFonts w:hint="eastAsia"/>
                      <w:sz w:val="21"/>
                      <w:szCs w:val="21"/>
                    </w:rPr>
                    <w:t>溶脂仪</w:t>
                  </w:r>
                </w:p>
              </w:tc>
              <w:tc>
                <w:tcPr>
                  <w:tcW w:w="875" w:type="pct"/>
                  <w:shd w:val="clear" w:color="auto" w:fill="auto"/>
                  <w:vAlign w:val="center"/>
                </w:tcPr>
                <w:p w14:paraId="2094F9D1">
                  <w:pPr>
                    <w:spacing w:line="240" w:lineRule="auto"/>
                    <w:ind w:firstLine="0" w:firstLineChars="0"/>
                    <w:jc w:val="center"/>
                    <w:rPr>
                      <w:sz w:val="21"/>
                      <w:szCs w:val="21"/>
                    </w:rPr>
                  </w:pPr>
                  <w:r>
                    <w:rPr>
                      <w:rFonts w:hint="eastAsia"/>
                      <w:sz w:val="21"/>
                      <w:szCs w:val="21"/>
                    </w:rPr>
                    <w:t>/</w:t>
                  </w:r>
                </w:p>
              </w:tc>
              <w:tc>
                <w:tcPr>
                  <w:tcW w:w="722" w:type="pct"/>
                  <w:shd w:val="clear" w:color="auto" w:fill="auto"/>
                  <w:vAlign w:val="center"/>
                </w:tcPr>
                <w:p w14:paraId="40C057B5">
                  <w:pPr>
                    <w:spacing w:line="240" w:lineRule="auto"/>
                    <w:ind w:firstLine="0" w:firstLineChars="0"/>
                    <w:jc w:val="center"/>
                    <w:rPr>
                      <w:rFonts w:cs="微软雅黑"/>
                      <w:sz w:val="21"/>
                    </w:rPr>
                  </w:pPr>
                  <w:r>
                    <w:rPr>
                      <w:rFonts w:hint="eastAsia" w:cs="微软雅黑"/>
                      <w:sz w:val="21"/>
                    </w:rPr>
                    <w:t>0</w:t>
                  </w:r>
                </w:p>
              </w:tc>
              <w:tc>
                <w:tcPr>
                  <w:tcW w:w="725" w:type="pct"/>
                  <w:shd w:val="clear" w:color="auto" w:fill="auto"/>
                  <w:vAlign w:val="center"/>
                </w:tcPr>
                <w:p w14:paraId="1D6A4F88">
                  <w:pPr>
                    <w:spacing w:line="240" w:lineRule="auto"/>
                    <w:ind w:firstLine="0" w:firstLineChars="0"/>
                    <w:jc w:val="center"/>
                    <w:rPr>
                      <w:sz w:val="21"/>
                      <w:szCs w:val="21"/>
                    </w:rPr>
                  </w:pPr>
                  <w:r>
                    <w:rPr>
                      <w:rFonts w:hint="eastAsia"/>
                      <w:sz w:val="21"/>
                      <w:szCs w:val="21"/>
                    </w:rPr>
                    <w:t>1</w:t>
                  </w:r>
                </w:p>
              </w:tc>
              <w:tc>
                <w:tcPr>
                  <w:tcW w:w="726" w:type="pct"/>
                  <w:shd w:val="clear" w:color="auto" w:fill="auto"/>
                  <w:vAlign w:val="center"/>
                </w:tcPr>
                <w:p w14:paraId="13F72D44">
                  <w:pPr>
                    <w:spacing w:line="240" w:lineRule="auto"/>
                    <w:ind w:firstLine="0" w:firstLineChars="0"/>
                    <w:jc w:val="center"/>
                    <w:rPr>
                      <w:rFonts w:cs="微软雅黑"/>
                      <w:sz w:val="21"/>
                    </w:rPr>
                  </w:pPr>
                  <w:r>
                    <w:rPr>
                      <w:rFonts w:cs="微软雅黑"/>
                      <w:sz w:val="21"/>
                    </w:rPr>
                    <w:t>+1</w:t>
                  </w:r>
                </w:p>
              </w:tc>
              <w:tc>
                <w:tcPr>
                  <w:tcW w:w="725" w:type="pct"/>
                  <w:vMerge w:val="continue"/>
                  <w:shd w:val="clear" w:color="auto" w:fill="auto"/>
                  <w:vAlign w:val="center"/>
                </w:tcPr>
                <w:p w14:paraId="5688DC70">
                  <w:pPr>
                    <w:spacing w:line="240" w:lineRule="auto"/>
                    <w:ind w:firstLine="0" w:firstLineChars="0"/>
                    <w:jc w:val="center"/>
                    <w:rPr>
                      <w:sz w:val="21"/>
                      <w:szCs w:val="21"/>
                    </w:rPr>
                  </w:pPr>
                </w:p>
              </w:tc>
            </w:tr>
            <w:tr w14:paraId="6729D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9" w:type="pct"/>
                  <w:vAlign w:val="center"/>
                </w:tcPr>
                <w:p w14:paraId="297B51A6">
                  <w:pPr>
                    <w:pStyle w:val="8"/>
                    <w:numPr>
                      <w:ilvl w:val="0"/>
                      <w:numId w:val="1"/>
                    </w:numPr>
                  </w:pPr>
                </w:p>
              </w:tc>
              <w:tc>
                <w:tcPr>
                  <w:tcW w:w="896" w:type="pct"/>
                  <w:shd w:val="clear" w:color="auto" w:fill="auto"/>
                  <w:vAlign w:val="center"/>
                </w:tcPr>
                <w:p w14:paraId="4BC8B203">
                  <w:pPr>
                    <w:spacing w:line="240" w:lineRule="auto"/>
                    <w:ind w:firstLine="0" w:firstLineChars="0"/>
                    <w:jc w:val="center"/>
                    <w:rPr>
                      <w:sz w:val="21"/>
                      <w:szCs w:val="21"/>
                    </w:rPr>
                  </w:pPr>
                  <w:r>
                    <w:rPr>
                      <w:rFonts w:hint="eastAsia"/>
                      <w:sz w:val="21"/>
                      <w:szCs w:val="21"/>
                    </w:rPr>
                    <w:t>拉伸冲击仪</w:t>
                  </w:r>
                </w:p>
              </w:tc>
              <w:tc>
                <w:tcPr>
                  <w:tcW w:w="875" w:type="pct"/>
                  <w:shd w:val="clear" w:color="auto" w:fill="auto"/>
                  <w:vAlign w:val="center"/>
                </w:tcPr>
                <w:p w14:paraId="4BA60766">
                  <w:pPr>
                    <w:spacing w:line="240" w:lineRule="auto"/>
                    <w:ind w:firstLine="0" w:firstLineChars="0"/>
                    <w:jc w:val="center"/>
                    <w:rPr>
                      <w:sz w:val="21"/>
                      <w:szCs w:val="21"/>
                    </w:rPr>
                  </w:pPr>
                  <w:r>
                    <w:rPr>
                      <w:rFonts w:hint="eastAsia"/>
                      <w:sz w:val="21"/>
                      <w:szCs w:val="21"/>
                    </w:rPr>
                    <w:t>/</w:t>
                  </w:r>
                </w:p>
              </w:tc>
              <w:tc>
                <w:tcPr>
                  <w:tcW w:w="722" w:type="pct"/>
                  <w:shd w:val="clear" w:color="auto" w:fill="auto"/>
                  <w:vAlign w:val="center"/>
                </w:tcPr>
                <w:p w14:paraId="69B92858">
                  <w:pPr>
                    <w:spacing w:line="240" w:lineRule="auto"/>
                    <w:ind w:firstLine="0" w:firstLineChars="0"/>
                    <w:jc w:val="center"/>
                    <w:rPr>
                      <w:rFonts w:cs="微软雅黑"/>
                      <w:sz w:val="21"/>
                    </w:rPr>
                  </w:pPr>
                  <w:r>
                    <w:rPr>
                      <w:rFonts w:hint="eastAsia" w:cs="微软雅黑"/>
                      <w:sz w:val="21"/>
                    </w:rPr>
                    <w:t>0</w:t>
                  </w:r>
                </w:p>
              </w:tc>
              <w:tc>
                <w:tcPr>
                  <w:tcW w:w="725" w:type="pct"/>
                  <w:shd w:val="clear" w:color="auto" w:fill="auto"/>
                  <w:vAlign w:val="center"/>
                </w:tcPr>
                <w:p w14:paraId="0C319C05">
                  <w:pPr>
                    <w:spacing w:line="240" w:lineRule="auto"/>
                    <w:ind w:firstLine="0" w:firstLineChars="0"/>
                    <w:jc w:val="center"/>
                    <w:rPr>
                      <w:sz w:val="21"/>
                      <w:szCs w:val="21"/>
                    </w:rPr>
                  </w:pPr>
                  <w:r>
                    <w:rPr>
                      <w:rFonts w:hint="eastAsia"/>
                      <w:sz w:val="21"/>
                      <w:szCs w:val="21"/>
                    </w:rPr>
                    <w:t>1</w:t>
                  </w:r>
                </w:p>
              </w:tc>
              <w:tc>
                <w:tcPr>
                  <w:tcW w:w="726" w:type="pct"/>
                  <w:shd w:val="clear" w:color="auto" w:fill="auto"/>
                  <w:vAlign w:val="center"/>
                </w:tcPr>
                <w:p w14:paraId="78D37BB8">
                  <w:pPr>
                    <w:spacing w:line="240" w:lineRule="auto"/>
                    <w:ind w:firstLine="0" w:firstLineChars="0"/>
                    <w:jc w:val="center"/>
                    <w:rPr>
                      <w:rFonts w:cs="微软雅黑"/>
                      <w:sz w:val="21"/>
                    </w:rPr>
                  </w:pPr>
                  <w:r>
                    <w:rPr>
                      <w:rFonts w:cs="微软雅黑"/>
                      <w:sz w:val="21"/>
                    </w:rPr>
                    <w:t>+1</w:t>
                  </w:r>
                </w:p>
              </w:tc>
              <w:tc>
                <w:tcPr>
                  <w:tcW w:w="725" w:type="pct"/>
                  <w:vMerge w:val="continue"/>
                  <w:shd w:val="clear" w:color="auto" w:fill="auto"/>
                  <w:vAlign w:val="center"/>
                </w:tcPr>
                <w:p w14:paraId="5D2161EF">
                  <w:pPr>
                    <w:spacing w:line="240" w:lineRule="auto"/>
                    <w:ind w:firstLine="0" w:firstLineChars="0"/>
                    <w:jc w:val="center"/>
                    <w:rPr>
                      <w:sz w:val="21"/>
                      <w:szCs w:val="21"/>
                    </w:rPr>
                  </w:pPr>
                </w:p>
              </w:tc>
            </w:tr>
            <w:tr w14:paraId="4D9D1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9" w:type="pct"/>
                  <w:vAlign w:val="center"/>
                </w:tcPr>
                <w:p w14:paraId="68F26012">
                  <w:pPr>
                    <w:pStyle w:val="8"/>
                    <w:numPr>
                      <w:ilvl w:val="0"/>
                      <w:numId w:val="1"/>
                    </w:numPr>
                  </w:pPr>
                </w:p>
              </w:tc>
              <w:tc>
                <w:tcPr>
                  <w:tcW w:w="896" w:type="pct"/>
                  <w:shd w:val="clear" w:color="auto" w:fill="auto"/>
                  <w:vAlign w:val="center"/>
                </w:tcPr>
                <w:p w14:paraId="0607A52E">
                  <w:pPr>
                    <w:spacing w:line="240" w:lineRule="auto"/>
                    <w:ind w:firstLine="0" w:firstLineChars="0"/>
                    <w:jc w:val="center"/>
                    <w:rPr>
                      <w:sz w:val="21"/>
                      <w:szCs w:val="21"/>
                    </w:rPr>
                  </w:pPr>
                  <w:bookmarkStart w:id="121" w:name="OLE_LINK4"/>
                  <w:r>
                    <w:rPr>
                      <w:rFonts w:hint="eastAsia"/>
                      <w:sz w:val="21"/>
                      <w:szCs w:val="21"/>
                    </w:rPr>
                    <w:t>打包机</w:t>
                  </w:r>
                  <w:bookmarkEnd w:id="121"/>
                </w:p>
              </w:tc>
              <w:tc>
                <w:tcPr>
                  <w:tcW w:w="875" w:type="pct"/>
                  <w:shd w:val="clear" w:color="auto" w:fill="auto"/>
                  <w:vAlign w:val="center"/>
                </w:tcPr>
                <w:p w14:paraId="1F325276">
                  <w:pPr>
                    <w:spacing w:line="240" w:lineRule="auto"/>
                    <w:ind w:firstLine="0" w:firstLineChars="0"/>
                    <w:jc w:val="center"/>
                    <w:rPr>
                      <w:sz w:val="21"/>
                      <w:szCs w:val="21"/>
                    </w:rPr>
                  </w:pPr>
                  <w:r>
                    <w:rPr>
                      <w:rFonts w:hint="eastAsia"/>
                      <w:sz w:val="21"/>
                      <w:szCs w:val="21"/>
                    </w:rPr>
                    <w:t>/</w:t>
                  </w:r>
                </w:p>
              </w:tc>
              <w:tc>
                <w:tcPr>
                  <w:tcW w:w="722" w:type="pct"/>
                  <w:shd w:val="clear" w:color="auto" w:fill="auto"/>
                  <w:vAlign w:val="center"/>
                </w:tcPr>
                <w:p w14:paraId="28B12895">
                  <w:pPr>
                    <w:spacing w:line="240" w:lineRule="auto"/>
                    <w:ind w:firstLine="0" w:firstLineChars="0"/>
                    <w:jc w:val="center"/>
                    <w:rPr>
                      <w:rFonts w:cs="微软雅黑"/>
                      <w:sz w:val="21"/>
                    </w:rPr>
                  </w:pPr>
                  <w:r>
                    <w:rPr>
                      <w:rFonts w:hint="eastAsia" w:cs="微软雅黑"/>
                      <w:sz w:val="21"/>
                    </w:rPr>
                    <w:t>2</w:t>
                  </w:r>
                </w:p>
              </w:tc>
              <w:tc>
                <w:tcPr>
                  <w:tcW w:w="725" w:type="pct"/>
                  <w:shd w:val="clear" w:color="auto" w:fill="auto"/>
                  <w:vAlign w:val="center"/>
                </w:tcPr>
                <w:p w14:paraId="4008BE54">
                  <w:pPr>
                    <w:spacing w:line="240" w:lineRule="auto"/>
                    <w:ind w:firstLine="0" w:firstLineChars="0"/>
                    <w:jc w:val="center"/>
                    <w:rPr>
                      <w:sz w:val="21"/>
                      <w:szCs w:val="21"/>
                    </w:rPr>
                  </w:pPr>
                  <w:r>
                    <w:rPr>
                      <w:rFonts w:hint="eastAsia"/>
                      <w:sz w:val="21"/>
                      <w:szCs w:val="21"/>
                    </w:rPr>
                    <w:t>2</w:t>
                  </w:r>
                </w:p>
              </w:tc>
              <w:tc>
                <w:tcPr>
                  <w:tcW w:w="726" w:type="pct"/>
                  <w:shd w:val="clear" w:color="auto" w:fill="auto"/>
                  <w:vAlign w:val="center"/>
                </w:tcPr>
                <w:p w14:paraId="319F6675">
                  <w:pPr>
                    <w:spacing w:line="240" w:lineRule="auto"/>
                    <w:ind w:firstLine="0" w:firstLineChars="0"/>
                    <w:jc w:val="center"/>
                    <w:rPr>
                      <w:rFonts w:cs="微软雅黑"/>
                      <w:sz w:val="21"/>
                    </w:rPr>
                  </w:pPr>
                  <w:r>
                    <w:rPr>
                      <w:rFonts w:hint="eastAsia" w:cs="微软雅黑"/>
                      <w:sz w:val="21"/>
                    </w:rPr>
                    <w:t>0</w:t>
                  </w:r>
                </w:p>
              </w:tc>
              <w:tc>
                <w:tcPr>
                  <w:tcW w:w="725" w:type="pct"/>
                  <w:shd w:val="clear" w:color="auto" w:fill="auto"/>
                  <w:vAlign w:val="center"/>
                </w:tcPr>
                <w:p w14:paraId="3187F7BB">
                  <w:pPr>
                    <w:spacing w:line="240" w:lineRule="auto"/>
                    <w:ind w:firstLine="0" w:firstLineChars="0"/>
                    <w:jc w:val="center"/>
                    <w:rPr>
                      <w:sz w:val="21"/>
                      <w:szCs w:val="21"/>
                    </w:rPr>
                  </w:pPr>
                  <w:r>
                    <w:rPr>
                      <w:rFonts w:hint="eastAsia"/>
                      <w:sz w:val="21"/>
                      <w:szCs w:val="21"/>
                    </w:rPr>
                    <w:t>包装</w:t>
                  </w:r>
                </w:p>
              </w:tc>
            </w:tr>
            <w:tr w14:paraId="74568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9" w:type="pct"/>
                  <w:vAlign w:val="center"/>
                </w:tcPr>
                <w:p w14:paraId="28DF25AC">
                  <w:pPr>
                    <w:pStyle w:val="8"/>
                    <w:numPr>
                      <w:ilvl w:val="0"/>
                      <w:numId w:val="1"/>
                    </w:numPr>
                  </w:pPr>
                </w:p>
              </w:tc>
              <w:tc>
                <w:tcPr>
                  <w:tcW w:w="896" w:type="pct"/>
                  <w:shd w:val="clear" w:color="auto" w:fill="auto"/>
                  <w:vAlign w:val="center"/>
                </w:tcPr>
                <w:p w14:paraId="4815C467">
                  <w:pPr>
                    <w:spacing w:line="240" w:lineRule="auto"/>
                    <w:ind w:firstLine="0" w:firstLineChars="0"/>
                    <w:jc w:val="center"/>
                    <w:rPr>
                      <w:sz w:val="21"/>
                      <w:szCs w:val="21"/>
                    </w:rPr>
                  </w:pPr>
                  <w:bookmarkStart w:id="122" w:name="OLE_LINK199"/>
                  <w:r>
                    <w:rPr>
                      <w:rFonts w:hint="eastAsia"/>
                      <w:sz w:val="21"/>
                      <w:szCs w:val="21"/>
                    </w:rPr>
                    <w:t>溶胶机</w:t>
                  </w:r>
                  <w:bookmarkEnd w:id="122"/>
                </w:p>
              </w:tc>
              <w:tc>
                <w:tcPr>
                  <w:tcW w:w="875" w:type="pct"/>
                  <w:shd w:val="clear" w:color="auto" w:fill="auto"/>
                  <w:vAlign w:val="center"/>
                </w:tcPr>
                <w:p w14:paraId="3DE0A0B2">
                  <w:pPr>
                    <w:spacing w:line="240" w:lineRule="auto"/>
                    <w:ind w:firstLine="0" w:firstLineChars="0"/>
                    <w:jc w:val="center"/>
                    <w:rPr>
                      <w:sz w:val="21"/>
                      <w:szCs w:val="21"/>
                    </w:rPr>
                  </w:pPr>
                  <w:r>
                    <w:rPr>
                      <w:rFonts w:hint="eastAsia"/>
                      <w:sz w:val="21"/>
                      <w:szCs w:val="21"/>
                    </w:rPr>
                    <w:t>/</w:t>
                  </w:r>
                </w:p>
              </w:tc>
              <w:tc>
                <w:tcPr>
                  <w:tcW w:w="722" w:type="pct"/>
                  <w:shd w:val="clear" w:color="auto" w:fill="auto"/>
                  <w:vAlign w:val="center"/>
                </w:tcPr>
                <w:p w14:paraId="3B7AFC53">
                  <w:pPr>
                    <w:spacing w:line="240" w:lineRule="auto"/>
                    <w:ind w:firstLine="0" w:firstLineChars="0"/>
                    <w:jc w:val="center"/>
                    <w:rPr>
                      <w:rFonts w:cs="微软雅黑"/>
                      <w:sz w:val="21"/>
                    </w:rPr>
                  </w:pPr>
                  <w:r>
                    <w:rPr>
                      <w:rFonts w:hint="eastAsia" w:cs="微软雅黑"/>
                      <w:sz w:val="21"/>
                    </w:rPr>
                    <w:t>0</w:t>
                  </w:r>
                </w:p>
              </w:tc>
              <w:tc>
                <w:tcPr>
                  <w:tcW w:w="725" w:type="pct"/>
                  <w:shd w:val="clear" w:color="auto" w:fill="auto"/>
                  <w:vAlign w:val="center"/>
                </w:tcPr>
                <w:p w14:paraId="5010B87E">
                  <w:pPr>
                    <w:spacing w:line="240" w:lineRule="auto"/>
                    <w:ind w:firstLine="0" w:firstLineChars="0"/>
                    <w:jc w:val="center"/>
                    <w:rPr>
                      <w:sz w:val="21"/>
                      <w:szCs w:val="21"/>
                    </w:rPr>
                  </w:pPr>
                  <w:r>
                    <w:rPr>
                      <w:rFonts w:hint="eastAsia"/>
                      <w:sz w:val="21"/>
                      <w:szCs w:val="21"/>
                    </w:rPr>
                    <w:t>1</w:t>
                  </w:r>
                </w:p>
              </w:tc>
              <w:tc>
                <w:tcPr>
                  <w:tcW w:w="726" w:type="pct"/>
                  <w:shd w:val="clear" w:color="auto" w:fill="auto"/>
                  <w:vAlign w:val="center"/>
                </w:tcPr>
                <w:p w14:paraId="62DD2530">
                  <w:pPr>
                    <w:spacing w:line="240" w:lineRule="auto"/>
                    <w:ind w:firstLine="0" w:firstLineChars="0"/>
                    <w:jc w:val="center"/>
                    <w:rPr>
                      <w:rFonts w:cs="微软雅黑"/>
                      <w:sz w:val="21"/>
                      <w:highlight w:val="yellow"/>
                    </w:rPr>
                  </w:pPr>
                  <w:r>
                    <w:rPr>
                      <w:rFonts w:hint="eastAsia" w:cs="微软雅黑"/>
                      <w:sz w:val="21"/>
                    </w:rPr>
                    <w:t>+1</w:t>
                  </w:r>
                </w:p>
              </w:tc>
              <w:tc>
                <w:tcPr>
                  <w:tcW w:w="725" w:type="pct"/>
                  <w:shd w:val="clear" w:color="auto" w:fill="auto"/>
                  <w:vAlign w:val="center"/>
                </w:tcPr>
                <w:p w14:paraId="061747B7">
                  <w:pPr>
                    <w:spacing w:line="240" w:lineRule="auto"/>
                    <w:ind w:firstLine="0" w:firstLineChars="0"/>
                    <w:jc w:val="center"/>
                    <w:rPr>
                      <w:sz w:val="21"/>
                      <w:szCs w:val="21"/>
                    </w:rPr>
                  </w:pPr>
                  <w:r>
                    <w:rPr>
                      <w:rFonts w:hint="eastAsia"/>
                      <w:sz w:val="21"/>
                      <w:szCs w:val="21"/>
                    </w:rPr>
                    <w:t>溶胶</w:t>
                  </w:r>
                </w:p>
              </w:tc>
            </w:tr>
            <w:tr w14:paraId="33EDA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9" w:type="pct"/>
                  <w:vAlign w:val="center"/>
                </w:tcPr>
                <w:p w14:paraId="53C1E2C0">
                  <w:pPr>
                    <w:pStyle w:val="8"/>
                    <w:numPr>
                      <w:ilvl w:val="0"/>
                      <w:numId w:val="1"/>
                    </w:numPr>
                  </w:pPr>
                </w:p>
              </w:tc>
              <w:tc>
                <w:tcPr>
                  <w:tcW w:w="896" w:type="pct"/>
                  <w:shd w:val="clear" w:color="auto" w:fill="auto"/>
                  <w:vAlign w:val="center"/>
                </w:tcPr>
                <w:p w14:paraId="6198E979">
                  <w:pPr>
                    <w:spacing w:line="240" w:lineRule="auto"/>
                    <w:ind w:firstLine="0" w:firstLineChars="0"/>
                    <w:jc w:val="center"/>
                    <w:rPr>
                      <w:sz w:val="21"/>
                      <w:szCs w:val="21"/>
                    </w:rPr>
                  </w:pPr>
                  <w:r>
                    <w:rPr>
                      <w:rFonts w:hint="eastAsia"/>
                      <w:sz w:val="21"/>
                      <w:szCs w:val="21"/>
                    </w:rPr>
                    <w:t>冷却水槽</w:t>
                  </w:r>
                </w:p>
              </w:tc>
              <w:tc>
                <w:tcPr>
                  <w:tcW w:w="875" w:type="pct"/>
                  <w:shd w:val="clear" w:color="auto" w:fill="auto"/>
                  <w:vAlign w:val="center"/>
                </w:tcPr>
                <w:p w14:paraId="32D5CFA2">
                  <w:pPr>
                    <w:spacing w:line="240" w:lineRule="auto"/>
                    <w:ind w:firstLine="0" w:firstLineChars="0"/>
                    <w:jc w:val="center"/>
                    <w:rPr>
                      <w:sz w:val="21"/>
                      <w:szCs w:val="21"/>
                    </w:rPr>
                  </w:pPr>
                  <w:bookmarkStart w:id="123" w:name="OLE_LINK119"/>
                  <w:r>
                    <w:rPr>
                      <w:rFonts w:hint="eastAsia"/>
                      <w:sz w:val="21"/>
                      <w:szCs w:val="21"/>
                    </w:rPr>
                    <w:t>5m*0.4m*0.22m（有效水深）</w:t>
                  </w:r>
                  <w:bookmarkEnd w:id="123"/>
                </w:p>
              </w:tc>
              <w:tc>
                <w:tcPr>
                  <w:tcW w:w="722" w:type="pct"/>
                  <w:shd w:val="clear" w:color="auto" w:fill="auto"/>
                  <w:vAlign w:val="center"/>
                </w:tcPr>
                <w:p w14:paraId="1BC8BA1A">
                  <w:pPr>
                    <w:spacing w:line="240" w:lineRule="auto"/>
                    <w:ind w:firstLine="0" w:firstLineChars="0"/>
                    <w:jc w:val="center"/>
                    <w:rPr>
                      <w:rFonts w:cs="微软雅黑"/>
                      <w:sz w:val="21"/>
                    </w:rPr>
                  </w:pPr>
                  <w:r>
                    <w:rPr>
                      <w:rFonts w:hint="eastAsia" w:cs="微软雅黑"/>
                      <w:sz w:val="21"/>
                    </w:rPr>
                    <w:t>2</w:t>
                  </w:r>
                </w:p>
              </w:tc>
              <w:tc>
                <w:tcPr>
                  <w:tcW w:w="725" w:type="pct"/>
                  <w:shd w:val="clear" w:color="auto" w:fill="auto"/>
                  <w:vAlign w:val="center"/>
                </w:tcPr>
                <w:p w14:paraId="1AF28094">
                  <w:pPr>
                    <w:spacing w:line="240" w:lineRule="auto"/>
                    <w:ind w:firstLine="0" w:firstLineChars="0"/>
                    <w:jc w:val="center"/>
                    <w:rPr>
                      <w:sz w:val="21"/>
                      <w:szCs w:val="21"/>
                    </w:rPr>
                  </w:pPr>
                  <w:r>
                    <w:rPr>
                      <w:rFonts w:hint="eastAsia"/>
                      <w:sz w:val="21"/>
                      <w:szCs w:val="21"/>
                    </w:rPr>
                    <w:t>4</w:t>
                  </w:r>
                </w:p>
              </w:tc>
              <w:tc>
                <w:tcPr>
                  <w:tcW w:w="726" w:type="pct"/>
                  <w:shd w:val="clear" w:color="auto" w:fill="auto"/>
                  <w:vAlign w:val="center"/>
                </w:tcPr>
                <w:p w14:paraId="1F640C5B">
                  <w:pPr>
                    <w:spacing w:line="240" w:lineRule="auto"/>
                    <w:ind w:firstLine="0" w:firstLineChars="0"/>
                    <w:jc w:val="center"/>
                    <w:rPr>
                      <w:rFonts w:cs="微软雅黑"/>
                      <w:sz w:val="21"/>
                    </w:rPr>
                  </w:pPr>
                  <w:r>
                    <w:rPr>
                      <w:rFonts w:hint="eastAsia" w:cs="微软雅黑"/>
                      <w:sz w:val="21"/>
                    </w:rPr>
                    <w:t>+2</w:t>
                  </w:r>
                </w:p>
              </w:tc>
              <w:tc>
                <w:tcPr>
                  <w:tcW w:w="725" w:type="pct"/>
                  <w:shd w:val="clear" w:color="auto" w:fill="auto"/>
                  <w:vAlign w:val="center"/>
                </w:tcPr>
                <w:p w14:paraId="36FF89F1">
                  <w:pPr>
                    <w:spacing w:line="240" w:lineRule="auto"/>
                    <w:ind w:firstLine="0" w:firstLineChars="0"/>
                    <w:jc w:val="center"/>
                    <w:rPr>
                      <w:sz w:val="21"/>
                      <w:szCs w:val="21"/>
                    </w:rPr>
                  </w:pPr>
                  <w:r>
                    <w:rPr>
                      <w:rFonts w:hint="eastAsia"/>
                      <w:sz w:val="21"/>
                      <w:szCs w:val="21"/>
                    </w:rPr>
                    <w:t>水冷</w:t>
                  </w:r>
                </w:p>
              </w:tc>
            </w:tr>
            <w:tr w14:paraId="2CE57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9" w:type="pct"/>
                  <w:vAlign w:val="center"/>
                </w:tcPr>
                <w:p w14:paraId="429E5714">
                  <w:pPr>
                    <w:pStyle w:val="8"/>
                    <w:numPr>
                      <w:ilvl w:val="0"/>
                      <w:numId w:val="1"/>
                    </w:numPr>
                  </w:pPr>
                </w:p>
              </w:tc>
              <w:tc>
                <w:tcPr>
                  <w:tcW w:w="896" w:type="pct"/>
                  <w:shd w:val="clear" w:color="auto" w:fill="auto"/>
                  <w:vAlign w:val="center"/>
                </w:tcPr>
                <w:p w14:paraId="7B933614">
                  <w:pPr>
                    <w:spacing w:line="240" w:lineRule="auto"/>
                    <w:ind w:firstLine="0" w:firstLineChars="0"/>
                    <w:jc w:val="center"/>
                    <w:rPr>
                      <w:sz w:val="21"/>
                      <w:szCs w:val="21"/>
                    </w:rPr>
                  </w:pPr>
                  <w:r>
                    <w:rPr>
                      <w:rFonts w:hint="eastAsia"/>
                      <w:sz w:val="21"/>
                      <w:szCs w:val="21"/>
                    </w:rPr>
                    <w:t>空压机</w:t>
                  </w:r>
                </w:p>
              </w:tc>
              <w:tc>
                <w:tcPr>
                  <w:tcW w:w="875" w:type="pct"/>
                  <w:shd w:val="clear" w:color="auto" w:fill="auto"/>
                  <w:vAlign w:val="center"/>
                </w:tcPr>
                <w:p w14:paraId="616AA91E">
                  <w:pPr>
                    <w:spacing w:line="240" w:lineRule="auto"/>
                    <w:ind w:firstLine="0" w:firstLineChars="0"/>
                    <w:jc w:val="center"/>
                    <w:rPr>
                      <w:sz w:val="21"/>
                      <w:szCs w:val="21"/>
                    </w:rPr>
                  </w:pPr>
                  <w:r>
                    <w:rPr>
                      <w:rFonts w:hint="eastAsia"/>
                      <w:sz w:val="21"/>
                      <w:szCs w:val="21"/>
                    </w:rPr>
                    <w:t>/</w:t>
                  </w:r>
                </w:p>
              </w:tc>
              <w:tc>
                <w:tcPr>
                  <w:tcW w:w="722" w:type="pct"/>
                  <w:shd w:val="clear" w:color="auto" w:fill="auto"/>
                  <w:vAlign w:val="center"/>
                </w:tcPr>
                <w:p w14:paraId="1F86D4A0">
                  <w:pPr>
                    <w:spacing w:line="240" w:lineRule="auto"/>
                    <w:ind w:firstLine="0" w:firstLineChars="0"/>
                    <w:jc w:val="center"/>
                    <w:rPr>
                      <w:rFonts w:cs="微软雅黑"/>
                      <w:sz w:val="21"/>
                    </w:rPr>
                  </w:pPr>
                  <w:r>
                    <w:rPr>
                      <w:rFonts w:hint="eastAsia" w:cs="微软雅黑"/>
                      <w:sz w:val="21"/>
                    </w:rPr>
                    <w:t>1</w:t>
                  </w:r>
                </w:p>
              </w:tc>
              <w:tc>
                <w:tcPr>
                  <w:tcW w:w="725" w:type="pct"/>
                  <w:shd w:val="clear" w:color="auto" w:fill="auto"/>
                  <w:vAlign w:val="center"/>
                </w:tcPr>
                <w:p w14:paraId="4C182BC8">
                  <w:pPr>
                    <w:spacing w:line="240" w:lineRule="auto"/>
                    <w:ind w:firstLine="0" w:firstLineChars="0"/>
                    <w:jc w:val="center"/>
                    <w:rPr>
                      <w:sz w:val="21"/>
                      <w:szCs w:val="21"/>
                    </w:rPr>
                  </w:pPr>
                  <w:r>
                    <w:rPr>
                      <w:rFonts w:hint="eastAsia"/>
                      <w:sz w:val="21"/>
                      <w:szCs w:val="21"/>
                    </w:rPr>
                    <w:t>1</w:t>
                  </w:r>
                </w:p>
              </w:tc>
              <w:tc>
                <w:tcPr>
                  <w:tcW w:w="726" w:type="pct"/>
                  <w:shd w:val="clear" w:color="auto" w:fill="auto"/>
                  <w:vAlign w:val="center"/>
                </w:tcPr>
                <w:p w14:paraId="5AC7EC1F">
                  <w:pPr>
                    <w:spacing w:line="240" w:lineRule="auto"/>
                    <w:ind w:firstLine="0" w:firstLineChars="0"/>
                    <w:jc w:val="center"/>
                    <w:rPr>
                      <w:rFonts w:cs="微软雅黑"/>
                      <w:sz w:val="21"/>
                    </w:rPr>
                  </w:pPr>
                  <w:r>
                    <w:rPr>
                      <w:rFonts w:hint="eastAsia" w:cs="微软雅黑"/>
                      <w:sz w:val="21"/>
                    </w:rPr>
                    <w:t>0</w:t>
                  </w:r>
                </w:p>
              </w:tc>
              <w:tc>
                <w:tcPr>
                  <w:tcW w:w="725" w:type="pct"/>
                  <w:shd w:val="clear" w:color="auto" w:fill="auto"/>
                  <w:vAlign w:val="center"/>
                </w:tcPr>
                <w:p w14:paraId="33BE65AD">
                  <w:pPr>
                    <w:spacing w:line="240" w:lineRule="auto"/>
                    <w:ind w:firstLine="0" w:firstLineChars="0"/>
                    <w:jc w:val="center"/>
                    <w:rPr>
                      <w:sz w:val="21"/>
                      <w:szCs w:val="21"/>
                    </w:rPr>
                  </w:pPr>
                  <w:r>
                    <w:rPr>
                      <w:rFonts w:hint="eastAsia"/>
                      <w:sz w:val="21"/>
                      <w:szCs w:val="21"/>
                    </w:rPr>
                    <w:t>辅助设备</w:t>
                  </w:r>
                </w:p>
              </w:tc>
            </w:tr>
          </w:tbl>
          <w:p w14:paraId="5BB2DCAE">
            <w:pPr>
              <w:ind w:firstLine="480"/>
              <w:jc w:val="both"/>
            </w:pPr>
            <w:r>
              <w:rPr>
                <w:rFonts w:hint="eastAsia"/>
              </w:rPr>
              <w:t>（2）主要生产设备与产能的匹配性分析</w:t>
            </w:r>
          </w:p>
          <w:p w14:paraId="3F0D2D32">
            <w:pPr>
              <w:ind w:left="480" w:leftChars="200" w:firstLine="0" w:firstLineChars="0"/>
              <w:jc w:val="both"/>
            </w:pPr>
            <w:r>
              <w:rPr>
                <w:rFonts w:hint="eastAsia"/>
              </w:rPr>
              <w:t>项目主要设备的产能情况见下表所示。</w:t>
            </w:r>
          </w:p>
          <w:p w14:paraId="2F1DE93E">
            <w:pPr>
              <w:adjustRightInd w:val="0"/>
              <w:snapToGrid w:val="0"/>
              <w:spacing w:line="240" w:lineRule="auto"/>
              <w:ind w:firstLine="0" w:firstLineChars="0"/>
              <w:jc w:val="center"/>
              <w:rPr>
                <w:b/>
                <w:bCs/>
                <w:sz w:val="21"/>
                <w:szCs w:val="21"/>
              </w:rPr>
            </w:pPr>
            <w:r>
              <w:rPr>
                <w:b/>
                <w:bCs/>
                <w:sz w:val="21"/>
                <w:szCs w:val="21"/>
              </w:rPr>
              <w:t>表2</w:t>
            </w:r>
            <w:r>
              <w:rPr>
                <w:rFonts w:hint="eastAsia"/>
                <w:b/>
                <w:bCs/>
                <w:sz w:val="21"/>
                <w:szCs w:val="21"/>
              </w:rPr>
              <w:t>-7</w:t>
            </w:r>
            <w:r>
              <w:rPr>
                <w:b/>
                <w:bCs/>
                <w:sz w:val="21"/>
                <w:szCs w:val="21"/>
              </w:rPr>
              <w:t xml:space="preserve"> 项目</w:t>
            </w:r>
            <w:r>
              <w:rPr>
                <w:rFonts w:hint="eastAsia"/>
                <w:b/>
                <w:bCs/>
                <w:sz w:val="21"/>
                <w:szCs w:val="21"/>
              </w:rPr>
              <w:t>主要设备</w:t>
            </w:r>
            <w:r>
              <w:rPr>
                <w:b/>
                <w:bCs/>
                <w:sz w:val="21"/>
                <w:szCs w:val="21"/>
              </w:rPr>
              <w:t>产能</w:t>
            </w:r>
            <w:r>
              <w:rPr>
                <w:rFonts w:hint="eastAsia"/>
                <w:b/>
                <w:bCs/>
                <w:sz w:val="21"/>
                <w:szCs w:val="21"/>
              </w:rPr>
              <w:t>情况一览表</w:t>
            </w:r>
          </w:p>
          <w:tbl>
            <w:tblPr>
              <w:tblStyle w:val="34"/>
              <w:tblW w:w="4989" w:type="pct"/>
              <w:tblInd w:w="1" w:type="dxa"/>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517"/>
              <w:gridCol w:w="1144"/>
              <w:gridCol w:w="1144"/>
              <w:gridCol w:w="1144"/>
              <w:gridCol w:w="1144"/>
              <w:gridCol w:w="1144"/>
              <w:gridCol w:w="1144"/>
              <w:gridCol w:w="1157"/>
            </w:tblGrid>
            <w:tr w14:paraId="167A1C5A">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807" w:hRule="atLeast"/>
              </w:trPr>
              <w:tc>
                <w:tcPr>
                  <w:tcW w:w="303" w:type="pct"/>
                  <w:vAlign w:val="center"/>
                </w:tcPr>
                <w:p w14:paraId="35B1259E">
                  <w:pPr>
                    <w:spacing w:line="240" w:lineRule="auto"/>
                    <w:ind w:firstLine="0" w:firstLineChars="0"/>
                    <w:jc w:val="center"/>
                    <w:rPr>
                      <w:b/>
                      <w:bCs/>
                      <w:sz w:val="21"/>
                      <w:szCs w:val="21"/>
                    </w:rPr>
                  </w:pPr>
                  <w:r>
                    <w:rPr>
                      <w:b/>
                      <w:bCs/>
                      <w:sz w:val="21"/>
                      <w:szCs w:val="21"/>
                    </w:rPr>
                    <w:t>序号</w:t>
                  </w:r>
                </w:p>
              </w:tc>
              <w:tc>
                <w:tcPr>
                  <w:tcW w:w="670" w:type="pct"/>
                  <w:vAlign w:val="center"/>
                </w:tcPr>
                <w:p w14:paraId="2D9592EF">
                  <w:pPr>
                    <w:spacing w:line="240" w:lineRule="auto"/>
                    <w:ind w:firstLine="0" w:firstLineChars="0"/>
                    <w:jc w:val="center"/>
                    <w:rPr>
                      <w:b/>
                      <w:bCs/>
                      <w:sz w:val="21"/>
                      <w:szCs w:val="21"/>
                    </w:rPr>
                  </w:pPr>
                  <w:r>
                    <w:rPr>
                      <w:b/>
                      <w:bCs/>
                      <w:sz w:val="21"/>
                      <w:szCs w:val="21"/>
                    </w:rPr>
                    <w:t>设备名称</w:t>
                  </w:r>
                </w:p>
              </w:tc>
              <w:tc>
                <w:tcPr>
                  <w:tcW w:w="670" w:type="pct"/>
                  <w:vAlign w:val="center"/>
                </w:tcPr>
                <w:p w14:paraId="6DE8E94B">
                  <w:pPr>
                    <w:spacing w:line="240" w:lineRule="auto"/>
                    <w:ind w:firstLine="0" w:firstLineChars="0"/>
                    <w:jc w:val="center"/>
                    <w:rPr>
                      <w:b/>
                      <w:bCs/>
                      <w:sz w:val="21"/>
                      <w:szCs w:val="21"/>
                    </w:rPr>
                  </w:pPr>
                  <w:r>
                    <w:rPr>
                      <w:rFonts w:hint="eastAsia"/>
                      <w:b/>
                      <w:bCs/>
                      <w:sz w:val="21"/>
                      <w:szCs w:val="21"/>
                    </w:rPr>
                    <w:t>单台设备产能</w:t>
                  </w:r>
                </w:p>
              </w:tc>
              <w:tc>
                <w:tcPr>
                  <w:tcW w:w="670" w:type="pct"/>
                  <w:vAlign w:val="center"/>
                </w:tcPr>
                <w:p w14:paraId="7FCB93C5">
                  <w:pPr>
                    <w:spacing w:line="240" w:lineRule="auto"/>
                    <w:ind w:firstLine="0" w:firstLineChars="0"/>
                    <w:jc w:val="center"/>
                    <w:rPr>
                      <w:b/>
                      <w:bCs/>
                      <w:sz w:val="21"/>
                      <w:szCs w:val="21"/>
                    </w:rPr>
                  </w:pPr>
                  <w:r>
                    <w:rPr>
                      <w:rFonts w:hint="eastAsia"/>
                      <w:b/>
                      <w:bCs/>
                      <w:sz w:val="21"/>
                      <w:szCs w:val="21"/>
                    </w:rPr>
                    <w:t>生产时间</w:t>
                  </w:r>
                </w:p>
              </w:tc>
              <w:tc>
                <w:tcPr>
                  <w:tcW w:w="670" w:type="pct"/>
                  <w:vAlign w:val="center"/>
                </w:tcPr>
                <w:p w14:paraId="498995D2">
                  <w:pPr>
                    <w:spacing w:line="240" w:lineRule="auto"/>
                    <w:ind w:firstLine="0" w:firstLineChars="0"/>
                    <w:jc w:val="center"/>
                    <w:rPr>
                      <w:b/>
                      <w:bCs/>
                      <w:sz w:val="21"/>
                      <w:szCs w:val="21"/>
                    </w:rPr>
                  </w:pPr>
                  <w:r>
                    <w:rPr>
                      <w:b/>
                      <w:bCs/>
                      <w:sz w:val="21"/>
                      <w:szCs w:val="21"/>
                    </w:rPr>
                    <w:t>数量</w:t>
                  </w:r>
                </w:p>
              </w:tc>
              <w:tc>
                <w:tcPr>
                  <w:tcW w:w="670" w:type="pct"/>
                  <w:vAlign w:val="center"/>
                </w:tcPr>
                <w:p w14:paraId="3BD8DA6B">
                  <w:pPr>
                    <w:spacing w:line="240" w:lineRule="auto"/>
                    <w:ind w:firstLine="0" w:firstLineChars="0"/>
                    <w:jc w:val="center"/>
                    <w:rPr>
                      <w:b/>
                      <w:bCs/>
                      <w:sz w:val="21"/>
                      <w:szCs w:val="21"/>
                    </w:rPr>
                  </w:pPr>
                  <w:r>
                    <w:rPr>
                      <w:rFonts w:hint="eastAsia"/>
                      <w:b/>
                      <w:bCs/>
                      <w:sz w:val="21"/>
                      <w:szCs w:val="21"/>
                    </w:rPr>
                    <w:t>设备额定年产能</w:t>
                  </w:r>
                </w:p>
              </w:tc>
              <w:tc>
                <w:tcPr>
                  <w:tcW w:w="670" w:type="pct"/>
                  <w:vAlign w:val="center"/>
                </w:tcPr>
                <w:p w14:paraId="0C9A6E9A">
                  <w:pPr>
                    <w:snapToGrid w:val="0"/>
                    <w:spacing w:line="240" w:lineRule="auto"/>
                    <w:ind w:firstLine="0" w:firstLineChars="0"/>
                    <w:jc w:val="center"/>
                    <w:rPr>
                      <w:b/>
                      <w:bCs/>
                      <w:sz w:val="21"/>
                      <w:szCs w:val="21"/>
                    </w:rPr>
                  </w:pPr>
                  <w:r>
                    <w:rPr>
                      <w:rFonts w:hint="eastAsia"/>
                      <w:b/>
                      <w:bCs/>
                      <w:sz w:val="21"/>
                      <w:szCs w:val="21"/>
                    </w:rPr>
                    <w:t>项目实际设计产能</w:t>
                  </w:r>
                </w:p>
              </w:tc>
              <w:tc>
                <w:tcPr>
                  <w:tcW w:w="674" w:type="pct"/>
                  <w:vAlign w:val="center"/>
                </w:tcPr>
                <w:p w14:paraId="2D517D56">
                  <w:pPr>
                    <w:snapToGrid w:val="0"/>
                    <w:spacing w:line="240" w:lineRule="auto"/>
                    <w:ind w:firstLine="0" w:firstLineChars="0"/>
                    <w:jc w:val="center"/>
                    <w:rPr>
                      <w:b/>
                      <w:bCs/>
                      <w:sz w:val="21"/>
                      <w:szCs w:val="21"/>
                    </w:rPr>
                  </w:pPr>
                  <w:r>
                    <w:rPr>
                      <w:rFonts w:hint="eastAsia"/>
                      <w:b/>
                      <w:bCs/>
                      <w:sz w:val="21"/>
                      <w:szCs w:val="21"/>
                    </w:rPr>
                    <w:t>设计产能占额定产能比例</w:t>
                  </w:r>
                </w:p>
              </w:tc>
            </w:tr>
            <w:tr w14:paraId="3E97938F">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303" w:type="pct"/>
                  <w:vAlign w:val="center"/>
                </w:tcPr>
                <w:p w14:paraId="18B46A7C">
                  <w:pPr>
                    <w:spacing w:line="240" w:lineRule="auto"/>
                    <w:ind w:firstLine="0" w:firstLineChars="0"/>
                    <w:jc w:val="center"/>
                    <w:rPr>
                      <w:sz w:val="21"/>
                      <w:szCs w:val="21"/>
                    </w:rPr>
                  </w:pPr>
                  <w:r>
                    <w:rPr>
                      <w:sz w:val="21"/>
                      <w:szCs w:val="21"/>
                    </w:rPr>
                    <w:t>1</w:t>
                  </w:r>
                </w:p>
              </w:tc>
              <w:tc>
                <w:tcPr>
                  <w:tcW w:w="670" w:type="pct"/>
                  <w:vAlign w:val="center"/>
                </w:tcPr>
                <w:p w14:paraId="3F2D4E0C">
                  <w:pPr>
                    <w:adjustRightInd w:val="0"/>
                    <w:snapToGrid w:val="0"/>
                    <w:spacing w:line="240" w:lineRule="auto"/>
                    <w:ind w:firstLine="0" w:firstLineChars="0"/>
                    <w:jc w:val="center"/>
                    <w:rPr>
                      <w:sz w:val="21"/>
                      <w:szCs w:val="21"/>
                    </w:rPr>
                  </w:pPr>
                  <w:r>
                    <w:rPr>
                      <w:rFonts w:hint="eastAsia"/>
                      <w:sz w:val="21"/>
                      <w:szCs w:val="21"/>
                    </w:rPr>
                    <w:t>双螺杆挤出机</w:t>
                  </w:r>
                </w:p>
              </w:tc>
              <w:tc>
                <w:tcPr>
                  <w:tcW w:w="670" w:type="pct"/>
                  <w:vAlign w:val="center"/>
                </w:tcPr>
                <w:p w14:paraId="4E84E36D">
                  <w:pPr>
                    <w:adjustRightInd w:val="0"/>
                    <w:snapToGrid w:val="0"/>
                    <w:spacing w:line="240" w:lineRule="auto"/>
                    <w:ind w:firstLine="0" w:firstLineChars="0"/>
                    <w:jc w:val="center"/>
                    <w:rPr>
                      <w:sz w:val="21"/>
                      <w:szCs w:val="21"/>
                    </w:rPr>
                  </w:pPr>
                  <w:r>
                    <w:rPr>
                      <w:rFonts w:hint="eastAsia"/>
                      <w:sz w:val="21"/>
                      <w:szCs w:val="21"/>
                    </w:rPr>
                    <w:t>147kg</w:t>
                  </w:r>
                  <w:r>
                    <w:rPr>
                      <w:sz w:val="21"/>
                      <w:szCs w:val="21"/>
                    </w:rPr>
                    <w:t>/h</w:t>
                  </w:r>
                </w:p>
              </w:tc>
              <w:tc>
                <w:tcPr>
                  <w:tcW w:w="670" w:type="pct"/>
                  <w:vAlign w:val="center"/>
                </w:tcPr>
                <w:p w14:paraId="276A8E3D">
                  <w:pPr>
                    <w:adjustRightInd w:val="0"/>
                    <w:snapToGrid w:val="0"/>
                    <w:spacing w:line="240" w:lineRule="auto"/>
                    <w:ind w:firstLine="0" w:firstLineChars="0"/>
                    <w:jc w:val="center"/>
                    <w:rPr>
                      <w:sz w:val="21"/>
                      <w:szCs w:val="21"/>
                    </w:rPr>
                  </w:pPr>
                  <w:r>
                    <w:rPr>
                      <w:rFonts w:hint="eastAsia"/>
                      <w:sz w:val="21"/>
                      <w:szCs w:val="21"/>
                    </w:rPr>
                    <w:t>2000</w:t>
                  </w:r>
                  <w:bookmarkStart w:id="124" w:name="OLE_LINK235"/>
                  <w:r>
                    <w:rPr>
                      <w:rFonts w:hint="eastAsia"/>
                      <w:sz w:val="21"/>
                      <w:szCs w:val="21"/>
                    </w:rPr>
                    <w:t>h/a</w:t>
                  </w:r>
                  <w:bookmarkEnd w:id="124"/>
                </w:p>
              </w:tc>
              <w:tc>
                <w:tcPr>
                  <w:tcW w:w="670" w:type="pct"/>
                  <w:vAlign w:val="center"/>
                </w:tcPr>
                <w:p w14:paraId="39FC7F01">
                  <w:pPr>
                    <w:spacing w:line="240" w:lineRule="auto"/>
                    <w:ind w:firstLine="0" w:firstLineChars="0"/>
                    <w:jc w:val="center"/>
                    <w:rPr>
                      <w:sz w:val="21"/>
                      <w:szCs w:val="21"/>
                    </w:rPr>
                  </w:pPr>
                  <w:r>
                    <w:rPr>
                      <w:rFonts w:hint="eastAsia"/>
                      <w:sz w:val="21"/>
                      <w:szCs w:val="21"/>
                    </w:rPr>
                    <w:t>3</w:t>
                  </w:r>
                  <w:bookmarkStart w:id="125" w:name="OLE_LINK234"/>
                  <w:r>
                    <w:rPr>
                      <w:rFonts w:hint="eastAsia"/>
                      <w:sz w:val="21"/>
                      <w:szCs w:val="21"/>
                    </w:rPr>
                    <w:t>台</w:t>
                  </w:r>
                  <w:bookmarkEnd w:id="125"/>
                </w:p>
              </w:tc>
              <w:tc>
                <w:tcPr>
                  <w:tcW w:w="670" w:type="pct"/>
                  <w:vAlign w:val="center"/>
                </w:tcPr>
                <w:p w14:paraId="4D44365E">
                  <w:pPr>
                    <w:widowControl/>
                    <w:spacing w:line="240" w:lineRule="auto"/>
                    <w:ind w:firstLine="0" w:firstLineChars="0"/>
                    <w:jc w:val="center"/>
                    <w:textAlignment w:val="center"/>
                    <w:rPr>
                      <w:sz w:val="21"/>
                      <w:szCs w:val="21"/>
                    </w:rPr>
                  </w:pPr>
                  <w:r>
                    <w:rPr>
                      <w:rFonts w:hint="eastAsia"/>
                      <w:sz w:val="21"/>
                      <w:szCs w:val="21"/>
                    </w:rPr>
                    <w:t>882t/a</w:t>
                  </w:r>
                </w:p>
              </w:tc>
              <w:tc>
                <w:tcPr>
                  <w:tcW w:w="670" w:type="pct"/>
                  <w:vAlign w:val="center"/>
                </w:tcPr>
                <w:p w14:paraId="16EBBD0C">
                  <w:pPr>
                    <w:widowControl/>
                    <w:spacing w:line="240" w:lineRule="auto"/>
                    <w:ind w:firstLine="0" w:firstLineChars="0"/>
                    <w:jc w:val="center"/>
                    <w:textAlignment w:val="center"/>
                    <w:rPr>
                      <w:sz w:val="21"/>
                      <w:szCs w:val="21"/>
                    </w:rPr>
                  </w:pPr>
                  <w:r>
                    <w:rPr>
                      <w:rFonts w:hint="eastAsia"/>
                      <w:sz w:val="21"/>
                      <w:szCs w:val="21"/>
                    </w:rPr>
                    <w:t>800t/a</w:t>
                  </w:r>
                </w:p>
              </w:tc>
              <w:tc>
                <w:tcPr>
                  <w:tcW w:w="674" w:type="pct"/>
                  <w:vAlign w:val="center"/>
                </w:tcPr>
                <w:p w14:paraId="1FA9718F">
                  <w:pPr>
                    <w:widowControl/>
                    <w:spacing w:line="240" w:lineRule="auto"/>
                    <w:ind w:firstLine="0" w:firstLineChars="0"/>
                    <w:jc w:val="center"/>
                    <w:textAlignment w:val="center"/>
                    <w:rPr>
                      <w:sz w:val="21"/>
                      <w:szCs w:val="21"/>
                    </w:rPr>
                  </w:pPr>
                  <w:r>
                    <w:rPr>
                      <w:rFonts w:hint="eastAsia"/>
                      <w:sz w:val="21"/>
                      <w:szCs w:val="21"/>
                    </w:rPr>
                    <w:t>90.7%</w:t>
                  </w:r>
                </w:p>
              </w:tc>
            </w:tr>
            <w:tr w14:paraId="3EA42382">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303" w:type="pct"/>
                  <w:vAlign w:val="center"/>
                </w:tcPr>
                <w:p w14:paraId="5A9EF0ED">
                  <w:pPr>
                    <w:spacing w:line="240" w:lineRule="auto"/>
                    <w:ind w:firstLine="0" w:firstLineChars="0"/>
                    <w:jc w:val="center"/>
                    <w:rPr>
                      <w:sz w:val="21"/>
                      <w:szCs w:val="21"/>
                    </w:rPr>
                  </w:pPr>
                  <w:r>
                    <w:rPr>
                      <w:rFonts w:hint="eastAsia"/>
                      <w:sz w:val="21"/>
                      <w:szCs w:val="21"/>
                    </w:rPr>
                    <w:t>2</w:t>
                  </w:r>
                </w:p>
              </w:tc>
              <w:tc>
                <w:tcPr>
                  <w:tcW w:w="670" w:type="pct"/>
                  <w:vAlign w:val="center"/>
                </w:tcPr>
                <w:p w14:paraId="462556E8">
                  <w:pPr>
                    <w:adjustRightInd w:val="0"/>
                    <w:snapToGrid w:val="0"/>
                    <w:spacing w:line="240" w:lineRule="auto"/>
                    <w:ind w:firstLine="0" w:firstLineChars="0"/>
                    <w:jc w:val="center"/>
                    <w:rPr>
                      <w:sz w:val="21"/>
                      <w:szCs w:val="21"/>
                    </w:rPr>
                  </w:pPr>
                  <w:r>
                    <w:rPr>
                      <w:rFonts w:hint="eastAsia"/>
                      <w:sz w:val="21"/>
                      <w:szCs w:val="21"/>
                    </w:rPr>
                    <w:t>单螺杆挤出机</w:t>
                  </w:r>
                </w:p>
              </w:tc>
              <w:tc>
                <w:tcPr>
                  <w:tcW w:w="670" w:type="pct"/>
                  <w:vAlign w:val="center"/>
                </w:tcPr>
                <w:p w14:paraId="780BF941">
                  <w:pPr>
                    <w:adjustRightInd w:val="0"/>
                    <w:snapToGrid w:val="0"/>
                    <w:spacing w:line="240" w:lineRule="auto"/>
                    <w:ind w:firstLine="0" w:firstLineChars="0"/>
                    <w:jc w:val="center"/>
                    <w:rPr>
                      <w:sz w:val="21"/>
                      <w:szCs w:val="21"/>
                    </w:rPr>
                  </w:pPr>
                  <w:r>
                    <w:rPr>
                      <w:rFonts w:hint="eastAsia"/>
                      <w:sz w:val="21"/>
                      <w:szCs w:val="21"/>
                    </w:rPr>
                    <w:t>120kg/h</w:t>
                  </w:r>
                </w:p>
              </w:tc>
              <w:tc>
                <w:tcPr>
                  <w:tcW w:w="670" w:type="pct"/>
                  <w:vAlign w:val="center"/>
                </w:tcPr>
                <w:p w14:paraId="603F394B">
                  <w:pPr>
                    <w:adjustRightInd w:val="0"/>
                    <w:snapToGrid w:val="0"/>
                    <w:spacing w:line="240" w:lineRule="auto"/>
                    <w:ind w:firstLine="0" w:firstLineChars="0"/>
                    <w:jc w:val="center"/>
                    <w:rPr>
                      <w:sz w:val="21"/>
                      <w:szCs w:val="21"/>
                    </w:rPr>
                  </w:pPr>
                  <w:r>
                    <w:rPr>
                      <w:rFonts w:hint="eastAsia"/>
                      <w:sz w:val="21"/>
                      <w:szCs w:val="21"/>
                    </w:rPr>
                    <w:t>2000h/a</w:t>
                  </w:r>
                </w:p>
              </w:tc>
              <w:tc>
                <w:tcPr>
                  <w:tcW w:w="670" w:type="pct"/>
                  <w:vAlign w:val="center"/>
                </w:tcPr>
                <w:p w14:paraId="1DCADC58">
                  <w:pPr>
                    <w:spacing w:line="240" w:lineRule="auto"/>
                    <w:ind w:firstLine="0" w:firstLineChars="0"/>
                    <w:jc w:val="center"/>
                    <w:rPr>
                      <w:sz w:val="21"/>
                      <w:szCs w:val="21"/>
                    </w:rPr>
                  </w:pPr>
                  <w:r>
                    <w:rPr>
                      <w:rFonts w:hint="eastAsia"/>
                      <w:sz w:val="21"/>
                      <w:szCs w:val="21"/>
                    </w:rPr>
                    <w:t>1台</w:t>
                  </w:r>
                </w:p>
              </w:tc>
              <w:tc>
                <w:tcPr>
                  <w:tcW w:w="670" w:type="pct"/>
                  <w:vAlign w:val="center"/>
                </w:tcPr>
                <w:p w14:paraId="5155A0E6">
                  <w:pPr>
                    <w:widowControl/>
                    <w:spacing w:line="240" w:lineRule="auto"/>
                    <w:ind w:firstLine="0" w:firstLineChars="0"/>
                    <w:jc w:val="center"/>
                    <w:textAlignment w:val="center"/>
                    <w:rPr>
                      <w:kern w:val="0"/>
                      <w:sz w:val="21"/>
                      <w:szCs w:val="21"/>
                      <w:lang w:bidi="ar"/>
                    </w:rPr>
                  </w:pPr>
                  <w:r>
                    <w:rPr>
                      <w:rFonts w:hint="eastAsia"/>
                      <w:kern w:val="0"/>
                      <w:sz w:val="21"/>
                      <w:szCs w:val="21"/>
                      <w:lang w:bidi="ar"/>
                    </w:rPr>
                    <w:t>240t/a</w:t>
                  </w:r>
                </w:p>
              </w:tc>
              <w:tc>
                <w:tcPr>
                  <w:tcW w:w="670" w:type="pct"/>
                  <w:vAlign w:val="center"/>
                </w:tcPr>
                <w:p w14:paraId="47CE6A21">
                  <w:pPr>
                    <w:widowControl/>
                    <w:spacing w:line="240" w:lineRule="auto"/>
                    <w:ind w:firstLine="0" w:firstLineChars="0"/>
                    <w:jc w:val="center"/>
                    <w:textAlignment w:val="center"/>
                    <w:rPr>
                      <w:kern w:val="0"/>
                      <w:sz w:val="21"/>
                      <w:szCs w:val="21"/>
                      <w:lang w:bidi="ar"/>
                    </w:rPr>
                  </w:pPr>
                  <w:r>
                    <w:rPr>
                      <w:rFonts w:hint="eastAsia"/>
                      <w:kern w:val="0"/>
                      <w:sz w:val="21"/>
                      <w:szCs w:val="21"/>
                      <w:lang w:bidi="ar"/>
                    </w:rPr>
                    <w:t>206t/a</w:t>
                  </w:r>
                </w:p>
              </w:tc>
              <w:tc>
                <w:tcPr>
                  <w:tcW w:w="674" w:type="pct"/>
                  <w:vAlign w:val="center"/>
                </w:tcPr>
                <w:p w14:paraId="22354185">
                  <w:pPr>
                    <w:widowControl/>
                    <w:spacing w:line="240" w:lineRule="auto"/>
                    <w:ind w:firstLine="0" w:firstLineChars="0"/>
                    <w:jc w:val="center"/>
                    <w:textAlignment w:val="center"/>
                    <w:rPr>
                      <w:kern w:val="0"/>
                      <w:sz w:val="21"/>
                      <w:szCs w:val="21"/>
                      <w:lang w:bidi="ar"/>
                    </w:rPr>
                  </w:pPr>
                  <w:r>
                    <w:rPr>
                      <w:rFonts w:hint="eastAsia"/>
                      <w:kern w:val="0"/>
                      <w:sz w:val="21"/>
                      <w:szCs w:val="21"/>
                      <w:lang w:bidi="ar"/>
                    </w:rPr>
                    <w:t>85.8%</w:t>
                  </w:r>
                </w:p>
              </w:tc>
            </w:tr>
            <w:tr w14:paraId="79595662">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303" w:type="pct"/>
                  <w:vAlign w:val="center"/>
                </w:tcPr>
                <w:p w14:paraId="0E5F189B">
                  <w:pPr>
                    <w:spacing w:line="240" w:lineRule="auto"/>
                    <w:ind w:firstLine="0" w:firstLineChars="0"/>
                    <w:jc w:val="center"/>
                    <w:rPr>
                      <w:sz w:val="21"/>
                      <w:szCs w:val="21"/>
                    </w:rPr>
                  </w:pPr>
                  <w:r>
                    <w:rPr>
                      <w:rFonts w:hint="eastAsia"/>
                      <w:sz w:val="21"/>
                      <w:szCs w:val="21"/>
                    </w:rPr>
                    <w:t>3</w:t>
                  </w:r>
                </w:p>
              </w:tc>
              <w:tc>
                <w:tcPr>
                  <w:tcW w:w="670" w:type="pct"/>
                  <w:vAlign w:val="center"/>
                </w:tcPr>
                <w:p w14:paraId="5BC42D88">
                  <w:pPr>
                    <w:adjustRightInd w:val="0"/>
                    <w:snapToGrid w:val="0"/>
                    <w:spacing w:line="240" w:lineRule="auto"/>
                    <w:ind w:firstLine="0" w:firstLineChars="0"/>
                    <w:jc w:val="center"/>
                    <w:rPr>
                      <w:sz w:val="21"/>
                      <w:szCs w:val="21"/>
                    </w:rPr>
                  </w:pPr>
                  <w:r>
                    <w:rPr>
                      <w:rFonts w:hint="eastAsia"/>
                      <w:sz w:val="21"/>
                      <w:szCs w:val="21"/>
                    </w:rPr>
                    <w:t>混料机</w:t>
                  </w:r>
                </w:p>
              </w:tc>
              <w:tc>
                <w:tcPr>
                  <w:tcW w:w="670" w:type="pct"/>
                  <w:vAlign w:val="center"/>
                </w:tcPr>
                <w:p w14:paraId="58221AD8">
                  <w:pPr>
                    <w:adjustRightInd w:val="0"/>
                    <w:snapToGrid w:val="0"/>
                    <w:spacing w:line="240" w:lineRule="auto"/>
                    <w:ind w:firstLine="0" w:firstLineChars="0"/>
                    <w:jc w:val="center"/>
                    <w:rPr>
                      <w:sz w:val="21"/>
                      <w:szCs w:val="21"/>
                    </w:rPr>
                  </w:pPr>
                  <w:r>
                    <w:rPr>
                      <w:rFonts w:hint="eastAsia"/>
                      <w:sz w:val="21"/>
                      <w:szCs w:val="21"/>
                    </w:rPr>
                    <w:t>275kg/h</w:t>
                  </w:r>
                </w:p>
              </w:tc>
              <w:tc>
                <w:tcPr>
                  <w:tcW w:w="670" w:type="pct"/>
                  <w:vAlign w:val="center"/>
                </w:tcPr>
                <w:p w14:paraId="73A9EB44">
                  <w:pPr>
                    <w:adjustRightInd w:val="0"/>
                    <w:snapToGrid w:val="0"/>
                    <w:spacing w:line="240" w:lineRule="auto"/>
                    <w:ind w:firstLine="0" w:firstLineChars="0"/>
                    <w:jc w:val="center"/>
                    <w:rPr>
                      <w:sz w:val="21"/>
                      <w:szCs w:val="21"/>
                    </w:rPr>
                  </w:pPr>
                  <w:r>
                    <w:rPr>
                      <w:rFonts w:hint="eastAsia"/>
                      <w:sz w:val="21"/>
                      <w:szCs w:val="21"/>
                    </w:rPr>
                    <w:t>1000h/a</w:t>
                  </w:r>
                </w:p>
              </w:tc>
              <w:tc>
                <w:tcPr>
                  <w:tcW w:w="670" w:type="pct"/>
                  <w:vAlign w:val="center"/>
                </w:tcPr>
                <w:p w14:paraId="3875DFD2">
                  <w:pPr>
                    <w:spacing w:line="240" w:lineRule="auto"/>
                    <w:ind w:firstLine="0" w:firstLineChars="0"/>
                    <w:jc w:val="center"/>
                    <w:rPr>
                      <w:sz w:val="21"/>
                      <w:szCs w:val="21"/>
                    </w:rPr>
                  </w:pPr>
                  <w:r>
                    <w:rPr>
                      <w:rFonts w:hint="eastAsia"/>
                      <w:sz w:val="21"/>
                      <w:szCs w:val="21"/>
                    </w:rPr>
                    <w:t>4台</w:t>
                  </w:r>
                </w:p>
              </w:tc>
              <w:tc>
                <w:tcPr>
                  <w:tcW w:w="670" w:type="pct"/>
                  <w:vAlign w:val="center"/>
                </w:tcPr>
                <w:p w14:paraId="2B4BDA78">
                  <w:pPr>
                    <w:widowControl/>
                    <w:spacing w:line="240" w:lineRule="auto"/>
                    <w:ind w:firstLine="0" w:firstLineChars="0"/>
                    <w:jc w:val="center"/>
                    <w:textAlignment w:val="center"/>
                    <w:rPr>
                      <w:kern w:val="0"/>
                      <w:sz w:val="21"/>
                      <w:szCs w:val="21"/>
                      <w:lang w:bidi="ar"/>
                    </w:rPr>
                  </w:pPr>
                  <w:r>
                    <w:rPr>
                      <w:rFonts w:hint="eastAsia"/>
                      <w:kern w:val="0"/>
                      <w:sz w:val="21"/>
                      <w:szCs w:val="21"/>
                      <w:lang w:bidi="ar"/>
                    </w:rPr>
                    <w:t>1100t/a</w:t>
                  </w:r>
                </w:p>
              </w:tc>
              <w:tc>
                <w:tcPr>
                  <w:tcW w:w="670" w:type="pct"/>
                  <w:vAlign w:val="center"/>
                </w:tcPr>
                <w:p w14:paraId="2370FAD4">
                  <w:pPr>
                    <w:widowControl/>
                    <w:spacing w:line="240" w:lineRule="auto"/>
                    <w:ind w:firstLine="0" w:firstLineChars="0"/>
                    <w:jc w:val="center"/>
                    <w:textAlignment w:val="center"/>
                    <w:rPr>
                      <w:kern w:val="0"/>
                      <w:sz w:val="21"/>
                      <w:szCs w:val="21"/>
                      <w:lang w:bidi="ar"/>
                    </w:rPr>
                  </w:pPr>
                  <w:r>
                    <w:rPr>
                      <w:rFonts w:hint="eastAsia"/>
                      <w:kern w:val="0"/>
                      <w:sz w:val="21"/>
                      <w:szCs w:val="21"/>
                      <w:lang w:bidi="ar"/>
                    </w:rPr>
                    <w:t>1006t/a</w:t>
                  </w:r>
                </w:p>
              </w:tc>
              <w:tc>
                <w:tcPr>
                  <w:tcW w:w="674" w:type="pct"/>
                  <w:vAlign w:val="center"/>
                </w:tcPr>
                <w:p w14:paraId="222B229B">
                  <w:pPr>
                    <w:widowControl/>
                    <w:spacing w:line="240" w:lineRule="auto"/>
                    <w:ind w:firstLine="0" w:firstLineChars="0"/>
                    <w:jc w:val="center"/>
                    <w:textAlignment w:val="center"/>
                    <w:rPr>
                      <w:kern w:val="0"/>
                      <w:sz w:val="21"/>
                      <w:szCs w:val="21"/>
                      <w:lang w:bidi="ar"/>
                    </w:rPr>
                  </w:pPr>
                  <w:r>
                    <w:rPr>
                      <w:rFonts w:hint="eastAsia"/>
                      <w:kern w:val="0"/>
                      <w:sz w:val="21"/>
                      <w:szCs w:val="21"/>
                      <w:lang w:bidi="ar"/>
                    </w:rPr>
                    <w:t>91.5%</w:t>
                  </w:r>
                </w:p>
              </w:tc>
            </w:tr>
            <w:tr w14:paraId="1D1E2277">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303" w:type="pct"/>
                  <w:vAlign w:val="center"/>
                </w:tcPr>
                <w:p w14:paraId="1BF624A3">
                  <w:pPr>
                    <w:spacing w:line="240" w:lineRule="auto"/>
                    <w:ind w:firstLine="0" w:firstLineChars="0"/>
                    <w:jc w:val="center"/>
                    <w:rPr>
                      <w:sz w:val="21"/>
                      <w:szCs w:val="21"/>
                    </w:rPr>
                  </w:pPr>
                  <w:r>
                    <w:rPr>
                      <w:rFonts w:hint="eastAsia"/>
                      <w:sz w:val="21"/>
                      <w:szCs w:val="21"/>
                    </w:rPr>
                    <w:t>4</w:t>
                  </w:r>
                </w:p>
              </w:tc>
              <w:tc>
                <w:tcPr>
                  <w:tcW w:w="670" w:type="pct"/>
                  <w:vAlign w:val="center"/>
                </w:tcPr>
                <w:p w14:paraId="0816A2E9">
                  <w:pPr>
                    <w:adjustRightInd w:val="0"/>
                    <w:snapToGrid w:val="0"/>
                    <w:spacing w:line="240" w:lineRule="auto"/>
                    <w:ind w:firstLine="0" w:firstLineChars="0"/>
                    <w:jc w:val="center"/>
                    <w:rPr>
                      <w:sz w:val="21"/>
                      <w:szCs w:val="21"/>
                    </w:rPr>
                  </w:pPr>
                  <w:r>
                    <w:rPr>
                      <w:rFonts w:hint="eastAsia"/>
                      <w:sz w:val="21"/>
                      <w:szCs w:val="21"/>
                    </w:rPr>
                    <w:t>破碎机</w:t>
                  </w:r>
                </w:p>
              </w:tc>
              <w:tc>
                <w:tcPr>
                  <w:tcW w:w="670" w:type="pct"/>
                  <w:vAlign w:val="center"/>
                </w:tcPr>
                <w:p w14:paraId="78384419">
                  <w:pPr>
                    <w:adjustRightInd w:val="0"/>
                    <w:snapToGrid w:val="0"/>
                    <w:spacing w:line="240" w:lineRule="auto"/>
                    <w:ind w:firstLine="0" w:firstLineChars="0"/>
                    <w:jc w:val="center"/>
                    <w:rPr>
                      <w:sz w:val="21"/>
                      <w:szCs w:val="21"/>
                    </w:rPr>
                  </w:pPr>
                  <w:r>
                    <w:rPr>
                      <w:rFonts w:hint="eastAsia"/>
                      <w:sz w:val="21"/>
                      <w:szCs w:val="21"/>
                    </w:rPr>
                    <w:t>3kg/h</w:t>
                  </w:r>
                </w:p>
              </w:tc>
              <w:tc>
                <w:tcPr>
                  <w:tcW w:w="670" w:type="pct"/>
                  <w:vAlign w:val="center"/>
                </w:tcPr>
                <w:p w14:paraId="511BF69F">
                  <w:pPr>
                    <w:adjustRightInd w:val="0"/>
                    <w:snapToGrid w:val="0"/>
                    <w:spacing w:line="240" w:lineRule="auto"/>
                    <w:ind w:firstLine="0" w:firstLineChars="0"/>
                    <w:jc w:val="center"/>
                    <w:rPr>
                      <w:sz w:val="21"/>
                      <w:szCs w:val="21"/>
                    </w:rPr>
                  </w:pPr>
                  <w:r>
                    <w:rPr>
                      <w:rFonts w:hint="eastAsia"/>
                      <w:sz w:val="21"/>
                      <w:szCs w:val="21"/>
                    </w:rPr>
                    <w:t>1000h/a</w:t>
                  </w:r>
                </w:p>
              </w:tc>
              <w:tc>
                <w:tcPr>
                  <w:tcW w:w="670" w:type="pct"/>
                  <w:vAlign w:val="center"/>
                </w:tcPr>
                <w:p w14:paraId="7D186C4F">
                  <w:pPr>
                    <w:spacing w:line="240" w:lineRule="auto"/>
                    <w:ind w:firstLine="0" w:firstLineChars="0"/>
                    <w:jc w:val="center"/>
                    <w:rPr>
                      <w:sz w:val="21"/>
                      <w:szCs w:val="21"/>
                    </w:rPr>
                  </w:pPr>
                  <w:r>
                    <w:rPr>
                      <w:rFonts w:hint="eastAsia"/>
                      <w:sz w:val="21"/>
                      <w:szCs w:val="21"/>
                    </w:rPr>
                    <w:t>2台</w:t>
                  </w:r>
                </w:p>
              </w:tc>
              <w:tc>
                <w:tcPr>
                  <w:tcW w:w="670" w:type="pct"/>
                  <w:vAlign w:val="center"/>
                </w:tcPr>
                <w:p w14:paraId="402D6143">
                  <w:pPr>
                    <w:widowControl/>
                    <w:spacing w:line="240" w:lineRule="auto"/>
                    <w:ind w:firstLine="0" w:firstLineChars="0"/>
                    <w:jc w:val="center"/>
                    <w:textAlignment w:val="center"/>
                    <w:rPr>
                      <w:kern w:val="0"/>
                      <w:sz w:val="21"/>
                      <w:szCs w:val="21"/>
                      <w:lang w:bidi="ar"/>
                    </w:rPr>
                  </w:pPr>
                  <w:r>
                    <w:rPr>
                      <w:rFonts w:hint="eastAsia"/>
                      <w:kern w:val="0"/>
                      <w:sz w:val="21"/>
                      <w:szCs w:val="21"/>
                      <w:lang w:bidi="ar"/>
                    </w:rPr>
                    <w:t>6t/a</w:t>
                  </w:r>
                </w:p>
              </w:tc>
              <w:tc>
                <w:tcPr>
                  <w:tcW w:w="670" w:type="pct"/>
                  <w:vAlign w:val="center"/>
                </w:tcPr>
                <w:p w14:paraId="0E28BFB6">
                  <w:pPr>
                    <w:widowControl/>
                    <w:spacing w:line="240" w:lineRule="auto"/>
                    <w:ind w:firstLine="0" w:firstLineChars="0"/>
                    <w:jc w:val="center"/>
                    <w:textAlignment w:val="center"/>
                    <w:rPr>
                      <w:kern w:val="0"/>
                      <w:sz w:val="21"/>
                      <w:szCs w:val="21"/>
                      <w:lang w:bidi="ar"/>
                    </w:rPr>
                  </w:pPr>
                  <w:r>
                    <w:rPr>
                      <w:rFonts w:hint="eastAsia"/>
                      <w:kern w:val="0"/>
                      <w:sz w:val="21"/>
                      <w:szCs w:val="21"/>
                      <w:lang w:bidi="ar"/>
                    </w:rPr>
                    <w:t>5t/a</w:t>
                  </w:r>
                </w:p>
              </w:tc>
              <w:tc>
                <w:tcPr>
                  <w:tcW w:w="674" w:type="pct"/>
                  <w:vAlign w:val="center"/>
                </w:tcPr>
                <w:p w14:paraId="4083EFA8">
                  <w:pPr>
                    <w:widowControl/>
                    <w:spacing w:line="240" w:lineRule="auto"/>
                    <w:ind w:firstLine="0" w:firstLineChars="0"/>
                    <w:jc w:val="center"/>
                    <w:textAlignment w:val="center"/>
                    <w:rPr>
                      <w:kern w:val="0"/>
                      <w:sz w:val="21"/>
                      <w:szCs w:val="21"/>
                      <w:lang w:bidi="ar"/>
                    </w:rPr>
                  </w:pPr>
                  <w:r>
                    <w:rPr>
                      <w:rFonts w:hint="eastAsia"/>
                      <w:kern w:val="0"/>
                      <w:sz w:val="21"/>
                      <w:szCs w:val="21"/>
                      <w:lang w:bidi="ar"/>
                    </w:rPr>
                    <w:t>83.3%</w:t>
                  </w:r>
                </w:p>
              </w:tc>
            </w:tr>
            <w:tr w14:paraId="2C0E7C55">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303" w:type="pct"/>
                  <w:vAlign w:val="center"/>
                </w:tcPr>
                <w:p w14:paraId="3863FFB1">
                  <w:pPr>
                    <w:spacing w:line="240" w:lineRule="auto"/>
                    <w:ind w:firstLine="0" w:firstLineChars="0"/>
                    <w:jc w:val="center"/>
                    <w:rPr>
                      <w:sz w:val="21"/>
                      <w:szCs w:val="21"/>
                    </w:rPr>
                  </w:pPr>
                  <w:r>
                    <w:rPr>
                      <w:rFonts w:hint="eastAsia"/>
                      <w:sz w:val="21"/>
                      <w:szCs w:val="21"/>
                    </w:rPr>
                    <w:t>5</w:t>
                  </w:r>
                </w:p>
              </w:tc>
              <w:tc>
                <w:tcPr>
                  <w:tcW w:w="670" w:type="pct"/>
                  <w:vAlign w:val="center"/>
                </w:tcPr>
                <w:p w14:paraId="0353F76D">
                  <w:pPr>
                    <w:adjustRightInd w:val="0"/>
                    <w:snapToGrid w:val="0"/>
                    <w:spacing w:line="240" w:lineRule="auto"/>
                    <w:ind w:firstLine="0" w:firstLineChars="0"/>
                    <w:jc w:val="center"/>
                    <w:rPr>
                      <w:sz w:val="21"/>
                      <w:szCs w:val="21"/>
                    </w:rPr>
                  </w:pPr>
                  <w:r>
                    <w:rPr>
                      <w:rFonts w:hint="eastAsia"/>
                      <w:sz w:val="21"/>
                      <w:szCs w:val="21"/>
                    </w:rPr>
                    <w:t>溶胶机</w:t>
                  </w:r>
                </w:p>
              </w:tc>
              <w:tc>
                <w:tcPr>
                  <w:tcW w:w="670" w:type="pct"/>
                  <w:vAlign w:val="center"/>
                </w:tcPr>
                <w:p w14:paraId="74913720">
                  <w:pPr>
                    <w:adjustRightInd w:val="0"/>
                    <w:snapToGrid w:val="0"/>
                    <w:spacing w:line="240" w:lineRule="auto"/>
                    <w:ind w:firstLine="0" w:firstLineChars="0"/>
                    <w:jc w:val="center"/>
                    <w:rPr>
                      <w:sz w:val="21"/>
                      <w:szCs w:val="21"/>
                    </w:rPr>
                  </w:pPr>
                  <w:r>
                    <w:rPr>
                      <w:rFonts w:hint="eastAsia"/>
                      <w:sz w:val="21"/>
                      <w:szCs w:val="21"/>
                    </w:rPr>
                    <w:t>110kg/h</w:t>
                  </w:r>
                </w:p>
              </w:tc>
              <w:tc>
                <w:tcPr>
                  <w:tcW w:w="670" w:type="pct"/>
                  <w:vAlign w:val="center"/>
                </w:tcPr>
                <w:p w14:paraId="40671ACB">
                  <w:pPr>
                    <w:adjustRightInd w:val="0"/>
                    <w:snapToGrid w:val="0"/>
                    <w:spacing w:line="240" w:lineRule="auto"/>
                    <w:ind w:firstLine="0" w:firstLineChars="0"/>
                    <w:jc w:val="center"/>
                    <w:rPr>
                      <w:sz w:val="21"/>
                      <w:szCs w:val="21"/>
                    </w:rPr>
                  </w:pPr>
                  <w:r>
                    <w:rPr>
                      <w:rFonts w:hint="eastAsia"/>
                      <w:sz w:val="21"/>
                      <w:szCs w:val="21"/>
                    </w:rPr>
                    <w:t>2000h/a</w:t>
                  </w:r>
                </w:p>
              </w:tc>
              <w:tc>
                <w:tcPr>
                  <w:tcW w:w="670" w:type="pct"/>
                  <w:vAlign w:val="center"/>
                </w:tcPr>
                <w:p w14:paraId="67E79339">
                  <w:pPr>
                    <w:spacing w:line="240" w:lineRule="auto"/>
                    <w:ind w:firstLine="0" w:firstLineChars="0"/>
                    <w:jc w:val="center"/>
                    <w:rPr>
                      <w:sz w:val="21"/>
                      <w:szCs w:val="21"/>
                    </w:rPr>
                  </w:pPr>
                  <w:r>
                    <w:rPr>
                      <w:rFonts w:hint="eastAsia"/>
                      <w:sz w:val="21"/>
                      <w:szCs w:val="21"/>
                    </w:rPr>
                    <w:t>1台</w:t>
                  </w:r>
                </w:p>
              </w:tc>
              <w:tc>
                <w:tcPr>
                  <w:tcW w:w="670" w:type="pct"/>
                  <w:vAlign w:val="center"/>
                </w:tcPr>
                <w:p w14:paraId="26C022EC">
                  <w:pPr>
                    <w:widowControl/>
                    <w:spacing w:line="240" w:lineRule="auto"/>
                    <w:ind w:firstLine="0" w:firstLineChars="0"/>
                    <w:jc w:val="center"/>
                    <w:textAlignment w:val="center"/>
                    <w:rPr>
                      <w:kern w:val="0"/>
                      <w:sz w:val="21"/>
                      <w:szCs w:val="21"/>
                      <w:lang w:bidi="ar"/>
                    </w:rPr>
                  </w:pPr>
                  <w:r>
                    <w:rPr>
                      <w:rFonts w:hint="eastAsia"/>
                      <w:kern w:val="0"/>
                      <w:sz w:val="21"/>
                      <w:szCs w:val="21"/>
                      <w:lang w:bidi="ar"/>
                    </w:rPr>
                    <w:t>220t/a</w:t>
                  </w:r>
                </w:p>
              </w:tc>
              <w:tc>
                <w:tcPr>
                  <w:tcW w:w="670" w:type="pct"/>
                  <w:vAlign w:val="center"/>
                </w:tcPr>
                <w:p w14:paraId="3F388A69">
                  <w:pPr>
                    <w:widowControl/>
                    <w:spacing w:line="240" w:lineRule="auto"/>
                    <w:ind w:firstLine="0" w:firstLineChars="0"/>
                    <w:jc w:val="center"/>
                    <w:textAlignment w:val="center"/>
                    <w:rPr>
                      <w:kern w:val="0"/>
                      <w:sz w:val="21"/>
                      <w:szCs w:val="21"/>
                      <w:lang w:bidi="ar"/>
                    </w:rPr>
                  </w:pPr>
                  <w:r>
                    <w:rPr>
                      <w:rFonts w:hint="eastAsia"/>
                      <w:kern w:val="0"/>
                      <w:sz w:val="21"/>
                      <w:szCs w:val="21"/>
                      <w:lang w:bidi="ar"/>
                    </w:rPr>
                    <w:t>200t/a</w:t>
                  </w:r>
                </w:p>
              </w:tc>
              <w:tc>
                <w:tcPr>
                  <w:tcW w:w="674" w:type="pct"/>
                  <w:vAlign w:val="center"/>
                </w:tcPr>
                <w:p w14:paraId="7F3599F5">
                  <w:pPr>
                    <w:widowControl/>
                    <w:spacing w:line="240" w:lineRule="auto"/>
                    <w:ind w:firstLine="0" w:firstLineChars="0"/>
                    <w:jc w:val="center"/>
                    <w:textAlignment w:val="center"/>
                    <w:rPr>
                      <w:kern w:val="0"/>
                      <w:sz w:val="21"/>
                      <w:szCs w:val="21"/>
                      <w:lang w:bidi="ar"/>
                    </w:rPr>
                  </w:pPr>
                  <w:r>
                    <w:rPr>
                      <w:rFonts w:hint="eastAsia"/>
                      <w:kern w:val="0"/>
                      <w:sz w:val="21"/>
                      <w:szCs w:val="21"/>
                      <w:lang w:bidi="ar"/>
                    </w:rPr>
                    <w:t>90.9%</w:t>
                  </w:r>
                </w:p>
              </w:tc>
            </w:tr>
            <w:tr w14:paraId="6ABF5CB0">
              <w:tblPrEx>
                <w:tblBorders>
                  <w:top w:val="single" w:color="auto" w:sz="6" w:space="0"/>
                  <w:left w:val="single" w:color="auto" w:sz="6" w:space="0"/>
                  <w:bottom w:val="single" w:color="auto" w:sz="6"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5000" w:type="pct"/>
                  <w:gridSpan w:val="8"/>
                  <w:vAlign w:val="center"/>
                </w:tcPr>
                <w:p w14:paraId="7BC37719">
                  <w:pPr>
                    <w:widowControl/>
                    <w:spacing w:line="240" w:lineRule="auto"/>
                    <w:ind w:firstLine="0" w:firstLineChars="0"/>
                    <w:jc w:val="both"/>
                    <w:textAlignment w:val="center"/>
                    <w:rPr>
                      <w:kern w:val="0"/>
                      <w:sz w:val="21"/>
                      <w:szCs w:val="21"/>
                      <w:lang w:bidi="ar"/>
                    </w:rPr>
                  </w:pPr>
                  <w:r>
                    <w:rPr>
                      <w:rFonts w:hint="eastAsia" w:cs="宋体"/>
                      <w:kern w:val="0"/>
                      <w:sz w:val="21"/>
                      <w:szCs w:val="21"/>
                      <w:lang w:bidi="ar"/>
                    </w:rPr>
                    <w:t>注：本项目破碎机主要用于</w:t>
                  </w:r>
                  <w:bookmarkStart w:id="126" w:name="OLE_LINK223"/>
                  <w:r>
                    <w:rPr>
                      <w:rFonts w:hint="eastAsia" w:cs="宋体"/>
                      <w:kern w:val="0"/>
                      <w:sz w:val="21"/>
                      <w:szCs w:val="21"/>
                      <w:lang w:bidi="ar"/>
                    </w:rPr>
                    <w:t>塑胶边角料</w:t>
                  </w:r>
                  <w:bookmarkEnd w:id="126"/>
                  <w:r>
                    <w:rPr>
                      <w:rFonts w:hint="eastAsia" w:cs="宋体"/>
                      <w:kern w:val="0"/>
                      <w:sz w:val="21"/>
                      <w:szCs w:val="21"/>
                      <w:lang w:bidi="ar"/>
                    </w:rPr>
                    <w:t>、不合格品破碎，根据建设单位提供的资料，项目塑胶边角料、不合格品产生量约5t/a。</w:t>
                  </w:r>
                </w:p>
              </w:tc>
            </w:tr>
          </w:tbl>
          <w:p w14:paraId="537CF775">
            <w:pPr>
              <w:ind w:firstLine="480"/>
              <w:jc w:val="both"/>
            </w:pPr>
            <w:r>
              <w:rPr>
                <w:rFonts w:hint="eastAsia"/>
              </w:rPr>
              <w:t>由上表可知，项目主要生产设备的年产能均大于设计产能，可满足本项目生产需求。</w:t>
            </w:r>
          </w:p>
          <w:p w14:paraId="0DE4666A">
            <w:pPr>
              <w:ind w:firstLine="482"/>
              <w:rPr>
                <w:b/>
                <w:bCs/>
              </w:rPr>
            </w:pPr>
            <w:r>
              <w:rPr>
                <w:rFonts w:hint="eastAsia"/>
                <w:b/>
                <w:bCs/>
              </w:rPr>
              <w:t>6</w:t>
            </w:r>
            <w:r>
              <w:rPr>
                <w:b/>
                <w:bCs/>
              </w:rPr>
              <w:t>、公用工程</w:t>
            </w:r>
          </w:p>
          <w:p w14:paraId="6BAD8262">
            <w:pPr>
              <w:ind w:firstLine="482"/>
              <w:rPr>
                <w:b/>
                <w:bCs/>
              </w:rPr>
            </w:pPr>
            <w:r>
              <w:rPr>
                <w:b/>
                <w:bCs/>
              </w:rPr>
              <w:t>（1）给</w:t>
            </w:r>
            <w:r>
              <w:rPr>
                <w:rFonts w:hint="eastAsia"/>
                <w:b/>
                <w:bCs/>
              </w:rPr>
              <w:t>排</w:t>
            </w:r>
            <w:r>
              <w:rPr>
                <w:b/>
                <w:bCs/>
              </w:rPr>
              <w:t>水</w:t>
            </w:r>
          </w:p>
          <w:p w14:paraId="7C5AD0B5">
            <w:pPr>
              <w:ind w:firstLine="480"/>
              <w:jc w:val="both"/>
              <w:rPr>
                <w:color w:val="auto"/>
              </w:rPr>
            </w:pPr>
            <w:r>
              <w:t>本项目用水由市政供水管网供给</w:t>
            </w:r>
            <w:r>
              <w:rPr>
                <w:rFonts w:hint="eastAsia"/>
              </w:rPr>
              <w:t>，项目主要为员工生活用水、冷却用水及喷淋用水，</w:t>
            </w:r>
            <w:r>
              <w:rPr>
                <w:rFonts w:hint="eastAsia"/>
                <w:color w:val="auto"/>
              </w:rPr>
              <w:t>总用水274.24t/a（生活用水80t/a、冷却用水90.24t/a、喷淋用水104t/a）。</w:t>
            </w:r>
          </w:p>
          <w:p w14:paraId="4BA6CCC5">
            <w:pPr>
              <w:ind w:firstLine="482"/>
              <w:jc w:val="both"/>
              <w:rPr>
                <w:rFonts w:cs="宋体"/>
                <w:b/>
                <w:color w:val="auto"/>
              </w:rPr>
            </w:pPr>
            <w:r>
              <w:rPr>
                <w:rFonts w:hint="eastAsia" w:cs="宋体"/>
                <w:b/>
                <w:color w:val="auto"/>
              </w:rPr>
              <w:t>给水：</w:t>
            </w:r>
          </w:p>
          <w:p w14:paraId="579FFE35">
            <w:pPr>
              <w:ind w:firstLine="480"/>
              <w:jc w:val="both"/>
              <w:rPr>
                <w:rFonts w:cs="宋体"/>
                <w:bCs/>
                <w:color w:val="auto"/>
              </w:rPr>
            </w:pPr>
            <w:r>
              <w:rPr>
                <w:rFonts w:hint="eastAsia" w:cs="宋体"/>
                <w:bCs/>
                <w:color w:val="auto"/>
              </w:rPr>
              <w:t>1）生活用水</w:t>
            </w:r>
          </w:p>
          <w:p w14:paraId="6F28D85B">
            <w:pPr>
              <w:ind w:firstLine="480"/>
              <w:jc w:val="both"/>
              <w:rPr>
                <w:rFonts w:cs="宋体"/>
              </w:rPr>
            </w:pPr>
            <w:r>
              <w:rPr>
                <w:rFonts w:hint="eastAsia" w:cs="宋体"/>
                <w:color w:val="auto"/>
              </w:rPr>
              <w:t>本项目员工总数8人，均不在项目内食宿，年工作250天，参考</w:t>
            </w:r>
            <w:bookmarkStart w:id="127" w:name="OLE_LINK79"/>
            <w:r>
              <w:rPr>
                <w:rFonts w:hint="eastAsia" w:cs="宋体"/>
                <w:color w:val="auto"/>
              </w:rPr>
              <w:t>广东省地方标准《用水定额 第</w:t>
            </w:r>
            <w:r>
              <w:rPr>
                <w:rFonts w:cs="宋体"/>
                <w:color w:val="auto"/>
              </w:rPr>
              <w:t>3</w:t>
            </w:r>
            <w:r>
              <w:rPr>
                <w:rFonts w:hint="eastAsia" w:cs="宋体"/>
                <w:color w:val="auto"/>
              </w:rPr>
              <w:t>部分：生活》（</w:t>
            </w:r>
            <w:r>
              <w:rPr>
                <w:rFonts w:cs="宋体"/>
                <w:color w:val="auto"/>
              </w:rPr>
              <w:t>DB44/T1461.3-2021</w:t>
            </w:r>
            <w:r>
              <w:rPr>
                <w:rFonts w:hint="eastAsia" w:cs="宋体"/>
                <w:color w:val="auto"/>
              </w:rPr>
              <w:t>）中表</w:t>
            </w:r>
            <w:r>
              <w:rPr>
                <w:rFonts w:cs="宋体"/>
              </w:rPr>
              <w:t>A.1</w:t>
            </w:r>
            <w:r>
              <w:rPr>
                <w:rFonts w:hint="eastAsia" w:cs="宋体"/>
              </w:rPr>
              <w:t>服务业用水定额，国家行政机构</w:t>
            </w:r>
            <w:r>
              <w:rPr>
                <w:rFonts w:cs="宋体"/>
              </w:rPr>
              <w:t>-</w:t>
            </w:r>
            <w:r>
              <w:rPr>
                <w:rFonts w:hint="eastAsia" w:cs="宋体"/>
              </w:rPr>
              <w:t>办公楼</w:t>
            </w:r>
            <w:r>
              <w:rPr>
                <w:rFonts w:cs="宋体"/>
              </w:rPr>
              <w:t>-</w:t>
            </w:r>
            <w:r>
              <w:rPr>
                <w:rFonts w:hint="eastAsia" w:cs="宋体"/>
              </w:rPr>
              <w:t>无食堂和浴室的用水定额先进值10</w:t>
            </w:r>
            <w:r>
              <w:rPr>
                <w:rFonts w:cs="宋体"/>
              </w:rPr>
              <w:t>m</w:t>
            </w:r>
            <w:r>
              <w:rPr>
                <w:rFonts w:cs="宋体"/>
                <w:vertAlign w:val="superscript"/>
              </w:rPr>
              <w:t>3</w:t>
            </w:r>
            <w:r>
              <w:rPr>
                <w:rFonts w:cs="宋体"/>
              </w:rPr>
              <w:t>/</w:t>
            </w:r>
            <w:r>
              <w:rPr>
                <w:rFonts w:hint="eastAsia" w:cs="宋体"/>
              </w:rPr>
              <w:t>（人•</w:t>
            </w:r>
            <w:r>
              <w:rPr>
                <w:rFonts w:cs="宋体"/>
              </w:rPr>
              <w:t>a</w:t>
            </w:r>
            <w:r>
              <w:rPr>
                <w:rFonts w:hint="eastAsia" w:cs="宋体"/>
              </w:rPr>
              <w:t>），则项目生活用水量为80</w:t>
            </w:r>
            <w:r>
              <w:rPr>
                <w:rFonts w:cs="宋体"/>
              </w:rPr>
              <w:t>t/a</w:t>
            </w:r>
            <w:r>
              <w:rPr>
                <w:rFonts w:hint="eastAsia" w:cs="宋体"/>
              </w:rPr>
              <w:t>（0.32t/d）。</w:t>
            </w:r>
          </w:p>
          <w:bookmarkEnd w:id="127"/>
          <w:p w14:paraId="76789F9B">
            <w:pPr>
              <w:numPr>
                <w:ilvl w:val="0"/>
                <w:numId w:val="2"/>
              </w:numPr>
              <w:ind w:firstLine="480"/>
              <w:jc w:val="both"/>
              <w:rPr>
                <w:rFonts w:cs="宋体"/>
              </w:rPr>
            </w:pPr>
            <w:bookmarkStart w:id="128" w:name="OLE_LINK120"/>
            <w:r>
              <w:rPr>
                <w:rFonts w:hint="eastAsia" w:cs="宋体"/>
              </w:rPr>
              <w:t>冷却用水</w:t>
            </w:r>
          </w:p>
          <w:bookmarkEnd w:id="128"/>
          <w:p w14:paraId="7923D438">
            <w:pPr>
              <w:ind w:firstLine="480"/>
              <w:jc w:val="both"/>
            </w:pPr>
            <w:r>
              <w:rPr>
                <w:rFonts w:hint="eastAsia"/>
              </w:rPr>
              <w:t>项目挤出成型过程需使用冷却塔对挤出设备进行</w:t>
            </w:r>
            <w:bookmarkStart w:id="129" w:name="OLE_LINK172"/>
            <w:r>
              <w:rPr>
                <w:rFonts w:hint="eastAsia"/>
              </w:rPr>
              <w:t>间接冷却</w:t>
            </w:r>
            <w:bookmarkEnd w:id="129"/>
            <w:r>
              <w:rPr>
                <w:rFonts w:hint="eastAsia"/>
              </w:rPr>
              <w:t>；项目挤出的塑料条经冷却水槽进行直接冷却，冷却水通过密闭管道送至冷却塔降温后返回冷却水槽循环使用；项目脱水机甩出的水分经排水管排入水池后</w:t>
            </w:r>
            <w:bookmarkStart w:id="130" w:name="OLE_LINK256"/>
            <w:r>
              <w:rPr>
                <w:rFonts w:hint="eastAsia"/>
              </w:rPr>
              <w:t>回用于切粒机进行直接冷却</w:t>
            </w:r>
            <w:bookmarkEnd w:id="130"/>
            <w:r>
              <w:rPr>
                <w:rFonts w:hint="eastAsia"/>
              </w:rPr>
              <w:t>，冷却水通过密闭管道送至冷却塔降温后返回水池循环使用，</w:t>
            </w:r>
            <w:bookmarkStart w:id="131" w:name="OLE_LINK128"/>
            <w:r>
              <w:rPr>
                <w:rFonts w:hint="eastAsia"/>
              </w:rPr>
              <w:t>冷却用水为普通的自来水，不额外添加助剂，</w:t>
            </w:r>
            <w:bookmarkEnd w:id="131"/>
            <w:bookmarkStart w:id="132" w:name="OLE_LINK290"/>
            <w:r>
              <w:rPr>
                <w:rFonts w:hint="eastAsia"/>
              </w:rPr>
              <w:t>间接/直接</w:t>
            </w:r>
            <w:bookmarkEnd w:id="132"/>
            <w:r>
              <w:rPr>
                <w:rFonts w:hint="eastAsia"/>
              </w:rPr>
              <w:t>冷却水循环使用，定期补充因高温而蒸发的部分水，直接冷却水定期处理后回用于冷却工序，不外排。项目设1台冷却塔，根据建设单位提供的资料，项目</w:t>
            </w:r>
            <w:bookmarkStart w:id="133" w:name="OLE_LINK129"/>
            <w:r>
              <w:rPr>
                <w:rFonts w:hint="eastAsia"/>
              </w:rPr>
              <w:t>冷却塔</w:t>
            </w:r>
            <w:bookmarkEnd w:id="133"/>
            <w:r>
              <w:rPr>
                <w:rFonts w:hint="eastAsia"/>
              </w:rPr>
              <w:t>水流量为2m</w:t>
            </w:r>
            <w:r>
              <w:rPr>
                <w:rFonts w:hint="eastAsia"/>
                <w:vertAlign w:val="superscript"/>
              </w:rPr>
              <w:t>3</w:t>
            </w:r>
            <w:r>
              <w:rPr>
                <w:rFonts w:hint="eastAsia"/>
              </w:rPr>
              <w:t>/h，年工作时间250天，每天工作8h，则冷却塔循环用水量约</w:t>
            </w:r>
            <w:bookmarkStart w:id="134" w:name="OLE_LINK125"/>
            <w:r>
              <w:rPr>
                <w:rFonts w:hint="eastAsia"/>
              </w:rPr>
              <w:t>16t/d（4000t/a）</w:t>
            </w:r>
            <w:bookmarkEnd w:id="134"/>
            <w:r>
              <w:rPr>
                <w:rFonts w:hint="eastAsia"/>
              </w:rPr>
              <w:t>，参考《建筑给水排水设计规范》（GB50015-2019）中对应补充水量，一般按循环水量的1%~2%确定，项目补充水量按循环水量的2%计，则补充水量为</w:t>
            </w:r>
            <w:bookmarkStart w:id="135" w:name="OLE_LINK130"/>
            <w:r>
              <w:rPr>
                <w:rFonts w:hint="eastAsia"/>
              </w:rPr>
              <w:t>0.32t/d（80t/a）</w:t>
            </w:r>
            <w:bookmarkEnd w:id="135"/>
            <w:r>
              <w:rPr>
                <w:rFonts w:hint="eastAsia"/>
              </w:rPr>
              <w:t>。</w:t>
            </w:r>
          </w:p>
          <w:p w14:paraId="10ED56C6">
            <w:pPr>
              <w:numPr>
                <w:ilvl w:val="0"/>
                <w:numId w:val="2"/>
              </w:numPr>
              <w:ind w:firstLine="480"/>
              <w:jc w:val="both"/>
              <w:rPr>
                <w:rFonts w:cs="宋体"/>
              </w:rPr>
            </w:pPr>
            <w:r>
              <w:rPr>
                <w:rFonts w:hint="eastAsia" w:cs="宋体"/>
              </w:rPr>
              <w:t>喷淋用水</w:t>
            </w:r>
          </w:p>
          <w:p w14:paraId="689CE303">
            <w:pPr>
              <w:widowControl/>
              <w:ind w:firstLine="480"/>
              <w:jc w:val="both"/>
              <w:rPr>
                <w:color w:val="auto"/>
              </w:rPr>
            </w:pPr>
            <w:r>
              <w:rPr>
                <w:rFonts w:hint="eastAsia"/>
              </w:rPr>
              <w:t>项目挤出、溶胶、投料及破碎工序产生的废气收集后一起由一套“水喷淋+干式过滤器+二级活性炭吸</w:t>
            </w:r>
            <w:r>
              <w:rPr>
                <w:rFonts w:hint="eastAsia"/>
                <w:color w:val="auto"/>
              </w:rPr>
              <w:t>附装置”进行处理，根据建设单位提供的资料，项目设1台喷淋塔，喷淋塔配套水箱储水量为1m</w:t>
            </w:r>
            <w:r>
              <w:rPr>
                <w:rFonts w:hint="eastAsia"/>
                <w:color w:val="auto"/>
                <w:vertAlign w:val="superscript"/>
              </w:rPr>
              <w:t>3</w:t>
            </w:r>
            <w:r>
              <w:rPr>
                <w:rFonts w:hint="eastAsia"/>
                <w:color w:val="auto"/>
              </w:rPr>
              <w:t>，喷淋塔用水循环使用，定期更换。根据《简明通风设计手册》（孙一坚主编）第527页表10-48“各种吸收装置的技术经济比较”，喷淋塔液气比为</w:t>
            </w:r>
            <w:bookmarkStart w:id="136" w:name="OLE_LINK322"/>
            <w:r>
              <w:rPr>
                <w:rFonts w:hint="eastAsia"/>
                <w:color w:val="auto"/>
              </w:rPr>
              <w:t>0.1~1.0</w:t>
            </w:r>
            <w:bookmarkEnd w:id="136"/>
            <w:r>
              <w:rPr>
                <w:rFonts w:hint="eastAsia"/>
                <w:color w:val="auto"/>
              </w:rPr>
              <w:t>L/m</w:t>
            </w:r>
            <w:r>
              <w:rPr>
                <w:rFonts w:hint="eastAsia"/>
                <w:color w:val="auto"/>
                <w:vertAlign w:val="superscript"/>
              </w:rPr>
              <w:t>3</w:t>
            </w:r>
            <w:r>
              <w:rPr>
                <w:rFonts w:hint="eastAsia"/>
                <w:color w:val="auto"/>
              </w:rPr>
              <w:t>，项目</w:t>
            </w:r>
            <w:bookmarkStart w:id="137" w:name="OLE_LINK320"/>
            <w:r>
              <w:rPr>
                <w:rFonts w:hint="eastAsia"/>
                <w:color w:val="auto"/>
              </w:rPr>
              <w:t>液气比按0.5L/m</w:t>
            </w:r>
            <w:bookmarkEnd w:id="137"/>
            <w:r>
              <w:rPr>
                <w:rFonts w:hint="eastAsia"/>
                <w:color w:val="auto"/>
                <w:vertAlign w:val="superscript"/>
              </w:rPr>
              <w:t>3</w:t>
            </w:r>
            <w:r>
              <w:rPr>
                <w:rFonts w:hint="eastAsia"/>
                <w:color w:val="auto"/>
              </w:rPr>
              <w:t>计，DA001废气处理设施风量为11500m</w:t>
            </w:r>
            <w:r>
              <w:rPr>
                <w:rFonts w:hint="eastAsia"/>
                <w:color w:val="auto"/>
                <w:vertAlign w:val="superscript"/>
              </w:rPr>
              <w:t>3</w:t>
            </w:r>
            <w:r>
              <w:rPr>
                <w:rFonts w:hint="eastAsia"/>
                <w:color w:val="auto"/>
              </w:rPr>
              <w:t>/h，喷淋塔年工作2000h，循环水量为液气比×风量，则喷淋塔循环用水量为</w:t>
            </w:r>
            <w:bookmarkStart w:id="138" w:name="OLE_LINK323"/>
            <w:r>
              <w:rPr>
                <w:rFonts w:hint="eastAsia"/>
                <w:color w:val="auto"/>
              </w:rPr>
              <w:t>46</w:t>
            </w:r>
            <w:r>
              <w:rPr>
                <w:color w:val="auto"/>
              </w:rPr>
              <w:t>m</w:t>
            </w:r>
            <w:r>
              <w:rPr>
                <w:color w:val="auto"/>
                <w:vertAlign w:val="superscript"/>
              </w:rPr>
              <w:t>3</w:t>
            </w:r>
            <w:r>
              <w:rPr>
                <w:color w:val="auto"/>
              </w:rPr>
              <w:t>/</w:t>
            </w:r>
            <w:r>
              <w:rPr>
                <w:rFonts w:hint="eastAsia"/>
                <w:color w:val="auto"/>
              </w:rPr>
              <w:t>d（11500t</w:t>
            </w:r>
            <w:r>
              <w:rPr>
                <w:color w:val="auto"/>
              </w:rPr>
              <w:t>/</w:t>
            </w:r>
            <w:r>
              <w:rPr>
                <w:rFonts w:hint="eastAsia"/>
                <w:color w:val="auto"/>
              </w:rPr>
              <w:t>a）</w:t>
            </w:r>
            <w:bookmarkEnd w:id="138"/>
            <w:r>
              <w:rPr>
                <w:rFonts w:hint="eastAsia"/>
                <w:color w:val="auto"/>
              </w:rPr>
              <w:t>。</w:t>
            </w:r>
            <w:r>
              <w:rPr>
                <w:rFonts w:cs="宋体"/>
                <w:color w:val="auto"/>
              </w:rPr>
              <w:t>循环过程中少量的水因受热等因素损失，需定期补充损耗量。</w:t>
            </w:r>
            <w:r>
              <w:rPr>
                <w:rFonts w:hint="eastAsia" w:cs="宋体"/>
                <w:color w:val="auto"/>
              </w:rPr>
              <w:t>根据《工业循环冷却水处理设计规范》（GB/T50050-2017）中5.0.7</w:t>
            </w:r>
            <w:r>
              <w:rPr>
                <w:rFonts w:hint="eastAsia" w:cs="微软雅黑"/>
                <w:color w:val="auto"/>
              </w:rPr>
              <w:t>~</w:t>
            </w:r>
            <w:r>
              <w:rPr>
                <w:rFonts w:hint="eastAsia" w:cs="宋体"/>
                <w:color w:val="auto"/>
              </w:rPr>
              <w:t>5.0.8可知，闭式系统的补充水量不宜大于循环水量的1%，补充水系统设计流量宜为循环水量的0.5%</w:t>
            </w:r>
            <w:r>
              <w:rPr>
                <w:rFonts w:hint="eastAsia" w:cs="微软雅黑"/>
                <w:color w:val="auto"/>
              </w:rPr>
              <w:t>~</w:t>
            </w:r>
            <w:r>
              <w:rPr>
                <w:rFonts w:hint="eastAsia" w:cs="宋体"/>
                <w:color w:val="auto"/>
              </w:rPr>
              <w:t>1%，项目按0.8%计，则</w:t>
            </w:r>
            <w:r>
              <w:rPr>
                <w:rFonts w:hint="eastAsia"/>
                <w:color w:val="auto"/>
              </w:rPr>
              <w:t>喷淋塔补充水量为</w:t>
            </w:r>
            <w:bookmarkStart w:id="139" w:name="OLE_LINK324"/>
            <w:r>
              <w:rPr>
                <w:rFonts w:hint="eastAsia"/>
                <w:color w:val="auto"/>
              </w:rPr>
              <w:t>0.368</w:t>
            </w:r>
            <w:r>
              <w:rPr>
                <w:color w:val="auto"/>
              </w:rPr>
              <w:t>m</w:t>
            </w:r>
            <w:r>
              <w:rPr>
                <w:color w:val="auto"/>
                <w:vertAlign w:val="superscript"/>
              </w:rPr>
              <w:t>3</w:t>
            </w:r>
            <w:r>
              <w:rPr>
                <w:color w:val="auto"/>
              </w:rPr>
              <w:t>/</w:t>
            </w:r>
            <w:r>
              <w:rPr>
                <w:rFonts w:hint="eastAsia"/>
                <w:color w:val="auto"/>
              </w:rPr>
              <w:t>d（92t</w:t>
            </w:r>
            <w:r>
              <w:rPr>
                <w:color w:val="auto"/>
              </w:rPr>
              <w:t>/</w:t>
            </w:r>
            <w:r>
              <w:rPr>
                <w:rFonts w:hint="eastAsia"/>
                <w:color w:val="auto"/>
              </w:rPr>
              <w:t>a）</w:t>
            </w:r>
            <w:bookmarkEnd w:id="139"/>
            <w:r>
              <w:rPr>
                <w:rFonts w:hint="eastAsia"/>
                <w:color w:val="auto"/>
              </w:rPr>
              <w:t>。</w:t>
            </w:r>
          </w:p>
          <w:p w14:paraId="5D34225E">
            <w:pPr>
              <w:ind w:firstLine="482"/>
              <w:jc w:val="both"/>
              <w:rPr>
                <w:rFonts w:cs="宋体"/>
                <w:b/>
                <w:bCs/>
                <w:color w:val="auto"/>
              </w:rPr>
            </w:pPr>
            <w:r>
              <w:rPr>
                <w:rFonts w:hint="eastAsia" w:cs="宋体"/>
                <w:b/>
                <w:bCs/>
                <w:color w:val="auto"/>
              </w:rPr>
              <w:t>排水：</w:t>
            </w:r>
          </w:p>
          <w:p w14:paraId="515DF525">
            <w:pPr>
              <w:widowControl/>
              <w:ind w:firstLine="480"/>
              <w:jc w:val="both"/>
            </w:pPr>
            <w:r>
              <w:rPr>
                <w:rFonts w:hint="eastAsia" w:cs="宋体"/>
                <w:color w:val="000000"/>
                <w:kern w:val="0"/>
                <w:lang w:bidi="ar"/>
              </w:rPr>
              <w:t>项目实行雨污分流，厂区内统一规划有雨水、污水管网，雨水经暗渠汇集后直接排入雨水管网；项目无生产废水外排，间接/直接冷却水循环使用不外排，定期补充，项目直接冷却水会带走产品表面的碎屑和灰尘，</w:t>
            </w:r>
            <w:bookmarkStart w:id="140" w:name="OLE_LINK203"/>
            <w:r>
              <w:rPr>
                <w:rFonts w:hint="eastAsia" w:cs="宋体"/>
                <w:color w:val="000000"/>
                <w:kern w:val="0"/>
                <w:lang w:bidi="ar"/>
              </w:rPr>
              <w:t>冷却水槽和水池中的直接冷却水</w:t>
            </w:r>
            <w:bookmarkStart w:id="141" w:name="OLE_LINK204"/>
            <w:r>
              <w:rPr>
                <w:rFonts w:hint="eastAsia" w:cs="宋体"/>
                <w:color w:val="000000"/>
                <w:kern w:val="0"/>
                <w:lang w:bidi="ar"/>
              </w:rPr>
              <w:t>每3个月收集处理一次</w:t>
            </w:r>
            <w:bookmarkEnd w:id="141"/>
            <w:r>
              <w:rPr>
                <w:rFonts w:hint="eastAsia" w:cs="宋体"/>
                <w:color w:val="000000"/>
                <w:kern w:val="0"/>
                <w:lang w:bidi="ar"/>
              </w:rPr>
              <w:t>，</w:t>
            </w:r>
            <w:r>
              <w:rPr>
                <w:rFonts w:hint="eastAsia"/>
              </w:rPr>
              <w:t>根据建设单位提供的资料，水池容积为0.8m</w:t>
            </w:r>
            <w:r>
              <w:rPr>
                <w:rFonts w:hint="eastAsia"/>
                <w:vertAlign w:val="superscript"/>
              </w:rPr>
              <w:t>3</w:t>
            </w:r>
            <w:r>
              <w:rPr>
                <w:rFonts w:hint="eastAsia"/>
              </w:rPr>
              <w:t>，</w:t>
            </w:r>
            <w:r>
              <w:rPr>
                <w:rFonts w:hint="eastAsia" w:cs="宋体"/>
                <w:color w:val="000000"/>
                <w:kern w:val="0"/>
                <w:lang w:bidi="ar"/>
              </w:rPr>
              <w:t>冷却水槽尺寸为5m*0.4m*0.22m，4个冷却水槽容积为1.76m</w:t>
            </w:r>
            <w:r>
              <w:rPr>
                <w:rFonts w:hint="eastAsia" w:cs="宋体"/>
                <w:color w:val="000000"/>
                <w:kern w:val="0"/>
                <w:vertAlign w:val="superscript"/>
                <w:lang w:bidi="ar"/>
              </w:rPr>
              <w:t>3</w:t>
            </w:r>
            <w:r>
              <w:rPr>
                <w:rFonts w:hint="eastAsia" w:cs="宋体"/>
                <w:color w:val="000000"/>
                <w:kern w:val="0"/>
                <w:lang w:bidi="ar"/>
              </w:rPr>
              <w:t>，</w:t>
            </w:r>
            <w:bookmarkEnd w:id="140"/>
            <w:r>
              <w:rPr>
                <w:rFonts w:hint="eastAsia" w:cs="宋体"/>
                <w:color w:val="000000"/>
                <w:kern w:val="0"/>
                <w:lang w:bidi="ar"/>
              </w:rPr>
              <w:t>则全年处理量为10.24t/a（2.56t/次），</w:t>
            </w:r>
            <w:bookmarkStart w:id="142" w:name="OLE_LINK161"/>
            <w:r>
              <w:rPr>
                <w:rFonts w:hint="eastAsia" w:cs="宋体"/>
                <w:color w:val="000000"/>
                <w:kern w:val="0"/>
                <w:lang w:bidi="ar"/>
              </w:rPr>
              <w:t>直接冷却水经</w:t>
            </w:r>
            <w:bookmarkStart w:id="143" w:name="OLE_LINK201"/>
            <w:r>
              <w:rPr>
                <w:rFonts w:hint="eastAsia" w:cs="宋体"/>
                <w:color w:val="000000"/>
                <w:kern w:val="0"/>
                <w:lang w:bidi="ar"/>
              </w:rPr>
              <w:t>“</w:t>
            </w:r>
            <w:bookmarkStart w:id="144" w:name="OLE_LINK160"/>
            <w:r>
              <w:rPr>
                <w:rFonts w:hint="eastAsia" w:cs="宋体"/>
                <w:color w:val="000000"/>
                <w:kern w:val="0"/>
                <w:lang w:bidi="ar"/>
              </w:rPr>
              <w:t>混凝沉淀</w:t>
            </w:r>
            <w:bookmarkEnd w:id="144"/>
            <w:r>
              <w:rPr>
                <w:rFonts w:hint="eastAsia" w:cs="宋体"/>
                <w:color w:val="000000"/>
                <w:kern w:val="0"/>
                <w:lang w:bidi="ar"/>
              </w:rPr>
              <w:t>+压滤+保安过滤”</w:t>
            </w:r>
            <w:bookmarkEnd w:id="143"/>
            <w:r>
              <w:rPr>
                <w:rFonts w:hint="eastAsia" w:cs="宋体"/>
                <w:color w:val="000000"/>
                <w:kern w:val="0"/>
                <w:lang w:bidi="ar"/>
              </w:rPr>
              <w:t>处理后回用于</w:t>
            </w:r>
            <w:bookmarkStart w:id="145" w:name="OLE_LINK173"/>
            <w:r>
              <w:rPr>
                <w:rFonts w:hint="eastAsia" w:cs="宋体"/>
                <w:color w:val="000000"/>
                <w:kern w:val="0"/>
                <w:lang w:bidi="ar"/>
              </w:rPr>
              <w:t>冷却工序</w:t>
            </w:r>
            <w:bookmarkEnd w:id="145"/>
            <w:r>
              <w:rPr>
                <w:rFonts w:hint="eastAsia" w:cs="宋体"/>
                <w:color w:val="000000"/>
                <w:kern w:val="0"/>
                <w:lang w:bidi="ar"/>
              </w:rPr>
              <w:t>，不外排</w:t>
            </w:r>
            <w:bookmarkEnd w:id="142"/>
            <w:r>
              <w:rPr>
                <w:rFonts w:hint="eastAsia" w:cs="宋体"/>
                <w:color w:val="000000"/>
                <w:kern w:val="0"/>
                <w:lang w:bidi="ar"/>
              </w:rPr>
              <w:t>；喷淋用水循环使用，定期更换，项目喷淋用水每1个月更换一次，</w:t>
            </w:r>
            <w:r>
              <w:rPr>
                <w:rFonts w:hint="eastAsia"/>
              </w:rPr>
              <w:t>更换的喷淋废水产生量为1m</w:t>
            </w:r>
            <w:r>
              <w:rPr>
                <w:rFonts w:hint="eastAsia"/>
                <w:vertAlign w:val="superscript"/>
              </w:rPr>
              <w:t>3</w:t>
            </w:r>
            <w:r>
              <w:rPr>
                <w:rFonts w:hint="eastAsia"/>
              </w:rPr>
              <w:t>/次（12t/a），</w:t>
            </w:r>
            <w:r>
              <w:rPr>
                <w:rFonts w:hint="eastAsia" w:cs="宋体"/>
                <w:color w:val="000000"/>
                <w:kern w:val="0"/>
                <w:lang w:bidi="ar"/>
              </w:rPr>
              <w:t>经收集后交由有危废资质的单位处理</w:t>
            </w:r>
            <w:r>
              <w:rPr>
                <w:rFonts w:hint="eastAsia" w:cs="宋体"/>
                <w:b/>
                <w:bCs/>
                <w:color w:val="000000"/>
                <w:kern w:val="0"/>
                <w:lang w:bidi="ar"/>
              </w:rPr>
              <w:t>，</w:t>
            </w:r>
            <w:r>
              <w:rPr>
                <w:rFonts w:hint="eastAsia" w:cs="宋体"/>
                <w:color w:val="000000"/>
                <w:kern w:val="0"/>
                <w:lang w:bidi="ar"/>
              </w:rPr>
              <w:t>不外排。</w:t>
            </w:r>
          </w:p>
          <w:p w14:paraId="55F00236">
            <w:pPr>
              <w:ind w:firstLine="480"/>
              <w:jc w:val="both"/>
              <w:rPr>
                <w:rFonts w:cs="宋体"/>
              </w:rPr>
            </w:pPr>
            <w:r>
              <w:rPr>
                <w:rFonts w:hint="eastAsia" w:cs="宋体"/>
              </w:rPr>
              <w:t>项目生活污水排污系数为80%，则生活污水排放量为64</w:t>
            </w:r>
            <w:r>
              <w:rPr>
                <w:rFonts w:cs="宋体"/>
              </w:rPr>
              <w:t>t/a</w:t>
            </w:r>
            <w:r>
              <w:rPr>
                <w:rFonts w:hint="eastAsia" w:cs="宋体"/>
              </w:rPr>
              <w:t>（0.256t/d）。项目所在区域属于园洲镇第五污水处理厂纳污范围，项目生活污水经三级化粪池处理达到《广东省水污染物排放限值》（DB44/26-2001）第二时段三级标准后由市政污水管道进入园洲镇第五污水处理厂，尾水达到《城镇污水处理厂污染物排放标准》(GB18918-2002)一级A标准及广东省地方标准《水污物排放限值》(DB44/26-2001)第二时段一级标准中的较严值，其中氨氮和总磷执行《地表水环境质量标准》（GB3838-2002）V类标准，尾水处理达标后排入园洲中心排渠，经沙河汇入东江，对周边地表水环境影响较小。</w:t>
            </w:r>
          </w:p>
          <w:p w14:paraId="4A568EE4">
            <w:pPr>
              <w:widowControl/>
              <w:ind w:firstLine="480"/>
              <w:jc w:val="both"/>
              <w:rPr>
                <w:rFonts w:hint="eastAsia" w:ascii="宋体" w:hAnsi="宋体" w:cs="宋体"/>
                <w:color w:val="000000"/>
                <w:kern w:val="0"/>
                <w:lang w:bidi="ar"/>
              </w:rPr>
            </w:pPr>
            <w:r>
              <w:rPr>
                <w:rFonts w:hint="eastAsia" w:ascii="宋体" w:hAnsi="宋体" w:cs="宋体"/>
                <w:color w:val="000000"/>
                <w:kern w:val="0"/>
                <w:lang w:bidi="ar"/>
              </w:rPr>
              <w:t>本项目</w:t>
            </w:r>
            <w:r>
              <w:rPr>
                <w:rFonts w:hint="eastAsia" w:ascii="Times New Roman" w:hAnsi="Times New Roman" w:cs="宋体"/>
                <w:color w:val="000000"/>
                <w:kern w:val="0"/>
                <w:sz w:val="24"/>
                <w:lang w:bidi="ar"/>
              </w:rPr>
              <w:t>VOCs平衡图</w:t>
            </w:r>
            <w:r>
              <w:rPr>
                <w:rFonts w:hint="eastAsia" w:ascii="宋体" w:hAnsi="宋体" w:cs="宋体"/>
                <w:color w:val="000000"/>
                <w:kern w:val="0"/>
                <w:lang w:eastAsia="zh-CN" w:bidi="ar"/>
              </w:rPr>
              <w:t>、</w:t>
            </w:r>
            <w:r>
              <w:rPr>
                <w:rFonts w:hint="eastAsia" w:ascii="宋体" w:hAnsi="宋体" w:cs="宋体"/>
                <w:color w:val="000000"/>
                <w:kern w:val="0"/>
                <w:lang w:bidi="ar"/>
              </w:rPr>
              <w:t>水平衡图如下：</w:t>
            </w:r>
          </w:p>
          <w:p w14:paraId="2EEFC7FE">
            <w:pPr>
              <w:spacing w:line="240" w:lineRule="auto"/>
              <w:ind w:firstLine="0" w:firstLineChars="0"/>
              <w:jc w:val="center"/>
              <w:rPr>
                <w:rFonts w:hint="eastAsia" w:ascii="宋体" w:hAnsi="宋体" w:cs="宋体"/>
                <w:color w:val="000000"/>
                <w:kern w:val="0"/>
                <w:lang w:bidi="ar"/>
              </w:rPr>
            </w:pPr>
            <w:r>
              <w:rPr>
                <w:bCs/>
              </w:rPr>
              <w:object>
                <v:shape id="_x0000_i1025" o:spt="75" type="#_x0000_t75" style="height:119.25pt;width:432pt;" o:ole="t" filled="f" o:preferrelative="t" stroked="f" coordsize="21600,21600">
                  <v:path/>
                  <v:fill on="f" focussize="0,0"/>
                  <v:stroke on="f" joinstyle="miter"/>
                  <v:imagedata r:id="rId18" o:title=""/>
                  <o:lock v:ext="edit" aspectratio="f"/>
                  <w10:wrap type="none"/>
                  <w10:anchorlock/>
                </v:shape>
                <o:OLEObject Type="Embed" ProgID="Visio.Drawing.15" ShapeID="_x0000_i1025" DrawAspect="Content" ObjectID="_1468075725" r:id="rId17">
                  <o:LockedField>false</o:LockedField>
                </o:OLEObject>
              </w:object>
            </w:r>
            <w:r>
              <w:rPr>
                <w:rFonts w:hint="eastAsia"/>
                <w:b/>
                <w:sz w:val="21"/>
                <w:szCs w:val="21"/>
              </w:rPr>
              <w:t>图2-</w:t>
            </w:r>
            <w:r>
              <w:rPr>
                <w:rFonts w:hint="eastAsia"/>
                <w:b/>
                <w:sz w:val="21"/>
                <w:szCs w:val="21"/>
                <w:lang w:val="en-US" w:eastAsia="zh-CN"/>
              </w:rPr>
              <w:t>1</w:t>
            </w:r>
            <w:r>
              <w:rPr>
                <w:rFonts w:hint="eastAsia"/>
                <w:b/>
                <w:sz w:val="21"/>
                <w:szCs w:val="21"/>
              </w:rPr>
              <w:t xml:space="preserve"> 本项目</w:t>
            </w:r>
            <w:bookmarkStart w:id="146" w:name="OLE_LINK337"/>
            <w:r>
              <w:rPr>
                <w:rFonts w:hint="eastAsia"/>
                <w:b/>
                <w:sz w:val="21"/>
                <w:szCs w:val="21"/>
              </w:rPr>
              <w:t>VOCs平衡图</w:t>
            </w:r>
            <w:bookmarkEnd w:id="146"/>
            <w:r>
              <w:rPr>
                <w:rFonts w:hint="eastAsia"/>
                <w:b/>
                <w:sz w:val="21"/>
                <w:szCs w:val="21"/>
              </w:rPr>
              <w:t xml:space="preserve"> （单位：t/a）</w:t>
            </w:r>
          </w:p>
          <w:p w14:paraId="34FE8670">
            <w:pPr>
              <w:pStyle w:val="10"/>
              <w:ind w:firstLine="0" w:firstLineChars="0"/>
            </w:pPr>
            <w:r>
              <mc:AlternateContent>
                <mc:Choice Requires="wps">
                  <w:drawing>
                    <wp:anchor distT="0" distB="0" distL="114300" distR="114300" simplePos="0" relativeHeight="251689984" behindDoc="0" locked="0" layoutInCell="1" allowOverlap="1">
                      <wp:simplePos x="0" y="0"/>
                      <wp:positionH relativeFrom="column">
                        <wp:posOffset>2579370</wp:posOffset>
                      </wp:positionH>
                      <wp:positionV relativeFrom="paragraph">
                        <wp:posOffset>-4445</wp:posOffset>
                      </wp:positionV>
                      <wp:extent cx="3175" cy="2034540"/>
                      <wp:effectExtent l="38100" t="254000" r="22860" b="9525"/>
                      <wp:wrapNone/>
                      <wp:docPr id="37" name="肘形连接符 37"/>
                      <wp:cNvGraphicFramePr/>
                      <a:graphic xmlns:a="http://schemas.openxmlformats.org/drawingml/2006/main">
                        <a:graphicData uri="http://schemas.microsoft.com/office/word/2010/wordprocessingShape">
                          <wps:wsp>
                            <wps:cNvCnPr/>
                            <wps:spPr>
                              <a:xfrm rot="16200000" flipV="1">
                                <a:off x="3763010" y="6847205"/>
                                <a:ext cx="3175" cy="2034540"/>
                              </a:xfrm>
                              <a:prstGeom prst="bentConnector3">
                                <a:avLst>
                                  <a:gd name="adj1" fmla="val 7950000"/>
                                </a:avLst>
                              </a:prstGeom>
                              <a:ln w="9525">
                                <a:solidFill>
                                  <a:schemeClr val="tx1"/>
                                </a:solidFill>
                                <a:prstDash val="dash"/>
                                <a:headEnd type="none"/>
                                <a:tailEnd type="triangle" w="med" len="med"/>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4" type="#_x0000_t34" style="position:absolute;left:0pt;flip:y;margin-left:203.1pt;margin-top:-0.35pt;height:160.2pt;width:0.25pt;rotation:5898240f;z-index:251689984;mso-width-relative:page;mso-height-relative:page;" filled="f" stroked="t" coordsize="21600,21600" o:gfxdata="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AlBZjY1wAAAAkBAAAPAAAAAAAAAAEAIAAAACIAAABk&#10;cnMvZG93bnJldi54bWxQSwECFAAUAAAACACHTuJAer4FZEACAABCBAAADgAAAAAAAAABACAAAAAm&#10;AQAAZHJzL2Uyb0RvYy54bWxQSwUGAAAAAAYABgBZAQAA2AUAAAAA&#10;" adj="1717200">
                      <v:fill on="f" focussize="0,0"/>
                      <v:stroke color="#000000 [3213]" joinstyle="round" dashstyle="dash" endarrow="block"/>
                      <v:imagedata o:title=""/>
                      <o:lock v:ext="edit" aspectratio="f"/>
                    </v:shape>
                  </w:pict>
                </mc:Fallback>
              </mc:AlternateContent>
            </w:r>
            <w:r>
              <mc:AlternateContent>
                <mc:Choice Requires="wps">
                  <w:drawing>
                    <wp:anchor distT="0" distB="0" distL="114300" distR="114300" simplePos="0" relativeHeight="251688960" behindDoc="0" locked="0" layoutInCell="1" allowOverlap="1">
                      <wp:simplePos x="0" y="0"/>
                      <wp:positionH relativeFrom="column">
                        <wp:posOffset>796290</wp:posOffset>
                      </wp:positionH>
                      <wp:positionV relativeFrom="paragraph">
                        <wp:posOffset>873125</wp:posOffset>
                      </wp:positionV>
                      <wp:extent cx="557530" cy="215900"/>
                      <wp:effectExtent l="0" t="0" r="0" b="0"/>
                      <wp:wrapNone/>
                      <wp:docPr id="250" name="文本框 629"/>
                      <wp:cNvGraphicFramePr/>
                      <a:graphic xmlns:a="http://schemas.openxmlformats.org/drawingml/2006/main">
                        <a:graphicData uri="http://schemas.microsoft.com/office/word/2010/wordprocessingShape">
                          <wps:wsp>
                            <wps:cNvSpPr txBox="1"/>
                            <wps:spPr>
                              <a:xfrm>
                                <a:off x="0" y="0"/>
                                <a:ext cx="557530" cy="215900"/>
                              </a:xfrm>
                              <a:prstGeom prst="rect">
                                <a:avLst/>
                              </a:prstGeom>
                              <a:noFill/>
                              <a:ln>
                                <a:noFill/>
                              </a:ln>
                            </wps:spPr>
                            <wps:txbx>
                              <w:txbxContent>
                                <w:p w14:paraId="3399EF48">
                                  <w:pPr>
                                    <w:ind w:firstLine="0" w:firstLineChars="0"/>
                                    <w:rPr>
                                      <w:sz w:val="21"/>
                                      <w:szCs w:val="21"/>
                                    </w:rPr>
                                  </w:pPr>
                                  <w:r>
                                    <w:rPr>
                                      <w:rFonts w:hint="eastAsia"/>
                                      <w:sz w:val="21"/>
                                      <w:szCs w:val="21"/>
                                    </w:rPr>
                                    <w:t>90.24</w:t>
                                  </w:r>
                                </w:p>
                              </w:txbxContent>
                            </wps:txbx>
                            <wps:bodyPr upright="1"/>
                          </wps:wsp>
                        </a:graphicData>
                      </a:graphic>
                    </wp:anchor>
                  </w:drawing>
                </mc:Choice>
                <mc:Fallback>
                  <w:pict>
                    <v:shape id="文本框 629" o:spid="_x0000_s1026" o:spt="202" type="#_x0000_t202" style="position:absolute;left:0pt;margin-left:62.7pt;margin-top:68.75pt;height:17pt;width:43.9pt;z-index:251688960;mso-width-relative:page;mso-height-relative:page;" filled="f" stroked="f" coordsize="21600,21600" o:gfxdata="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yKft&#10;1tgAAAALAQAADwAAAAAAAAABACAAAAAiAAAAZHJzL2Rvd25yZXYueG1sUEsBAhQAFAAAAAgAh07i&#10;QDPRKj6wAQAAUQMAAA4AAAAAAAAAAQAgAAAAJwEAAGRycy9lMm9Eb2MueG1sUEsFBgAAAAAGAAYA&#10;WQEAAEkFAAAAAA==&#10;">
                      <v:fill on="f" focussize="0,0"/>
                      <v:stroke on="f"/>
                      <v:imagedata o:title=""/>
                      <o:lock v:ext="edit" aspectratio="f"/>
                      <v:textbox>
                        <w:txbxContent>
                          <w:p w14:paraId="3399EF48">
                            <w:pPr>
                              <w:ind w:firstLine="0" w:firstLineChars="0"/>
                              <w:rPr>
                                <w:sz w:val="21"/>
                                <w:szCs w:val="21"/>
                              </w:rPr>
                            </w:pPr>
                            <w:r>
                              <w:rPr>
                                <w:rFonts w:hint="eastAsia"/>
                                <w:sz w:val="21"/>
                                <w:szCs w:val="21"/>
                              </w:rPr>
                              <w:t>90.24</w:t>
                            </w:r>
                          </w:p>
                        </w:txbxContent>
                      </v:textbox>
                    </v:shape>
                  </w:pict>
                </mc:Fallback>
              </mc:AlternateContent>
            </w:r>
            <w:r>
              <mc:AlternateContent>
                <mc:Choice Requires="wps">
                  <w:drawing>
                    <wp:anchor distT="0" distB="0" distL="114300" distR="114300" simplePos="0" relativeHeight="251686912" behindDoc="0" locked="0" layoutInCell="1" allowOverlap="1">
                      <wp:simplePos x="0" y="0"/>
                      <wp:positionH relativeFrom="column">
                        <wp:posOffset>3514725</wp:posOffset>
                      </wp:positionH>
                      <wp:positionV relativeFrom="paragraph">
                        <wp:posOffset>741680</wp:posOffset>
                      </wp:positionV>
                      <wp:extent cx="474345" cy="241300"/>
                      <wp:effectExtent l="0" t="0" r="0" b="0"/>
                      <wp:wrapNone/>
                      <wp:docPr id="40" name="文本框 661"/>
                      <wp:cNvGraphicFramePr/>
                      <a:graphic xmlns:a="http://schemas.openxmlformats.org/drawingml/2006/main">
                        <a:graphicData uri="http://schemas.microsoft.com/office/word/2010/wordprocessingShape">
                          <wps:wsp>
                            <wps:cNvSpPr txBox="1"/>
                            <wps:spPr>
                              <a:xfrm>
                                <a:off x="0" y="0"/>
                                <a:ext cx="474345" cy="241300"/>
                              </a:xfrm>
                              <a:prstGeom prst="rect">
                                <a:avLst/>
                              </a:prstGeom>
                              <a:noFill/>
                              <a:ln>
                                <a:noFill/>
                              </a:ln>
                            </wps:spPr>
                            <wps:txbx>
                              <w:txbxContent>
                                <w:p w14:paraId="29EB07D2">
                                  <w:pPr>
                                    <w:ind w:firstLine="0" w:firstLineChars="0"/>
                                    <w:jc w:val="center"/>
                                    <w:rPr>
                                      <w:sz w:val="21"/>
                                      <w:szCs w:val="21"/>
                                    </w:rPr>
                                  </w:pPr>
                                  <w:r>
                                    <w:rPr>
                                      <w:rFonts w:hint="eastAsia"/>
                                      <w:sz w:val="21"/>
                                      <w:szCs w:val="21"/>
                                    </w:rPr>
                                    <w:t>回用</w:t>
                                  </w:r>
                                </w:p>
                              </w:txbxContent>
                            </wps:txbx>
                            <wps:bodyPr upright="1"/>
                          </wps:wsp>
                        </a:graphicData>
                      </a:graphic>
                    </wp:anchor>
                  </w:drawing>
                </mc:Choice>
                <mc:Fallback>
                  <w:pict>
                    <v:shape id="文本框 661" o:spid="_x0000_s1026" o:spt="202" type="#_x0000_t202" style="position:absolute;left:0pt;margin-left:276.75pt;margin-top:58.4pt;height:19pt;width:37.35pt;z-index:251686912;mso-width-relative:page;mso-height-relative:page;" filled="f" stroked="f" coordsize="21600,21600" o:gfxdata="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H5etUvX&#10;AAAACwEAAA8AAAAAAAAAAQAgAAAAIgAAAGRycy9kb3ducmV2LnhtbFBLAQIUABQAAAAIAIdO4kD4&#10;Dh/lrwEAAFADAAAOAAAAAAAAAAEAIAAAACYBAABkcnMvZTJvRG9jLnhtbFBLBQYAAAAABgAGAFkB&#10;AABHBQAAAAA=&#10;">
                      <v:fill on="f" focussize="0,0"/>
                      <v:stroke on="f"/>
                      <v:imagedata o:title=""/>
                      <o:lock v:ext="edit" aspectratio="f"/>
                      <v:textbox>
                        <w:txbxContent>
                          <w:p w14:paraId="29EB07D2">
                            <w:pPr>
                              <w:ind w:firstLine="0" w:firstLineChars="0"/>
                              <w:jc w:val="center"/>
                              <w:rPr>
                                <w:sz w:val="21"/>
                                <w:szCs w:val="21"/>
                              </w:rPr>
                            </w:pPr>
                            <w:r>
                              <w:rPr>
                                <w:rFonts w:hint="eastAsia"/>
                                <w:sz w:val="21"/>
                                <w:szCs w:val="21"/>
                              </w:rPr>
                              <w:t>回用</w:t>
                            </w:r>
                          </w:p>
                        </w:txbxContent>
                      </v:textbox>
                    </v:shape>
                  </w:pict>
                </mc:Fallback>
              </mc:AlternateContent>
            </w:r>
            <w:r>
              <mc:AlternateContent>
                <mc:Choice Requires="wps">
                  <w:drawing>
                    <wp:anchor distT="0" distB="0" distL="114300" distR="114300" simplePos="0" relativeHeight="251666432" behindDoc="0" locked="0" layoutInCell="1" allowOverlap="1">
                      <wp:simplePos x="0" y="0"/>
                      <wp:positionH relativeFrom="column">
                        <wp:posOffset>838835</wp:posOffset>
                      </wp:positionH>
                      <wp:positionV relativeFrom="paragraph">
                        <wp:posOffset>1615440</wp:posOffset>
                      </wp:positionV>
                      <wp:extent cx="400050" cy="244475"/>
                      <wp:effectExtent l="0" t="0" r="0" b="0"/>
                      <wp:wrapNone/>
                      <wp:docPr id="26" name="文本框 654"/>
                      <wp:cNvGraphicFramePr/>
                      <a:graphic xmlns:a="http://schemas.openxmlformats.org/drawingml/2006/main">
                        <a:graphicData uri="http://schemas.microsoft.com/office/word/2010/wordprocessingShape">
                          <wps:wsp>
                            <wps:cNvSpPr txBox="1"/>
                            <wps:spPr>
                              <a:xfrm>
                                <a:off x="0" y="0"/>
                                <a:ext cx="400050" cy="244475"/>
                              </a:xfrm>
                              <a:prstGeom prst="rect">
                                <a:avLst/>
                              </a:prstGeom>
                              <a:noFill/>
                              <a:ln>
                                <a:noFill/>
                              </a:ln>
                            </wps:spPr>
                            <wps:txbx>
                              <w:txbxContent>
                                <w:p w14:paraId="375CFD46">
                                  <w:pPr>
                                    <w:ind w:firstLine="0" w:firstLineChars="0"/>
                                    <w:jc w:val="center"/>
                                    <w:rPr>
                                      <w:sz w:val="21"/>
                                      <w:szCs w:val="21"/>
                                    </w:rPr>
                                  </w:pPr>
                                  <w:r>
                                    <w:rPr>
                                      <w:rFonts w:hint="eastAsia"/>
                                      <w:sz w:val="21"/>
                                      <w:szCs w:val="21"/>
                                    </w:rPr>
                                    <w:t>104</w:t>
                                  </w:r>
                                </w:p>
                              </w:txbxContent>
                            </wps:txbx>
                            <wps:bodyPr upright="1"/>
                          </wps:wsp>
                        </a:graphicData>
                      </a:graphic>
                    </wp:anchor>
                  </w:drawing>
                </mc:Choice>
                <mc:Fallback>
                  <w:pict>
                    <v:shape id="文本框 654" o:spid="_x0000_s1026" o:spt="202" type="#_x0000_t202" style="position:absolute;left:0pt;margin-left:66.05pt;margin-top:127.2pt;height:19.25pt;width:31.5pt;z-index:251666432;mso-width-relative:page;mso-height-relative:page;" filled="f" stroked="f" coordsize="21600,21600" o:gfxdata="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AmGgnz1gAA&#10;AAsBAAAPAAAAAAAAAAEAIAAAACIAAABkcnMvZG93bnJldi54bWxQSwECFAAUAAAACACHTuJAhQVl&#10;oq4BAABQAwAADgAAAAAAAAABACAAAAAlAQAAZHJzL2Uyb0RvYy54bWxQSwUGAAAAAAYABgBZAQAA&#10;RQUAAAAA&#10;">
                      <v:fill on="f" focussize="0,0"/>
                      <v:stroke on="f"/>
                      <v:imagedata o:title=""/>
                      <o:lock v:ext="edit" aspectratio="f"/>
                      <v:textbox>
                        <w:txbxContent>
                          <w:p w14:paraId="375CFD46">
                            <w:pPr>
                              <w:ind w:firstLine="0" w:firstLineChars="0"/>
                              <w:jc w:val="center"/>
                              <w:rPr>
                                <w:sz w:val="21"/>
                                <w:szCs w:val="21"/>
                              </w:rPr>
                            </w:pPr>
                            <w:r>
                              <w:rPr>
                                <w:rFonts w:hint="eastAsia"/>
                                <w:sz w:val="21"/>
                                <w:szCs w:val="21"/>
                              </w:rPr>
                              <w:t>104</w:t>
                            </w:r>
                          </w:p>
                        </w:txbxContent>
                      </v:textbox>
                    </v:shape>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1877695</wp:posOffset>
                      </wp:positionH>
                      <wp:positionV relativeFrom="paragraph">
                        <wp:posOffset>828040</wp:posOffset>
                      </wp:positionV>
                      <wp:extent cx="495935" cy="224155"/>
                      <wp:effectExtent l="0" t="0" r="0" b="0"/>
                      <wp:wrapNone/>
                      <wp:docPr id="58" name="文本框 654"/>
                      <wp:cNvGraphicFramePr/>
                      <a:graphic xmlns:a="http://schemas.openxmlformats.org/drawingml/2006/main">
                        <a:graphicData uri="http://schemas.microsoft.com/office/word/2010/wordprocessingShape">
                          <wps:wsp>
                            <wps:cNvSpPr txBox="1"/>
                            <wps:spPr>
                              <a:xfrm>
                                <a:off x="0" y="0"/>
                                <a:ext cx="495935" cy="224155"/>
                              </a:xfrm>
                              <a:prstGeom prst="rect">
                                <a:avLst/>
                              </a:prstGeom>
                              <a:noFill/>
                              <a:ln>
                                <a:noFill/>
                              </a:ln>
                            </wps:spPr>
                            <wps:txbx>
                              <w:txbxContent>
                                <w:p w14:paraId="0592DF2D">
                                  <w:pPr>
                                    <w:ind w:firstLine="0" w:firstLineChars="0"/>
                                    <w:jc w:val="center"/>
                                    <w:rPr>
                                      <w:sz w:val="21"/>
                                      <w:szCs w:val="21"/>
                                    </w:rPr>
                                  </w:pPr>
                                  <w:r>
                                    <w:rPr>
                                      <w:rFonts w:hint="eastAsia"/>
                                      <w:sz w:val="21"/>
                                      <w:szCs w:val="21"/>
                                    </w:rPr>
                                    <w:t>10.24</w:t>
                                  </w:r>
                                </w:p>
                              </w:txbxContent>
                            </wps:txbx>
                            <wps:bodyPr upright="1"/>
                          </wps:wsp>
                        </a:graphicData>
                      </a:graphic>
                    </wp:anchor>
                  </w:drawing>
                </mc:Choice>
                <mc:Fallback>
                  <w:pict>
                    <v:shape id="文本框 654" o:spid="_x0000_s1026" o:spt="202" type="#_x0000_t202" style="position:absolute;left:0pt;margin-left:147.85pt;margin-top:65.2pt;height:17.65pt;width:39.05pt;z-index:251674624;mso-width-relative:page;mso-height-relative:page;" filled="f" stroked="f" coordsize="21600,21600" o:gfxdata="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PodSNbX&#10;AAAACwEAAA8AAAAAAAAAAQAgAAAAIgAAAGRycy9kb3ducmV2LnhtbFBLAQIUABQAAAAIAIdO4kBP&#10;GSlxrwEAAFADAAAOAAAAAAAAAAEAIAAAACYBAABkcnMvZTJvRG9jLnhtbFBLBQYAAAAABgAGAFkB&#10;AABHBQAAAAA=&#10;">
                      <v:fill on="f" focussize="0,0"/>
                      <v:stroke on="f"/>
                      <v:imagedata o:title=""/>
                      <o:lock v:ext="edit" aspectratio="f"/>
                      <v:textbox>
                        <w:txbxContent>
                          <w:p w14:paraId="0592DF2D">
                            <w:pPr>
                              <w:ind w:firstLine="0" w:firstLineChars="0"/>
                              <w:jc w:val="center"/>
                              <w:rPr>
                                <w:sz w:val="21"/>
                                <w:szCs w:val="21"/>
                              </w:rPr>
                            </w:pPr>
                            <w:r>
                              <w:rPr>
                                <w:rFonts w:hint="eastAsia"/>
                                <w:sz w:val="21"/>
                                <w:szCs w:val="21"/>
                              </w:rPr>
                              <w:t>10.24</w:t>
                            </w:r>
                          </w:p>
                        </w:txbxContent>
                      </v:textbox>
                    </v:shape>
                  </w:pict>
                </mc:Fallback>
              </mc:AlternateContent>
            </w:r>
            <w:r>
              <mc:AlternateContent>
                <mc:Choice Requires="wps">
                  <w:drawing>
                    <wp:anchor distT="0" distB="0" distL="114300" distR="114300" simplePos="0" relativeHeight="251673600" behindDoc="0" locked="0" layoutInCell="1" allowOverlap="1">
                      <wp:simplePos x="0" y="0"/>
                      <wp:positionH relativeFrom="column">
                        <wp:posOffset>2324735</wp:posOffset>
                      </wp:positionH>
                      <wp:positionV relativeFrom="paragraph">
                        <wp:posOffset>1009015</wp:posOffset>
                      </wp:positionV>
                      <wp:extent cx="2506345" cy="283210"/>
                      <wp:effectExtent l="4445" t="4445" r="22860" b="17145"/>
                      <wp:wrapNone/>
                      <wp:docPr id="56" name="文本框 646"/>
                      <wp:cNvGraphicFramePr/>
                      <a:graphic xmlns:a="http://schemas.openxmlformats.org/drawingml/2006/main">
                        <a:graphicData uri="http://schemas.microsoft.com/office/word/2010/wordprocessingShape">
                          <wps:wsp>
                            <wps:cNvSpPr txBox="1"/>
                            <wps:spPr>
                              <a:xfrm>
                                <a:off x="0" y="0"/>
                                <a:ext cx="2506345" cy="2832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6DEAED3">
                                  <w:pPr>
                                    <w:ind w:firstLine="0" w:firstLineChars="0"/>
                                    <w:rPr>
                                      <w:sz w:val="21"/>
                                      <w:szCs w:val="21"/>
                                    </w:rPr>
                                  </w:pPr>
                                  <w:r>
                                    <w:rPr>
                                      <w:rFonts w:hint="eastAsia"/>
                                      <w:sz w:val="21"/>
                                      <w:szCs w:val="21"/>
                                    </w:rPr>
                                    <w:t>“混凝沉淀+压滤+保安过滤”处理设施</w:t>
                                  </w:r>
                                </w:p>
                              </w:txbxContent>
                            </wps:txbx>
                            <wps:bodyPr upright="1"/>
                          </wps:wsp>
                        </a:graphicData>
                      </a:graphic>
                    </wp:anchor>
                  </w:drawing>
                </mc:Choice>
                <mc:Fallback>
                  <w:pict>
                    <v:shape id="文本框 646" o:spid="_x0000_s1026" o:spt="202" type="#_x0000_t202" style="position:absolute;left:0pt;margin-left:183.05pt;margin-top:79.45pt;height:22.3pt;width:197.35pt;z-index:251673600;mso-width-relative:page;mso-height-relative:page;" fillcolor="#FFFFFF" filled="t" stroked="t" coordsize="21600,21600" o:gfxdata="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x2TDt2gAAAAsBAAAPAAAAAAAA&#10;AAEAIAAAACIAAABkcnMvZG93bnJldi54bWxQSwECFAAUAAAACACHTuJAGlxEyxACAAA5BAAADgAA&#10;AAAAAAABACAAAAApAQAAZHJzL2Uyb0RvYy54bWxQSwUGAAAAAAYABgBZAQAAqwUAAAAA&#10;">
                      <v:fill on="t" focussize="0,0"/>
                      <v:stroke color="#000000" joinstyle="miter"/>
                      <v:imagedata o:title=""/>
                      <o:lock v:ext="edit" aspectratio="f"/>
                      <v:textbox>
                        <w:txbxContent>
                          <w:p w14:paraId="46DEAED3">
                            <w:pPr>
                              <w:ind w:firstLine="0" w:firstLineChars="0"/>
                              <w:rPr>
                                <w:sz w:val="21"/>
                                <w:szCs w:val="21"/>
                              </w:rPr>
                            </w:pPr>
                            <w:r>
                              <w:rPr>
                                <w:rFonts w:hint="eastAsia"/>
                                <w:sz w:val="21"/>
                                <w:szCs w:val="21"/>
                              </w:rPr>
                              <w:t>“混凝沉淀+压滤+保安过滤”处理设施</w:t>
                            </w:r>
                          </w:p>
                        </w:txbxContent>
                      </v:textbox>
                    </v:shape>
                  </w:pict>
                </mc:Fallback>
              </mc:AlternateContent>
            </w:r>
            <w:r>
              <mc:AlternateContent>
                <mc:Choice Requires="wps">
                  <w:drawing>
                    <wp:anchor distT="0" distB="0" distL="114300" distR="114300" simplePos="0" relativeHeight="251670528" behindDoc="0" locked="0" layoutInCell="1" allowOverlap="1">
                      <wp:simplePos x="0" y="0"/>
                      <wp:positionH relativeFrom="column">
                        <wp:posOffset>2458720</wp:posOffset>
                      </wp:positionH>
                      <wp:positionV relativeFrom="paragraph">
                        <wp:posOffset>1711325</wp:posOffset>
                      </wp:positionV>
                      <wp:extent cx="1969770" cy="276225"/>
                      <wp:effectExtent l="4445" t="5080" r="6985" b="4445"/>
                      <wp:wrapNone/>
                      <wp:docPr id="51" name="文本框 647"/>
                      <wp:cNvGraphicFramePr/>
                      <a:graphic xmlns:a="http://schemas.openxmlformats.org/drawingml/2006/main">
                        <a:graphicData uri="http://schemas.microsoft.com/office/word/2010/wordprocessingShape">
                          <wps:wsp>
                            <wps:cNvSpPr txBox="1"/>
                            <wps:spPr>
                              <a:xfrm>
                                <a:off x="0" y="0"/>
                                <a:ext cx="1969770" cy="2762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6708D2A">
                                  <w:pPr>
                                    <w:ind w:firstLine="0" w:firstLineChars="0"/>
                                    <w:jc w:val="center"/>
                                    <w:rPr>
                                      <w:sz w:val="21"/>
                                      <w:szCs w:val="21"/>
                                    </w:rPr>
                                  </w:pPr>
                                  <w:r>
                                    <w:rPr>
                                      <w:rFonts w:hint="eastAsia"/>
                                      <w:sz w:val="21"/>
                                      <w:szCs w:val="21"/>
                                    </w:rPr>
                                    <w:t>委托有危废资质单位处理</w:t>
                                  </w:r>
                                </w:p>
                              </w:txbxContent>
                            </wps:txbx>
                            <wps:bodyPr upright="1"/>
                          </wps:wsp>
                        </a:graphicData>
                      </a:graphic>
                    </wp:anchor>
                  </w:drawing>
                </mc:Choice>
                <mc:Fallback>
                  <w:pict>
                    <v:shape id="文本框 647" o:spid="_x0000_s1026" o:spt="202" type="#_x0000_t202" style="position:absolute;left:0pt;margin-left:193.6pt;margin-top:134.75pt;height:21.75pt;width:155.1pt;z-index:251670528;mso-width-relative:page;mso-height-relative:page;" fillcolor="#FFFFFF" filled="t" stroked="t" coordsize="21600,21600" o:gfxdata="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X+xrXaAAAACwEAAA8AAAAAAAAAAQAg&#10;AAAAIgAAAGRycy9kb3ducmV2LnhtbFBLAQIUABQAAAAIAIdO4kBzoTLxDAIAADkEAAAOAAAAAAAA&#10;AAEAIAAAACkBAABkcnMvZTJvRG9jLnhtbFBLBQYAAAAABgAGAFkBAACnBQAAAAA=&#10;">
                      <v:fill on="t" focussize="0,0"/>
                      <v:stroke color="#000000" joinstyle="miter"/>
                      <v:imagedata o:title=""/>
                      <o:lock v:ext="edit" aspectratio="f"/>
                      <v:textbox>
                        <w:txbxContent>
                          <w:p w14:paraId="46708D2A">
                            <w:pPr>
                              <w:ind w:firstLine="0" w:firstLineChars="0"/>
                              <w:jc w:val="center"/>
                              <w:rPr>
                                <w:sz w:val="21"/>
                                <w:szCs w:val="21"/>
                              </w:rPr>
                            </w:pPr>
                            <w:r>
                              <w:rPr>
                                <w:rFonts w:hint="eastAsia"/>
                                <w:sz w:val="21"/>
                                <w:szCs w:val="21"/>
                              </w:rPr>
                              <w:t>委托有危废资质单位处理</w:t>
                            </w:r>
                          </w:p>
                        </w:txbxContent>
                      </v:textbox>
                    </v:shape>
                  </w:pict>
                </mc:Fallback>
              </mc:AlternateContent>
            </w:r>
            <w:r>
              <mc:AlternateContent>
                <mc:Choice Requires="wps">
                  <w:drawing>
                    <wp:anchor distT="0" distB="0" distL="114300" distR="114300" simplePos="0" relativeHeight="251672576" behindDoc="0" locked="0" layoutInCell="1" allowOverlap="1">
                      <wp:simplePos x="0" y="0"/>
                      <wp:positionH relativeFrom="column">
                        <wp:posOffset>1924685</wp:posOffset>
                      </wp:positionH>
                      <wp:positionV relativeFrom="paragraph">
                        <wp:posOffset>1073785</wp:posOffset>
                      </wp:positionV>
                      <wp:extent cx="393700" cy="5715"/>
                      <wp:effectExtent l="0" t="36830" r="6350" b="33655"/>
                      <wp:wrapNone/>
                      <wp:docPr id="48" name="自选图形 665"/>
                      <wp:cNvGraphicFramePr/>
                      <a:graphic xmlns:a="http://schemas.openxmlformats.org/drawingml/2006/main">
                        <a:graphicData uri="http://schemas.microsoft.com/office/word/2010/wordprocessingShape">
                          <wps:wsp>
                            <wps:cNvCnPr/>
                            <wps:spPr>
                              <a:xfrm flipV="1">
                                <a:off x="0" y="0"/>
                                <a:ext cx="393700" cy="571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665" o:spid="_x0000_s1026" o:spt="32" type="#_x0000_t32" style="position:absolute;left:0pt;flip:y;margin-left:151.55pt;margin-top:84.55pt;height:0.45pt;width:31pt;z-index:251672576;mso-width-relative:page;mso-height-relative:page;" filled="f" stroked="t" coordsize="21600,21600" o:gfxdata="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jhxnLZAAAACwEAAA8AAAAAAAAAAQAgAAAA&#10;IgAAAGRycy9kb3ducmV2LnhtbFBLAQIUABQAAAAIAIdO4kDKryPJCgIAAPYDAAAOAAAAAAAAAAEA&#10;IAAAACgBAABkcnMvZTJvRG9jLnhtbFBLBQYAAAAABgAGAFkBAACk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1269365</wp:posOffset>
                      </wp:positionH>
                      <wp:positionV relativeFrom="paragraph">
                        <wp:posOffset>843280</wp:posOffset>
                      </wp:positionV>
                      <wp:extent cx="172085" cy="167640"/>
                      <wp:effectExtent l="5080" t="0" r="17780" b="18415"/>
                      <wp:wrapNone/>
                      <wp:docPr id="31" name="自选图形 636"/>
                      <wp:cNvGraphicFramePr/>
                      <a:graphic xmlns:a="http://schemas.openxmlformats.org/drawingml/2006/main">
                        <a:graphicData uri="http://schemas.microsoft.com/office/word/2010/wordprocessingShape">
                          <wps:wsp>
                            <wps:cNvCnPr/>
                            <wps:spPr>
                              <a:xfrm rot="16200000">
                                <a:off x="0" y="0"/>
                                <a:ext cx="172191" cy="167248"/>
                              </a:xfrm>
                              <a:prstGeom prst="curvedConnector3">
                                <a:avLst>
                                  <a:gd name="adj1" fmla="val 50000"/>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636" o:spid="_x0000_s1026" o:spt="38" type="#_x0000_t38" style="position:absolute;left:0pt;margin-left:99.95pt;margin-top:66.4pt;height:13.2pt;width:13.55pt;rotation:-5898240f;z-index:251661312;mso-width-relative:page;mso-height-relative:page;" filled="f" stroked="t" coordsize="21600,21600" o:gfxdata="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DBQet&#10;2QAAAAsBAAAPAAAAAAAAAAEAIAAAACIAAABkcnMvZG93bnJldi54bWxQSwECFAAUAAAACACHTuJA&#10;IrTUOyACAAAoBAAADgAAAAAAAAABACAAAAAoAQAAZHJzL2Uyb0RvYy54bWxQSwUGAAAAAAYABgBZ&#10;AQAAugUAAAAA&#10;" adj="1080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71552" behindDoc="0" locked="0" layoutInCell="1" allowOverlap="1">
                      <wp:simplePos x="0" y="0"/>
                      <wp:positionH relativeFrom="column">
                        <wp:posOffset>2012950</wp:posOffset>
                      </wp:positionH>
                      <wp:positionV relativeFrom="paragraph">
                        <wp:posOffset>1577340</wp:posOffset>
                      </wp:positionV>
                      <wp:extent cx="441325" cy="244475"/>
                      <wp:effectExtent l="0" t="0" r="0" b="0"/>
                      <wp:wrapNone/>
                      <wp:docPr id="52" name="文本框 654"/>
                      <wp:cNvGraphicFramePr/>
                      <a:graphic xmlns:a="http://schemas.openxmlformats.org/drawingml/2006/main">
                        <a:graphicData uri="http://schemas.microsoft.com/office/word/2010/wordprocessingShape">
                          <wps:wsp>
                            <wps:cNvSpPr txBox="1"/>
                            <wps:spPr>
                              <a:xfrm>
                                <a:off x="0" y="0"/>
                                <a:ext cx="441325" cy="244475"/>
                              </a:xfrm>
                              <a:prstGeom prst="rect">
                                <a:avLst/>
                              </a:prstGeom>
                              <a:noFill/>
                              <a:ln>
                                <a:noFill/>
                              </a:ln>
                            </wps:spPr>
                            <wps:txbx>
                              <w:txbxContent>
                                <w:p w14:paraId="3B66EC38">
                                  <w:pPr>
                                    <w:ind w:firstLine="0" w:firstLineChars="0"/>
                                    <w:jc w:val="center"/>
                                    <w:rPr>
                                      <w:sz w:val="21"/>
                                      <w:szCs w:val="21"/>
                                    </w:rPr>
                                  </w:pPr>
                                  <w:r>
                                    <w:rPr>
                                      <w:rFonts w:hint="eastAsia"/>
                                      <w:sz w:val="21"/>
                                      <w:szCs w:val="21"/>
                                    </w:rPr>
                                    <w:t>12</w:t>
                                  </w:r>
                                </w:p>
                              </w:txbxContent>
                            </wps:txbx>
                            <wps:bodyPr upright="1"/>
                          </wps:wsp>
                        </a:graphicData>
                      </a:graphic>
                    </wp:anchor>
                  </w:drawing>
                </mc:Choice>
                <mc:Fallback>
                  <w:pict>
                    <v:shape id="文本框 654" o:spid="_x0000_s1026" o:spt="202" type="#_x0000_t202" style="position:absolute;left:0pt;margin-left:158.5pt;margin-top:124.2pt;height:19.25pt;width:34.75pt;z-index:251671552;mso-width-relative:page;mso-height-relative:page;" filled="f" stroked="f" coordsize="21600,21600" o:gfxdata="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2+mR&#10;1NkAAAALAQAADwAAAAAAAAABACAAAAAiAAAAZHJzL2Rvd25yZXYueG1sUEsBAhQAFAAAAAgAh07i&#10;QPNj4TmvAQAAUAMAAA4AAAAAAAAAAQAgAAAAKAEAAGRycy9lMm9Eb2MueG1sUEsFBgAAAAAGAAYA&#10;WQEAAEkFAAAAAA==&#10;">
                      <v:fill on="f" focussize="0,0"/>
                      <v:stroke on="f"/>
                      <v:imagedata o:title=""/>
                      <o:lock v:ext="edit" aspectratio="f"/>
                      <v:textbox>
                        <w:txbxContent>
                          <w:p w14:paraId="3B66EC38">
                            <w:pPr>
                              <w:ind w:firstLine="0" w:firstLineChars="0"/>
                              <w:jc w:val="center"/>
                              <w:rPr>
                                <w:sz w:val="21"/>
                                <w:szCs w:val="21"/>
                              </w:rPr>
                            </w:pPr>
                            <w:r>
                              <w:rPr>
                                <w:rFonts w:hint="eastAsia"/>
                                <w:sz w:val="21"/>
                                <w:szCs w:val="21"/>
                              </w:rPr>
                              <w:t>12</w:t>
                            </w:r>
                          </w:p>
                        </w:txbxContent>
                      </v:textbox>
                    </v:shape>
                  </w:pict>
                </mc:Fallback>
              </mc:AlternateContent>
            </w:r>
            <w:r>
              <w:rPr>
                <w:b/>
              </w:rPr>
              <mc:AlternateContent>
                <mc:Choice Requires="wps">
                  <w:drawing>
                    <wp:anchor distT="0" distB="0" distL="114300" distR="114300" simplePos="0" relativeHeight="251669504" behindDoc="0" locked="0" layoutInCell="1" allowOverlap="1">
                      <wp:simplePos x="0" y="0"/>
                      <wp:positionH relativeFrom="column">
                        <wp:posOffset>2081530</wp:posOffset>
                      </wp:positionH>
                      <wp:positionV relativeFrom="paragraph">
                        <wp:posOffset>1809750</wp:posOffset>
                      </wp:positionV>
                      <wp:extent cx="388620" cy="0"/>
                      <wp:effectExtent l="0" t="38100" r="11430" b="38100"/>
                      <wp:wrapNone/>
                      <wp:docPr id="50" name="自选图形 666"/>
                      <wp:cNvGraphicFramePr/>
                      <a:graphic xmlns:a="http://schemas.openxmlformats.org/drawingml/2006/main">
                        <a:graphicData uri="http://schemas.microsoft.com/office/word/2010/wordprocessingShape">
                          <wps:wsp>
                            <wps:cNvCnPr/>
                            <wps:spPr>
                              <a:xfrm>
                                <a:off x="0" y="0"/>
                                <a:ext cx="388620" cy="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666" o:spid="_x0000_s1026" o:spt="32" type="#_x0000_t32" style="position:absolute;left:0pt;margin-left:163.9pt;margin-top:142.5pt;height:0pt;width:30.6pt;z-index:251669504;mso-width-relative:page;mso-height-relative:page;" filled="f" stroked="t" coordsize="21600,21600" o:gfxdata="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02PnX9kAAAALAQAADwAAAAAAAAABACAAAAAiAAAAZHJzL2Rvd25y&#10;ZXYueG1sUEsBAhQAFAAAAAgAh07iQJ1oUnf9AQAA6QMAAA4AAAAAAAAAAQAgAAAAKAEAAGRycy9l&#10;Mm9Eb2MueG1sUEsFBgAAAAAGAAYAWQEAAJcFAAAAAA==&#10;">
                      <v:fill on="f" focussize="0,0"/>
                      <v:stroke color="#000000" joinstyle="round" endarrow="block"/>
                      <v:imagedata o:title=""/>
                      <o:lock v:ext="edit" aspectratio="f"/>
                    </v:shape>
                  </w:pict>
                </mc:Fallback>
              </mc:AlternateContent>
            </w:r>
            <w:r>
              <mc:AlternateContent>
                <mc:Choice Requires="wpg">
                  <w:drawing>
                    <wp:inline distT="0" distB="0" distL="114300" distR="114300">
                      <wp:extent cx="5250180" cy="2255520"/>
                      <wp:effectExtent l="0" t="0" r="0" b="0"/>
                      <wp:docPr id="180" name="组合 624"/>
                      <wp:cNvGraphicFramePr/>
                      <a:graphic xmlns:a="http://schemas.openxmlformats.org/drawingml/2006/main">
                        <a:graphicData uri="http://schemas.microsoft.com/office/word/2010/wordprocessingGroup">
                          <wpg:wgp>
                            <wpg:cNvGrpSpPr/>
                            <wpg:grpSpPr>
                              <a:xfrm>
                                <a:off x="0" y="0"/>
                                <a:ext cx="5249898" cy="2255783"/>
                                <a:chOff x="956" y="3116"/>
                                <a:chExt cx="10040" cy="3747"/>
                              </a:xfrm>
                            </wpg:grpSpPr>
                            <wps:wsp>
                              <wps:cNvPr id="39" name="自选图形 625"/>
                              <wps:cNvCnPr/>
                              <wps:spPr>
                                <a:xfrm rot="16200000">
                                  <a:off x="3479" y="3447"/>
                                  <a:ext cx="287" cy="272"/>
                                </a:xfrm>
                                <a:prstGeom prst="curvedConnector3">
                                  <a:avLst>
                                    <a:gd name="adj1" fmla="val 50000"/>
                                  </a:avLst>
                                </a:prstGeom>
                                <a:ln w="9525" cap="flat" cmpd="sng">
                                  <a:solidFill>
                                    <a:srgbClr val="000000"/>
                                  </a:solidFill>
                                  <a:prstDash val="solid"/>
                                  <a:headEnd type="none" w="med" len="med"/>
                                  <a:tailEnd type="triangle" w="med" len="med"/>
                                </a:ln>
                              </wps:spPr>
                              <wps:bodyPr/>
                            </wps:wsp>
                            <wpg:grpSp>
                              <wpg:cNvPr id="181" name="组合 627"/>
                              <wpg:cNvGrpSpPr/>
                              <wpg:grpSpPr>
                                <a:xfrm>
                                  <a:off x="956" y="3116"/>
                                  <a:ext cx="10040" cy="3747"/>
                                  <a:chOff x="956" y="3116"/>
                                  <a:chExt cx="10040" cy="3747"/>
                                </a:xfrm>
                              </wpg:grpSpPr>
                              <wpg:grpSp>
                                <wpg:cNvPr id="182" name="组合 628"/>
                                <wpg:cNvGrpSpPr/>
                                <wpg:grpSpPr>
                                  <a:xfrm>
                                    <a:off x="956" y="3116"/>
                                    <a:ext cx="10040" cy="3308"/>
                                    <a:chOff x="956" y="3116"/>
                                    <a:chExt cx="10040" cy="3308"/>
                                  </a:xfrm>
                                </wpg:grpSpPr>
                                <wps:wsp>
                                  <wps:cNvPr id="47" name="文本框 629"/>
                                  <wps:cNvSpPr txBox="1"/>
                                  <wps:spPr>
                                    <a:xfrm>
                                      <a:off x="2543" y="3540"/>
                                      <a:ext cx="663" cy="437"/>
                                    </a:xfrm>
                                    <a:prstGeom prst="rect">
                                      <a:avLst/>
                                    </a:prstGeom>
                                    <a:noFill/>
                                    <a:ln>
                                      <a:noFill/>
                                    </a:ln>
                                  </wps:spPr>
                                  <wps:txbx>
                                    <w:txbxContent>
                                      <w:p w14:paraId="50524160">
                                        <w:pPr>
                                          <w:ind w:firstLine="0" w:firstLineChars="0"/>
                                          <w:rPr>
                                            <w:sz w:val="21"/>
                                            <w:szCs w:val="21"/>
                                          </w:rPr>
                                        </w:pPr>
                                        <w:r>
                                          <w:rPr>
                                            <w:rFonts w:hint="eastAsia"/>
                                            <w:sz w:val="21"/>
                                            <w:szCs w:val="21"/>
                                          </w:rPr>
                                          <w:t>80</w:t>
                                        </w:r>
                                      </w:p>
                                    </w:txbxContent>
                                  </wps:txbx>
                                  <wps:bodyPr upright="1"/>
                                </wps:wsp>
                                <wpg:grpSp>
                                  <wpg:cNvPr id="183" name="组合 630"/>
                                  <wpg:cNvGrpSpPr/>
                                  <wpg:grpSpPr>
                                    <a:xfrm>
                                      <a:off x="956" y="3116"/>
                                      <a:ext cx="10040" cy="3308"/>
                                      <a:chOff x="956" y="3116"/>
                                      <a:chExt cx="10040" cy="3308"/>
                                    </a:xfrm>
                                  </wpg:grpSpPr>
                                  <wps:wsp>
                                    <wps:cNvPr id="54" name="文本框 631"/>
                                    <wps:cNvSpPr txBox="1"/>
                                    <wps:spPr>
                                      <a:xfrm>
                                        <a:off x="2865" y="3116"/>
                                        <a:ext cx="1315" cy="436"/>
                                      </a:xfrm>
                                      <a:prstGeom prst="rect">
                                        <a:avLst/>
                                      </a:prstGeom>
                                      <a:noFill/>
                                      <a:ln>
                                        <a:noFill/>
                                      </a:ln>
                                    </wps:spPr>
                                    <wps:txbx>
                                      <w:txbxContent>
                                        <w:p w14:paraId="17AE22B4">
                                          <w:pPr>
                                            <w:ind w:firstLine="0" w:firstLineChars="0"/>
                                            <w:rPr>
                                              <w:sz w:val="21"/>
                                              <w:szCs w:val="21"/>
                                            </w:rPr>
                                          </w:pPr>
                                          <w:r>
                                            <w:rPr>
                                              <w:rFonts w:hint="eastAsia"/>
                                              <w:sz w:val="21"/>
                                              <w:szCs w:val="21"/>
                                            </w:rPr>
                                            <w:t>损耗16</w:t>
                                          </w:r>
                                        </w:p>
                                      </w:txbxContent>
                                    </wps:txbx>
                                    <wps:bodyPr upright="1"/>
                                  </wps:wsp>
                                  <wpg:grpSp>
                                    <wpg:cNvPr id="184" name="组合 634"/>
                                    <wpg:cNvGrpSpPr/>
                                    <wpg:grpSpPr>
                                      <a:xfrm>
                                        <a:off x="956" y="3567"/>
                                        <a:ext cx="10040" cy="2857"/>
                                        <a:chOff x="956" y="3567"/>
                                        <a:chExt cx="10040" cy="2857"/>
                                      </a:xfrm>
                                    </wpg:grpSpPr>
                                    <wpg:grpSp>
                                      <wpg:cNvPr id="185" name="组合 635"/>
                                      <wpg:cNvGrpSpPr/>
                                      <wpg:grpSpPr>
                                        <a:xfrm>
                                          <a:off x="2835" y="5337"/>
                                          <a:ext cx="1264" cy="632"/>
                                          <a:chOff x="2835" y="5337"/>
                                          <a:chExt cx="1264" cy="632"/>
                                        </a:xfrm>
                                      </wpg:grpSpPr>
                                      <wps:wsp>
                                        <wps:cNvPr id="63" name="自选图形 636"/>
                                        <wps:cNvCnPr/>
                                        <wps:spPr>
                                          <a:xfrm rot="16200000">
                                            <a:off x="3438" y="5689"/>
                                            <a:ext cx="287" cy="273"/>
                                          </a:xfrm>
                                          <a:prstGeom prst="curvedConnector3">
                                            <a:avLst>
                                              <a:gd name="adj1" fmla="val 50000"/>
                                            </a:avLst>
                                          </a:prstGeom>
                                          <a:ln w="9525" cap="flat" cmpd="sng">
                                            <a:solidFill>
                                              <a:srgbClr val="000000"/>
                                            </a:solidFill>
                                            <a:prstDash val="solid"/>
                                            <a:headEnd type="none" w="med" len="med"/>
                                            <a:tailEnd type="triangle" w="med" len="med"/>
                                          </a:ln>
                                        </wps:spPr>
                                        <wps:bodyPr/>
                                      </wps:wsp>
                                      <wps:wsp>
                                        <wps:cNvPr id="64" name="文本框 637"/>
                                        <wps:cNvSpPr txBox="1"/>
                                        <wps:spPr>
                                          <a:xfrm>
                                            <a:off x="2835" y="5337"/>
                                            <a:ext cx="1264" cy="444"/>
                                          </a:xfrm>
                                          <a:prstGeom prst="rect">
                                            <a:avLst/>
                                          </a:prstGeom>
                                          <a:noFill/>
                                          <a:ln>
                                            <a:noFill/>
                                          </a:ln>
                                        </wps:spPr>
                                        <wps:txbx>
                                          <w:txbxContent>
                                            <w:p w14:paraId="09625F70">
                                              <w:pPr>
                                                <w:ind w:firstLine="0" w:firstLineChars="0"/>
                                                <w:rPr>
                                                  <w:sz w:val="21"/>
                                                  <w:szCs w:val="21"/>
                                                </w:rPr>
                                              </w:pPr>
                                              <w:r>
                                                <w:rPr>
                                                  <w:rFonts w:hint="eastAsia"/>
                                                  <w:sz w:val="21"/>
                                                  <w:szCs w:val="21"/>
                                                </w:rPr>
                                                <w:t>损耗92</w:t>
                                              </w:r>
                                            </w:p>
                                          </w:txbxContent>
                                        </wps:txbx>
                                        <wps:bodyPr upright="1"/>
                                      </wps:wsp>
                                    </wpg:grpSp>
                                    <wpg:grpSp>
                                      <wpg:cNvPr id="209" name="组合 638"/>
                                      <wpg:cNvGrpSpPr/>
                                      <wpg:grpSpPr>
                                        <a:xfrm>
                                          <a:off x="956" y="3567"/>
                                          <a:ext cx="10040" cy="2857"/>
                                          <a:chOff x="956" y="3567"/>
                                          <a:chExt cx="10040" cy="2857"/>
                                        </a:xfrm>
                                      </wpg:grpSpPr>
                                      <wpg:grpSp>
                                        <wpg:cNvPr id="210" name="组合 639"/>
                                        <wpg:cNvGrpSpPr/>
                                        <wpg:grpSpPr>
                                          <a:xfrm>
                                            <a:off x="956" y="3567"/>
                                            <a:ext cx="10040" cy="2659"/>
                                            <a:chOff x="956" y="3567"/>
                                            <a:chExt cx="10040" cy="2659"/>
                                          </a:xfrm>
                                        </wpg:grpSpPr>
                                        <wps:wsp>
                                          <wps:cNvPr id="93" name="自选图形 640"/>
                                          <wps:cNvCnPr/>
                                          <wps:spPr>
                                            <a:xfrm>
                                              <a:off x="1826" y="5020"/>
                                              <a:ext cx="828" cy="0"/>
                                            </a:xfrm>
                                            <a:prstGeom prst="straightConnector1">
                                              <a:avLst/>
                                            </a:prstGeom>
                                            <a:ln w="9525" cap="flat" cmpd="sng">
                                              <a:solidFill>
                                                <a:srgbClr val="000000"/>
                                              </a:solidFill>
                                              <a:prstDash val="solid"/>
                                              <a:headEnd type="none" w="med" len="med"/>
                                              <a:tailEnd type="triangle" w="med" len="med"/>
                                            </a:ln>
                                          </wps:spPr>
                                          <wps:bodyPr/>
                                        </wps:wsp>
                                        <wpg:grpSp>
                                          <wpg:cNvPr id="211" name="组合 641"/>
                                          <wpg:cNvGrpSpPr/>
                                          <wpg:grpSpPr>
                                            <a:xfrm>
                                              <a:off x="956" y="3567"/>
                                              <a:ext cx="10040" cy="2659"/>
                                              <a:chOff x="956" y="3567"/>
                                              <a:chExt cx="10040" cy="2659"/>
                                            </a:xfrm>
                                          </wpg:grpSpPr>
                                          <wps:wsp>
                                            <wps:cNvPr id="97" name="任意多边形 642"/>
                                            <wps:cNvSpPr/>
                                            <wps:spPr>
                                              <a:xfrm>
                                                <a:off x="2639" y="3913"/>
                                                <a:ext cx="679" cy="2313"/>
                                              </a:xfrm>
                                              <a:custGeom>
                                                <a:avLst/>
                                                <a:gdLst/>
                                                <a:ahLst/>
                                                <a:cxnLst/>
                                                <a:rect l="0" t="0" r="0" b="0"/>
                                                <a:pathLst>
                                                  <a:path w="529" h="3145">
                                                    <a:moveTo>
                                                      <a:pt x="529" y="0"/>
                                                    </a:moveTo>
                                                    <a:lnTo>
                                                      <a:pt x="0" y="0"/>
                                                    </a:lnTo>
                                                    <a:lnTo>
                                                      <a:pt x="0" y="3145"/>
                                                    </a:lnTo>
                                                    <a:lnTo>
                                                      <a:pt x="502" y="3145"/>
                                                    </a:lnTo>
                                                  </a:path>
                                                </a:pathLst>
                                              </a:custGeom>
                                              <a:noFill/>
                                              <a:ln w="9525" cap="flat" cmpd="sng">
                                                <a:solidFill>
                                                  <a:srgbClr val="000000"/>
                                                </a:solidFill>
                                                <a:prstDash val="solid"/>
                                                <a:headEnd type="triangle" w="med" len="med"/>
                                                <a:tailEnd type="triangle" w="med" len="med"/>
                                              </a:ln>
                                            </wps:spPr>
                                            <wps:bodyPr upright="1"/>
                                          </wps:wsp>
                                          <wps:wsp>
                                            <wps:cNvPr id="98" name="文本框 643"/>
                                            <wps:cNvSpPr txBox="1"/>
                                            <wps:spPr>
                                              <a:xfrm>
                                                <a:off x="1670" y="4558"/>
                                                <a:ext cx="1067" cy="438"/>
                                              </a:xfrm>
                                              <a:prstGeom prst="rect">
                                                <a:avLst/>
                                              </a:prstGeom>
                                              <a:noFill/>
                                              <a:ln>
                                                <a:noFill/>
                                              </a:ln>
                                            </wps:spPr>
                                            <wps:txbx>
                                              <w:txbxContent>
                                                <w:p w14:paraId="78D8580E">
                                                  <w:pPr>
                                                    <w:ind w:firstLine="0" w:firstLineChars="0"/>
                                                    <w:jc w:val="center"/>
                                                    <w:rPr>
                                                      <w:sz w:val="21"/>
                                                      <w:szCs w:val="21"/>
                                                    </w:rPr>
                                                  </w:pPr>
                                                  <w:r>
                                                    <w:rPr>
                                                      <w:rFonts w:hint="eastAsia"/>
                                                      <w:sz w:val="21"/>
                                                      <w:szCs w:val="21"/>
                                                    </w:rPr>
                                                    <w:t>274.24</w:t>
                                                  </w:r>
                                                </w:p>
                                              </w:txbxContent>
                                            </wps:txbx>
                                            <wps:bodyPr upright="1"/>
                                          </wps:wsp>
                                          <wps:wsp>
                                            <wps:cNvPr id="99" name="文本框 644"/>
                                            <wps:cNvSpPr txBox="1"/>
                                            <wps:spPr>
                                              <a:xfrm>
                                                <a:off x="956" y="4785"/>
                                                <a:ext cx="1159" cy="438"/>
                                              </a:xfrm>
                                              <a:prstGeom prst="rect">
                                                <a:avLst/>
                                              </a:prstGeom>
                                              <a:noFill/>
                                              <a:ln>
                                                <a:noFill/>
                                              </a:ln>
                                            </wps:spPr>
                                            <wps:txbx>
                                              <w:txbxContent>
                                                <w:p w14:paraId="25EE758A">
                                                  <w:pPr>
                                                    <w:ind w:firstLine="0" w:firstLineChars="0"/>
                                                    <w:rPr>
                                                      <w:sz w:val="21"/>
                                                      <w:szCs w:val="21"/>
                                                    </w:rPr>
                                                  </w:pPr>
                                                  <w:r>
                                                    <w:rPr>
                                                      <w:rFonts w:hint="eastAsia"/>
                                                      <w:sz w:val="21"/>
                                                      <w:szCs w:val="21"/>
                                                    </w:rPr>
                                                    <w:t>新鲜水</w:t>
                                                  </w:r>
                                                </w:p>
                                              </w:txbxContent>
                                            </wps:txbx>
                                            <wps:bodyPr upright="1"/>
                                          </wps:wsp>
                                          <wps:wsp>
                                            <wps:cNvPr id="101" name="文本框 645"/>
                                            <wps:cNvSpPr txBox="1"/>
                                            <wps:spPr>
                                              <a:xfrm>
                                                <a:off x="3320" y="3726"/>
                                                <a:ext cx="1409" cy="4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F2DE1DD">
                                                  <w:pPr>
                                                    <w:ind w:firstLine="0" w:firstLineChars="0"/>
                                                    <w:rPr>
                                                      <w:sz w:val="21"/>
                                                      <w:szCs w:val="21"/>
                                                    </w:rPr>
                                                  </w:pPr>
                                                  <w:r>
                                                    <w:rPr>
                                                      <w:rFonts w:hint="eastAsia"/>
                                                      <w:sz w:val="21"/>
                                                      <w:szCs w:val="21"/>
                                                    </w:rPr>
                                                    <w:t>生活用水</w:t>
                                                  </w:r>
                                                </w:p>
                                              </w:txbxContent>
                                            </wps:txbx>
                                            <wps:bodyPr upright="1"/>
                                          </wps:wsp>
                                          <wps:wsp>
                                            <wps:cNvPr id="102" name="文本框 646"/>
                                            <wps:cNvSpPr txBox="1"/>
                                            <wps:spPr>
                                              <a:xfrm>
                                                <a:off x="5389" y="3744"/>
                                                <a:ext cx="1165" cy="43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78D89F7">
                                                  <w:pPr>
                                                    <w:ind w:firstLine="0" w:firstLineChars="0"/>
                                                    <w:rPr>
                                                      <w:sz w:val="21"/>
                                                      <w:szCs w:val="21"/>
                                                    </w:rPr>
                                                  </w:pPr>
                                                  <w:r>
                                                    <w:rPr>
                                                      <w:rFonts w:hint="eastAsia"/>
                                                      <w:sz w:val="21"/>
                                                      <w:szCs w:val="21"/>
                                                    </w:rPr>
                                                    <w:t>化粪池</w:t>
                                                  </w:r>
                                                </w:p>
                                              </w:txbxContent>
                                            </wps:txbx>
                                            <wps:bodyPr upright="1"/>
                                          </wps:wsp>
                                          <wps:wsp>
                                            <wps:cNvPr id="104" name="文本框 647"/>
                                            <wps:cNvSpPr txBox="1"/>
                                            <wps:spPr>
                                              <a:xfrm>
                                                <a:off x="7246" y="3735"/>
                                                <a:ext cx="3750" cy="436"/>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B2000D6">
                                                  <w:pPr>
                                                    <w:ind w:firstLine="0" w:firstLineChars="0"/>
                                                    <w:jc w:val="center"/>
                                                    <w:rPr>
                                                      <w:sz w:val="21"/>
                                                      <w:szCs w:val="21"/>
                                                    </w:rPr>
                                                  </w:pPr>
                                                  <w:r>
                                                    <w:rPr>
                                                      <w:rFonts w:hint="eastAsia"/>
                                                      <w:sz w:val="21"/>
                                                      <w:szCs w:val="21"/>
                                                    </w:rPr>
                                                    <w:t>园洲镇第五污水处理厂</w:t>
                                                  </w:r>
                                                </w:p>
                                              </w:txbxContent>
                                            </wps:txbx>
                                            <wps:bodyPr upright="1"/>
                                          </wps:wsp>
                                          <wps:wsp>
                                            <wps:cNvPr id="121" name="文本框 648"/>
                                            <wps:cNvSpPr txBox="1"/>
                                            <wps:spPr>
                                              <a:xfrm>
                                                <a:off x="4687" y="3567"/>
                                                <a:ext cx="888" cy="437"/>
                                              </a:xfrm>
                                              <a:prstGeom prst="rect">
                                                <a:avLst/>
                                              </a:prstGeom>
                                              <a:noFill/>
                                              <a:ln>
                                                <a:noFill/>
                                              </a:ln>
                                            </wps:spPr>
                                            <wps:txbx>
                                              <w:txbxContent>
                                                <w:p w14:paraId="16C60D69">
                                                  <w:pPr>
                                                    <w:ind w:firstLine="0" w:firstLineChars="0"/>
                                                    <w:rPr>
                                                      <w:sz w:val="21"/>
                                                      <w:szCs w:val="21"/>
                                                    </w:rPr>
                                                  </w:pPr>
                                                  <w:r>
                                                    <w:rPr>
                                                      <w:rFonts w:hint="eastAsia"/>
                                                      <w:sz w:val="21"/>
                                                      <w:szCs w:val="21"/>
                                                    </w:rPr>
                                                    <w:t>64</w:t>
                                                  </w:r>
                                                </w:p>
                                              </w:txbxContent>
                                            </wps:txbx>
                                            <wps:bodyPr upright="1"/>
                                          </wps:wsp>
                                          <wps:wsp>
                                            <wps:cNvPr id="133" name="文本框 649"/>
                                            <wps:cNvSpPr txBox="1"/>
                                            <wps:spPr>
                                              <a:xfrm>
                                                <a:off x="6530" y="3576"/>
                                                <a:ext cx="780" cy="437"/>
                                              </a:xfrm>
                                              <a:prstGeom prst="rect">
                                                <a:avLst/>
                                              </a:prstGeom>
                                              <a:noFill/>
                                              <a:ln>
                                                <a:noFill/>
                                              </a:ln>
                                            </wps:spPr>
                                            <wps:txbx>
                                              <w:txbxContent>
                                                <w:p w14:paraId="37346E06">
                                                  <w:pPr>
                                                    <w:ind w:firstLine="0" w:firstLineChars="0"/>
                                                    <w:rPr>
                                                      <w:sz w:val="21"/>
                                                      <w:szCs w:val="21"/>
                                                    </w:rPr>
                                                  </w:pPr>
                                                  <w:r>
                                                    <w:rPr>
                                                      <w:rFonts w:hint="eastAsia"/>
                                                      <w:sz w:val="21"/>
                                                      <w:szCs w:val="21"/>
                                                    </w:rPr>
                                                    <w:t>64</w:t>
                                                  </w:r>
                                                </w:p>
                                              </w:txbxContent>
                                            </wps:txbx>
                                            <wps:bodyPr upright="1"/>
                                          </wps:wsp>
                                        </wpg:grpSp>
                                      </wpg:grpSp>
                                      <wps:wsp>
                                        <wps:cNvPr id="158" name="文本框 653"/>
                                        <wps:cNvSpPr txBox="1"/>
                                        <wps:spPr>
                                          <a:xfrm>
                                            <a:off x="3279" y="5971"/>
                                            <a:ext cx="1642" cy="45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D0CBF52">
                                              <w:pPr>
                                                <w:ind w:firstLine="0" w:firstLineChars="0"/>
                                                <w:jc w:val="center"/>
                                                <w:rPr>
                                                  <w:sz w:val="21"/>
                                                  <w:szCs w:val="21"/>
                                                </w:rPr>
                                              </w:pPr>
                                              <w:r>
                                                <w:rPr>
                                                  <w:rFonts w:hint="eastAsia"/>
                                                  <w:sz w:val="21"/>
                                                  <w:szCs w:val="21"/>
                                                </w:rPr>
                                                <w:t>喷淋用水</w:t>
                                              </w:r>
                                            </w:p>
                                          </w:txbxContent>
                                        </wps:txbx>
                                        <wps:bodyPr upright="1"/>
                                      </wps:wsp>
                                    </wpg:grpSp>
                                  </wpg:grpSp>
                                </wpg:grpSp>
                              </wpg:grpSp>
                              <wps:wsp>
                                <wps:cNvPr id="179" name="文本框 661"/>
                                <wps:cNvSpPr txBox="1"/>
                                <wps:spPr>
                                  <a:xfrm>
                                    <a:off x="4053" y="6462"/>
                                    <a:ext cx="2220" cy="401"/>
                                  </a:xfrm>
                                  <a:prstGeom prst="rect">
                                    <a:avLst/>
                                  </a:prstGeom>
                                  <a:noFill/>
                                  <a:ln>
                                    <a:noFill/>
                                  </a:ln>
                                </wps:spPr>
                                <wps:txbx>
                                  <w:txbxContent>
                                    <w:p w14:paraId="2805D623">
                                      <w:pPr>
                                        <w:ind w:firstLine="0" w:firstLineChars="0"/>
                                        <w:jc w:val="center"/>
                                        <w:rPr>
                                          <w:sz w:val="21"/>
                                          <w:szCs w:val="21"/>
                                        </w:rPr>
                                      </w:pPr>
                                      <w:r>
                                        <w:rPr>
                                          <w:rFonts w:hint="eastAsia"/>
                                          <w:sz w:val="21"/>
                                          <w:szCs w:val="21"/>
                                        </w:rPr>
                                        <w:t>循环水量11500</w:t>
                                      </w:r>
                                    </w:p>
                                  </w:txbxContent>
                                </wps:txbx>
                                <wps:bodyPr upright="1"/>
                              </wps:wsp>
                            </wpg:grpSp>
                          </wpg:wgp>
                        </a:graphicData>
                      </a:graphic>
                    </wp:inline>
                  </w:drawing>
                </mc:Choice>
                <mc:Fallback>
                  <w:pict>
                    <v:group id="组合 624" o:spid="_x0000_s1026" o:spt="203" style="height:177.6pt;width:413.4pt;" coordorigin="956,3116" coordsize="10040,3747" o:gfxdata="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">
                      <o:lock v:ext="edit" aspectratio="f"/>
                      <v:shape id="自选图形 625" o:spid="_x0000_s1026" o:spt="38" type="#_x0000_t38" style="position:absolute;left:3479;top:3447;height:272;width:287;rotation:-5898240f;" filled="f" stroked="t" coordsize="21600,21600" o:gfxdata="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5isZy/&#10;AAAA2wAAAA8AAAAAAAAAAQAgAAAAIgAAAGRycy9kb3ducmV2LnhtbFBLAQIUABQAAAAIAIdO4kAz&#10;LwWeOwAAADkAAAAQAAAAAAAAAAEAIAAAAA4BAABkcnMvc2hhcGV4bWwueG1sUEsFBgAAAAAGAAYA&#10;WwEAALgDAAAAAA==&#10;" adj="10800">
                        <v:fill on="f" focussize="0,0"/>
                        <v:stroke color="#000000" joinstyle="round" endarrow="block"/>
                        <v:imagedata o:title=""/>
                        <o:lock v:ext="edit" aspectratio="f"/>
                      </v:shape>
                      <v:group id="组合 627" o:spid="_x0000_s1026" o:spt="203" style="position:absolute;left:956;top:3116;height:3747;width:10040;" coordorigin="956,3116" coordsize="10040,3747" o:gfxdata="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jwU7EL0AAADcAAAADwAAAAAAAAABACAAAAAiAAAAZHJzL2Rvd25yZXYueG1s&#10;UEsBAhQAFAAAAAgAh07iQDMvBZ47AAAAOQAAABUAAAAAAAAAAQAgAAAADAEAAGRycy9ncm91cHNo&#10;YXBleG1sLnhtbFBLBQYAAAAABgAGAGABAADJAwAAAAA=&#10;">
                        <o:lock v:ext="edit" aspectratio="f"/>
                        <v:group id="组合 628" o:spid="_x0000_s1026" o:spt="203" style="position:absolute;left:956;top:3116;height:3308;width:10040;" coordorigin="956,3116" coordsize="10040,3308" o:gfxdata="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XpWe7AAAA3AAAAA8AAAAAAAAAAQAgAAAAIgAAAGRycy9kb3ducmV2LnhtbFBL&#10;AQIUABQAAAAIAIdO4kAzLwWeOwAAADkAAAAVAAAAAAAAAAEAIAAAAAoBAABkcnMvZ3JvdXBzaGFw&#10;ZXhtbC54bWxQSwUGAAAAAAYABgBgAQAAxwMAAAAA&#10;">
                          <o:lock v:ext="edit" aspectratio="f"/>
                          <v:shape id="文本框 629" o:spid="_x0000_s1026" o:spt="202" type="#_x0000_t202" style="position:absolute;left:2543;top:3540;height:437;width:663;" filled="f" stroked="f" coordsize="21600,21600" o:gfxdata="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pMZ+8AAAA&#10;2w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50524160">
                                  <w:pPr>
                                    <w:ind w:firstLine="0" w:firstLineChars="0"/>
                                    <w:rPr>
                                      <w:sz w:val="21"/>
                                      <w:szCs w:val="21"/>
                                    </w:rPr>
                                  </w:pPr>
                                  <w:r>
                                    <w:rPr>
                                      <w:rFonts w:hint="eastAsia"/>
                                      <w:sz w:val="21"/>
                                      <w:szCs w:val="21"/>
                                    </w:rPr>
                                    <w:t>80</w:t>
                                  </w:r>
                                </w:p>
                              </w:txbxContent>
                            </v:textbox>
                          </v:shape>
                          <v:group id="组合 630" o:spid="_x0000_s1026" o:spt="203" style="position:absolute;left:956;top:3116;height:3308;width:10040;" coordorigin="956,3116" coordsize="10040,3308" o:gfxdata="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EJsA/L0AAADcAAAADwAAAAAAAAABACAAAAAiAAAAZHJzL2Rvd25yZXYueG1s&#10;UEsBAhQAFAAAAAgAh07iQDMvBZ47AAAAOQAAABUAAAAAAAAAAQAgAAAADAEAAGRycy9ncm91cHNo&#10;YXBleG1sLnhtbFBLBQYAAAAABgAGAGABAADJAwAAAAA=&#10;">
                            <o:lock v:ext="edit" aspectratio="f"/>
                            <v:shape id="文本框 631" o:spid="_x0000_s1026" o:spt="202" type="#_x0000_t202" style="position:absolute;left:2865;top:3116;height:436;width:1315;" filled="f" stroked="f" coordsize="21600,21600" o:gfxdata="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q4jk1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17AE22B4">
                                    <w:pPr>
                                      <w:ind w:firstLine="0" w:firstLineChars="0"/>
                                      <w:rPr>
                                        <w:sz w:val="21"/>
                                        <w:szCs w:val="21"/>
                                      </w:rPr>
                                    </w:pPr>
                                    <w:r>
                                      <w:rPr>
                                        <w:rFonts w:hint="eastAsia"/>
                                        <w:sz w:val="21"/>
                                        <w:szCs w:val="21"/>
                                      </w:rPr>
                                      <w:t>损耗16</w:t>
                                    </w:r>
                                  </w:p>
                                </w:txbxContent>
                              </v:textbox>
                            </v:shape>
                            <v:group id="组合 634" o:spid="_x0000_s1026" o:spt="203" style="position:absolute;left:956;top:3567;height:2857;width:10040;" coordorigin="956,3567" coordsize="10040,2857" o:gfxdata="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CfcpiIvAAAANwAAAAPAAAAAAAAAAEAIAAAACIAAABkcnMvZG93bnJldi54bWxQ&#10;SwECFAAUAAAACACHTuJAMy8FnjsAAAA5AAAAFQAAAAAAAAABACAAAAALAQAAZHJzL2dyb3Vwc2hh&#10;cGV4bWwueG1sUEsFBgAAAAAGAAYAYAEAAMgDAAAAAA==&#10;">
                              <o:lock v:ext="edit" aspectratio="f"/>
                              <v:group id="组合 635" o:spid="_x0000_s1026" o:spt="203" style="position:absolute;left:2835;top:5337;height:632;width:1264;" coordorigin="2835,5337" coordsize="1264,632" o:gfxdata="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8D49E70AAADcAAAADwAAAAAAAAABACAAAAAiAAAAZHJzL2Rvd25yZXYueG1s&#10;UEsBAhQAFAAAAAgAh07iQDMvBZ47AAAAOQAAABUAAAAAAAAAAQAgAAAADAEAAGRycy9ncm91cHNo&#10;YXBleG1sLnhtbFBLBQYAAAAABgAGAGABAADJAwAAAAA=&#10;">
                                <o:lock v:ext="edit" aspectratio="f"/>
                                <v:shape id="自选图形 636" o:spid="_x0000_s1026" o:spt="38" type="#_x0000_t38" style="position:absolute;left:3438;top:5689;height:273;width:287;rotation:-5898240f;" filled="f" stroked="t" coordsize="21600,21600" o:gfxdata="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OalrvQAA&#10;ANsAAAAPAAAAAAAAAAEAIAAAACIAAABkcnMvZG93bnJldi54bWxQSwECFAAUAAAACACHTuJAMy8F&#10;njsAAAA5AAAAEAAAAAAAAAABACAAAAAMAQAAZHJzL3NoYXBleG1sLnhtbFBLBQYAAAAABgAGAFsB&#10;AAC2AwAAAAA=&#10;" adj="10800">
                                  <v:fill on="f" focussize="0,0"/>
                                  <v:stroke color="#000000" joinstyle="round" endarrow="block"/>
                                  <v:imagedata o:title=""/>
                                  <o:lock v:ext="edit" aspectratio="f"/>
                                </v:shape>
                                <v:shape id="文本框 637" o:spid="_x0000_s1026" o:spt="202" type="#_x0000_t202" style="position:absolute;left:2835;top:5337;height:444;width:1264;" filled="f" stroked="f" coordsize="21600,21600" o:gfxdata="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jvOI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09625F70">
                                        <w:pPr>
                                          <w:ind w:firstLine="0" w:firstLineChars="0"/>
                                          <w:rPr>
                                            <w:sz w:val="21"/>
                                            <w:szCs w:val="21"/>
                                          </w:rPr>
                                        </w:pPr>
                                        <w:r>
                                          <w:rPr>
                                            <w:rFonts w:hint="eastAsia"/>
                                            <w:sz w:val="21"/>
                                            <w:szCs w:val="21"/>
                                          </w:rPr>
                                          <w:t>损耗92</w:t>
                                        </w:r>
                                      </w:p>
                                    </w:txbxContent>
                                  </v:textbox>
                                </v:shape>
                              </v:group>
                              <v:group id="组合 638" o:spid="_x0000_s1026" o:spt="203" style="position:absolute;left:956;top:3567;height:2857;width:10040;" coordorigin="956,3567" coordsize="10040,2857" o:gfxdata="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DHhVUwvwAAANwAAAAPAAAAAAAAAAEAIAAAACIAAABkcnMvZG93bnJldi54&#10;bWxQSwECFAAUAAAACACHTuJAMy8FnjsAAAA5AAAAFQAAAAAAAAABACAAAAAOAQAAZHJzL2dyb3Vw&#10;c2hhcGV4bWwueG1sUEsFBgAAAAAGAAYAYAEAAMsDAAAAAA==&#10;">
                                <o:lock v:ext="edit" aspectratio="f"/>
                                <v:group id="组合 639" o:spid="_x0000_s1026" o:spt="203" style="position:absolute;left:956;top:3567;height:2659;width:10040;" coordorigin="956,3567" coordsize="10040,2659" o:gfxdata="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TZmpwvAAAANwAAAAPAAAAAAAAAAEAIAAAACIAAABkcnMvZG93bnJldi54bWxQ&#10;SwECFAAUAAAACACHTuJAMy8FnjsAAAA5AAAAFQAAAAAAAAABACAAAAALAQAAZHJzL2dyb3Vwc2hh&#10;cGV4bWwueG1sUEsFBgAAAAAGAAYAYAEAAMgDAAAAAA==&#10;">
                                  <o:lock v:ext="edit" aspectratio="f"/>
                                  <v:shape id="自选图形 640" o:spid="_x0000_s1026" o:spt="32" type="#_x0000_t32" style="position:absolute;left:1826;top:5020;height:0;width:828;" filled="f" stroked="t" coordsize="21600,21600" o:gfxdata="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o101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group id="组合 641" o:spid="_x0000_s1026" o:spt="203" style="position:absolute;left:956;top:3567;height:2659;width:10040;" coordorigin="956,3567" coordsize="10040,2659" o:gfxdata="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8Ks/rvwAAANwAAAAPAAAAAAAAAAEAIAAAACIAAABkcnMvZG93bnJldi54&#10;bWxQSwECFAAUAAAACACHTuJAMy8FnjsAAAA5AAAAFQAAAAAAAAABACAAAAAOAQAAZHJzL2dyb3Vw&#10;c2hhcGV4bWwueG1sUEsFBgAAAAAGAAYAYAEAAMsDAAAAAA==&#10;">
                                    <o:lock v:ext="edit" aspectratio="f"/>
                                    <v:shape id="任意多边形 642" o:spid="_x0000_s1026" o:spt="100" style="position:absolute;left:2639;top:3913;height:2313;width:679;" filled="f" stroked="t" coordsize="529,3145" o:gfxdata="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0J55r4A&#10;AADbAAAADwAAAAAAAAABACAAAAAiAAAAZHJzL2Rvd25yZXYueG1sUEsBAhQAFAAAAAgAh07iQDMv&#10;BZ47AAAAOQAAABAAAAAAAAAAAQAgAAAADQEAAGRycy9zaGFwZXhtbC54bWxQSwUGAAAAAAYABgBb&#10;AQAAtwMAAAAA&#10;" path="m529,0l0,0,0,3145,502,3145e">
                                      <v:fill on="f" focussize="0,0"/>
                                      <v:stroke color="#000000" joinstyle="round" startarrow="block" endarrow="block"/>
                                      <v:imagedata o:title=""/>
                                      <o:lock v:ext="edit" aspectratio="f"/>
                                    </v:shape>
                                    <v:shape id="文本框 643" o:spid="_x0000_s1026" o:spt="202" type="#_x0000_t202" style="position:absolute;left:1670;top:4558;height:438;width:1067;" filled="f" stroked="f" coordsize="21600,21600" o:gfxdata="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0BaJqr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14:paraId="78D8580E">
                                            <w:pPr>
                                              <w:ind w:firstLine="0" w:firstLineChars="0"/>
                                              <w:jc w:val="center"/>
                                              <w:rPr>
                                                <w:sz w:val="21"/>
                                                <w:szCs w:val="21"/>
                                              </w:rPr>
                                            </w:pPr>
                                            <w:r>
                                              <w:rPr>
                                                <w:rFonts w:hint="eastAsia"/>
                                                <w:sz w:val="21"/>
                                                <w:szCs w:val="21"/>
                                              </w:rPr>
                                              <w:t>274.24</w:t>
                                            </w:r>
                                          </w:p>
                                        </w:txbxContent>
                                      </v:textbox>
                                    </v:shape>
                                    <v:shape id="文本框 644" o:spid="_x0000_s1026" o:spt="202" type="#_x0000_t202" style="position:absolute;left:956;top:4785;height:438;width:1159;" filled="f" stroked="f" coordsize="21600,21600" o:gfxdata="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iwx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25EE758A">
                                            <w:pPr>
                                              <w:ind w:firstLine="0" w:firstLineChars="0"/>
                                              <w:rPr>
                                                <w:sz w:val="21"/>
                                                <w:szCs w:val="21"/>
                                              </w:rPr>
                                            </w:pPr>
                                            <w:r>
                                              <w:rPr>
                                                <w:rFonts w:hint="eastAsia"/>
                                                <w:sz w:val="21"/>
                                                <w:szCs w:val="21"/>
                                              </w:rPr>
                                              <w:t>新鲜水</w:t>
                                            </w:r>
                                          </w:p>
                                        </w:txbxContent>
                                      </v:textbox>
                                    </v:shape>
                                    <v:shape id="文本框 645" o:spid="_x0000_s1026" o:spt="202" type="#_x0000_t202" style="position:absolute;left:3320;top:3726;height:435;width:1409;" fillcolor="#FFFFFF" filled="t" stroked="t" coordsize="21600,21600" o:gfxdata="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wp4w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14:paraId="3F2DE1DD">
                                            <w:pPr>
                                              <w:ind w:firstLine="0" w:firstLineChars="0"/>
                                              <w:rPr>
                                                <w:sz w:val="21"/>
                                                <w:szCs w:val="21"/>
                                              </w:rPr>
                                            </w:pPr>
                                            <w:r>
                                              <w:rPr>
                                                <w:rFonts w:hint="eastAsia"/>
                                                <w:sz w:val="21"/>
                                                <w:szCs w:val="21"/>
                                              </w:rPr>
                                              <w:t>生活用水</w:t>
                                            </w:r>
                                          </w:p>
                                        </w:txbxContent>
                                      </v:textbox>
                                    </v:shape>
                                    <v:shape id="文本框 646" o:spid="_x0000_s1026" o:spt="202" type="#_x0000_t202" style="position:absolute;left:5389;top:3744;height:436;width:1165;" fillcolor="#FFFFFF" filled="t" stroked="t" coordsize="21600,21600" o:gfxdata="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AQAEe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378D89F7">
                                            <w:pPr>
                                              <w:ind w:firstLine="0" w:firstLineChars="0"/>
                                              <w:rPr>
                                                <w:sz w:val="21"/>
                                                <w:szCs w:val="21"/>
                                              </w:rPr>
                                            </w:pPr>
                                            <w:r>
                                              <w:rPr>
                                                <w:rFonts w:hint="eastAsia"/>
                                                <w:sz w:val="21"/>
                                                <w:szCs w:val="21"/>
                                              </w:rPr>
                                              <w:t>化粪池</w:t>
                                            </w:r>
                                          </w:p>
                                        </w:txbxContent>
                                      </v:textbox>
                                    </v:shape>
                                    <v:shape id="文本框 647" o:spid="_x0000_s1026" o:spt="202" type="#_x0000_t202" style="position:absolute;left:7246;top:3735;height:436;width:3750;" fillcolor="#FFFFFF" filled="t" stroked="t" coordsize="21600,21600" o:gfxdata="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C1Pai8AAAA&#10;3AAAAA8AAAAAAAAAAQAgAAAAIgAAAGRycy9kb3ducmV2LnhtbFBLAQIUABQAAAAIAIdO4kAzLwWe&#10;OwAAADkAAAAQAAAAAAAAAAEAIAAAAAsBAABkcnMvc2hhcGV4bWwueG1sUEsFBgAAAAAGAAYAWwEA&#10;ALUDAAAAAA==&#10;">
                                      <v:fill on="t" focussize="0,0"/>
                                      <v:stroke color="#000000" joinstyle="miter"/>
                                      <v:imagedata o:title=""/>
                                      <o:lock v:ext="edit" aspectratio="f"/>
                                      <v:textbox>
                                        <w:txbxContent>
                                          <w:p w14:paraId="6B2000D6">
                                            <w:pPr>
                                              <w:ind w:firstLine="0" w:firstLineChars="0"/>
                                              <w:jc w:val="center"/>
                                              <w:rPr>
                                                <w:sz w:val="21"/>
                                                <w:szCs w:val="21"/>
                                              </w:rPr>
                                            </w:pPr>
                                            <w:r>
                                              <w:rPr>
                                                <w:rFonts w:hint="eastAsia"/>
                                                <w:sz w:val="21"/>
                                                <w:szCs w:val="21"/>
                                              </w:rPr>
                                              <w:t>园洲镇第五污水处理厂</w:t>
                                            </w:r>
                                          </w:p>
                                        </w:txbxContent>
                                      </v:textbox>
                                    </v:shape>
                                    <v:shape id="文本框 648" o:spid="_x0000_s1026" o:spt="202" type="#_x0000_t202" style="position:absolute;left:4687;top:3567;height:437;width:888;" filled="f" stroked="f" coordsize="21600,21600" o:gfxdata="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734Za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14:paraId="16C60D69">
                                            <w:pPr>
                                              <w:ind w:firstLine="0" w:firstLineChars="0"/>
                                              <w:rPr>
                                                <w:sz w:val="21"/>
                                                <w:szCs w:val="21"/>
                                              </w:rPr>
                                            </w:pPr>
                                            <w:r>
                                              <w:rPr>
                                                <w:rFonts w:hint="eastAsia"/>
                                                <w:sz w:val="21"/>
                                                <w:szCs w:val="21"/>
                                              </w:rPr>
                                              <w:t>64</w:t>
                                            </w:r>
                                          </w:p>
                                        </w:txbxContent>
                                      </v:textbox>
                                    </v:shape>
                                    <v:shape id="文本框 649" o:spid="_x0000_s1026" o:spt="202" type="#_x0000_t202" style="position:absolute;left:6530;top:3576;height:437;width:780;" filled="f" stroked="f" coordsize="21600,21600" o:gfxdata="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SwTKe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37346E06">
                                            <w:pPr>
                                              <w:ind w:firstLine="0" w:firstLineChars="0"/>
                                              <w:rPr>
                                                <w:sz w:val="21"/>
                                                <w:szCs w:val="21"/>
                                              </w:rPr>
                                            </w:pPr>
                                            <w:r>
                                              <w:rPr>
                                                <w:rFonts w:hint="eastAsia"/>
                                                <w:sz w:val="21"/>
                                                <w:szCs w:val="21"/>
                                              </w:rPr>
                                              <w:t>64</w:t>
                                            </w:r>
                                          </w:p>
                                        </w:txbxContent>
                                      </v:textbox>
                                    </v:shape>
                                  </v:group>
                                </v:group>
                                <v:shape id="文本框 653" o:spid="_x0000_s1026" o:spt="202" type="#_x0000_t202" style="position:absolute;left:3279;top:5971;height:453;width:1642;" fillcolor="#FFFFFF" filled="t" stroked="t" coordsize="21600,21600" o:gfxdata="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CSxiw&#10;wAAAANwAAAAPAAAAAAAAAAEAIAAAACIAAABkcnMvZG93bnJldi54bWxQSwECFAAUAAAACACHTuJA&#10;My8FnjsAAAA5AAAAEAAAAAAAAAABACAAAAAPAQAAZHJzL3NoYXBleG1sLnhtbFBLBQYAAAAABgAG&#10;AFsBAAC5AwAAAAA=&#10;">
                                  <v:fill on="t" focussize="0,0"/>
                                  <v:stroke color="#000000" joinstyle="miter"/>
                                  <v:imagedata o:title=""/>
                                  <o:lock v:ext="edit" aspectratio="f"/>
                                  <v:textbox>
                                    <w:txbxContent>
                                      <w:p w14:paraId="7D0CBF52">
                                        <w:pPr>
                                          <w:ind w:firstLine="0" w:firstLineChars="0"/>
                                          <w:jc w:val="center"/>
                                          <w:rPr>
                                            <w:sz w:val="21"/>
                                            <w:szCs w:val="21"/>
                                          </w:rPr>
                                        </w:pPr>
                                        <w:r>
                                          <w:rPr>
                                            <w:rFonts w:hint="eastAsia"/>
                                            <w:sz w:val="21"/>
                                            <w:szCs w:val="21"/>
                                          </w:rPr>
                                          <w:t>喷淋用水</w:t>
                                        </w:r>
                                      </w:p>
                                    </w:txbxContent>
                                  </v:textbox>
                                </v:shape>
                              </v:group>
                            </v:group>
                          </v:group>
                        </v:group>
                        <v:shape id="文本框 661" o:spid="_x0000_s1026" o:spt="202" type="#_x0000_t202" style="position:absolute;left:4053;top:6462;height:401;width:2220;" filled="f" stroked="f" coordsize="21600,21600" o:gfxdata="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MsKNugAAANwA&#10;AAAPAAAAAAAAAAEAIAAAACIAAABkcnMvZG93bnJldi54bWxQSwECFAAUAAAACACHTuJAMy8FnjsA&#10;AAA5AAAAEAAAAAAAAAABACAAAAAJAQAAZHJzL3NoYXBleG1sLnhtbFBLBQYAAAAABgAGAFsBAACz&#10;AwAAAAA=&#10;">
                          <v:fill on="f" focussize="0,0"/>
                          <v:stroke on="f"/>
                          <v:imagedata o:title=""/>
                          <o:lock v:ext="edit" aspectratio="f"/>
                          <v:textbox>
                            <w:txbxContent>
                              <w:p w14:paraId="2805D623">
                                <w:pPr>
                                  <w:ind w:firstLine="0" w:firstLineChars="0"/>
                                  <w:jc w:val="center"/>
                                  <w:rPr>
                                    <w:sz w:val="21"/>
                                    <w:szCs w:val="21"/>
                                  </w:rPr>
                                </w:pPr>
                                <w:r>
                                  <w:rPr>
                                    <w:rFonts w:hint="eastAsia"/>
                                    <w:sz w:val="21"/>
                                    <w:szCs w:val="21"/>
                                  </w:rPr>
                                  <w:t>循环水量11500</w:t>
                                </w:r>
                              </w:p>
                            </w:txbxContent>
                          </v:textbox>
                        </v:shape>
                      </v:group>
                      <w10:wrap type="none"/>
                      <w10:anchorlock/>
                    </v:group>
                  </w:pict>
                </mc:Fallback>
              </mc:AlternateContent>
            </w:r>
            <w:r>
              <mc:AlternateContent>
                <mc:Choice Requires="wps">
                  <w:drawing>
                    <wp:anchor distT="0" distB="0" distL="114300" distR="114300" simplePos="0" relativeHeight="251664384" behindDoc="0" locked="0" layoutInCell="1" allowOverlap="1">
                      <wp:simplePos x="0" y="0"/>
                      <wp:positionH relativeFrom="column">
                        <wp:posOffset>972185</wp:posOffset>
                      </wp:positionH>
                      <wp:positionV relativeFrom="paragraph">
                        <wp:posOffset>632460</wp:posOffset>
                      </wp:positionV>
                      <wp:extent cx="713105" cy="242570"/>
                      <wp:effectExtent l="0" t="0" r="0" b="0"/>
                      <wp:wrapNone/>
                      <wp:docPr id="19" name="文本框 637"/>
                      <wp:cNvGraphicFramePr/>
                      <a:graphic xmlns:a="http://schemas.openxmlformats.org/drawingml/2006/main">
                        <a:graphicData uri="http://schemas.microsoft.com/office/word/2010/wordprocessingShape">
                          <wps:wsp>
                            <wps:cNvSpPr txBox="1"/>
                            <wps:spPr>
                              <a:xfrm>
                                <a:off x="0" y="0"/>
                                <a:ext cx="713105" cy="242570"/>
                              </a:xfrm>
                              <a:prstGeom prst="rect">
                                <a:avLst/>
                              </a:prstGeom>
                              <a:noFill/>
                              <a:ln>
                                <a:noFill/>
                              </a:ln>
                            </wps:spPr>
                            <wps:txbx>
                              <w:txbxContent>
                                <w:p w14:paraId="6CB73F9B">
                                  <w:pPr>
                                    <w:ind w:firstLine="0" w:firstLineChars="0"/>
                                    <w:rPr>
                                      <w:sz w:val="21"/>
                                      <w:szCs w:val="21"/>
                                    </w:rPr>
                                  </w:pPr>
                                  <w:r>
                                    <w:rPr>
                                      <w:rFonts w:hint="eastAsia"/>
                                      <w:sz w:val="21"/>
                                      <w:szCs w:val="21"/>
                                    </w:rPr>
                                    <w:t>损耗80</w:t>
                                  </w:r>
                                </w:p>
                              </w:txbxContent>
                            </wps:txbx>
                            <wps:bodyPr upright="1"/>
                          </wps:wsp>
                        </a:graphicData>
                      </a:graphic>
                    </wp:anchor>
                  </w:drawing>
                </mc:Choice>
                <mc:Fallback>
                  <w:pict>
                    <v:shape id="文本框 637" o:spid="_x0000_s1026" o:spt="202" type="#_x0000_t202" style="position:absolute;left:0pt;margin-left:76.55pt;margin-top:49.8pt;height:19.1pt;width:56.15pt;z-index:251664384;mso-width-relative:page;mso-height-relative:page;" filled="f" stroked="f" coordsize="21600,21600" o:gfxdata="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A08Cm0&#10;1wAAAAoBAAAPAAAAAAAAAAEAIAAAACIAAABkcnMvZG93bnJldi54bWxQSwECFAAUAAAACACHTuJA&#10;qpaT2bABAABQAwAADgAAAAAAAAABACAAAAAmAQAAZHJzL2Uyb0RvYy54bWxQSwUGAAAAAAYABgBZ&#10;AQAASAUAAAAA&#10;">
                      <v:fill on="f" focussize="0,0"/>
                      <v:stroke on="f"/>
                      <v:imagedata o:title=""/>
                      <o:lock v:ext="edit" aspectratio="f"/>
                      <v:textbox>
                        <w:txbxContent>
                          <w:p w14:paraId="6CB73F9B">
                            <w:pPr>
                              <w:ind w:firstLine="0" w:firstLineChars="0"/>
                              <w:rPr>
                                <w:sz w:val="21"/>
                                <w:szCs w:val="21"/>
                              </w:rPr>
                            </w:pPr>
                            <w:r>
                              <w:rPr>
                                <w:rFonts w:hint="eastAsia"/>
                                <w:sz w:val="21"/>
                                <w:szCs w:val="21"/>
                              </w:rPr>
                              <w:t>损耗80</w:t>
                            </w:r>
                          </w:p>
                        </w:txbxContent>
                      </v:textbox>
                    </v:shape>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1524000</wp:posOffset>
                      </wp:positionH>
                      <wp:positionV relativeFrom="paragraph">
                        <wp:posOffset>1303655</wp:posOffset>
                      </wp:positionV>
                      <wp:extent cx="1016000" cy="241300"/>
                      <wp:effectExtent l="0" t="0" r="0" b="0"/>
                      <wp:wrapNone/>
                      <wp:docPr id="9" name="文本框 661"/>
                      <wp:cNvGraphicFramePr/>
                      <a:graphic xmlns:a="http://schemas.openxmlformats.org/drawingml/2006/main">
                        <a:graphicData uri="http://schemas.microsoft.com/office/word/2010/wordprocessingShape">
                          <wps:wsp>
                            <wps:cNvSpPr txBox="1"/>
                            <wps:spPr>
                              <a:xfrm>
                                <a:off x="0" y="0"/>
                                <a:ext cx="1016000" cy="241429"/>
                              </a:xfrm>
                              <a:prstGeom prst="rect">
                                <a:avLst/>
                              </a:prstGeom>
                              <a:noFill/>
                              <a:ln>
                                <a:noFill/>
                              </a:ln>
                            </wps:spPr>
                            <wps:txbx>
                              <w:txbxContent>
                                <w:p w14:paraId="79A2648A">
                                  <w:pPr>
                                    <w:ind w:firstLine="0" w:firstLineChars="0"/>
                                    <w:jc w:val="center"/>
                                    <w:rPr>
                                      <w:sz w:val="21"/>
                                      <w:szCs w:val="21"/>
                                    </w:rPr>
                                  </w:pPr>
                                  <w:r>
                                    <w:rPr>
                                      <w:rFonts w:hint="eastAsia"/>
                                      <w:sz w:val="21"/>
                                      <w:szCs w:val="21"/>
                                    </w:rPr>
                                    <w:t>循环水量4000</w:t>
                                  </w:r>
                                </w:p>
                              </w:txbxContent>
                            </wps:txbx>
                            <wps:bodyPr upright="1"/>
                          </wps:wsp>
                        </a:graphicData>
                      </a:graphic>
                    </wp:anchor>
                  </w:drawing>
                </mc:Choice>
                <mc:Fallback>
                  <w:pict>
                    <v:shape id="文本框 661" o:spid="_x0000_s1026" o:spt="202" type="#_x0000_t202" style="position:absolute;left:0pt;margin-left:120pt;margin-top:102.65pt;height:19pt;width:80pt;z-index:251665408;mso-width-relative:page;mso-height-relative:page;" filled="f" stroked="f" coordsize="21600,21600" o:gfxdata="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7j8kG1AAAAAsB&#10;AAAPAAAAAAAAAAEAIAAAACIAAABkcnMvZG93bnJldi54bWxQSwECFAAUAAAACACHTuJA66jav60B&#10;AABQAwAADgAAAAAAAAABACAAAAAjAQAAZHJzL2Uyb0RvYy54bWxQSwUGAAAAAAYABgBZAQAAQgUA&#10;AAAA&#10;">
                      <v:fill on="f" focussize="0,0"/>
                      <v:stroke on="f"/>
                      <v:imagedata o:title=""/>
                      <o:lock v:ext="edit" aspectratio="f"/>
                      <v:textbox>
                        <w:txbxContent>
                          <w:p w14:paraId="79A2648A">
                            <w:pPr>
                              <w:ind w:firstLine="0" w:firstLineChars="0"/>
                              <w:jc w:val="center"/>
                              <w:rPr>
                                <w:sz w:val="21"/>
                                <w:szCs w:val="21"/>
                              </w:rPr>
                            </w:pPr>
                            <w:r>
                              <w:rPr>
                                <w:rFonts w:hint="eastAsia"/>
                                <w:sz w:val="21"/>
                                <w:szCs w:val="21"/>
                              </w:rPr>
                              <w:t>循环水量4000</w:t>
                            </w:r>
                          </w:p>
                        </w:txbxContent>
                      </v:textbox>
                    </v:shape>
                  </w:pict>
                </mc:Fallback>
              </mc:AlternateContent>
            </w:r>
            <w:r>
              <mc:AlternateContent>
                <mc:Choice Requires="wps">
                  <w:drawing>
                    <wp:anchor distT="0" distB="0" distL="114300" distR="114300" simplePos="0" relativeHeight="251687936" behindDoc="0" locked="0" layoutInCell="1" allowOverlap="1">
                      <wp:simplePos x="0" y="0"/>
                      <wp:positionH relativeFrom="column">
                        <wp:posOffset>2931795</wp:posOffset>
                      </wp:positionH>
                      <wp:positionV relativeFrom="paragraph">
                        <wp:posOffset>500380</wp:posOffset>
                      </wp:positionV>
                      <wp:extent cx="353695" cy="10160"/>
                      <wp:effectExtent l="0" t="36195" r="8255" b="29845"/>
                      <wp:wrapNone/>
                      <wp:docPr id="249" name="自选图形 665"/>
                      <wp:cNvGraphicFramePr/>
                      <a:graphic xmlns:a="http://schemas.openxmlformats.org/drawingml/2006/main">
                        <a:graphicData uri="http://schemas.microsoft.com/office/word/2010/wordprocessingShape">
                          <wps:wsp>
                            <wps:cNvCnPr/>
                            <wps:spPr>
                              <a:xfrm flipV="1">
                                <a:off x="0" y="0"/>
                                <a:ext cx="353695" cy="101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665" o:spid="_x0000_s1026" o:spt="32" type="#_x0000_t32" style="position:absolute;left:0pt;flip:y;margin-left:230.85pt;margin-top:39.4pt;height:0.8pt;width:27.85pt;z-index:251687936;mso-width-relative:page;mso-height-relative:page;" filled="f" stroked="t" coordsize="21600,21600" o:gfxdata="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DRN3J92QAAAAkBAAAPAAAAAAAAAAEAIAAA&#10;ACIAAABkcnMvZG93bnJldi54bWxQSwECFAAUAAAACACHTuJAzCMqIAsCAAD4AwAADgAAAAAAAAAB&#10;ACAAAAAoAQAAZHJzL2Uyb0RvYy54bWxQSwUGAAAAAAYABgBZAQAApQU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60288" behindDoc="0" locked="0" layoutInCell="1" allowOverlap="1">
                      <wp:simplePos x="0" y="0"/>
                      <wp:positionH relativeFrom="column">
                        <wp:posOffset>1969770</wp:posOffset>
                      </wp:positionH>
                      <wp:positionV relativeFrom="paragraph">
                        <wp:posOffset>490855</wp:posOffset>
                      </wp:positionV>
                      <wp:extent cx="353695" cy="10160"/>
                      <wp:effectExtent l="0" t="36195" r="8255" b="29845"/>
                      <wp:wrapNone/>
                      <wp:docPr id="35" name="自选图形 665"/>
                      <wp:cNvGraphicFramePr/>
                      <a:graphic xmlns:a="http://schemas.openxmlformats.org/drawingml/2006/main">
                        <a:graphicData uri="http://schemas.microsoft.com/office/word/2010/wordprocessingShape">
                          <wps:wsp>
                            <wps:cNvCnPr/>
                            <wps:spPr>
                              <a:xfrm flipV="1">
                                <a:off x="0" y="0"/>
                                <a:ext cx="353695" cy="1016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665" o:spid="_x0000_s1026" o:spt="32" type="#_x0000_t32" style="position:absolute;left:0pt;flip:y;margin-left:155.1pt;margin-top:38.65pt;height:0.8pt;width:27.85pt;z-index:251660288;mso-width-relative:page;mso-height-relative:page;" filled="f" stroked="t" coordsize="21600,21600" o:gfxdata="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F7sTpLaAAAACQEAAA8AAAAAAAAAAQAgAAAA&#10;IgAAAGRycy9kb3ducmV2LnhtbFBLAQIUABQAAAAIAIdO4kAGTIBLCQIAAPcDAAAOAAAAAAAAAAEA&#10;IAAAACkBAABkcnMvZTJvRG9jLnhtbFBLBQYAAAAABgAGAFkBAACk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62336" behindDoc="0" locked="0" layoutInCell="1" allowOverlap="1">
                      <wp:simplePos x="0" y="0"/>
                      <wp:positionH relativeFrom="column">
                        <wp:posOffset>885190</wp:posOffset>
                      </wp:positionH>
                      <wp:positionV relativeFrom="paragraph">
                        <wp:posOffset>1139190</wp:posOffset>
                      </wp:positionV>
                      <wp:extent cx="289560" cy="9525"/>
                      <wp:effectExtent l="0" t="31115" r="15240" b="35560"/>
                      <wp:wrapNone/>
                      <wp:docPr id="33" name="自选图形 665"/>
                      <wp:cNvGraphicFramePr/>
                      <a:graphic xmlns:a="http://schemas.openxmlformats.org/drawingml/2006/main">
                        <a:graphicData uri="http://schemas.microsoft.com/office/word/2010/wordprocessingShape">
                          <wps:wsp>
                            <wps:cNvCnPr/>
                            <wps:spPr>
                              <a:xfrm>
                                <a:off x="0" y="0"/>
                                <a:ext cx="289560" cy="9525"/>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id="自选图形 665" o:spid="_x0000_s1026" o:spt="32" type="#_x0000_t32" style="position:absolute;left:0pt;margin-left:69.7pt;margin-top:89.7pt;height:0.75pt;width:22.8pt;z-index:251662336;mso-width-relative:page;mso-height-relative:page;" filled="f" stroked="t" coordsize="21600,21600" o:gfxdata="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OYRxDHYAAAACwEAAA8AAAAAAAAAAQAgAAAAIgAAAGRycy9kb3du&#10;cmV2LnhtbFBLAQIUABQAAAAIAIdO4kA965gB/wEAAOwDAAAOAAAAAAAAAAEAIAAAACcBAABkcnMv&#10;ZTJvRG9jLnhtbFBLBQYAAAAABgAGAFkBAACYBQAAAAA=&#10;">
                      <v:fill on="f" focussize="0,0"/>
                      <v:stroke color="#000000" joinstyle="round" endarrow="block"/>
                      <v:imagedata o:title=""/>
                      <o:lock v:ext="edit" aspectratio="f"/>
                    </v:shape>
                  </w:pict>
                </mc:Fallback>
              </mc:AlternateContent>
            </w:r>
            <w:r>
              <mc:AlternateContent>
                <mc:Choice Requires="wps">
                  <w:drawing>
                    <wp:anchor distT="0" distB="0" distL="114300" distR="114300" simplePos="0" relativeHeight="251663360" behindDoc="0" locked="0" layoutInCell="1" allowOverlap="1">
                      <wp:simplePos x="0" y="0"/>
                      <wp:positionH relativeFrom="column">
                        <wp:posOffset>1174750</wp:posOffset>
                      </wp:positionH>
                      <wp:positionV relativeFrom="paragraph">
                        <wp:posOffset>1008380</wp:posOffset>
                      </wp:positionV>
                      <wp:extent cx="737870" cy="280670"/>
                      <wp:effectExtent l="4445" t="4445" r="19685" b="19685"/>
                      <wp:wrapNone/>
                      <wp:docPr id="28" name="文本框 653"/>
                      <wp:cNvGraphicFramePr/>
                      <a:graphic xmlns:a="http://schemas.openxmlformats.org/drawingml/2006/main">
                        <a:graphicData uri="http://schemas.microsoft.com/office/word/2010/wordprocessingShape">
                          <wps:wsp>
                            <wps:cNvSpPr txBox="1"/>
                            <wps:spPr>
                              <a:xfrm>
                                <a:off x="0" y="0"/>
                                <a:ext cx="737870" cy="28056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3ECC9A0">
                                  <w:pPr>
                                    <w:ind w:firstLine="0" w:firstLineChars="0"/>
                                    <w:jc w:val="center"/>
                                    <w:rPr>
                                      <w:sz w:val="21"/>
                                      <w:szCs w:val="21"/>
                                    </w:rPr>
                                  </w:pPr>
                                  <w:r>
                                    <w:rPr>
                                      <w:rFonts w:hint="eastAsia"/>
                                      <w:sz w:val="21"/>
                                      <w:szCs w:val="21"/>
                                    </w:rPr>
                                    <w:t>冷却用水</w:t>
                                  </w:r>
                                </w:p>
                                <w:p w14:paraId="0D021994">
                                  <w:pPr>
                                    <w:ind w:firstLine="480"/>
                                  </w:pPr>
                                </w:p>
                              </w:txbxContent>
                            </wps:txbx>
                            <wps:bodyPr upright="1"/>
                          </wps:wsp>
                        </a:graphicData>
                      </a:graphic>
                    </wp:anchor>
                  </w:drawing>
                </mc:Choice>
                <mc:Fallback>
                  <w:pict>
                    <v:shape id="文本框 653" o:spid="_x0000_s1026" o:spt="202" type="#_x0000_t202" style="position:absolute;left:0pt;margin-left:92.5pt;margin-top:79.4pt;height:22.1pt;width:58.1pt;z-index:251663360;mso-width-relative:page;mso-height-relative:page;" fillcolor="#FFFFFF" filled="t" stroked="t" coordsize="21600,21600" o:gfxdata="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ktY022QAAAAsBAAAPAAAAAAAAAAEA&#10;IAAAACIAAABkcnMvZG93bnJldi54bWxQSwECFAAUAAAACACHTuJAks0icw4CAAA4BAAADgAAAAAA&#10;AAABACAAAAAoAQAAZHJzL2Uyb0RvYy54bWxQSwUGAAAAAAYABgBZAQAAqAUAAAAA&#10;">
                      <v:fill on="t" focussize="0,0"/>
                      <v:stroke color="#000000" joinstyle="miter"/>
                      <v:imagedata o:title=""/>
                      <o:lock v:ext="edit" aspectratio="f"/>
                      <v:textbox>
                        <w:txbxContent>
                          <w:p w14:paraId="53ECC9A0">
                            <w:pPr>
                              <w:ind w:firstLine="0" w:firstLineChars="0"/>
                              <w:jc w:val="center"/>
                              <w:rPr>
                                <w:sz w:val="21"/>
                                <w:szCs w:val="21"/>
                              </w:rPr>
                            </w:pPr>
                            <w:r>
                              <w:rPr>
                                <w:rFonts w:hint="eastAsia"/>
                                <w:sz w:val="21"/>
                                <w:szCs w:val="21"/>
                              </w:rPr>
                              <w:t>冷却用水</w:t>
                            </w:r>
                          </w:p>
                          <w:p w14:paraId="0D021994">
                            <w:pPr>
                              <w:ind w:firstLine="480"/>
                            </w:pPr>
                          </w:p>
                        </w:txbxContent>
                      </v:textbox>
                    </v:shape>
                  </w:pict>
                </mc:Fallback>
              </mc:AlternateContent>
            </w:r>
            <w:r>
              <mc:AlternateContent>
                <mc:Choice Requires="wps">
                  <w:drawing>
                    <wp:anchor distT="0" distB="0" distL="114300" distR="114300" simplePos="0" relativeHeight="251668480" behindDoc="0" locked="0" layoutInCell="1" allowOverlap="1">
                      <wp:simplePos x="0" y="0"/>
                      <wp:positionH relativeFrom="column">
                        <wp:posOffset>1543685</wp:posOffset>
                      </wp:positionH>
                      <wp:positionV relativeFrom="paragraph">
                        <wp:posOffset>1148715</wp:posOffset>
                      </wp:positionV>
                      <wp:extent cx="368935" cy="140335"/>
                      <wp:effectExtent l="48895" t="4445" r="248920" b="255270"/>
                      <wp:wrapNone/>
                      <wp:docPr id="11" name="肘形连接符 11"/>
                      <wp:cNvGraphicFramePr/>
                      <a:graphic xmlns:a="http://schemas.openxmlformats.org/drawingml/2006/main">
                        <a:graphicData uri="http://schemas.microsoft.com/office/word/2010/wordprocessingShape">
                          <wps:wsp>
                            <wps:cNvCnPr/>
                            <wps:spPr>
                              <a:xfrm flipH="1">
                                <a:off x="3356610" y="3548380"/>
                                <a:ext cx="368935" cy="140335"/>
                              </a:xfrm>
                              <a:prstGeom prst="bentConnector4">
                                <a:avLst>
                                  <a:gd name="adj1" fmla="val -64544"/>
                                  <a:gd name="adj2" fmla="val 269683"/>
                                </a:avLst>
                              </a:prstGeom>
                              <a:ln w="9525">
                                <a:solidFill>
                                  <a:schemeClr val="tx1"/>
                                </a:solidFill>
                                <a:prstDash val="dash"/>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5" type="#_x0000_t35" style="position:absolute;left:0pt;flip:x;margin-left:121.55pt;margin-top:90.45pt;height:11.05pt;width:29.05pt;z-index:251668480;mso-width-relative:page;mso-height-relative:page;" filled="f" stroked="t" coordsize="21600,21600" o:gfxdata="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H+o+mbZAAAACwEAAA8AAAAAAAAAAQAgAAAAIgAAAGRycy9kb3ducmV2LnhtbFBL&#10;AQIUABQAAAAIAIdO4kDmfCwnLgIAACsEAAAOAAAAAAAAAAEAIAAAACgBAABkcnMvZTJvRG9jLnht&#10;bFBLBQYAAAAABgAGAFkBAADIBQAAAAA=&#10;" adj="-13942,58252">
                      <v:fill on="f" focussize="0,0"/>
                      <v:stroke color="#000000 [3213]" joinstyle="round" dashstyle="dash" endarrow="open"/>
                      <v:imagedata o:title=""/>
                      <o:lock v:ext="edit" aspectratio="f"/>
                    </v:shape>
                  </w:pict>
                </mc:Fallback>
              </mc:AlternateContent>
            </w:r>
            <w:r>
              <mc:AlternateContent>
                <mc:Choice Requires="wps">
                  <w:drawing>
                    <wp:anchor distT="0" distB="0" distL="114300" distR="114300" simplePos="0" relativeHeight="251667456" behindDoc="0" locked="0" layoutInCell="1" allowOverlap="1">
                      <wp:simplePos x="0" y="0"/>
                      <wp:positionH relativeFrom="column">
                        <wp:posOffset>1644015</wp:posOffset>
                      </wp:positionH>
                      <wp:positionV relativeFrom="paragraph">
                        <wp:posOffset>1855470</wp:posOffset>
                      </wp:positionV>
                      <wp:extent cx="429260" cy="135890"/>
                      <wp:effectExtent l="48895" t="4445" r="245745" b="259715"/>
                      <wp:wrapNone/>
                      <wp:docPr id="82" name="肘形连接符 82"/>
                      <wp:cNvGraphicFramePr/>
                      <a:graphic xmlns:a="http://schemas.openxmlformats.org/drawingml/2006/main">
                        <a:graphicData uri="http://schemas.microsoft.com/office/word/2010/wordprocessingShape">
                          <wps:wsp>
                            <wps:cNvCnPr/>
                            <wps:spPr>
                              <a:xfrm flipH="1">
                                <a:off x="3301365" y="4274185"/>
                                <a:ext cx="429260" cy="135890"/>
                              </a:xfrm>
                              <a:prstGeom prst="bentConnector4">
                                <a:avLst>
                                  <a:gd name="adj1" fmla="val -55473"/>
                                  <a:gd name="adj2" fmla="val 275234"/>
                                </a:avLst>
                              </a:prstGeom>
                              <a:ln w="6350">
                                <a:solidFill>
                                  <a:schemeClr val="tx1"/>
                                </a:solidFill>
                                <a:prstDash val="dash"/>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5" type="#_x0000_t35" style="position:absolute;left:0pt;flip:x;margin-left:129.45pt;margin-top:146.1pt;height:10.7pt;width:33.8pt;z-index:251667456;mso-width-relative:page;mso-height-relative:page;" filled="f" stroked="t" coordsize="21600,21600" o:gfxdata="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vBZgK3AAAAAsBAAAPAAAAAAAAAAEAIAAAACIAAABkcnMvZG93&#10;bnJldi54bWxQSwECFAAUAAAACACHTuJA1vnitDUCAAArBAAADgAAAAAAAAABACAAAAArAQAAZHJz&#10;L2Uyb0RvYy54bWxQSwUGAAAAAAYABgBZAQAA0gUAAAAA&#10;" adj="-11982,59451">
                      <v:fill on="f" focussize="0,0"/>
                      <v:stroke weight="0.5pt" color="#000000 [3213]" joinstyle="round" dashstyle="dash" endarrow="open"/>
                      <v:imagedata o:title=""/>
                      <o:lock v:ext="edit" aspectratio="f"/>
                    </v:shape>
                  </w:pict>
                </mc:Fallback>
              </mc:AlternateContent>
            </w:r>
          </w:p>
          <w:p w14:paraId="109DB7AB">
            <w:pPr>
              <w:pStyle w:val="42"/>
              <w:ind w:firstLine="0" w:firstLineChars="0"/>
              <w:rPr>
                <w:rFonts w:ascii="Times New Roman" w:cs="Times New Roman"/>
                <w:b/>
                <w:color w:val="auto"/>
                <w:sz w:val="21"/>
                <w:szCs w:val="21"/>
              </w:rPr>
            </w:pPr>
            <w:r>
              <w:rPr>
                <w:rFonts w:ascii="Times New Roman" w:cs="Times New Roman"/>
                <w:b/>
                <w:color w:val="auto"/>
                <w:sz w:val="21"/>
                <w:szCs w:val="21"/>
              </w:rPr>
              <w:t>图2-</w:t>
            </w:r>
            <w:r>
              <w:rPr>
                <w:rFonts w:hint="eastAsia" w:ascii="Times New Roman" w:cs="Times New Roman"/>
                <w:b/>
                <w:color w:val="auto"/>
                <w:sz w:val="21"/>
                <w:szCs w:val="21"/>
                <w:lang w:val="en-US" w:eastAsia="zh-CN"/>
              </w:rPr>
              <w:t>2</w:t>
            </w:r>
            <w:r>
              <w:rPr>
                <w:rFonts w:ascii="Times New Roman" w:cs="Times New Roman"/>
                <w:b/>
                <w:color w:val="auto"/>
                <w:sz w:val="21"/>
                <w:szCs w:val="21"/>
              </w:rPr>
              <w:t xml:space="preserve"> 本项目水平衡图 （单位：t/a）</w:t>
            </w:r>
          </w:p>
          <w:p w14:paraId="1054293D">
            <w:pPr>
              <w:ind w:firstLine="482"/>
              <w:jc w:val="both"/>
              <w:rPr>
                <w:b/>
              </w:rPr>
            </w:pPr>
            <w:r>
              <w:rPr>
                <w:b/>
              </w:rPr>
              <w:t>（</w:t>
            </w:r>
            <w:r>
              <w:rPr>
                <w:rFonts w:hint="eastAsia"/>
                <w:b/>
              </w:rPr>
              <w:t>2</w:t>
            </w:r>
            <w:r>
              <w:rPr>
                <w:b/>
              </w:rPr>
              <w:t>）</w:t>
            </w:r>
            <w:r>
              <w:rPr>
                <w:rFonts w:hint="eastAsia"/>
                <w:b/>
              </w:rPr>
              <w:t>项目能耗</w:t>
            </w:r>
          </w:p>
          <w:p w14:paraId="23E65317">
            <w:pPr>
              <w:ind w:firstLine="480"/>
              <w:jc w:val="both"/>
            </w:pPr>
            <w:bookmarkStart w:id="147" w:name="_Toc256601454"/>
            <w:r>
              <w:rPr>
                <w:rFonts w:hint="eastAsia"/>
              </w:rPr>
              <w:t>项目生产设备及配套设施所需用电由市政电网统一供给，不设备用发电机，年用电量约为20 万度/年。</w:t>
            </w:r>
          </w:p>
          <w:p w14:paraId="7682BA2E">
            <w:pPr>
              <w:ind w:firstLine="482"/>
              <w:jc w:val="both"/>
              <w:rPr>
                <w:b/>
                <w:bCs/>
              </w:rPr>
            </w:pPr>
            <w:r>
              <w:rPr>
                <w:rFonts w:hint="eastAsia"/>
                <w:b/>
                <w:bCs/>
              </w:rPr>
              <w:t>7</w:t>
            </w:r>
            <w:r>
              <w:rPr>
                <w:b/>
                <w:bCs/>
              </w:rPr>
              <w:t>、劳动定员及工作制度</w:t>
            </w:r>
            <w:bookmarkEnd w:id="147"/>
          </w:p>
          <w:p w14:paraId="4A7E9A85">
            <w:pPr>
              <w:ind w:firstLine="480"/>
              <w:jc w:val="both"/>
            </w:pPr>
            <w:r>
              <w:rPr>
                <w:rFonts w:hint="eastAsia"/>
              </w:rPr>
              <w:t>项目迁扩建前员工人数为5人，迁扩建后为8人，均不在项目内食宿，年工作250天，每天1班制，每班工作8小时。</w:t>
            </w:r>
          </w:p>
          <w:p w14:paraId="546254F5">
            <w:pPr>
              <w:ind w:firstLine="482"/>
              <w:jc w:val="both"/>
              <w:rPr>
                <w:b/>
                <w:bCs/>
              </w:rPr>
            </w:pPr>
            <w:r>
              <w:rPr>
                <w:rFonts w:hint="eastAsia"/>
                <w:b/>
                <w:bCs/>
              </w:rPr>
              <w:t>8、项目四至及平面布局情况</w:t>
            </w:r>
          </w:p>
          <w:p w14:paraId="3377C45B">
            <w:pPr>
              <w:ind w:firstLine="480"/>
              <w:jc w:val="both"/>
            </w:pPr>
            <w:r>
              <w:rPr>
                <w:rFonts w:hint="eastAsia"/>
              </w:rPr>
              <w:t>1）</w:t>
            </w:r>
            <w:r>
              <w:t>项目四至情况</w:t>
            </w:r>
          </w:p>
          <w:p w14:paraId="3C53B80E">
            <w:pPr>
              <w:ind w:firstLine="480"/>
              <w:jc w:val="both"/>
            </w:pPr>
            <w:r>
              <w:t>本项目位于</w:t>
            </w:r>
            <w:r>
              <w:rPr>
                <w:rFonts w:hint="eastAsia"/>
                <w:szCs w:val="21"/>
              </w:rPr>
              <w:t>惠州市博罗县园洲镇博罗智能装备产业园东片区绿化北路3号20号厂房101、201</w:t>
            </w:r>
            <w:r>
              <w:rPr>
                <w:rFonts w:hint="eastAsia"/>
              </w:rPr>
              <w:t>，根据现场调查，</w:t>
            </w:r>
            <w:r>
              <w:t>项目</w:t>
            </w:r>
            <w:r>
              <w:rPr>
                <w:rFonts w:hint="eastAsia"/>
              </w:rPr>
              <w:t>东面2</w:t>
            </w:r>
            <w:r>
              <w:rPr>
                <w:rFonts w:hint="eastAsia"/>
                <w:lang w:val="en-US" w:eastAsia="zh-CN"/>
              </w:rPr>
              <w:t>3</w:t>
            </w:r>
            <w:r>
              <w:rPr>
                <w:rFonts w:hint="eastAsia"/>
              </w:rPr>
              <w:t>m为工地，南面29m为绿化路，西面2</w:t>
            </w:r>
            <w:r>
              <w:rPr>
                <w:rFonts w:hint="eastAsia"/>
                <w:lang w:val="en-US" w:eastAsia="zh-CN"/>
              </w:rPr>
              <w:t>7</w:t>
            </w:r>
            <w:r>
              <w:rPr>
                <w:rFonts w:hint="eastAsia"/>
              </w:rPr>
              <w:t>m为</w:t>
            </w:r>
            <w:r>
              <w:rPr>
                <w:rFonts w:hint="eastAsia"/>
                <w:lang w:val="en-US" w:eastAsia="zh-CN"/>
              </w:rPr>
              <w:t>园区19栋</w:t>
            </w:r>
            <w:r>
              <w:rPr>
                <w:rFonts w:hint="eastAsia"/>
              </w:rPr>
              <w:t>厂房，北面11m为广东首亿电线电缆有限公司</w:t>
            </w:r>
            <w:r>
              <w:t>。项目</w:t>
            </w:r>
            <w:r>
              <w:rPr>
                <w:rFonts w:hint="eastAsia"/>
              </w:rPr>
              <w:t>四邻关系</w:t>
            </w:r>
            <w:r>
              <w:t>图见附图2。</w:t>
            </w:r>
          </w:p>
          <w:p w14:paraId="0222B236">
            <w:pPr>
              <w:ind w:firstLine="480"/>
              <w:jc w:val="both"/>
            </w:pPr>
            <w:r>
              <w:rPr>
                <w:rFonts w:hint="eastAsia"/>
              </w:rPr>
              <w:t>2）</w:t>
            </w:r>
            <w:r>
              <w:t>平面布局</w:t>
            </w:r>
            <w:r>
              <w:rPr>
                <w:rFonts w:hint="eastAsia"/>
              </w:rPr>
              <w:t>情况</w:t>
            </w:r>
          </w:p>
          <w:p w14:paraId="7D006DCD">
            <w:pPr>
              <w:ind w:firstLine="480"/>
              <w:jc w:val="both"/>
              <w:rPr>
                <w:color w:val="FF0000"/>
              </w:rPr>
            </w:pPr>
            <w:r>
              <w:rPr>
                <w:rFonts w:hint="eastAsia" w:cs="宋体"/>
                <w:szCs w:val="21"/>
              </w:rPr>
              <w:t>项目所在建筑共5层，项目租赁绿化北路3号20号厂房101、201，厂房一楼</w:t>
            </w:r>
            <w:r>
              <w:rPr>
                <w:rFonts w:hint="eastAsia"/>
              </w:rPr>
              <w:t>主要包含挤出区、成品区、原料区、混料区、检测区等，厂房一楼阁楼主要为办公区，厂房201主要为溶胶车间。</w:t>
            </w:r>
            <w:r>
              <w:t>总体布局功能分区明确</w:t>
            </w:r>
            <w:r>
              <w:rPr>
                <w:rFonts w:hint="eastAsia"/>
              </w:rPr>
              <w:t>，</w:t>
            </w:r>
            <w:r>
              <w:t>布局合理，</w:t>
            </w:r>
            <w:r>
              <w:rPr>
                <w:rFonts w:hint="eastAsia"/>
              </w:rPr>
              <w:t>项目厂房平面布置图见</w:t>
            </w:r>
            <w:bookmarkStart w:id="148" w:name="OLE_LINK253"/>
            <w:r>
              <w:rPr>
                <w:rFonts w:hint="eastAsia"/>
              </w:rPr>
              <w:t>附图4</w:t>
            </w:r>
            <w:bookmarkEnd w:id="148"/>
            <w:r>
              <w:rPr>
                <w:rFonts w:hint="eastAsia"/>
              </w:rPr>
              <w:t>。</w:t>
            </w:r>
          </w:p>
        </w:tc>
      </w:tr>
      <w:tr w14:paraId="454661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43" w:hRule="atLeast"/>
          <w:jc w:val="center"/>
        </w:trPr>
        <w:tc>
          <w:tcPr>
            <w:tcW w:w="272" w:type="pct"/>
            <w:vAlign w:val="center"/>
          </w:tcPr>
          <w:p w14:paraId="5857BDEC">
            <w:pPr>
              <w:pStyle w:val="30"/>
              <w:adjustRightInd w:val="0"/>
              <w:snapToGrid w:val="0"/>
              <w:spacing w:before="0" w:beforeAutospacing="0" w:after="0" w:afterAutospacing="0"/>
              <w:ind w:firstLine="0" w:firstLineChars="0"/>
              <w:jc w:val="center"/>
              <w:rPr>
                <w:rFonts w:ascii="Times New Roman" w:hAnsi="Times New Roman"/>
                <w:szCs w:val="24"/>
              </w:rPr>
            </w:pPr>
          </w:p>
          <w:p w14:paraId="5123B2D1">
            <w:pPr>
              <w:pStyle w:val="30"/>
              <w:adjustRightInd w:val="0"/>
              <w:snapToGrid w:val="0"/>
              <w:spacing w:before="0" w:beforeAutospacing="0" w:after="0" w:afterAutospacing="0"/>
              <w:ind w:firstLine="0" w:firstLineChars="0"/>
              <w:jc w:val="center"/>
              <w:rPr>
                <w:rFonts w:ascii="Times New Roman" w:hAnsi="Times New Roman"/>
                <w:szCs w:val="24"/>
              </w:rPr>
            </w:pPr>
            <w:r>
              <w:rPr>
                <w:rFonts w:ascii="Times New Roman" w:hAnsi="Times New Roman"/>
                <w:szCs w:val="24"/>
              </w:rPr>
              <w:t>工艺流程和产排污环节</w:t>
            </w:r>
          </w:p>
        </w:tc>
        <w:tc>
          <w:tcPr>
            <w:tcW w:w="4727" w:type="pct"/>
          </w:tcPr>
          <w:p w14:paraId="1CA071E8">
            <w:pPr>
              <w:ind w:firstLine="482"/>
              <w:rPr>
                <w:b/>
                <w:bCs/>
              </w:rPr>
            </w:pPr>
            <w:r>
              <w:rPr>
                <w:b/>
                <w:bCs/>
              </w:rPr>
              <w:t>一、施工期工艺流程简述：</w:t>
            </w:r>
          </w:p>
          <w:p w14:paraId="67B299AC">
            <w:pPr>
              <w:ind w:firstLine="480"/>
            </w:pPr>
            <w:r>
              <w:t>本项目租用已建厂房，无</w:t>
            </w:r>
            <w:r>
              <w:rPr>
                <w:rFonts w:hint="eastAsia"/>
              </w:rPr>
              <w:t>施工期</w:t>
            </w:r>
            <w:r>
              <w:t>，</w:t>
            </w:r>
            <w:r>
              <w:rPr>
                <w:rFonts w:hint="eastAsia"/>
              </w:rPr>
              <w:t>故不进行施工期影响分析。</w:t>
            </w:r>
          </w:p>
          <w:p w14:paraId="2962EEF7">
            <w:pPr>
              <w:ind w:firstLine="482"/>
              <w:rPr>
                <w:b/>
                <w:bCs/>
              </w:rPr>
            </w:pPr>
            <w:r>
              <w:rPr>
                <w:b/>
                <w:bCs/>
              </w:rPr>
              <w:t>二、运营期工艺流程简述：</w:t>
            </w:r>
          </w:p>
          <w:p w14:paraId="7403349B">
            <w:pPr>
              <w:tabs>
                <w:tab w:val="left" w:pos="8490"/>
              </w:tabs>
              <w:ind w:firstLine="482"/>
              <w:jc w:val="both"/>
              <w:rPr>
                <w:b/>
                <w:bCs/>
              </w:rPr>
            </w:pPr>
            <w:bookmarkStart w:id="149" w:name="_Toc17108"/>
            <w:r>
              <w:rPr>
                <w:b/>
                <w:bCs/>
              </w:rPr>
              <w:t>1、生产工艺</w:t>
            </w:r>
            <w:bookmarkEnd w:id="149"/>
            <w:r>
              <w:rPr>
                <w:b/>
                <w:bCs/>
              </w:rPr>
              <w:t>流程及简述</w:t>
            </w:r>
          </w:p>
          <w:p w14:paraId="6B4C305F">
            <w:pPr>
              <w:ind w:firstLine="482"/>
              <w:rPr>
                <w:b/>
                <w:bCs/>
                <w:highlight w:val="yellow"/>
              </w:rPr>
            </w:pPr>
            <w:r>
              <w:rPr>
                <w:rFonts w:hint="eastAsia"/>
                <w:b/>
                <w:bCs/>
              </w:rPr>
              <w:t>TPE热塑性弹性体</w:t>
            </w:r>
            <w:r>
              <w:rPr>
                <w:b/>
                <w:bCs/>
              </w:rPr>
              <w:t>工艺流程</w:t>
            </w:r>
            <w:r>
              <w:rPr>
                <w:rFonts w:hint="eastAsia"/>
                <w:b/>
                <w:bCs/>
              </w:rPr>
              <w:t>图</w:t>
            </w:r>
            <w:r>
              <w:rPr>
                <w:b/>
                <w:bCs/>
              </w:rPr>
              <w:t>：</w:t>
            </w:r>
            <w:r>
              <w:rPr>
                <w:rFonts w:hint="eastAsia"/>
                <w:b/>
                <w:bCs/>
              </w:rPr>
              <w:t>（部分TPE热塑性弹性体用于生产中）</w:t>
            </w:r>
          </w:p>
          <w:p w14:paraId="6993997C">
            <w:pPr>
              <w:ind w:firstLine="0" w:firstLineChars="0"/>
              <w:jc w:val="center"/>
              <w:rPr>
                <w:b/>
                <w:bCs/>
              </w:rPr>
            </w:pPr>
            <w:r>
              <w:rPr>
                <w:b/>
                <w:bCs/>
              </w:rPr>
              <w:object>
                <v:shape id="_x0000_i1026" o:spt="75" type="#_x0000_t75" style="height:375pt;width:294pt;" o:ole="t" filled="f" o:preferrelative="t" stroked="f" coordsize="21600,21600">
                  <v:path/>
                  <v:fill on="f" focussize="0,0"/>
                  <v:stroke on="f" joinstyle="miter"/>
                  <v:imagedata r:id="rId20" o:title=""/>
                  <o:lock v:ext="edit" aspectratio="f"/>
                  <w10:wrap type="none"/>
                  <w10:anchorlock/>
                </v:shape>
                <o:OLEObject Type="Embed" ProgID="Visio.Drawing.15" ShapeID="_x0000_i1026" DrawAspect="Content" ObjectID="_1468075726" r:id="rId19">
                  <o:LockedField>false</o:LockedField>
                </o:OLEObject>
              </w:object>
            </w:r>
          </w:p>
          <w:p w14:paraId="28CE2626">
            <w:pPr>
              <w:ind w:firstLine="482"/>
              <w:jc w:val="both"/>
              <w:rPr>
                <w:rFonts w:cs="宋体"/>
                <w:b/>
                <w:bCs/>
              </w:rPr>
            </w:pPr>
            <w:r>
              <w:rPr>
                <w:rFonts w:hint="eastAsia" w:cs="宋体"/>
                <w:b/>
                <w:bCs/>
              </w:rPr>
              <w:t>仿真娃娃工艺流程图：</w:t>
            </w:r>
          </w:p>
          <w:p w14:paraId="2B396445">
            <w:pPr>
              <w:ind w:firstLine="0" w:firstLineChars="0"/>
              <w:jc w:val="center"/>
              <w:rPr>
                <w:rFonts w:cs="宋体"/>
                <w:b/>
                <w:bCs/>
              </w:rPr>
            </w:pPr>
            <w:r>
              <w:rPr>
                <w:rFonts w:cs="宋体"/>
                <w:b/>
                <w:bCs/>
              </w:rPr>
              <w:object>
                <v:shape id="_x0000_i1027" o:spt="75" type="#_x0000_t75" style="height:129.75pt;width:315pt;" o:ole="t" filled="f" o:preferrelative="t" stroked="f" coordsize="21600,21600">
                  <v:path/>
                  <v:fill on="f" focussize="0,0"/>
                  <v:stroke on="f" joinstyle="miter"/>
                  <v:imagedata r:id="rId22" o:title=""/>
                  <o:lock v:ext="edit" aspectratio="f"/>
                  <w10:wrap type="none"/>
                  <w10:anchorlock/>
                </v:shape>
                <o:OLEObject Type="Embed" ProgID="Visio.Drawing.15" ShapeID="_x0000_i1027" DrawAspect="Content" ObjectID="_1468075727" r:id="rId21">
                  <o:LockedField>false</o:LockedField>
                </o:OLEObject>
              </w:object>
            </w:r>
          </w:p>
          <w:p w14:paraId="2449949A">
            <w:pPr>
              <w:widowControl/>
              <w:ind w:firstLine="482"/>
              <w:jc w:val="both"/>
              <w:rPr>
                <w:rFonts w:cs="宋体"/>
                <w:b/>
                <w:bCs/>
                <w:color w:val="auto"/>
              </w:rPr>
            </w:pPr>
            <w:bookmarkStart w:id="150" w:name="OLE_LINK297"/>
            <w:r>
              <w:rPr>
                <w:rFonts w:hint="eastAsia" w:cs="宋体"/>
                <w:b/>
                <w:bCs/>
                <w:color w:val="auto"/>
              </w:rPr>
              <w:t>1）污染物标识符号：</w:t>
            </w:r>
          </w:p>
          <w:p w14:paraId="30C91734">
            <w:pPr>
              <w:widowControl/>
              <w:ind w:firstLine="480"/>
              <w:jc w:val="both"/>
              <w:rPr>
                <w:rFonts w:cs="宋体"/>
                <w:color w:val="auto"/>
              </w:rPr>
            </w:pPr>
            <w:r>
              <w:rPr>
                <w:rFonts w:hint="eastAsia" w:cs="宋体"/>
                <w:color w:val="auto"/>
              </w:rPr>
              <w:t>噪声：N</w:t>
            </w:r>
            <w:r>
              <w:rPr>
                <w:rFonts w:hint="eastAsia" w:cs="宋体"/>
                <w:color w:val="auto"/>
                <w:vertAlign w:val="subscript"/>
              </w:rPr>
              <w:t>1</w:t>
            </w:r>
            <w:r>
              <w:rPr>
                <w:rFonts w:hint="eastAsia" w:cs="宋体"/>
                <w:color w:val="auto"/>
              </w:rPr>
              <w:t>生产噪声；</w:t>
            </w:r>
          </w:p>
          <w:p w14:paraId="0D23B3DE">
            <w:pPr>
              <w:widowControl/>
              <w:ind w:firstLine="480"/>
              <w:jc w:val="both"/>
              <w:rPr>
                <w:rFonts w:cs="宋体"/>
                <w:color w:val="auto"/>
              </w:rPr>
            </w:pPr>
            <w:r>
              <w:rPr>
                <w:rFonts w:hint="eastAsia" w:cs="宋体"/>
                <w:color w:val="auto"/>
              </w:rPr>
              <w:t>废气：G</w:t>
            </w:r>
            <w:r>
              <w:rPr>
                <w:rFonts w:hint="eastAsia" w:cs="宋体"/>
                <w:color w:val="auto"/>
                <w:vertAlign w:val="subscript"/>
              </w:rPr>
              <w:t>1</w:t>
            </w:r>
            <w:r>
              <w:rPr>
                <w:rFonts w:hint="eastAsia" w:cs="宋体"/>
                <w:color w:val="auto"/>
              </w:rPr>
              <w:t>粉尘（颗粒物）、G</w:t>
            </w:r>
            <w:r>
              <w:rPr>
                <w:rFonts w:hint="eastAsia" w:cs="宋体"/>
                <w:color w:val="auto"/>
                <w:vertAlign w:val="subscript"/>
              </w:rPr>
              <w:t>2</w:t>
            </w:r>
            <w:r>
              <w:rPr>
                <w:rFonts w:hint="eastAsia" w:cs="宋体"/>
                <w:color w:val="auto"/>
              </w:rPr>
              <w:t>有机废气（非甲烷总烃）、</w:t>
            </w:r>
            <w:bookmarkStart w:id="151" w:name="OLE_LINK280"/>
            <w:r>
              <w:rPr>
                <w:rFonts w:hint="eastAsia" w:cs="宋体"/>
                <w:color w:val="auto"/>
              </w:rPr>
              <w:t>G</w:t>
            </w:r>
            <w:r>
              <w:rPr>
                <w:rFonts w:hint="eastAsia" w:cs="宋体"/>
                <w:color w:val="auto"/>
                <w:vertAlign w:val="subscript"/>
              </w:rPr>
              <w:t>3</w:t>
            </w:r>
            <w:bookmarkEnd w:id="151"/>
            <w:r>
              <w:rPr>
                <w:rFonts w:hint="eastAsia" w:cs="宋体"/>
                <w:color w:val="auto"/>
              </w:rPr>
              <w:t>恶臭（臭气浓度）；</w:t>
            </w:r>
          </w:p>
          <w:p w14:paraId="51294E43">
            <w:pPr>
              <w:ind w:firstLine="480"/>
              <w:rPr>
                <w:color w:val="auto"/>
              </w:rPr>
            </w:pPr>
            <w:r>
              <w:rPr>
                <w:rFonts w:hint="eastAsia" w:cs="宋体"/>
                <w:color w:val="auto"/>
              </w:rPr>
              <w:t>固废：S</w:t>
            </w:r>
            <w:r>
              <w:rPr>
                <w:rFonts w:hint="eastAsia" w:cs="宋体"/>
                <w:color w:val="auto"/>
                <w:vertAlign w:val="subscript"/>
              </w:rPr>
              <w:t>1</w:t>
            </w:r>
            <w:r>
              <w:rPr>
                <w:rFonts w:hint="eastAsia"/>
                <w:color w:val="auto"/>
              </w:rPr>
              <w:t>冷却废水污泥</w:t>
            </w:r>
            <w:r>
              <w:rPr>
                <w:rFonts w:hint="eastAsia" w:cs="宋体"/>
                <w:color w:val="auto"/>
              </w:rPr>
              <w:t>、S</w:t>
            </w:r>
            <w:r>
              <w:rPr>
                <w:rFonts w:hint="eastAsia" w:cs="宋体"/>
                <w:color w:val="auto"/>
                <w:vertAlign w:val="subscript"/>
              </w:rPr>
              <w:t>2</w:t>
            </w:r>
            <w:r>
              <w:rPr>
                <w:rFonts w:hint="eastAsia" w:cs="宋体"/>
                <w:color w:val="auto"/>
              </w:rPr>
              <w:t>废包装材料</w:t>
            </w:r>
            <w:r>
              <w:rPr>
                <w:rFonts w:hint="eastAsia"/>
                <w:color w:val="auto"/>
              </w:rPr>
              <w:t>。</w:t>
            </w:r>
          </w:p>
          <w:bookmarkEnd w:id="150"/>
          <w:p w14:paraId="2CE90B7B">
            <w:pPr>
              <w:ind w:firstLine="482"/>
              <w:jc w:val="both"/>
              <w:rPr>
                <w:rFonts w:cs="宋体"/>
                <w:b/>
                <w:bCs/>
              </w:rPr>
            </w:pPr>
            <w:r>
              <w:rPr>
                <w:rFonts w:hint="eastAsia" w:cs="宋体"/>
                <w:b/>
                <w:bCs/>
              </w:rPr>
              <w:t>2）生产工艺流程说明：</w:t>
            </w:r>
          </w:p>
          <w:p w14:paraId="56B7F8D7">
            <w:pPr>
              <w:ind w:firstLine="482"/>
              <w:jc w:val="both"/>
              <w:rPr>
                <w:rFonts w:cs="宋体"/>
                <w:color w:val="auto"/>
                <w:kern w:val="0"/>
              </w:rPr>
            </w:pPr>
            <w:bookmarkStart w:id="152" w:name="OLE_LINK287"/>
            <w:r>
              <w:rPr>
                <w:rFonts w:hint="eastAsia" w:cs="宋体"/>
                <w:b/>
                <w:bCs/>
                <w:color w:val="auto"/>
              </w:rPr>
              <w:t>投料</w:t>
            </w:r>
            <w:bookmarkEnd w:id="152"/>
            <w:r>
              <w:rPr>
                <w:rFonts w:hint="eastAsia" w:cs="宋体"/>
                <w:b/>
                <w:bCs/>
                <w:color w:val="auto"/>
              </w:rPr>
              <w:t>、混</w:t>
            </w:r>
            <w:r>
              <w:rPr>
                <w:rFonts w:cs="宋体"/>
                <w:b/>
                <w:bCs/>
                <w:color w:val="auto"/>
              </w:rPr>
              <w:t>料：</w:t>
            </w:r>
            <w:r>
              <w:rPr>
                <w:rFonts w:cs="宋体"/>
                <w:color w:val="auto"/>
                <w:kern w:val="0"/>
              </w:rPr>
              <w:t>项目将外购</w:t>
            </w:r>
            <w:r>
              <w:rPr>
                <w:rFonts w:hint="eastAsia" w:cs="宋体"/>
                <w:color w:val="auto"/>
                <w:kern w:val="0"/>
              </w:rPr>
              <w:t>的SEBS热塑性弹性体、PP新塑胶粒、PS塑胶粒、软化油、碳酸钙、破碎料</w:t>
            </w:r>
            <w:r>
              <w:rPr>
                <w:rFonts w:cs="宋体"/>
                <w:color w:val="auto"/>
                <w:kern w:val="0"/>
              </w:rPr>
              <w:t>按比例投入到</w:t>
            </w:r>
            <w:r>
              <w:rPr>
                <w:rFonts w:hint="eastAsia" w:cs="宋体"/>
                <w:color w:val="auto"/>
                <w:kern w:val="0"/>
              </w:rPr>
              <w:t>混</w:t>
            </w:r>
            <w:r>
              <w:rPr>
                <w:rFonts w:cs="宋体"/>
                <w:color w:val="auto"/>
                <w:kern w:val="0"/>
              </w:rPr>
              <w:t>料机中进行</w:t>
            </w:r>
            <w:r>
              <w:rPr>
                <w:rFonts w:hint="eastAsia" w:cs="宋体"/>
                <w:color w:val="auto"/>
                <w:kern w:val="0"/>
              </w:rPr>
              <w:t>混料</w:t>
            </w:r>
            <w:r>
              <w:rPr>
                <w:rFonts w:cs="宋体"/>
                <w:color w:val="auto"/>
                <w:kern w:val="0"/>
              </w:rPr>
              <w:t>，</w:t>
            </w:r>
            <w:r>
              <w:rPr>
                <w:rFonts w:hint="eastAsia" w:cs="宋体"/>
                <w:color w:val="auto"/>
                <w:kern w:val="0"/>
              </w:rPr>
              <w:t>固体原料采用人工投料，液态原料通过密闭管道投加，软化油罐循环利用，故不会产生废软化油罐，混料机密闭运行，仅在投料时产生少量粉尘，此</w:t>
            </w:r>
            <w:r>
              <w:rPr>
                <w:rFonts w:cs="宋体"/>
                <w:color w:val="auto"/>
                <w:kern w:val="0"/>
              </w:rPr>
              <w:t>工序产生</w:t>
            </w:r>
            <w:r>
              <w:rPr>
                <w:rFonts w:hint="eastAsia" w:cs="宋体"/>
                <w:color w:val="auto"/>
                <w:kern w:val="0"/>
              </w:rPr>
              <w:t>颗粒物G</w:t>
            </w:r>
            <w:r>
              <w:rPr>
                <w:rFonts w:hint="eastAsia" w:cs="宋体"/>
                <w:color w:val="auto"/>
                <w:kern w:val="0"/>
                <w:vertAlign w:val="subscript"/>
              </w:rPr>
              <w:t>1</w:t>
            </w:r>
            <w:r>
              <w:rPr>
                <w:rFonts w:hint="eastAsia" w:cs="宋体"/>
                <w:color w:val="auto"/>
                <w:kern w:val="0"/>
              </w:rPr>
              <w:t>、</w:t>
            </w:r>
            <w:r>
              <w:rPr>
                <w:rFonts w:hint="eastAsia" w:cs="宋体"/>
                <w:color w:val="auto"/>
              </w:rPr>
              <w:t>噪声N</w:t>
            </w:r>
            <w:r>
              <w:rPr>
                <w:rFonts w:hint="eastAsia" w:cs="宋体"/>
                <w:color w:val="auto"/>
                <w:vertAlign w:val="subscript"/>
              </w:rPr>
              <w:t>1</w:t>
            </w:r>
            <w:r>
              <w:rPr>
                <w:rFonts w:cs="宋体"/>
                <w:color w:val="auto"/>
                <w:kern w:val="0"/>
              </w:rPr>
              <w:t>。</w:t>
            </w:r>
          </w:p>
          <w:p w14:paraId="70504D77">
            <w:pPr>
              <w:ind w:firstLine="482"/>
              <w:jc w:val="both"/>
              <w:rPr>
                <w:rFonts w:cs="宋体"/>
                <w:color w:val="auto"/>
              </w:rPr>
            </w:pPr>
            <w:r>
              <w:rPr>
                <w:rFonts w:hint="eastAsia"/>
                <w:b/>
                <w:bCs/>
                <w:color w:val="auto"/>
              </w:rPr>
              <w:t>挤出：</w:t>
            </w:r>
            <w:r>
              <w:rPr>
                <w:rFonts w:hint="eastAsia"/>
                <w:color w:val="auto"/>
              </w:rPr>
              <w:t>将混合均匀的物料通过管道输送至单/双螺杆</w:t>
            </w:r>
            <w:r>
              <w:rPr>
                <w:rFonts w:hint="eastAsia" w:cs="宋体"/>
                <w:color w:val="auto"/>
              </w:rPr>
              <w:t>挤出机，采用电加热挤出成型（加热温度为180-200</w:t>
            </w:r>
            <w:r>
              <w:rPr>
                <w:rFonts w:hint="eastAsia" w:ascii="微软雅黑" w:hAnsi="微软雅黑" w:eastAsia="微软雅黑" w:cs="微软雅黑"/>
                <w:color w:val="auto"/>
              </w:rPr>
              <w:t>℃</w:t>
            </w:r>
            <w:r>
              <w:rPr>
                <w:rFonts w:hint="eastAsia" w:cs="宋体"/>
                <w:color w:val="auto"/>
              </w:rPr>
              <w:t>），此过程需使用冷却塔对挤出设备进行间接冷却，冷却用水循环使用不外排，此工序产生臭气浓度G</w:t>
            </w:r>
            <w:r>
              <w:rPr>
                <w:rFonts w:hint="eastAsia" w:cs="宋体"/>
                <w:color w:val="auto"/>
                <w:vertAlign w:val="subscript"/>
              </w:rPr>
              <w:t>3</w:t>
            </w:r>
            <w:r>
              <w:rPr>
                <w:rFonts w:hint="eastAsia" w:cs="宋体"/>
                <w:color w:val="auto"/>
              </w:rPr>
              <w:t>、有机废气G</w:t>
            </w:r>
            <w:r>
              <w:rPr>
                <w:rFonts w:hint="eastAsia" w:cs="宋体"/>
                <w:color w:val="auto"/>
                <w:vertAlign w:val="subscript"/>
              </w:rPr>
              <w:t>2</w:t>
            </w:r>
            <w:r>
              <w:rPr>
                <w:rFonts w:hint="eastAsia" w:cs="宋体"/>
                <w:color w:val="auto"/>
              </w:rPr>
              <w:t>（以非甲烷总烃计）</w:t>
            </w:r>
            <w:r>
              <w:rPr>
                <w:rFonts w:hint="eastAsia" w:cs="宋体"/>
                <w:color w:val="auto"/>
                <w:kern w:val="0"/>
              </w:rPr>
              <w:t>及</w:t>
            </w:r>
            <w:r>
              <w:rPr>
                <w:rFonts w:hint="eastAsia" w:cs="宋体"/>
                <w:color w:val="auto"/>
              </w:rPr>
              <w:t>噪声N</w:t>
            </w:r>
            <w:r>
              <w:rPr>
                <w:rFonts w:hint="eastAsia" w:cs="宋体"/>
                <w:color w:val="auto"/>
                <w:vertAlign w:val="subscript"/>
              </w:rPr>
              <w:t>1</w:t>
            </w:r>
            <w:r>
              <w:rPr>
                <w:rFonts w:hint="eastAsia" w:cs="宋体"/>
                <w:color w:val="auto"/>
              </w:rPr>
              <w:t>。</w:t>
            </w:r>
          </w:p>
          <w:p w14:paraId="5874F013">
            <w:pPr>
              <w:ind w:firstLine="482"/>
              <w:rPr>
                <w:b/>
                <w:bCs/>
                <w:color w:val="auto"/>
              </w:rPr>
            </w:pPr>
            <w:r>
              <w:rPr>
                <w:rFonts w:hint="eastAsia"/>
                <w:b/>
                <w:bCs/>
                <w:color w:val="auto"/>
              </w:rPr>
              <w:t>水冷：</w:t>
            </w:r>
            <w:r>
              <w:rPr>
                <w:rFonts w:hint="eastAsia"/>
                <w:color w:val="auto"/>
              </w:rPr>
              <w:t>挤出的</w:t>
            </w:r>
            <w:bookmarkStart w:id="153" w:name="OLE_LINK284"/>
            <w:r>
              <w:rPr>
                <w:rFonts w:hint="eastAsia"/>
                <w:color w:val="auto"/>
              </w:rPr>
              <w:t>塑料条经挤出机配套的</w:t>
            </w:r>
            <w:r>
              <w:rPr>
                <w:rFonts w:hint="eastAsia" w:cs="宋体"/>
                <w:color w:val="auto"/>
              </w:rPr>
              <w:t>冷却水槽进行直接冷却，冷却水通过密闭管道送至冷却塔降温后返回冷却水槽循环使用</w:t>
            </w:r>
            <w:bookmarkEnd w:id="153"/>
            <w:r>
              <w:rPr>
                <w:rFonts w:hint="eastAsia" w:cs="宋体"/>
                <w:color w:val="auto"/>
              </w:rPr>
              <w:t>，</w:t>
            </w:r>
            <w:r>
              <w:rPr>
                <w:rFonts w:hint="eastAsia"/>
                <w:color w:val="auto"/>
              </w:rPr>
              <w:t>直接冷却水定期处理后回用，</w:t>
            </w:r>
            <w:r>
              <w:rPr>
                <w:rFonts w:hint="eastAsia" w:cs="宋体"/>
                <w:color w:val="auto"/>
              </w:rPr>
              <w:t>不外排，</w:t>
            </w:r>
            <w:r>
              <w:rPr>
                <w:rFonts w:hint="eastAsia"/>
                <w:color w:val="auto"/>
              </w:rPr>
              <w:t>此工序产生</w:t>
            </w:r>
            <w:bookmarkStart w:id="154" w:name="OLE_LINK286"/>
            <w:r>
              <w:rPr>
                <w:rFonts w:hint="eastAsia"/>
                <w:color w:val="auto"/>
              </w:rPr>
              <w:t>冷却废水污泥S</w:t>
            </w:r>
            <w:r>
              <w:rPr>
                <w:rFonts w:hint="eastAsia"/>
                <w:color w:val="auto"/>
                <w:vertAlign w:val="subscript"/>
              </w:rPr>
              <w:t>1</w:t>
            </w:r>
            <w:bookmarkEnd w:id="154"/>
            <w:r>
              <w:rPr>
                <w:rFonts w:hint="eastAsia" w:cs="宋体"/>
                <w:color w:val="auto"/>
              </w:rPr>
              <w:t>。</w:t>
            </w:r>
          </w:p>
          <w:p w14:paraId="1EBD37BB">
            <w:pPr>
              <w:ind w:firstLine="482"/>
              <w:rPr>
                <w:color w:val="auto"/>
                <w:highlight w:val="yellow"/>
              </w:rPr>
            </w:pPr>
            <w:r>
              <w:rPr>
                <w:rFonts w:hint="eastAsia"/>
                <w:b/>
                <w:bCs/>
                <w:color w:val="auto"/>
              </w:rPr>
              <w:t>切粒：</w:t>
            </w:r>
            <w:r>
              <w:rPr>
                <w:rFonts w:hint="eastAsia"/>
                <w:color w:val="auto"/>
              </w:rPr>
              <w:t>冷却后的塑料条通过切粒机切成粒状形态，为防止切粒机过热，项目采用直接冷却的方式进行冷却，</w:t>
            </w:r>
            <w:bookmarkStart w:id="155" w:name="OLE_LINK283"/>
            <w:bookmarkStart w:id="156" w:name="OLE_LINK282"/>
            <w:r>
              <w:rPr>
                <w:rFonts w:hint="eastAsia"/>
                <w:color w:val="auto"/>
              </w:rPr>
              <w:t>直接冷却水循环使用，定期处理后回用</w:t>
            </w:r>
            <w:bookmarkEnd w:id="155"/>
            <w:r>
              <w:rPr>
                <w:rFonts w:hint="eastAsia"/>
                <w:color w:val="auto"/>
              </w:rPr>
              <w:t>，不外排，</w:t>
            </w:r>
            <w:bookmarkStart w:id="157" w:name="OLE_LINK285"/>
            <w:r>
              <w:rPr>
                <w:rFonts w:hint="eastAsia"/>
                <w:color w:val="auto"/>
              </w:rPr>
              <w:t>此工序产生冷却废水污泥S</w:t>
            </w:r>
            <w:r>
              <w:rPr>
                <w:rFonts w:hint="eastAsia"/>
                <w:color w:val="auto"/>
                <w:vertAlign w:val="subscript"/>
              </w:rPr>
              <w:t>1</w:t>
            </w:r>
            <w:bookmarkEnd w:id="156"/>
            <w:bookmarkEnd w:id="157"/>
            <w:r>
              <w:rPr>
                <w:rFonts w:hint="eastAsia"/>
                <w:color w:val="auto"/>
              </w:rPr>
              <w:t>、噪声N</w:t>
            </w:r>
            <w:r>
              <w:rPr>
                <w:rFonts w:hint="eastAsia"/>
                <w:color w:val="auto"/>
                <w:vertAlign w:val="subscript"/>
              </w:rPr>
              <w:t>1</w:t>
            </w:r>
            <w:r>
              <w:rPr>
                <w:rFonts w:hint="eastAsia"/>
                <w:color w:val="auto"/>
              </w:rPr>
              <w:t>。</w:t>
            </w:r>
          </w:p>
          <w:p w14:paraId="0F26ACE7">
            <w:pPr>
              <w:ind w:firstLine="482"/>
              <w:rPr>
                <w:b/>
                <w:bCs/>
                <w:color w:val="auto"/>
              </w:rPr>
            </w:pPr>
            <w:r>
              <w:rPr>
                <w:rFonts w:hint="eastAsia"/>
                <w:b/>
                <w:bCs/>
                <w:color w:val="auto"/>
              </w:rPr>
              <w:t>脱水：</w:t>
            </w:r>
            <w:r>
              <w:rPr>
                <w:rFonts w:hint="eastAsia"/>
                <w:color w:val="auto"/>
              </w:rPr>
              <w:t>用脱水机对塑料粒进行脱水，在离心力的作用下，塑料粒中的水分被甩出从而达到脱水的效果，被甩出的水分通过排水管道收集至水池后回用于切粒机进行冷却，此工序产生噪声N</w:t>
            </w:r>
            <w:r>
              <w:rPr>
                <w:rFonts w:hint="eastAsia"/>
                <w:color w:val="auto"/>
                <w:vertAlign w:val="subscript"/>
              </w:rPr>
              <w:t>1</w:t>
            </w:r>
            <w:r>
              <w:rPr>
                <w:rFonts w:hint="eastAsia"/>
                <w:color w:val="auto"/>
              </w:rPr>
              <w:t>。</w:t>
            </w:r>
          </w:p>
          <w:p w14:paraId="1ECFF7A6">
            <w:pPr>
              <w:ind w:firstLine="482"/>
            </w:pPr>
            <w:r>
              <w:rPr>
                <w:rFonts w:hint="eastAsia"/>
                <w:b/>
                <w:bCs/>
              </w:rPr>
              <w:t>风冷：</w:t>
            </w:r>
            <w:r>
              <w:rPr>
                <w:rFonts w:hint="eastAsia"/>
              </w:rPr>
              <w:t>用风冷储料桶对塑料粒进行风冷，使得塑料粒能够快速冷却成型，此工序产生噪声N</w:t>
            </w:r>
            <w:r>
              <w:rPr>
                <w:rFonts w:hint="eastAsia"/>
                <w:vertAlign w:val="subscript"/>
              </w:rPr>
              <w:t>1</w:t>
            </w:r>
            <w:r>
              <w:rPr>
                <w:rFonts w:hint="eastAsia"/>
              </w:rPr>
              <w:t>。</w:t>
            </w:r>
          </w:p>
          <w:p w14:paraId="46B039D2">
            <w:pPr>
              <w:ind w:firstLine="482"/>
              <w:jc w:val="both"/>
            </w:pPr>
            <w:r>
              <w:rPr>
                <w:rFonts w:hint="eastAsia"/>
                <w:b/>
                <w:bCs/>
              </w:rPr>
              <w:t>检测：</w:t>
            </w:r>
            <w:r>
              <w:rPr>
                <w:rFonts w:hint="eastAsia"/>
              </w:rPr>
              <w:t>项目采用硬度计、比重仪等设备对产品的性能进行检测，不合格产品经破碎机碎料后回用于生产，此工序产生噪声N</w:t>
            </w:r>
            <w:r>
              <w:rPr>
                <w:rFonts w:hint="eastAsia"/>
                <w:vertAlign w:val="subscript"/>
              </w:rPr>
              <w:t>1</w:t>
            </w:r>
            <w:r>
              <w:rPr>
                <w:rFonts w:hint="eastAsia"/>
              </w:rPr>
              <w:t>。</w:t>
            </w:r>
          </w:p>
          <w:p w14:paraId="00320466">
            <w:pPr>
              <w:tabs>
                <w:tab w:val="right" w:pos="0"/>
              </w:tabs>
              <w:autoSpaceDE w:val="0"/>
              <w:autoSpaceDN w:val="0"/>
              <w:ind w:firstLine="482"/>
              <w:jc w:val="both"/>
              <w:textAlignment w:val="baseline"/>
              <w:rPr>
                <w:rFonts w:cs="宋体"/>
                <w:snapToGrid w:val="0"/>
                <w:color w:val="000000"/>
                <w:kern w:val="0"/>
              </w:rPr>
            </w:pPr>
            <w:r>
              <w:rPr>
                <w:rFonts w:hint="eastAsia" w:cs="宋体"/>
                <w:b/>
                <w:snapToGrid w:val="0"/>
                <w:color w:val="000000"/>
                <w:kern w:val="0"/>
              </w:rPr>
              <w:t>破碎</w:t>
            </w:r>
            <w:r>
              <w:rPr>
                <w:rFonts w:cs="宋体"/>
                <w:snapToGrid w:val="0"/>
              </w:rPr>
              <w:t>：项目</w:t>
            </w:r>
            <w:r>
              <w:rPr>
                <w:rFonts w:hint="eastAsia" w:cs="宋体"/>
                <w:snapToGrid w:val="0"/>
              </w:rPr>
              <w:t>将不合格品、塑胶边角料采用</w:t>
            </w:r>
            <w:r>
              <w:rPr>
                <w:rFonts w:hint="eastAsia" w:cs="宋体"/>
              </w:rPr>
              <w:t>破碎机进行</w:t>
            </w:r>
            <w:r>
              <w:rPr>
                <w:rFonts w:cs="宋体"/>
                <w:snapToGrid w:val="0"/>
              </w:rPr>
              <w:t>碎料，</w:t>
            </w:r>
            <w:r>
              <w:rPr>
                <w:rFonts w:hint="eastAsia" w:cs="宋体"/>
                <w:snapToGrid w:val="0"/>
              </w:rPr>
              <w:t>破碎机密闭运行，仅在</w:t>
            </w:r>
            <w:r>
              <w:rPr>
                <w:rFonts w:hint="eastAsia"/>
              </w:rPr>
              <w:t>开盖时产生少量粉尘，</w:t>
            </w:r>
            <w:r>
              <w:rPr>
                <w:rFonts w:hint="eastAsia" w:cs="宋体"/>
                <w:snapToGrid w:val="0"/>
              </w:rPr>
              <w:t>此工序</w:t>
            </w:r>
            <w:r>
              <w:rPr>
                <w:rFonts w:cs="宋体"/>
                <w:snapToGrid w:val="0"/>
              </w:rPr>
              <w:t>产生</w:t>
            </w:r>
            <w:r>
              <w:rPr>
                <w:rFonts w:hint="eastAsia" w:cs="宋体"/>
                <w:snapToGrid w:val="0"/>
              </w:rPr>
              <w:t>颗粒物G</w:t>
            </w:r>
            <w:r>
              <w:rPr>
                <w:rFonts w:hint="eastAsia" w:cs="宋体"/>
                <w:snapToGrid w:val="0"/>
                <w:vertAlign w:val="subscript"/>
              </w:rPr>
              <w:t>1</w:t>
            </w:r>
            <w:r>
              <w:rPr>
                <w:rFonts w:hint="eastAsia" w:cs="宋体"/>
                <w:snapToGrid w:val="0"/>
              </w:rPr>
              <w:t>、</w:t>
            </w:r>
            <w:r>
              <w:rPr>
                <w:rFonts w:cs="宋体"/>
                <w:snapToGrid w:val="0"/>
              </w:rPr>
              <w:t>噪声</w:t>
            </w:r>
            <w:r>
              <w:rPr>
                <w:rFonts w:hint="eastAsia" w:cs="宋体"/>
                <w:snapToGrid w:val="0"/>
              </w:rPr>
              <w:t>N</w:t>
            </w:r>
            <w:r>
              <w:rPr>
                <w:rFonts w:hint="eastAsia" w:cs="宋体"/>
                <w:snapToGrid w:val="0"/>
                <w:vertAlign w:val="subscript"/>
              </w:rPr>
              <w:t>1</w:t>
            </w:r>
            <w:r>
              <w:rPr>
                <w:rFonts w:cs="宋体"/>
                <w:snapToGrid w:val="0"/>
              </w:rPr>
              <w:t>。</w:t>
            </w:r>
          </w:p>
          <w:p w14:paraId="13F0563F">
            <w:pPr>
              <w:ind w:firstLine="482"/>
              <w:jc w:val="both"/>
            </w:pPr>
            <w:r>
              <w:rPr>
                <w:rFonts w:hint="eastAsia"/>
                <w:b/>
                <w:bCs/>
              </w:rPr>
              <w:t>包装：</w:t>
            </w:r>
            <w:r>
              <w:rPr>
                <w:rFonts w:hint="eastAsia"/>
              </w:rPr>
              <w:t>用打包机对产品进行包装，仿真娃娃需使用包装服饰等包装材料进行人工包装，此工序产生废包装材料S</w:t>
            </w:r>
            <w:r>
              <w:rPr>
                <w:rFonts w:hint="eastAsia"/>
                <w:vertAlign w:val="subscript"/>
              </w:rPr>
              <w:t>2</w:t>
            </w:r>
            <w:r>
              <w:rPr>
                <w:rFonts w:hint="eastAsia"/>
              </w:rPr>
              <w:t>。</w:t>
            </w:r>
          </w:p>
          <w:p w14:paraId="5775FEF1">
            <w:pPr>
              <w:ind w:firstLine="482"/>
              <w:jc w:val="both"/>
              <w:rPr>
                <w:rFonts w:cs="宋体"/>
              </w:rPr>
            </w:pPr>
            <w:r>
              <w:rPr>
                <w:rFonts w:hint="eastAsia"/>
                <w:b/>
                <w:bCs/>
              </w:rPr>
              <w:t>溶胶：</w:t>
            </w:r>
            <w:r>
              <w:rPr>
                <w:rFonts w:hint="eastAsia"/>
              </w:rPr>
              <w:t>项目使用溶胶机加热TPE热塑性弹性体</w:t>
            </w:r>
            <w:r>
              <w:rPr>
                <w:rFonts w:hint="eastAsia" w:cs="宋体"/>
                <w:bCs/>
              </w:rPr>
              <w:t>至熔融状态</w:t>
            </w:r>
            <w:r>
              <w:rPr>
                <w:rFonts w:hint="eastAsia" w:cs="宋体"/>
              </w:rPr>
              <w:t>（加热温度为160-170</w:t>
            </w:r>
            <w:r>
              <w:rPr>
                <w:rFonts w:hint="eastAsia" w:cs="微软雅黑"/>
              </w:rPr>
              <w:t>℃</w:t>
            </w:r>
            <w:r>
              <w:rPr>
                <w:rFonts w:hint="eastAsia" w:cs="宋体"/>
              </w:rPr>
              <w:t>）</w:t>
            </w:r>
            <w:r>
              <w:rPr>
                <w:rFonts w:hint="eastAsia"/>
              </w:rPr>
              <w:t>，用不锈钢桶盛装熔融状态的物料后再通过人工投加至模具中，在模具中自然冷却定型，冷却时间约5h</w:t>
            </w:r>
            <w:r>
              <w:rPr>
                <w:rFonts w:cs="宋体"/>
              </w:rPr>
              <w:t>。该工序产生少量</w:t>
            </w:r>
            <w:r>
              <w:rPr>
                <w:rFonts w:hint="eastAsia" w:cs="宋体"/>
              </w:rPr>
              <w:t>臭气浓度G</w:t>
            </w:r>
            <w:r>
              <w:rPr>
                <w:rFonts w:hint="eastAsia" w:cs="宋体"/>
                <w:vertAlign w:val="subscript"/>
              </w:rPr>
              <w:t>3</w:t>
            </w:r>
            <w:r>
              <w:rPr>
                <w:rFonts w:hint="eastAsia" w:cs="宋体"/>
              </w:rPr>
              <w:t>和</w:t>
            </w:r>
            <w:r>
              <w:rPr>
                <w:rFonts w:cs="宋体"/>
              </w:rPr>
              <w:t>有机废气</w:t>
            </w:r>
            <w:bookmarkStart w:id="158" w:name="OLE_LINK281"/>
            <w:r>
              <w:rPr>
                <w:rFonts w:hint="eastAsia" w:cs="宋体"/>
              </w:rPr>
              <w:t>G</w:t>
            </w:r>
            <w:r>
              <w:rPr>
                <w:rFonts w:hint="eastAsia" w:cs="宋体"/>
                <w:vertAlign w:val="subscript"/>
              </w:rPr>
              <w:t>2</w:t>
            </w:r>
            <w:bookmarkEnd w:id="158"/>
            <w:r>
              <w:rPr>
                <w:rFonts w:cs="宋体"/>
              </w:rPr>
              <w:t>（</w:t>
            </w:r>
            <w:r>
              <w:rPr>
                <w:rFonts w:hint="eastAsia" w:cs="宋体"/>
              </w:rPr>
              <w:t>以</w:t>
            </w:r>
            <w:r>
              <w:rPr>
                <w:rFonts w:cs="宋体"/>
              </w:rPr>
              <w:t>非甲烷总烃</w:t>
            </w:r>
            <w:r>
              <w:rPr>
                <w:rFonts w:hint="eastAsia" w:cs="宋体"/>
              </w:rPr>
              <w:t>计</w:t>
            </w:r>
            <w:r>
              <w:rPr>
                <w:rFonts w:cs="宋体"/>
              </w:rPr>
              <w:t>）、噪声</w:t>
            </w:r>
            <w:r>
              <w:rPr>
                <w:rFonts w:hint="eastAsia" w:cs="宋体"/>
                <w:kern w:val="0"/>
              </w:rPr>
              <w:t>N</w:t>
            </w:r>
            <w:r>
              <w:rPr>
                <w:rFonts w:hint="eastAsia" w:cs="宋体"/>
                <w:kern w:val="0"/>
                <w:vertAlign w:val="subscript"/>
              </w:rPr>
              <w:t>1</w:t>
            </w:r>
            <w:r>
              <w:rPr>
                <w:rFonts w:cs="宋体"/>
              </w:rPr>
              <w:t>和塑胶边角料，塑胶边角料</w:t>
            </w:r>
            <w:r>
              <w:rPr>
                <w:rFonts w:hint="eastAsia" w:cs="宋体"/>
              </w:rPr>
              <w:t>进行破碎</w:t>
            </w:r>
            <w:r>
              <w:rPr>
                <w:rFonts w:cs="宋体"/>
              </w:rPr>
              <w:t>后回用于</w:t>
            </w:r>
            <w:r>
              <w:rPr>
                <w:rFonts w:hint="eastAsia" w:cs="宋体"/>
              </w:rPr>
              <w:t>混料工序，不锈钢桶、模具循环利用，无固废产生</w:t>
            </w:r>
            <w:r>
              <w:rPr>
                <w:rFonts w:cs="宋体"/>
              </w:rPr>
              <w:t>。</w:t>
            </w:r>
          </w:p>
          <w:p w14:paraId="7C816897">
            <w:pPr>
              <w:ind w:firstLine="482"/>
              <w:jc w:val="both"/>
              <w:rPr>
                <w:rFonts w:cs="宋体"/>
              </w:rPr>
            </w:pPr>
            <w:r>
              <w:rPr>
                <w:rFonts w:hint="eastAsia" w:cs="宋体"/>
                <w:b/>
                <w:bCs/>
              </w:rPr>
              <w:t>人工检验：</w:t>
            </w:r>
            <w:r>
              <w:rPr>
                <w:rFonts w:hint="eastAsia" w:cs="宋体"/>
              </w:rPr>
              <w:t>项目人工检验产品的外观和质量，不合格产品进行破碎后回用于混料工序。</w:t>
            </w:r>
          </w:p>
          <w:p w14:paraId="4AE65255">
            <w:pPr>
              <w:ind w:firstLine="482"/>
              <w:rPr>
                <w:b/>
                <w:bCs/>
              </w:rPr>
            </w:pPr>
            <w:r>
              <w:rPr>
                <w:b/>
                <w:bCs/>
              </w:rPr>
              <w:t>2、</w:t>
            </w:r>
            <w:r>
              <w:rPr>
                <w:rFonts w:hint="eastAsia"/>
                <w:b/>
                <w:bCs/>
              </w:rPr>
              <w:t>产污环节</w:t>
            </w:r>
          </w:p>
          <w:p w14:paraId="6DBBADB8">
            <w:pPr>
              <w:pStyle w:val="16"/>
              <w:rPr>
                <w:kern w:val="2"/>
                <w:szCs w:val="24"/>
              </w:rPr>
            </w:pPr>
            <w:bookmarkStart w:id="159" w:name="OLE_LINK80"/>
            <w:r>
              <w:rPr>
                <w:kern w:val="2"/>
                <w:szCs w:val="24"/>
              </w:rPr>
              <w:t>表2-</w:t>
            </w:r>
            <w:r>
              <w:rPr>
                <w:rFonts w:hint="eastAsia"/>
                <w:kern w:val="2"/>
                <w:szCs w:val="24"/>
              </w:rPr>
              <w:t>8</w:t>
            </w:r>
            <w:r>
              <w:rPr>
                <w:kern w:val="2"/>
                <w:szCs w:val="24"/>
              </w:rPr>
              <w:t xml:space="preserve"> 本项目主要污染环节及排污特征表</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6"/>
              <w:gridCol w:w="760"/>
              <w:gridCol w:w="1786"/>
              <w:gridCol w:w="2082"/>
              <w:gridCol w:w="3255"/>
            </w:tblGrid>
            <w:tr w14:paraId="7E8CEB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395" w:type="pct"/>
                  <w:vAlign w:val="center"/>
                </w:tcPr>
                <w:p w14:paraId="1D0D8AB4">
                  <w:pPr>
                    <w:pStyle w:val="8"/>
                    <w:rPr>
                      <w:b/>
                      <w:bCs/>
                    </w:rPr>
                  </w:pPr>
                  <w:r>
                    <w:rPr>
                      <w:b/>
                      <w:bCs/>
                    </w:rPr>
                    <w:t>类别</w:t>
                  </w:r>
                </w:p>
              </w:tc>
              <w:tc>
                <w:tcPr>
                  <w:tcW w:w="1487" w:type="pct"/>
                  <w:gridSpan w:val="2"/>
                  <w:vAlign w:val="center"/>
                </w:tcPr>
                <w:p w14:paraId="1EC6C1D0">
                  <w:pPr>
                    <w:pStyle w:val="8"/>
                    <w:rPr>
                      <w:b/>
                      <w:bCs/>
                    </w:rPr>
                  </w:pPr>
                  <w:r>
                    <w:rPr>
                      <w:b/>
                      <w:bCs/>
                    </w:rPr>
                    <w:t>产污工序</w:t>
                  </w:r>
                </w:p>
              </w:tc>
              <w:tc>
                <w:tcPr>
                  <w:tcW w:w="1216" w:type="pct"/>
                  <w:vAlign w:val="center"/>
                </w:tcPr>
                <w:p w14:paraId="56018123">
                  <w:pPr>
                    <w:pStyle w:val="8"/>
                    <w:rPr>
                      <w:b/>
                      <w:bCs/>
                    </w:rPr>
                  </w:pPr>
                  <w:r>
                    <w:rPr>
                      <w:b/>
                      <w:bCs/>
                    </w:rPr>
                    <w:t>污染物</w:t>
                  </w:r>
                </w:p>
              </w:tc>
              <w:tc>
                <w:tcPr>
                  <w:tcW w:w="1900" w:type="pct"/>
                  <w:vAlign w:val="center"/>
                </w:tcPr>
                <w:p w14:paraId="61280948">
                  <w:pPr>
                    <w:pStyle w:val="8"/>
                    <w:rPr>
                      <w:b/>
                      <w:bCs/>
                    </w:rPr>
                  </w:pPr>
                  <w:r>
                    <w:rPr>
                      <w:b/>
                      <w:bCs/>
                    </w:rPr>
                    <w:t>措施及去向</w:t>
                  </w:r>
                </w:p>
              </w:tc>
            </w:tr>
            <w:tr w14:paraId="5F4C6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395" w:type="pct"/>
                  <w:vAlign w:val="center"/>
                </w:tcPr>
                <w:p w14:paraId="019DFE7F">
                  <w:pPr>
                    <w:pStyle w:val="8"/>
                  </w:pPr>
                  <w:r>
                    <w:t>废水</w:t>
                  </w:r>
                </w:p>
              </w:tc>
              <w:tc>
                <w:tcPr>
                  <w:tcW w:w="1487" w:type="pct"/>
                  <w:gridSpan w:val="2"/>
                  <w:shd w:val="clear" w:color="auto" w:fill="auto"/>
                  <w:vAlign w:val="center"/>
                </w:tcPr>
                <w:p w14:paraId="3AB75105">
                  <w:pPr>
                    <w:pStyle w:val="8"/>
                  </w:pPr>
                  <w:r>
                    <w:t>员工</w:t>
                  </w:r>
                  <w:r>
                    <w:rPr>
                      <w:rFonts w:hint="eastAsia"/>
                    </w:rPr>
                    <w:t>办公</w:t>
                  </w:r>
                </w:p>
              </w:tc>
              <w:tc>
                <w:tcPr>
                  <w:tcW w:w="1216" w:type="pct"/>
                  <w:shd w:val="clear" w:color="auto" w:fill="auto"/>
                  <w:vAlign w:val="center"/>
                </w:tcPr>
                <w:p w14:paraId="36AD0852">
                  <w:pPr>
                    <w:pStyle w:val="8"/>
                  </w:pPr>
                  <w:r>
                    <w:t>COD</w:t>
                  </w:r>
                  <w:r>
                    <w:rPr>
                      <w:vertAlign w:val="subscript"/>
                    </w:rPr>
                    <w:t>Cr</w:t>
                  </w:r>
                  <w:r>
                    <w:t>、BOD</w:t>
                  </w:r>
                  <w:r>
                    <w:rPr>
                      <w:vertAlign w:val="subscript"/>
                    </w:rPr>
                    <w:t>5</w:t>
                  </w:r>
                  <w:r>
                    <w:t>、SS、氨氮</w:t>
                  </w:r>
                  <w:r>
                    <w:rPr>
                      <w:rFonts w:hint="eastAsia"/>
                    </w:rPr>
                    <w:t>等</w:t>
                  </w:r>
                </w:p>
              </w:tc>
              <w:tc>
                <w:tcPr>
                  <w:tcW w:w="1900" w:type="pct"/>
                  <w:vAlign w:val="center"/>
                </w:tcPr>
                <w:p w14:paraId="7EFE9A07">
                  <w:pPr>
                    <w:pStyle w:val="8"/>
                  </w:pPr>
                  <w:r>
                    <w:t>经</w:t>
                  </w:r>
                  <w:r>
                    <w:rPr>
                      <w:rFonts w:hint="eastAsia"/>
                    </w:rPr>
                    <w:t>三级化粪池</w:t>
                  </w:r>
                  <w:r>
                    <w:t>预处理后经污水管网排入</w:t>
                  </w:r>
                  <w:r>
                    <w:rPr>
                      <w:rFonts w:hint="eastAsia"/>
                    </w:rPr>
                    <w:t>园洲镇第五污水处理厂</w:t>
                  </w:r>
                  <w:r>
                    <w:t>集中处理</w:t>
                  </w:r>
                </w:p>
              </w:tc>
            </w:tr>
            <w:tr w14:paraId="10A58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jc w:val="center"/>
              </w:trPr>
              <w:tc>
                <w:tcPr>
                  <w:tcW w:w="395" w:type="pct"/>
                  <w:vMerge w:val="restart"/>
                  <w:vAlign w:val="center"/>
                </w:tcPr>
                <w:p w14:paraId="0BF2D386">
                  <w:pPr>
                    <w:pStyle w:val="8"/>
                  </w:pPr>
                  <w:r>
                    <w:rPr>
                      <w:rFonts w:hint="eastAsia"/>
                    </w:rPr>
                    <w:t>废气</w:t>
                  </w:r>
                </w:p>
              </w:tc>
              <w:tc>
                <w:tcPr>
                  <w:tcW w:w="1487" w:type="pct"/>
                  <w:gridSpan w:val="2"/>
                  <w:shd w:val="clear" w:color="auto" w:fill="auto"/>
                  <w:vAlign w:val="center"/>
                </w:tcPr>
                <w:p w14:paraId="5588BA58">
                  <w:pPr>
                    <w:pStyle w:val="8"/>
                  </w:pPr>
                  <w:r>
                    <w:rPr>
                      <w:rFonts w:hint="eastAsia"/>
                    </w:rPr>
                    <w:t>挤出、溶胶</w:t>
                  </w:r>
                </w:p>
              </w:tc>
              <w:tc>
                <w:tcPr>
                  <w:tcW w:w="1216" w:type="pct"/>
                  <w:shd w:val="clear" w:color="auto" w:fill="auto"/>
                  <w:vAlign w:val="center"/>
                </w:tcPr>
                <w:p w14:paraId="09C53DA5">
                  <w:pPr>
                    <w:pStyle w:val="8"/>
                  </w:pPr>
                  <w:r>
                    <w:t>非甲烷总烃</w:t>
                  </w:r>
                  <w:r>
                    <w:rPr>
                      <w:rFonts w:hint="eastAsia"/>
                    </w:rPr>
                    <w:t>、臭气浓度</w:t>
                  </w:r>
                </w:p>
              </w:tc>
              <w:tc>
                <w:tcPr>
                  <w:tcW w:w="1900" w:type="pct"/>
                  <w:vMerge w:val="restart"/>
                  <w:vAlign w:val="center"/>
                </w:tcPr>
                <w:p w14:paraId="1FF9BC70">
                  <w:pPr>
                    <w:pStyle w:val="8"/>
                  </w:pPr>
                  <w:bookmarkStart w:id="160" w:name="OLE_LINK212"/>
                  <w:r>
                    <w:rPr>
                      <w:rFonts w:hint="eastAsia"/>
                      <w:szCs w:val="21"/>
                    </w:rPr>
                    <w:t>经“水喷淋+干式过滤器+二级活性炭吸附装置”</w:t>
                  </w:r>
                  <w:bookmarkEnd w:id="160"/>
                  <w:r>
                    <w:t>处理后由</w:t>
                  </w:r>
                  <w:r>
                    <w:rPr>
                      <w:rFonts w:hint="eastAsia"/>
                    </w:rPr>
                    <w:t>30m排气筒DA001高空</w:t>
                  </w:r>
                  <w:r>
                    <w:t>排放</w:t>
                  </w:r>
                </w:p>
              </w:tc>
            </w:tr>
            <w:tr w14:paraId="2E087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5" w:hRule="atLeast"/>
                <w:jc w:val="center"/>
              </w:trPr>
              <w:tc>
                <w:tcPr>
                  <w:tcW w:w="395" w:type="pct"/>
                  <w:vMerge w:val="continue"/>
                  <w:vAlign w:val="center"/>
                </w:tcPr>
                <w:p w14:paraId="266D466D">
                  <w:pPr>
                    <w:pStyle w:val="8"/>
                  </w:pPr>
                </w:p>
              </w:tc>
              <w:tc>
                <w:tcPr>
                  <w:tcW w:w="1487" w:type="pct"/>
                  <w:gridSpan w:val="2"/>
                  <w:shd w:val="clear" w:color="auto" w:fill="auto"/>
                  <w:vAlign w:val="center"/>
                </w:tcPr>
                <w:p w14:paraId="0CCBF086">
                  <w:pPr>
                    <w:pStyle w:val="8"/>
                  </w:pPr>
                  <w:r>
                    <w:rPr>
                      <w:rFonts w:hint="eastAsia"/>
                    </w:rPr>
                    <w:t>投料、破碎</w:t>
                  </w:r>
                </w:p>
              </w:tc>
              <w:tc>
                <w:tcPr>
                  <w:tcW w:w="1216" w:type="pct"/>
                  <w:shd w:val="clear" w:color="auto" w:fill="auto"/>
                  <w:vAlign w:val="center"/>
                </w:tcPr>
                <w:p w14:paraId="605B7DFE">
                  <w:pPr>
                    <w:pStyle w:val="8"/>
                  </w:pPr>
                  <w:r>
                    <w:rPr>
                      <w:rFonts w:hint="eastAsia"/>
                    </w:rPr>
                    <w:t>颗粒物</w:t>
                  </w:r>
                </w:p>
              </w:tc>
              <w:tc>
                <w:tcPr>
                  <w:tcW w:w="1900" w:type="pct"/>
                  <w:vMerge w:val="continue"/>
                  <w:vAlign w:val="center"/>
                </w:tcPr>
                <w:p w14:paraId="72352D64">
                  <w:pPr>
                    <w:pStyle w:val="8"/>
                    <w:rPr>
                      <w:szCs w:val="21"/>
                      <w:highlight w:val="yellow"/>
                    </w:rPr>
                  </w:pPr>
                </w:p>
              </w:tc>
            </w:tr>
            <w:tr w14:paraId="01C4E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395" w:type="pct"/>
                  <w:vAlign w:val="center"/>
                </w:tcPr>
                <w:p w14:paraId="194439DB">
                  <w:pPr>
                    <w:pStyle w:val="8"/>
                  </w:pPr>
                  <w:r>
                    <w:t>噪声</w:t>
                  </w:r>
                </w:p>
              </w:tc>
              <w:tc>
                <w:tcPr>
                  <w:tcW w:w="1487" w:type="pct"/>
                  <w:gridSpan w:val="2"/>
                  <w:shd w:val="clear" w:color="auto" w:fill="auto"/>
                  <w:vAlign w:val="center"/>
                </w:tcPr>
                <w:p w14:paraId="77662A65">
                  <w:pPr>
                    <w:pStyle w:val="8"/>
                  </w:pPr>
                  <w:r>
                    <w:t>机械设备</w:t>
                  </w:r>
                </w:p>
              </w:tc>
              <w:tc>
                <w:tcPr>
                  <w:tcW w:w="1216" w:type="pct"/>
                  <w:shd w:val="clear" w:color="auto" w:fill="auto"/>
                  <w:vAlign w:val="center"/>
                </w:tcPr>
                <w:p w14:paraId="1990189E">
                  <w:pPr>
                    <w:pStyle w:val="8"/>
                  </w:pPr>
                  <w:r>
                    <w:t>噪声</w:t>
                  </w:r>
                </w:p>
              </w:tc>
              <w:tc>
                <w:tcPr>
                  <w:tcW w:w="1900" w:type="pct"/>
                  <w:vAlign w:val="center"/>
                </w:tcPr>
                <w:p w14:paraId="0D1749DA">
                  <w:pPr>
                    <w:pStyle w:val="8"/>
                  </w:pPr>
                  <w:r>
                    <w:t>选用低噪声设备，采用隔声</w:t>
                  </w:r>
                  <w:r>
                    <w:rPr>
                      <w:rFonts w:hint="eastAsia"/>
                    </w:rPr>
                    <w:t>、</w:t>
                  </w:r>
                  <w:r>
                    <w:t>减震</w:t>
                  </w:r>
                  <w:r>
                    <w:rPr>
                      <w:rFonts w:hint="eastAsia"/>
                    </w:rPr>
                    <w:t>等</w:t>
                  </w:r>
                  <w:r>
                    <w:t>降噪</w:t>
                  </w:r>
                  <w:r>
                    <w:rPr>
                      <w:rFonts w:hint="eastAsia"/>
                    </w:rPr>
                    <w:t>措施</w:t>
                  </w:r>
                </w:p>
              </w:tc>
            </w:tr>
            <w:tr w14:paraId="2EE20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395" w:type="pct"/>
                  <w:vMerge w:val="restart"/>
                  <w:vAlign w:val="center"/>
                </w:tcPr>
                <w:p w14:paraId="17368CDA">
                  <w:pPr>
                    <w:pStyle w:val="8"/>
                  </w:pPr>
                  <w:r>
                    <w:t>固废</w:t>
                  </w:r>
                </w:p>
              </w:tc>
              <w:tc>
                <w:tcPr>
                  <w:tcW w:w="444" w:type="pct"/>
                  <w:shd w:val="clear" w:color="auto" w:fill="auto"/>
                  <w:vAlign w:val="center"/>
                </w:tcPr>
                <w:p w14:paraId="1FD13A04">
                  <w:pPr>
                    <w:pStyle w:val="8"/>
                  </w:pPr>
                  <w:r>
                    <w:rPr>
                      <w:rFonts w:hint="eastAsia"/>
                    </w:rPr>
                    <w:t>生活垃圾</w:t>
                  </w:r>
                </w:p>
              </w:tc>
              <w:tc>
                <w:tcPr>
                  <w:tcW w:w="1043" w:type="pct"/>
                  <w:shd w:val="clear" w:color="auto" w:fill="auto"/>
                  <w:vAlign w:val="center"/>
                </w:tcPr>
                <w:p w14:paraId="137D037E">
                  <w:pPr>
                    <w:pStyle w:val="8"/>
                  </w:pPr>
                  <w:r>
                    <w:t>员工</w:t>
                  </w:r>
                </w:p>
              </w:tc>
              <w:tc>
                <w:tcPr>
                  <w:tcW w:w="1216" w:type="pct"/>
                  <w:vAlign w:val="center"/>
                </w:tcPr>
                <w:p w14:paraId="7D2583CE">
                  <w:pPr>
                    <w:pStyle w:val="8"/>
                  </w:pPr>
                  <w:r>
                    <w:t>生活垃圾</w:t>
                  </w:r>
                </w:p>
              </w:tc>
              <w:tc>
                <w:tcPr>
                  <w:tcW w:w="1900" w:type="pct"/>
                  <w:vAlign w:val="center"/>
                </w:tcPr>
                <w:p w14:paraId="489094AE">
                  <w:pPr>
                    <w:pStyle w:val="8"/>
                  </w:pPr>
                  <w:r>
                    <w:t>交由环卫部门处理</w:t>
                  </w:r>
                </w:p>
              </w:tc>
            </w:tr>
            <w:tr w14:paraId="52E8A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395" w:type="pct"/>
                  <w:vMerge w:val="continue"/>
                  <w:vAlign w:val="center"/>
                </w:tcPr>
                <w:p w14:paraId="472AB0A6">
                  <w:pPr>
                    <w:pStyle w:val="8"/>
                  </w:pPr>
                </w:p>
              </w:tc>
              <w:tc>
                <w:tcPr>
                  <w:tcW w:w="444" w:type="pct"/>
                  <w:vMerge w:val="restart"/>
                  <w:vAlign w:val="center"/>
                </w:tcPr>
                <w:p w14:paraId="3E93428D">
                  <w:pPr>
                    <w:pStyle w:val="8"/>
                    <w:rPr>
                      <w:rFonts w:cs="宋体"/>
                      <w:szCs w:val="21"/>
                    </w:rPr>
                  </w:pPr>
                  <w:r>
                    <w:rPr>
                      <w:rFonts w:hint="eastAsia" w:cs="宋体"/>
                      <w:szCs w:val="21"/>
                    </w:rPr>
                    <w:t>一般固废</w:t>
                  </w:r>
                </w:p>
              </w:tc>
              <w:tc>
                <w:tcPr>
                  <w:tcW w:w="1043" w:type="pct"/>
                  <w:shd w:val="clear" w:color="auto" w:fill="auto"/>
                  <w:vAlign w:val="center"/>
                </w:tcPr>
                <w:p w14:paraId="58E734E8">
                  <w:pPr>
                    <w:pStyle w:val="8"/>
                    <w:rPr>
                      <w:rFonts w:cs="宋体"/>
                      <w:szCs w:val="21"/>
                    </w:rPr>
                  </w:pPr>
                  <w:r>
                    <w:rPr>
                      <w:rFonts w:hint="eastAsia" w:cs="宋体"/>
                      <w:szCs w:val="21"/>
                    </w:rPr>
                    <w:t>包装</w:t>
                  </w:r>
                </w:p>
              </w:tc>
              <w:tc>
                <w:tcPr>
                  <w:tcW w:w="1216" w:type="pct"/>
                  <w:shd w:val="clear" w:color="auto" w:fill="auto"/>
                  <w:vAlign w:val="center"/>
                </w:tcPr>
                <w:p w14:paraId="654C272B">
                  <w:pPr>
                    <w:pStyle w:val="8"/>
                    <w:rPr>
                      <w:rFonts w:cs="宋体"/>
                      <w:szCs w:val="21"/>
                    </w:rPr>
                  </w:pPr>
                  <w:r>
                    <w:rPr>
                      <w:rFonts w:hint="eastAsia" w:cs="宋体"/>
                      <w:szCs w:val="21"/>
                    </w:rPr>
                    <w:t>废包装材料</w:t>
                  </w:r>
                </w:p>
              </w:tc>
              <w:tc>
                <w:tcPr>
                  <w:tcW w:w="1900" w:type="pct"/>
                  <w:vAlign w:val="center"/>
                </w:tcPr>
                <w:p w14:paraId="6DF36804">
                  <w:pPr>
                    <w:pStyle w:val="8"/>
                  </w:pPr>
                  <w:r>
                    <w:rPr>
                      <w:rFonts w:hint="eastAsia"/>
                    </w:rPr>
                    <w:t>交由专业回收单位回收处理</w:t>
                  </w:r>
                </w:p>
              </w:tc>
            </w:tr>
            <w:tr w14:paraId="2C5B9A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395" w:type="pct"/>
                  <w:vMerge w:val="continue"/>
                  <w:vAlign w:val="center"/>
                </w:tcPr>
                <w:p w14:paraId="1A717BD0">
                  <w:pPr>
                    <w:pStyle w:val="8"/>
                  </w:pPr>
                  <w:bookmarkStart w:id="161" w:name="OLE_LINK180" w:colFirst="2" w:colLast="3"/>
                </w:p>
              </w:tc>
              <w:tc>
                <w:tcPr>
                  <w:tcW w:w="444" w:type="pct"/>
                  <w:vMerge w:val="continue"/>
                  <w:vAlign w:val="center"/>
                </w:tcPr>
                <w:p w14:paraId="5F6F9E3F">
                  <w:pPr>
                    <w:pStyle w:val="8"/>
                    <w:rPr>
                      <w:rFonts w:cs="宋体"/>
                      <w:szCs w:val="21"/>
                    </w:rPr>
                  </w:pPr>
                </w:p>
              </w:tc>
              <w:tc>
                <w:tcPr>
                  <w:tcW w:w="1043" w:type="pct"/>
                  <w:shd w:val="clear" w:color="auto" w:fill="auto"/>
                  <w:vAlign w:val="center"/>
                </w:tcPr>
                <w:p w14:paraId="47B63B0F">
                  <w:pPr>
                    <w:pStyle w:val="8"/>
                    <w:rPr>
                      <w:rFonts w:cs="宋体"/>
                      <w:szCs w:val="21"/>
                    </w:rPr>
                  </w:pPr>
                  <w:r>
                    <w:rPr>
                      <w:rFonts w:hint="eastAsia" w:cs="宋体"/>
                      <w:szCs w:val="21"/>
                    </w:rPr>
                    <w:t>废水处理设施</w:t>
                  </w:r>
                </w:p>
              </w:tc>
              <w:tc>
                <w:tcPr>
                  <w:tcW w:w="1216" w:type="pct"/>
                  <w:shd w:val="clear" w:color="auto" w:fill="auto"/>
                  <w:vAlign w:val="center"/>
                </w:tcPr>
                <w:p w14:paraId="606EB53F">
                  <w:pPr>
                    <w:pStyle w:val="8"/>
                    <w:rPr>
                      <w:rFonts w:cs="宋体"/>
                      <w:szCs w:val="21"/>
                    </w:rPr>
                  </w:pPr>
                  <w:r>
                    <w:rPr>
                      <w:rFonts w:hint="eastAsia" w:cs="宋体"/>
                      <w:szCs w:val="21"/>
                    </w:rPr>
                    <w:t>冷却废水污泥</w:t>
                  </w:r>
                </w:p>
              </w:tc>
              <w:tc>
                <w:tcPr>
                  <w:tcW w:w="1900" w:type="pct"/>
                  <w:vAlign w:val="center"/>
                </w:tcPr>
                <w:p w14:paraId="401F75CF">
                  <w:pPr>
                    <w:pStyle w:val="8"/>
                  </w:pPr>
                  <w:r>
                    <w:rPr>
                      <w:rFonts w:hint="eastAsia"/>
                    </w:rPr>
                    <w:t>交由有相应处理工艺的资质单位处理</w:t>
                  </w:r>
                </w:p>
              </w:tc>
            </w:tr>
            <w:tr w14:paraId="47DEC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395" w:type="pct"/>
                  <w:vMerge w:val="continue"/>
                  <w:vAlign w:val="center"/>
                </w:tcPr>
                <w:p w14:paraId="05D101C5">
                  <w:pPr>
                    <w:pStyle w:val="8"/>
                  </w:pPr>
                </w:p>
              </w:tc>
              <w:tc>
                <w:tcPr>
                  <w:tcW w:w="444" w:type="pct"/>
                  <w:vMerge w:val="restart"/>
                  <w:vAlign w:val="center"/>
                </w:tcPr>
                <w:p w14:paraId="5690C478">
                  <w:pPr>
                    <w:pStyle w:val="8"/>
                    <w:rPr>
                      <w:rFonts w:cs="宋体"/>
                      <w:szCs w:val="21"/>
                    </w:rPr>
                  </w:pPr>
                  <w:r>
                    <w:rPr>
                      <w:rFonts w:cs="宋体"/>
                      <w:szCs w:val="21"/>
                    </w:rPr>
                    <w:t>危险</w:t>
                  </w:r>
                  <w:r>
                    <w:rPr>
                      <w:rFonts w:hint="eastAsia" w:cs="宋体"/>
                      <w:szCs w:val="21"/>
                    </w:rPr>
                    <w:t>废物</w:t>
                  </w:r>
                </w:p>
              </w:tc>
              <w:tc>
                <w:tcPr>
                  <w:tcW w:w="1043" w:type="pct"/>
                  <w:shd w:val="clear" w:color="auto" w:fill="auto"/>
                  <w:vAlign w:val="center"/>
                </w:tcPr>
                <w:p w14:paraId="5B55F8C7">
                  <w:pPr>
                    <w:pStyle w:val="8"/>
                    <w:rPr>
                      <w:rFonts w:cs="宋体"/>
                      <w:szCs w:val="21"/>
                    </w:rPr>
                  </w:pPr>
                  <w:r>
                    <w:rPr>
                      <w:rFonts w:hint="eastAsia" w:cs="宋体"/>
                      <w:szCs w:val="21"/>
                    </w:rPr>
                    <w:t>设备维护和保养</w:t>
                  </w:r>
                </w:p>
              </w:tc>
              <w:tc>
                <w:tcPr>
                  <w:tcW w:w="1216" w:type="pct"/>
                  <w:shd w:val="clear" w:color="auto" w:fill="auto"/>
                  <w:vAlign w:val="center"/>
                </w:tcPr>
                <w:p w14:paraId="36564D8F">
                  <w:pPr>
                    <w:pStyle w:val="8"/>
                    <w:rPr>
                      <w:rFonts w:cs="宋体"/>
                      <w:color w:val="auto"/>
                      <w:szCs w:val="21"/>
                    </w:rPr>
                  </w:pPr>
                  <w:r>
                    <w:rPr>
                      <w:rFonts w:hint="eastAsia" w:cs="宋体"/>
                      <w:color w:val="auto"/>
                      <w:szCs w:val="21"/>
                    </w:rPr>
                    <w:t>废润滑油、废含油抹布/手套、</w:t>
                  </w:r>
                  <w:bookmarkStart w:id="162" w:name="OLE_LINK224"/>
                  <w:r>
                    <w:rPr>
                      <w:rFonts w:hint="eastAsia" w:cs="宋体"/>
                      <w:color w:val="auto"/>
                      <w:szCs w:val="21"/>
                    </w:rPr>
                    <w:t>废包装桶</w:t>
                  </w:r>
                  <w:bookmarkEnd w:id="162"/>
                </w:p>
              </w:tc>
              <w:tc>
                <w:tcPr>
                  <w:tcW w:w="1900" w:type="pct"/>
                  <w:vMerge w:val="restart"/>
                  <w:vAlign w:val="center"/>
                </w:tcPr>
                <w:p w14:paraId="051E2797">
                  <w:pPr>
                    <w:pStyle w:val="8"/>
                    <w:rPr>
                      <w:color w:val="auto"/>
                    </w:rPr>
                  </w:pPr>
                  <w:r>
                    <w:rPr>
                      <w:rFonts w:hint="eastAsia"/>
                      <w:color w:val="auto"/>
                    </w:rPr>
                    <w:t>交由有危险废物处理资质单位处理处置</w:t>
                  </w:r>
                </w:p>
              </w:tc>
            </w:tr>
            <w:bookmarkEnd w:id="161"/>
            <w:tr w14:paraId="42511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395" w:type="pct"/>
                  <w:vMerge w:val="continue"/>
                  <w:vAlign w:val="center"/>
                </w:tcPr>
                <w:p w14:paraId="00DCE63F">
                  <w:pPr>
                    <w:pStyle w:val="8"/>
                  </w:pPr>
                </w:p>
              </w:tc>
              <w:tc>
                <w:tcPr>
                  <w:tcW w:w="444" w:type="pct"/>
                  <w:vMerge w:val="continue"/>
                  <w:vAlign w:val="center"/>
                </w:tcPr>
                <w:p w14:paraId="0F4CA280">
                  <w:pPr>
                    <w:pStyle w:val="8"/>
                    <w:rPr>
                      <w:rFonts w:cs="宋体"/>
                      <w:szCs w:val="21"/>
                    </w:rPr>
                  </w:pPr>
                </w:p>
              </w:tc>
              <w:tc>
                <w:tcPr>
                  <w:tcW w:w="1043" w:type="pct"/>
                  <w:shd w:val="clear" w:color="auto" w:fill="auto"/>
                  <w:vAlign w:val="center"/>
                </w:tcPr>
                <w:p w14:paraId="4315F1CA">
                  <w:pPr>
                    <w:pStyle w:val="8"/>
                    <w:rPr>
                      <w:rFonts w:cs="宋体"/>
                      <w:szCs w:val="21"/>
                    </w:rPr>
                  </w:pPr>
                  <w:r>
                    <w:rPr>
                      <w:rFonts w:hint="eastAsia" w:cs="宋体"/>
                      <w:szCs w:val="21"/>
                    </w:rPr>
                    <w:t>废气处理</w:t>
                  </w:r>
                </w:p>
              </w:tc>
              <w:tc>
                <w:tcPr>
                  <w:tcW w:w="1216" w:type="pct"/>
                  <w:shd w:val="clear" w:color="auto" w:fill="auto"/>
                  <w:vAlign w:val="center"/>
                </w:tcPr>
                <w:p w14:paraId="0492F0C5">
                  <w:pPr>
                    <w:pStyle w:val="8"/>
                    <w:rPr>
                      <w:rFonts w:cs="宋体"/>
                      <w:color w:val="auto"/>
                      <w:szCs w:val="21"/>
                    </w:rPr>
                  </w:pPr>
                  <w:r>
                    <w:rPr>
                      <w:rFonts w:hint="eastAsia" w:cs="宋体"/>
                      <w:color w:val="auto"/>
                      <w:szCs w:val="21"/>
                    </w:rPr>
                    <w:t>废活性炭、喷淋废水（含沉渣）、废过滤棉</w:t>
                  </w:r>
                </w:p>
              </w:tc>
              <w:tc>
                <w:tcPr>
                  <w:tcW w:w="1900" w:type="pct"/>
                  <w:vMerge w:val="continue"/>
                  <w:vAlign w:val="center"/>
                </w:tcPr>
                <w:p w14:paraId="7339EC9A">
                  <w:pPr>
                    <w:pStyle w:val="8"/>
                    <w:rPr>
                      <w:color w:val="auto"/>
                    </w:rPr>
                  </w:pPr>
                </w:p>
              </w:tc>
            </w:tr>
            <w:bookmarkEnd w:id="159"/>
          </w:tbl>
          <w:p w14:paraId="1AA16C48">
            <w:pPr>
              <w:adjustRightInd w:val="0"/>
              <w:snapToGrid w:val="0"/>
              <w:ind w:firstLine="0" w:firstLineChars="0"/>
              <w:rPr>
                <w:bCs/>
              </w:rPr>
            </w:pPr>
          </w:p>
        </w:tc>
      </w:tr>
      <w:tr w14:paraId="58E75C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91" w:hRule="atLeast"/>
          <w:jc w:val="center"/>
        </w:trPr>
        <w:tc>
          <w:tcPr>
            <w:tcW w:w="272" w:type="pct"/>
            <w:vAlign w:val="center"/>
          </w:tcPr>
          <w:p w14:paraId="7535F203">
            <w:pPr>
              <w:pStyle w:val="30"/>
              <w:adjustRightInd w:val="0"/>
              <w:snapToGrid w:val="0"/>
              <w:spacing w:before="0" w:beforeAutospacing="0" w:after="0" w:afterAutospacing="0"/>
              <w:ind w:firstLine="0" w:firstLineChars="0"/>
              <w:jc w:val="center"/>
              <w:rPr>
                <w:rFonts w:ascii="Times New Roman" w:hAnsi="Times New Roman"/>
                <w:szCs w:val="24"/>
              </w:rPr>
            </w:pPr>
            <w:r>
              <w:rPr>
                <w:rFonts w:ascii="Times New Roman" w:hAnsi="Times New Roman"/>
                <w:bCs/>
                <w:kern w:val="2"/>
                <w:szCs w:val="24"/>
              </w:rPr>
              <w:t>与项目有关的原有环境污染问题</w:t>
            </w:r>
          </w:p>
        </w:tc>
        <w:tc>
          <w:tcPr>
            <w:tcW w:w="4727" w:type="pct"/>
            <w:vAlign w:val="center"/>
          </w:tcPr>
          <w:p w14:paraId="27DA80DF">
            <w:pPr>
              <w:widowControl/>
              <w:ind w:firstLine="482"/>
              <w:jc w:val="both"/>
              <w:rPr>
                <w:rFonts w:cs="宋体"/>
                <w:b/>
                <w:bCs/>
              </w:rPr>
            </w:pPr>
            <w:bookmarkStart w:id="163" w:name="OLE_LINK61"/>
            <w:r>
              <w:rPr>
                <w:rFonts w:hint="eastAsia" w:cs="宋体"/>
                <w:b/>
                <w:bCs/>
              </w:rPr>
              <w:t>1、</w:t>
            </w:r>
            <w:r>
              <w:rPr>
                <w:rFonts w:cs="宋体"/>
                <w:b/>
                <w:bCs/>
              </w:rPr>
              <w:t>原有项目</w:t>
            </w:r>
            <w:r>
              <w:rPr>
                <w:rFonts w:hint="eastAsia" w:cs="宋体"/>
                <w:b/>
                <w:bCs/>
              </w:rPr>
              <w:t>基本</w:t>
            </w:r>
            <w:r>
              <w:rPr>
                <w:rFonts w:cs="宋体"/>
                <w:b/>
                <w:bCs/>
              </w:rPr>
              <w:t>情况</w:t>
            </w:r>
          </w:p>
          <w:p w14:paraId="1B361D26">
            <w:pPr>
              <w:ind w:firstLine="480"/>
              <w:jc w:val="both"/>
              <w:rPr>
                <w:color w:val="auto"/>
              </w:rPr>
            </w:pPr>
            <w:r>
              <w:rPr>
                <w:rFonts w:hint="eastAsia"/>
                <w:lang w:eastAsia="zh-CN"/>
              </w:rPr>
              <w:t>惠州市巨禾塑胶科技有限公司</w:t>
            </w:r>
            <w:r>
              <w:rPr>
                <w:rFonts w:hint="eastAsia"/>
              </w:rPr>
              <w:t>于2021年5月委托惠州市绿燊环保科技有限公司编制《</w:t>
            </w:r>
            <w:bookmarkStart w:id="164" w:name="OLE_LINK289"/>
            <w:r>
              <w:rPr>
                <w:rFonts w:hint="eastAsia"/>
                <w:lang w:eastAsia="zh-CN"/>
              </w:rPr>
              <w:t>惠州市巨禾塑胶科技有限公司</w:t>
            </w:r>
            <w:r>
              <w:rPr>
                <w:rFonts w:hint="eastAsia"/>
              </w:rPr>
              <w:t>建设项目环境影响报告表</w:t>
            </w:r>
            <w:bookmarkEnd w:id="164"/>
            <w:r>
              <w:rPr>
                <w:rFonts w:hint="eastAsia"/>
              </w:rPr>
              <w:t>》，</w:t>
            </w:r>
            <w:bookmarkStart w:id="165" w:name="OLE_LINK77"/>
            <w:r>
              <w:rPr>
                <w:rFonts w:hint="eastAsia"/>
              </w:rPr>
              <w:t>于2022年3月23日取得了惠州市生态环境局</w:t>
            </w:r>
            <w:bookmarkStart w:id="166" w:name="OLE_LINK81"/>
            <w:r>
              <w:rPr>
                <w:rFonts w:hint="eastAsia"/>
              </w:rPr>
              <w:t>《关于</w:t>
            </w:r>
            <w:r>
              <w:rPr>
                <w:rFonts w:hint="eastAsia"/>
                <w:lang w:eastAsia="zh-CN"/>
              </w:rPr>
              <w:t>惠州市巨禾塑胶科技有限公司</w:t>
            </w:r>
            <w:r>
              <w:rPr>
                <w:rFonts w:hint="eastAsia"/>
              </w:rPr>
              <w:t>建设项目环境影响报告表的批复》</w:t>
            </w:r>
            <w:bookmarkEnd w:id="166"/>
            <w:r>
              <w:rPr>
                <w:rFonts w:hint="eastAsia"/>
              </w:rPr>
              <w:t>（惠市环（博罗）建[2022]68号）（见</w:t>
            </w:r>
            <w:bookmarkStart w:id="167" w:name="OLE_LINK63"/>
            <w:r>
              <w:rPr>
                <w:rFonts w:hint="eastAsia"/>
              </w:rPr>
              <w:t>附件</w:t>
            </w:r>
            <w:bookmarkEnd w:id="167"/>
            <w:r>
              <w:rPr>
                <w:rFonts w:hint="eastAsia"/>
              </w:rPr>
              <w:t>6）。2023年3月27日取得了固定污染源排污登记回执，登记编号：91441322MA54U2M17G001X（见附件7）。2023年06月10日取得《</w:t>
            </w:r>
            <w:r>
              <w:rPr>
                <w:rFonts w:hint="eastAsia"/>
                <w:lang w:eastAsia="zh-CN"/>
              </w:rPr>
              <w:t>惠州市巨禾塑胶科技有限公司</w:t>
            </w:r>
            <w:r>
              <w:rPr>
                <w:rFonts w:hint="eastAsia"/>
              </w:rPr>
              <w:t>建设项目（一期）竣工环境保护</w:t>
            </w:r>
            <w:r>
              <w:rPr>
                <w:rFonts w:hint="eastAsia"/>
                <w:color w:val="auto"/>
              </w:rPr>
              <w:t>验收工作组意见》（见附件8）。</w:t>
            </w:r>
            <w:bookmarkEnd w:id="165"/>
            <w:r>
              <w:rPr>
                <w:rFonts w:hint="eastAsia"/>
                <w:color w:val="auto"/>
              </w:rPr>
              <w:t>原有项目主要从事TPE热塑性弹性体的生产，年产TPE热塑性弹性体800吨，项目员工5人，均不在厂区内食宿，</w:t>
            </w:r>
            <w:bookmarkStart w:id="168" w:name="OLE_LINK35"/>
            <w:r>
              <w:rPr>
                <w:rFonts w:hint="eastAsia"/>
                <w:color w:val="auto"/>
              </w:rPr>
              <w:t>全年工作300天</w:t>
            </w:r>
            <w:bookmarkEnd w:id="168"/>
            <w:r>
              <w:rPr>
                <w:rFonts w:hint="eastAsia"/>
                <w:color w:val="auto"/>
              </w:rPr>
              <w:t>，</w:t>
            </w:r>
            <w:bookmarkStart w:id="169" w:name="OLE_LINK36"/>
            <w:r>
              <w:rPr>
                <w:rFonts w:hint="eastAsia"/>
                <w:color w:val="auto"/>
              </w:rPr>
              <w:t>每天1班，每班8小时</w:t>
            </w:r>
            <w:bookmarkEnd w:id="169"/>
            <w:r>
              <w:rPr>
                <w:rFonts w:hint="eastAsia"/>
                <w:color w:val="auto"/>
              </w:rPr>
              <w:t>。</w:t>
            </w:r>
          </w:p>
          <w:p w14:paraId="04217C0B">
            <w:pPr>
              <w:widowControl/>
              <w:ind w:firstLine="482"/>
              <w:jc w:val="both"/>
              <w:rPr>
                <w:rFonts w:cs="宋体"/>
                <w:b/>
                <w:bCs/>
                <w:color w:val="auto"/>
              </w:rPr>
            </w:pPr>
            <w:r>
              <w:rPr>
                <w:rFonts w:hint="eastAsia" w:cs="宋体"/>
                <w:b/>
                <w:bCs/>
                <w:color w:val="auto"/>
              </w:rPr>
              <w:t>2、原有项目生产工艺流程图</w:t>
            </w:r>
          </w:p>
          <w:p w14:paraId="10A2515E">
            <w:pPr>
              <w:ind w:firstLine="0" w:firstLineChars="0"/>
              <w:jc w:val="center"/>
              <w:rPr>
                <w:color w:val="auto"/>
                <w:sz w:val="21"/>
              </w:rPr>
            </w:pPr>
            <w:r>
              <w:rPr>
                <w:color w:val="auto"/>
              </w:rPr>
              <mc:AlternateContent>
                <mc:Choice Requires="wps">
                  <w:drawing>
                    <wp:anchor distT="0" distB="0" distL="114300" distR="114300" simplePos="0" relativeHeight="251685888" behindDoc="0" locked="0" layoutInCell="1" allowOverlap="1">
                      <wp:simplePos x="0" y="0"/>
                      <wp:positionH relativeFrom="column">
                        <wp:posOffset>642620</wp:posOffset>
                      </wp:positionH>
                      <wp:positionV relativeFrom="paragraph">
                        <wp:posOffset>929005</wp:posOffset>
                      </wp:positionV>
                      <wp:extent cx="371475" cy="635"/>
                      <wp:effectExtent l="0" t="37465" r="9525" b="38100"/>
                      <wp:wrapNone/>
                      <wp:docPr id="206" name="直接连接符 206"/>
                      <wp:cNvGraphicFramePr/>
                      <a:graphic xmlns:a="http://schemas.openxmlformats.org/drawingml/2006/main">
                        <a:graphicData uri="http://schemas.microsoft.com/office/word/2010/wordprocessingShape">
                          <wps:wsp>
                            <wps:cNvCnPr/>
                            <wps:spPr>
                              <a:xfrm>
                                <a:off x="0" y="0"/>
                                <a:ext cx="371475" cy="635"/>
                              </a:xfrm>
                              <a:prstGeom prst="line">
                                <a:avLst/>
                              </a:prstGeom>
                              <a:ln w="12700" cap="flat" cmpd="sng">
                                <a:solidFill>
                                  <a:srgbClr val="000000"/>
                                </a:solidFill>
                                <a:prstDash val="solid"/>
                                <a:headEnd type="none" w="med" len="med"/>
                                <a:tailEnd type="triangle" w="med" len="med"/>
                              </a:ln>
                            </wps:spPr>
                            <wps:bodyPr/>
                          </wps:wsp>
                        </a:graphicData>
                      </a:graphic>
                    </wp:anchor>
                  </w:drawing>
                </mc:Choice>
                <mc:Fallback>
                  <w:pict>
                    <v:line id="_x0000_s1026" o:spid="_x0000_s1026" o:spt="20" style="position:absolute;left:0pt;margin-left:50.6pt;margin-top:73.15pt;height:0.05pt;width:29.25pt;z-index:251685888;mso-width-relative:page;mso-height-relative:page;" filled="f" stroked="t" coordsize="21600,21600" o:gfxdata="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4hTe72AAAAAsBAAAPAAAAAAAAAAEAIAAAACIAAABkcnMvZG93bnJldi54bWxQ&#10;SwECFAAUAAAACACHTuJAp+7AjvcBAADiAwAADgAAAAAAAAABACAAAAAnAQAAZHJzL2Uyb0RvYy54&#10;bWxQSwUGAAAAAAYABgBZAQAAkAUAAAAA&#10;">
                      <v:fill on="f" focussize="0,0"/>
                      <v:stroke weight="1pt" color="#000000" joinstyle="round" endarrow="block"/>
                      <v:imagedata o:title=""/>
                      <o:lock v:ext="edit" aspectratio="f"/>
                    </v:line>
                  </w:pict>
                </mc:Fallback>
              </mc:AlternateContent>
            </w:r>
            <w:r>
              <w:rPr>
                <w:color w:val="auto"/>
              </w:rPr>
              <mc:AlternateContent>
                <mc:Choice Requires="wpc">
                  <w:drawing>
                    <wp:inline distT="0" distB="0" distL="114300" distR="114300">
                      <wp:extent cx="5471795" cy="1134745"/>
                      <wp:effectExtent l="6350" t="0" r="8255" b="5715"/>
                      <wp:docPr id="205" name="画布 205"/>
                      <wp:cNvGraphicFramePr/>
                      <a:graphic xmlns:a="http://schemas.openxmlformats.org/drawingml/2006/main">
                        <a:graphicData uri="http://schemas.microsoft.com/office/word/2010/wordprocessingCanvas">
                          <wpc:wpc>
                            <wpc:bg>
                              <a:noFill/>
                            </wpc:bg>
                            <wpc:whole>
                              <a:ln>
                                <a:noFill/>
                              </a:ln>
                            </wpc:whole>
                            <wps:wsp>
                              <wps:cNvPr id="175" name="文本框 175"/>
                              <wps:cNvSpPr txBox="1"/>
                              <wps:spPr>
                                <a:xfrm>
                                  <a:off x="0" y="796291"/>
                                  <a:ext cx="609600" cy="285751"/>
                                </a:xfrm>
                                <a:prstGeom prst="rect">
                                  <a:avLst/>
                                </a:prstGeom>
                                <a:solidFill>
                                  <a:srgbClr val="FFFFFF"/>
                                </a:solidFill>
                                <a:ln w="12700" cap="flat" cmpd="sng">
                                  <a:solidFill>
                                    <a:srgbClr val="000000"/>
                                  </a:solidFill>
                                  <a:prstDash val="solid"/>
                                  <a:miter/>
                                  <a:headEnd type="none" w="med" len="med"/>
                                  <a:tailEnd type="triangle" w="med" len="med"/>
                                </a:ln>
                              </wps:spPr>
                              <wps:txbx>
                                <w:txbxContent>
                                  <w:p w14:paraId="7EEDD891">
                                    <w:pPr>
                                      <w:spacing w:line="240" w:lineRule="auto"/>
                                      <w:ind w:firstLine="0" w:firstLineChars="0"/>
                                      <w:jc w:val="center"/>
                                      <w:rPr>
                                        <w:rFonts w:ascii="Calibri" w:hAnsi="Calibri"/>
                                        <w:sz w:val="21"/>
                                      </w:rPr>
                                    </w:pPr>
                                    <w:r>
                                      <w:rPr>
                                        <w:rFonts w:hint="eastAsia" w:ascii="Calibri" w:hAnsi="Calibri"/>
                                        <w:sz w:val="21"/>
                                      </w:rPr>
                                      <w:t>原材料</w:t>
                                    </w:r>
                                  </w:p>
                                </w:txbxContent>
                              </wps:txbx>
                              <wps:bodyPr upright="1"/>
                            </wps:wsp>
                            <wps:wsp>
                              <wps:cNvPr id="176" name="文本框 176"/>
                              <wps:cNvSpPr txBox="1"/>
                              <wps:spPr>
                                <a:xfrm>
                                  <a:off x="1996440" y="806451"/>
                                  <a:ext cx="587375" cy="271781"/>
                                </a:xfrm>
                                <a:prstGeom prst="rect">
                                  <a:avLst/>
                                </a:prstGeom>
                                <a:solidFill>
                                  <a:srgbClr val="FFFFFF"/>
                                </a:solidFill>
                                <a:ln w="12700" cap="flat" cmpd="sng">
                                  <a:solidFill>
                                    <a:srgbClr val="000000"/>
                                  </a:solidFill>
                                  <a:prstDash val="solid"/>
                                  <a:miter/>
                                  <a:headEnd type="none" w="med" len="med"/>
                                  <a:tailEnd type="triangle" w="med" len="med"/>
                                </a:ln>
                              </wps:spPr>
                              <wps:txbx>
                                <w:txbxContent>
                                  <w:p w14:paraId="2B00BF2C">
                                    <w:pPr>
                                      <w:spacing w:line="240" w:lineRule="auto"/>
                                      <w:ind w:firstLine="0" w:firstLineChars="0"/>
                                      <w:jc w:val="center"/>
                                      <w:rPr>
                                        <w:rFonts w:ascii="Calibri" w:hAnsi="Calibri"/>
                                        <w:sz w:val="21"/>
                                      </w:rPr>
                                    </w:pPr>
                                    <w:r>
                                      <w:rPr>
                                        <w:rFonts w:hint="eastAsia" w:ascii="Calibri" w:hAnsi="Calibri"/>
                                        <w:sz w:val="21"/>
                                      </w:rPr>
                                      <w:t>挤出</w:t>
                                    </w:r>
                                  </w:p>
                                </w:txbxContent>
                              </wps:txbx>
                              <wps:bodyPr upright="1"/>
                            </wps:wsp>
                            <wps:wsp>
                              <wps:cNvPr id="177" name="直接连接符 177"/>
                              <wps:cNvCnPr/>
                              <wps:spPr>
                                <a:xfrm>
                                  <a:off x="1576705" y="925831"/>
                                  <a:ext cx="402590" cy="635"/>
                                </a:xfrm>
                                <a:prstGeom prst="line">
                                  <a:avLst/>
                                </a:prstGeom>
                                <a:ln w="12700" cap="flat" cmpd="sng">
                                  <a:solidFill>
                                    <a:srgbClr val="000000"/>
                                  </a:solidFill>
                                  <a:prstDash val="solid"/>
                                  <a:headEnd type="none" w="med" len="med"/>
                                  <a:tailEnd type="triangle" w="med" len="med"/>
                                </a:ln>
                              </wps:spPr>
                              <wps:bodyPr/>
                            </wps:wsp>
                            <wps:wsp>
                              <wps:cNvPr id="178" name="文本框 178"/>
                              <wps:cNvSpPr txBox="1"/>
                              <wps:spPr>
                                <a:xfrm>
                                  <a:off x="2922270" y="802006"/>
                                  <a:ext cx="503555" cy="268606"/>
                                </a:xfrm>
                                <a:prstGeom prst="rect">
                                  <a:avLst/>
                                </a:prstGeom>
                                <a:solidFill>
                                  <a:srgbClr val="FFFFFF"/>
                                </a:solidFill>
                                <a:ln w="12700" cap="flat" cmpd="sng">
                                  <a:solidFill>
                                    <a:srgbClr val="000000"/>
                                  </a:solidFill>
                                  <a:prstDash val="solid"/>
                                  <a:miter/>
                                  <a:headEnd type="none" w="med" len="med"/>
                                  <a:tailEnd type="triangle" w="med" len="med"/>
                                </a:ln>
                              </wps:spPr>
                              <wps:txbx>
                                <w:txbxContent>
                                  <w:p w14:paraId="1E968E29">
                                    <w:pPr>
                                      <w:spacing w:line="240" w:lineRule="auto"/>
                                      <w:ind w:firstLine="0" w:firstLineChars="0"/>
                                      <w:jc w:val="both"/>
                                      <w:rPr>
                                        <w:sz w:val="21"/>
                                      </w:rPr>
                                    </w:pPr>
                                    <w:r>
                                      <w:rPr>
                                        <w:rFonts w:hint="eastAsia"/>
                                        <w:sz w:val="21"/>
                                      </w:rPr>
                                      <w:t>冷却</w:t>
                                    </w:r>
                                  </w:p>
                                </w:txbxContent>
                              </wps:txbx>
                              <wps:bodyPr upright="1"/>
                            </wps:wsp>
                            <wps:wsp>
                              <wps:cNvPr id="193" name="文本框 193"/>
                              <wps:cNvSpPr txBox="1"/>
                              <wps:spPr>
                                <a:xfrm>
                                  <a:off x="3582670" y="104775"/>
                                  <a:ext cx="972820" cy="273685"/>
                                </a:xfrm>
                                <a:prstGeom prst="rect">
                                  <a:avLst/>
                                </a:prstGeom>
                                <a:noFill/>
                                <a:ln w="12700" cap="sq" cmpd="sng">
                                  <a:noFill/>
                                  <a:prstDash val="sysDot"/>
                                  <a:miter/>
                                  <a:headEnd type="none" w="med" len="med"/>
                                  <a:tailEnd type="none" w="med" len="med"/>
                                </a:ln>
                              </wps:spPr>
                              <wps:txbx>
                                <w:txbxContent>
                                  <w:p w14:paraId="60BC2E0C">
                                    <w:pPr>
                                      <w:spacing w:line="240" w:lineRule="auto"/>
                                      <w:ind w:firstLine="0" w:firstLineChars="0"/>
                                      <w:jc w:val="center"/>
                                      <w:rPr>
                                        <w:rFonts w:ascii="Calibri" w:hAnsi="Calibri"/>
                                        <w:sz w:val="21"/>
                                      </w:rPr>
                                    </w:pPr>
                                    <w:r>
                                      <w:rPr>
                                        <w:rFonts w:hint="eastAsia" w:ascii="Calibri" w:hAnsi="Calibri"/>
                                        <w:sz w:val="21"/>
                                      </w:rPr>
                                      <w:t>噪声、边角料</w:t>
                                    </w:r>
                                  </w:p>
                                </w:txbxContent>
                              </wps:txbx>
                              <wps:bodyPr upright="1"/>
                            </wps:wsp>
                            <wps:wsp>
                              <wps:cNvPr id="194" name="文本框 194"/>
                              <wps:cNvSpPr txBox="1"/>
                              <wps:spPr>
                                <a:xfrm>
                                  <a:off x="4670425" y="102870"/>
                                  <a:ext cx="752475" cy="317500"/>
                                </a:xfrm>
                                <a:prstGeom prst="rect">
                                  <a:avLst/>
                                </a:prstGeom>
                                <a:noFill/>
                                <a:ln w="12700">
                                  <a:noFill/>
                                </a:ln>
                              </wps:spPr>
                              <wps:txbx>
                                <w:txbxContent>
                                  <w:p w14:paraId="4AEAA3F0">
                                    <w:pPr>
                                      <w:spacing w:line="240" w:lineRule="auto"/>
                                      <w:ind w:firstLine="0" w:firstLineChars="0"/>
                                      <w:jc w:val="both"/>
                                      <w:rPr>
                                        <w:rFonts w:ascii="Calibri" w:hAnsi="Calibri"/>
                                        <w:sz w:val="21"/>
                                      </w:rPr>
                                    </w:pPr>
                                    <w:r>
                                      <w:rPr>
                                        <w:rFonts w:hint="eastAsia" w:ascii="Calibri" w:hAnsi="Calibri"/>
                                        <w:sz w:val="21"/>
                                      </w:rPr>
                                      <w:t>包装废料</w:t>
                                    </w:r>
                                  </w:p>
                                </w:txbxContent>
                              </wps:txbx>
                              <wps:bodyPr upright="1"/>
                            </wps:wsp>
                            <wps:wsp>
                              <wps:cNvPr id="196" name="文本框 196"/>
                              <wps:cNvSpPr txBox="1"/>
                              <wps:spPr>
                                <a:xfrm>
                                  <a:off x="1003300" y="812800"/>
                                  <a:ext cx="564515" cy="276860"/>
                                </a:xfrm>
                                <a:prstGeom prst="rect">
                                  <a:avLst/>
                                </a:prstGeom>
                                <a:solidFill>
                                  <a:srgbClr val="FFFFFF"/>
                                </a:solidFill>
                                <a:ln w="12700" cap="flat" cmpd="sng">
                                  <a:solidFill>
                                    <a:srgbClr val="000000"/>
                                  </a:solidFill>
                                  <a:prstDash val="solid"/>
                                  <a:miter/>
                                  <a:headEnd type="none" w="med" len="med"/>
                                  <a:tailEnd type="triangle" w="med" len="med"/>
                                </a:ln>
                              </wps:spPr>
                              <wps:txbx>
                                <w:txbxContent>
                                  <w:p w14:paraId="08282009">
                                    <w:pPr>
                                      <w:spacing w:line="240" w:lineRule="auto"/>
                                      <w:ind w:firstLine="0" w:firstLineChars="0"/>
                                      <w:jc w:val="center"/>
                                      <w:rPr>
                                        <w:rFonts w:ascii="Calibri" w:hAnsi="Calibri"/>
                                        <w:sz w:val="21"/>
                                      </w:rPr>
                                    </w:pPr>
                                    <w:r>
                                      <w:rPr>
                                        <w:rFonts w:hint="eastAsia" w:ascii="Calibri" w:hAnsi="Calibri"/>
                                        <w:sz w:val="21"/>
                                      </w:rPr>
                                      <w:t>搅拌</w:t>
                                    </w:r>
                                  </w:p>
                                </w:txbxContent>
                              </wps:txbx>
                              <wps:bodyPr upright="1"/>
                            </wps:wsp>
                            <wps:wsp>
                              <wps:cNvPr id="197" name="直接连接符 197"/>
                              <wps:cNvCnPr/>
                              <wps:spPr>
                                <a:xfrm>
                                  <a:off x="2575560" y="925196"/>
                                  <a:ext cx="337185" cy="635"/>
                                </a:xfrm>
                                <a:prstGeom prst="line">
                                  <a:avLst/>
                                </a:prstGeom>
                                <a:ln w="12700" cap="flat" cmpd="sng">
                                  <a:solidFill>
                                    <a:srgbClr val="000000"/>
                                  </a:solidFill>
                                  <a:prstDash val="solid"/>
                                  <a:headEnd type="none" w="med" len="med"/>
                                  <a:tailEnd type="triangle" w="med" len="med"/>
                                </a:ln>
                              </wps:spPr>
                              <wps:bodyPr/>
                            </wps:wsp>
                            <wps:wsp>
                              <wps:cNvPr id="198" name="直接连接符 198"/>
                              <wps:cNvCnPr/>
                              <wps:spPr>
                                <a:xfrm>
                                  <a:off x="3438525" y="930911"/>
                                  <a:ext cx="393700" cy="0"/>
                                </a:xfrm>
                                <a:prstGeom prst="line">
                                  <a:avLst/>
                                </a:prstGeom>
                                <a:ln w="12700" cap="flat" cmpd="sng">
                                  <a:solidFill>
                                    <a:srgbClr val="000000"/>
                                  </a:solidFill>
                                  <a:prstDash val="solid"/>
                                  <a:headEnd type="none" w="med" len="med"/>
                                  <a:tailEnd type="triangle" w="med" len="med"/>
                                </a:ln>
                              </wps:spPr>
                              <wps:bodyPr/>
                            </wps:wsp>
                            <wps:wsp>
                              <wps:cNvPr id="199" name="文本框 199"/>
                              <wps:cNvSpPr txBox="1"/>
                              <wps:spPr>
                                <a:xfrm>
                                  <a:off x="4660265" y="779146"/>
                                  <a:ext cx="765810" cy="279401"/>
                                </a:xfrm>
                                <a:prstGeom prst="rect">
                                  <a:avLst/>
                                </a:prstGeom>
                                <a:solidFill>
                                  <a:srgbClr val="FFFFFF"/>
                                </a:solidFill>
                                <a:ln w="12700" cap="flat" cmpd="sng">
                                  <a:solidFill>
                                    <a:srgbClr val="000000"/>
                                  </a:solidFill>
                                  <a:prstDash val="solid"/>
                                  <a:miter/>
                                  <a:headEnd type="none" w="med" len="med"/>
                                  <a:tailEnd type="triangle" w="med" len="med"/>
                                </a:ln>
                              </wps:spPr>
                              <wps:txbx>
                                <w:txbxContent>
                                  <w:p w14:paraId="416681AA">
                                    <w:pPr>
                                      <w:spacing w:line="240" w:lineRule="auto"/>
                                      <w:ind w:firstLine="0" w:firstLineChars="0"/>
                                      <w:jc w:val="both"/>
                                      <w:rPr>
                                        <w:rFonts w:ascii="Calibri" w:hAnsi="Calibri"/>
                                        <w:sz w:val="21"/>
                                      </w:rPr>
                                    </w:pPr>
                                    <w:r>
                                      <w:rPr>
                                        <w:rFonts w:hint="eastAsia" w:ascii="Calibri" w:hAnsi="Calibri"/>
                                        <w:sz w:val="21"/>
                                      </w:rPr>
                                      <w:t>包装出货</w:t>
                                    </w:r>
                                  </w:p>
                                </w:txbxContent>
                              </wps:txbx>
                              <wps:bodyPr upright="1"/>
                            </wps:wsp>
                            <wps:wsp>
                              <wps:cNvPr id="200" name="直接连接符 200"/>
                              <wps:cNvCnPr/>
                              <wps:spPr>
                                <a:xfrm>
                                  <a:off x="4270375" y="905511"/>
                                  <a:ext cx="393700" cy="0"/>
                                </a:xfrm>
                                <a:prstGeom prst="line">
                                  <a:avLst/>
                                </a:prstGeom>
                                <a:ln w="12700" cap="flat" cmpd="sng">
                                  <a:solidFill>
                                    <a:srgbClr val="000000"/>
                                  </a:solidFill>
                                  <a:prstDash val="solid"/>
                                  <a:headEnd type="none" w="med" len="med"/>
                                  <a:tailEnd type="triangle" w="med" len="med"/>
                                </a:ln>
                              </wps:spPr>
                              <wps:bodyPr/>
                            </wps:wsp>
                            <wps:wsp>
                              <wps:cNvPr id="201" name="文本框 201"/>
                              <wps:cNvSpPr txBox="1"/>
                              <wps:spPr>
                                <a:xfrm>
                                  <a:off x="3816350" y="802005"/>
                                  <a:ext cx="469900" cy="288290"/>
                                </a:xfrm>
                                <a:prstGeom prst="rect">
                                  <a:avLst/>
                                </a:prstGeom>
                                <a:solidFill>
                                  <a:srgbClr val="FFFFFF"/>
                                </a:solidFill>
                                <a:ln w="12700" cap="flat" cmpd="sng">
                                  <a:solidFill>
                                    <a:srgbClr val="000000"/>
                                  </a:solidFill>
                                  <a:prstDash val="solid"/>
                                  <a:miter/>
                                  <a:headEnd type="none" w="med" len="med"/>
                                  <a:tailEnd type="triangle" w="med" len="med"/>
                                </a:ln>
                              </wps:spPr>
                              <wps:txbx>
                                <w:txbxContent>
                                  <w:p w14:paraId="5BC12A11">
                                    <w:pPr>
                                      <w:spacing w:line="240" w:lineRule="auto"/>
                                      <w:ind w:firstLine="0" w:firstLineChars="0"/>
                                      <w:jc w:val="both"/>
                                      <w:rPr>
                                        <w:rFonts w:ascii="Calibri" w:hAnsi="Calibri"/>
                                        <w:sz w:val="21"/>
                                      </w:rPr>
                                    </w:pPr>
                                    <w:r>
                                      <w:rPr>
                                        <w:rFonts w:hint="eastAsia" w:ascii="Calibri" w:hAnsi="Calibri"/>
                                        <w:sz w:val="21"/>
                                      </w:rPr>
                                      <w:t>切粒</w:t>
                                    </w:r>
                                  </w:p>
                                </w:txbxContent>
                              </wps:txbx>
                              <wps:bodyPr upright="1"/>
                            </wps:wsp>
                            <wps:wsp>
                              <wps:cNvPr id="203" name="文本框 203"/>
                              <wps:cNvSpPr txBox="1"/>
                              <wps:spPr>
                                <a:xfrm>
                                  <a:off x="812165" y="111125"/>
                                  <a:ext cx="965200" cy="266700"/>
                                </a:xfrm>
                                <a:prstGeom prst="rect">
                                  <a:avLst/>
                                </a:prstGeom>
                                <a:noFill/>
                                <a:ln w="12700" cap="sq" cmpd="sng">
                                  <a:noFill/>
                                  <a:prstDash val="sysDot"/>
                                  <a:miter/>
                                  <a:headEnd type="none" w="med" len="med"/>
                                  <a:tailEnd type="none" w="med" len="med"/>
                                </a:ln>
                              </wps:spPr>
                              <wps:txbx>
                                <w:txbxContent>
                                  <w:p w14:paraId="341A583C">
                                    <w:pPr>
                                      <w:spacing w:line="240" w:lineRule="auto"/>
                                      <w:ind w:firstLine="0" w:firstLineChars="0"/>
                                      <w:jc w:val="center"/>
                                      <w:rPr>
                                        <w:rFonts w:ascii="Calibri" w:hAnsi="Calibri"/>
                                        <w:sz w:val="21"/>
                                      </w:rPr>
                                    </w:pPr>
                                    <w:r>
                                      <w:rPr>
                                        <w:rFonts w:hint="eastAsia" w:ascii="Calibri" w:hAnsi="Calibri"/>
                                        <w:sz w:val="21"/>
                                      </w:rPr>
                                      <w:t>噪声、粉尘</w:t>
                                    </w:r>
                                  </w:p>
                                </w:txbxContent>
                              </wps:txbx>
                              <wps:bodyPr upright="1"/>
                            </wps:wsp>
                            <wps:wsp>
                              <wps:cNvPr id="204" name="文本框 204"/>
                              <wps:cNvSpPr txBox="1"/>
                              <wps:spPr>
                                <a:xfrm>
                                  <a:off x="1728470" y="120650"/>
                                  <a:ext cx="1277620" cy="257810"/>
                                </a:xfrm>
                                <a:prstGeom prst="rect">
                                  <a:avLst/>
                                </a:prstGeom>
                                <a:noFill/>
                                <a:ln w="12700" cap="sq" cmpd="sng">
                                  <a:noFill/>
                                  <a:prstDash val="sysDot"/>
                                  <a:miter/>
                                  <a:headEnd type="none" w="med" len="med"/>
                                  <a:tailEnd type="none" w="med" len="med"/>
                                </a:ln>
                              </wps:spPr>
                              <wps:txbx>
                                <w:txbxContent>
                                  <w:p w14:paraId="06621DBE">
                                    <w:pPr>
                                      <w:spacing w:line="240" w:lineRule="auto"/>
                                      <w:ind w:firstLine="0" w:firstLineChars="0"/>
                                      <w:jc w:val="center"/>
                                      <w:rPr>
                                        <w:rFonts w:ascii="Calibri" w:hAnsi="Calibri"/>
                                        <w:sz w:val="21"/>
                                      </w:rPr>
                                    </w:pPr>
                                    <w:r>
                                      <w:rPr>
                                        <w:rFonts w:hint="eastAsia" w:ascii="Calibri" w:hAnsi="Calibri"/>
                                        <w:sz w:val="21"/>
                                      </w:rPr>
                                      <w:t>噪声、非甲烷总烃</w:t>
                                    </w:r>
                                  </w:p>
                                </w:txbxContent>
                              </wps:txbx>
                              <wps:bodyPr upright="1"/>
                            </wps:wsp>
                            <wps:wsp>
                              <wps:cNvPr id="212" name="直接箭头连接符 212"/>
                              <wps:cNvCnPr>
                                <a:stCxn id="196" idx="0"/>
                              </wps:cNvCnPr>
                              <wps:spPr>
                                <a:xfrm flipV="1">
                                  <a:off x="1285875" y="387350"/>
                                  <a:ext cx="635" cy="425450"/>
                                </a:xfrm>
                                <a:prstGeom prst="straightConnector1">
                                  <a:avLst/>
                                </a:prstGeom>
                                <a:ln w="9525">
                                  <a:solidFill>
                                    <a:schemeClr val="tx1"/>
                                  </a:solidFill>
                                  <a:prstDash val="dash"/>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213" name="直接箭头连接符 213"/>
                              <wps:cNvCnPr/>
                              <wps:spPr>
                                <a:xfrm flipV="1">
                                  <a:off x="2303780" y="379730"/>
                                  <a:ext cx="635" cy="425450"/>
                                </a:xfrm>
                                <a:prstGeom prst="straightConnector1">
                                  <a:avLst/>
                                </a:prstGeom>
                                <a:ln w="9525">
                                  <a:solidFill>
                                    <a:schemeClr val="tx1"/>
                                  </a:solidFill>
                                  <a:prstDash val="dash"/>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214" name="直接箭头连接符 214"/>
                              <wps:cNvCnPr/>
                              <wps:spPr>
                                <a:xfrm flipV="1">
                                  <a:off x="4075430" y="389255"/>
                                  <a:ext cx="635" cy="425450"/>
                                </a:xfrm>
                                <a:prstGeom prst="straightConnector1">
                                  <a:avLst/>
                                </a:prstGeom>
                                <a:ln w="9525">
                                  <a:solidFill>
                                    <a:schemeClr val="tx1"/>
                                  </a:solidFill>
                                  <a:prstDash val="dash"/>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215" name="直接箭头连接符 215"/>
                              <wps:cNvCnPr/>
                              <wps:spPr>
                                <a:xfrm flipV="1">
                                  <a:off x="5046980" y="360680"/>
                                  <a:ext cx="635" cy="425450"/>
                                </a:xfrm>
                                <a:prstGeom prst="straightConnector1">
                                  <a:avLst/>
                                </a:prstGeom>
                                <a:ln w="9525">
                                  <a:solidFill>
                                    <a:schemeClr val="tx1"/>
                                  </a:solidFill>
                                  <a:prstDash val="dash"/>
                                  <a:headEnd type="none"/>
                                  <a:tailEnd type="triangle" w="med" len="med"/>
                                </a:ln>
                              </wps:spPr>
                              <wps:style>
                                <a:lnRef idx="2">
                                  <a:schemeClr val="accent1"/>
                                </a:lnRef>
                                <a:fillRef idx="0">
                                  <a:srgbClr val="FFFFFF"/>
                                </a:fillRef>
                                <a:effectRef idx="0">
                                  <a:srgbClr val="FFFFFF"/>
                                </a:effectRef>
                                <a:fontRef idx="minor">
                                  <a:schemeClr val="tx1"/>
                                </a:fontRef>
                              </wps:style>
                              <wps:bodyPr/>
                            </wps:wsp>
                          </wpc:wpc>
                        </a:graphicData>
                      </a:graphic>
                    </wp:inline>
                  </w:drawing>
                </mc:Choice>
                <mc:Fallback>
                  <w:pict>
                    <v:group id="_x0000_s1026" o:spid="_x0000_s1026" o:spt="203" style="height:89.35pt;width:430.85pt;" coordsize="5471795,1134745" editas="canvas" o:gfxdata="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">
                      <o:lock v:ext="edit" aspectratio="f"/>
                      <v:shape id="_x0000_s1026" o:spid="_x0000_s1026" style="position:absolute;left:0;top:0;height:1134745;width:5471795;" filled="f" stroked="f" coordsize="21600,21600" o:gfxdata="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">
                        <v:fill on="f" focussize="0,0"/>
                        <v:stroke on="f"/>
                        <v:imagedata o:title=""/>
                        <o:lock v:ext="edit" aspectratio="f"/>
                      </v:shape>
                      <v:shape id="_x0000_s1026" o:spid="_x0000_s1026" o:spt="202" type="#_x0000_t202" style="position:absolute;left:0;top:796291;height:285751;width:609600;" fillcolor="#FFFFFF" filled="t" stroked="t" coordsize="21600,21600" o:gfxdata="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uox1L1gAAAAUBAAAP&#10;AAAAAAAAAAEAIAAAACIAAABkcnMvZG93bnJldi54bWxQSwECFAAUAAAACACHTuJAQWX7hxoCAABD&#10;BAAADgAAAAAAAAABACAAAAAlAQAAZHJzL2Uyb0RvYy54bWxQSwUGAAAAAAYABgBZAQAAsQUAAAAA&#10;">
                        <v:fill on="t" focussize="0,0"/>
                        <v:stroke weight="1pt" color="#000000" joinstyle="miter" endarrow="block"/>
                        <v:imagedata o:title=""/>
                        <o:lock v:ext="edit" aspectratio="f"/>
                        <v:textbox>
                          <w:txbxContent>
                            <w:p w14:paraId="7EEDD891">
                              <w:pPr>
                                <w:spacing w:line="240" w:lineRule="auto"/>
                                <w:ind w:firstLine="0" w:firstLineChars="0"/>
                                <w:jc w:val="center"/>
                                <w:rPr>
                                  <w:rFonts w:ascii="Calibri" w:hAnsi="Calibri"/>
                                  <w:sz w:val="21"/>
                                </w:rPr>
                              </w:pPr>
                              <w:r>
                                <w:rPr>
                                  <w:rFonts w:hint="eastAsia" w:ascii="Calibri" w:hAnsi="Calibri"/>
                                  <w:sz w:val="21"/>
                                </w:rPr>
                                <w:t>原材料</w:t>
                              </w:r>
                            </w:p>
                          </w:txbxContent>
                        </v:textbox>
                      </v:shape>
                      <v:shape id="_x0000_s1026" o:spid="_x0000_s1026" o:spt="202" type="#_x0000_t202" style="position:absolute;left:1996440;top:806451;height:271781;width:587375;" fillcolor="#FFFFFF" filled="t" stroked="t" coordsize="21600,21600" o:gfxdata="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O6jHUvW&#10;AAAABQEAAA8AAAAAAAAAAQAgAAAAIgAAAGRycy9kb3ducmV2LnhtbFBLAQIUABQAAAAIAIdO4kCH&#10;uaipIgIAAEkEAAAOAAAAAAAAAAEAIAAAACUBAABkcnMvZTJvRG9jLnhtbFBLBQYAAAAABgAGAFkB&#10;AAC5BQAAAAA=&#10;">
                        <v:fill on="t" focussize="0,0"/>
                        <v:stroke weight="1pt" color="#000000" joinstyle="miter" endarrow="block"/>
                        <v:imagedata o:title=""/>
                        <o:lock v:ext="edit" aspectratio="f"/>
                        <v:textbox>
                          <w:txbxContent>
                            <w:p w14:paraId="2B00BF2C">
                              <w:pPr>
                                <w:spacing w:line="240" w:lineRule="auto"/>
                                <w:ind w:firstLine="0" w:firstLineChars="0"/>
                                <w:jc w:val="center"/>
                                <w:rPr>
                                  <w:rFonts w:ascii="Calibri" w:hAnsi="Calibri"/>
                                  <w:sz w:val="21"/>
                                </w:rPr>
                              </w:pPr>
                              <w:r>
                                <w:rPr>
                                  <w:rFonts w:hint="eastAsia" w:ascii="Calibri" w:hAnsi="Calibri"/>
                                  <w:sz w:val="21"/>
                                </w:rPr>
                                <w:t>挤出</w:t>
                              </w:r>
                            </w:p>
                          </w:txbxContent>
                        </v:textbox>
                      </v:shape>
                      <v:line id="_x0000_s1026" o:spid="_x0000_s1026" o:spt="20" style="position:absolute;left:1576705;top:925831;height:635;width:402590;" filled="f" stroked="t" coordsize="21600,21600" o:gfxdata="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E8FwJLUAAAABQEAAA8AAAAAAAAAAQAgAAAAIgAAAGRycy9kb3du&#10;cmV2LnhtbFBLAQIUABQAAAAIAIdO4kC3Q49GAwIAAO0DAAAOAAAAAAAAAAEAIAAAACMBAABkcnMv&#10;ZTJvRG9jLnhtbFBLBQYAAAAABgAGAFkBAACYBQAAAAA=&#10;">
                        <v:fill on="f" focussize="0,0"/>
                        <v:stroke weight="1pt" color="#000000" joinstyle="round" endarrow="block"/>
                        <v:imagedata o:title=""/>
                        <o:lock v:ext="edit" aspectratio="f"/>
                      </v:line>
                      <v:shape id="_x0000_s1026" o:spid="_x0000_s1026" o:spt="202" type="#_x0000_t202" style="position:absolute;left:2922270;top:802006;height:268606;width:503555;" fillcolor="#FFFFFF" filled="t" stroked="t" coordsize="21600,21600" o:gfxdata="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Duox1L1gAAAAUB&#10;AAAPAAAAAAAAAAEAIAAAACIAAABkcnMvZG93bnJldi54bWxQSwECFAAUAAAACACHTuJAVYkXzx0C&#10;AABJBAAADgAAAAAAAAABACAAAAAlAQAAZHJzL2Uyb0RvYy54bWxQSwUGAAAAAAYABgBZAQAAtAUA&#10;AAAA&#10;">
                        <v:fill on="t" focussize="0,0"/>
                        <v:stroke weight="1pt" color="#000000" joinstyle="miter" endarrow="block"/>
                        <v:imagedata o:title=""/>
                        <o:lock v:ext="edit" aspectratio="f"/>
                        <v:textbox>
                          <w:txbxContent>
                            <w:p w14:paraId="1E968E29">
                              <w:pPr>
                                <w:spacing w:line="240" w:lineRule="auto"/>
                                <w:ind w:firstLine="0" w:firstLineChars="0"/>
                                <w:jc w:val="both"/>
                                <w:rPr>
                                  <w:sz w:val="21"/>
                                </w:rPr>
                              </w:pPr>
                              <w:r>
                                <w:rPr>
                                  <w:rFonts w:hint="eastAsia"/>
                                  <w:sz w:val="21"/>
                                </w:rPr>
                                <w:t>冷却</w:t>
                              </w:r>
                            </w:p>
                          </w:txbxContent>
                        </v:textbox>
                      </v:shape>
                      <v:shape id="_x0000_s1026" o:spid="_x0000_s1026" o:spt="202" type="#_x0000_t202" style="position:absolute;left:3582670;top:104775;height:273685;width:972820;" filled="f" stroked="f" coordsize="21600,21600" o:gfxdata="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dwXHFNQAAAAFAQAADwAAAAAAAAABACAAAAAiAAAAZHJzL2Rvd25yZXYu&#10;eG1sUEsBAhQAFAAAAAgAh07iQIju/I7/AQAA8gMAAA4AAAAAAAAAAQAgAAAAIwEAAGRycy9lMm9E&#10;b2MueG1sUEsFBgAAAAAGAAYAWQEAAJQFAAAAAA==&#10;">
                        <v:fill on="f" focussize="0,0"/>
                        <v:stroke on="f" weight="1pt" joinstyle="miter" dashstyle="1 1" endcap="square"/>
                        <v:imagedata o:title=""/>
                        <o:lock v:ext="edit" aspectratio="f"/>
                        <v:textbox>
                          <w:txbxContent>
                            <w:p w14:paraId="60BC2E0C">
                              <w:pPr>
                                <w:spacing w:line="240" w:lineRule="auto"/>
                                <w:ind w:firstLine="0" w:firstLineChars="0"/>
                                <w:jc w:val="center"/>
                                <w:rPr>
                                  <w:rFonts w:ascii="Calibri" w:hAnsi="Calibri"/>
                                  <w:sz w:val="21"/>
                                </w:rPr>
                              </w:pPr>
                              <w:r>
                                <w:rPr>
                                  <w:rFonts w:hint="eastAsia" w:ascii="Calibri" w:hAnsi="Calibri"/>
                                  <w:sz w:val="21"/>
                                </w:rPr>
                                <w:t>噪声、边角料</w:t>
                              </w:r>
                            </w:p>
                          </w:txbxContent>
                        </v:textbox>
                      </v:shape>
                      <v:shape id="_x0000_s1026" o:spid="_x0000_s1026" o:spt="202" type="#_x0000_t202" style="position:absolute;left:4670425;top:102870;height:317500;width:752475;" filled="f" stroked="f" coordsize="21600,21600" o:gfxdata="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Vznr1AAAAAUBAAAPAAAAAAAAAAEAIAAAACIAAABkcnMvZG93bnJldi54bWxQSwEC&#10;FAAUAAAACACHTuJAPoteiL8BAABmAwAADgAAAAAAAAABACAAAAAjAQAAZHJzL2Uyb0RvYy54bWxQ&#10;SwUGAAAAAAYABgBZAQAAVAUAAAAA&#10;">
                        <v:fill on="f" focussize="0,0"/>
                        <v:stroke on="f" weight="1pt"/>
                        <v:imagedata o:title=""/>
                        <o:lock v:ext="edit" aspectratio="f"/>
                        <v:textbox>
                          <w:txbxContent>
                            <w:p w14:paraId="4AEAA3F0">
                              <w:pPr>
                                <w:spacing w:line="240" w:lineRule="auto"/>
                                <w:ind w:firstLine="0" w:firstLineChars="0"/>
                                <w:jc w:val="both"/>
                                <w:rPr>
                                  <w:rFonts w:ascii="Calibri" w:hAnsi="Calibri"/>
                                  <w:sz w:val="21"/>
                                </w:rPr>
                              </w:pPr>
                              <w:r>
                                <w:rPr>
                                  <w:rFonts w:hint="eastAsia" w:ascii="Calibri" w:hAnsi="Calibri"/>
                                  <w:sz w:val="21"/>
                                </w:rPr>
                                <w:t>包装废料</w:t>
                              </w:r>
                            </w:p>
                          </w:txbxContent>
                        </v:textbox>
                      </v:shape>
                      <v:shape id="_x0000_s1026" o:spid="_x0000_s1026" o:spt="202" type="#_x0000_t202" style="position:absolute;left:1003300;top:812800;height:276860;width:564515;" fillcolor="#FFFFFF" filled="t" stroked="t" coordsize="21600,21600" o:gfxdata="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6jHUvWAAAA&#10;BQEAAA8AAAAAAAAAAQAgAAAAIgAAAGRycy9kb3ducmV2LnhtbFBLAQIUABQAAAAIAIdO4kCXzACA&#10;HwIAAEkEAAAOAAAAAAAAAAEAIAAAACUBAABkcnMvZTJvRG9jLnhtbFBLBQYAAAAABgAGAFkBAAC2&#10;BQAAAAA=&#10;">
                        <v:fill on="t" focussize="0,0"/>
                        <v:stroke weight="1pt" color="#000000" joinstyle="miter" endarrow="block"/>
                        <v:imagedata o:title=""/>
                        <o:lock v:ext="edit" aspectratio="f"/>
                        <v:textbox>
                          <w:txbxContent>
                            <w:p w14:paraId="08282009">
                              <w:pPr>
                                <w:spacing w:line="240" w:lineRule="auto"/>
                                <w:ind w:firstLine="0" w:firstLineChars="0"/>
                                <w:jc w:val="center"/>
                                <w:rPr>
                                  <w:rFonts w:ascii="Calibri" w:hAnsi="Calibri"/>
                                  <w:sz w:val="21"/>
                                </w:rPr>
                              </w:pPr>
                              <w:r>
                                <w:rPr>
                                  <w:rFonts w:hint="eastAsia" w:ascii="Calibri" w:hAnsi="Calibri"/>
                                  <w:sz w:val="21"/>
                                </w:rPr>
                                <w:t>搅拌</w:t>
                              </w:r>
                            </w:p>
                          </w:txbxContent>
                        </v:textbox>
                      </v:shape>
                      <v:line id="_x0000_s1026" o:spid="_x0000_s1026" o:spt="20" style="position:absolute;left:2575560;top:925196;height:635;width:337185;" filled="f" stroked="t" coordsize="21600,21600" o:gfxdata="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PBcCS1AAAAAUBAAAPAAAAAAAAAAEAIAAAACIAAABkcnMvZG93&#10;bnJldi54bWxQSwECFAAUAAAACACHTuJAFli0QAQCAADtAwAADgAAAAAAAAABACAAAAAjAQAAZHJz&#10;L2Uyb0RvYy54bWxQSwUGAAAAAAYABgBZAQAAmQUAAAAA&#10;">
                        <v:fill on="f" focussize="0,0"/>
                        <v:stroke weight="1pt" color="#000000" joinstyle="round" endarrow="block"/>
                        <v:imagedata o:title=""/>
                        <o:lock v:ext="edit" aspectratio="f"/>
                      </v:line>
                      <v:line id="_x0000_s1026" o:spid="_x0000_s1026" o:spt="20" style="position:absolute;left:3438525;top:930911;height:0;width:393700;" filled="f" stroked="t" coordsize="21600,21600" o:gfxdata="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TwXAktQAAAAFAQAADwAAAAAAAAABACAAAAAiAAAAZHJzL2Rvd25y&#10;ZXYueG1sUEsBAhQAFAAAAAgAh07iQJ9eZvkCAgAA6wMAAA4AAAAAAAAAAQAgAAAAIwEAAGRycy9l&#10;Mm9Eb2MueG1sUEsFBgAAAAAGAAYAWQEAAJcFAAAAAA==&#10;">
                        <v:fill on="f" focussize="0,0"/>
                        <v:stroke weight="1pt" color="#000000" joinstyle="round" endarrow="block"/>
                        <v:imagedata o:title=""/>
                        <o:lock v:ext="edit" aspectratio="f"/>
                      </v:line>
                      <v:shape id="_x0000_s1026" o:spid="_x0000_s1026" o:spt="202" type="#_x0000_t202" style="position:absolute;left:4660265;top:779146;height:279401;width:765810;" fillcolor="#FFFFFF" filled="t" stroked="t" coordsize="21600,21600" o:gfxdata="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7qMdS9YA&#10;AAAFAQAADwAAAAAAAAABACAAAAAiAAAAZHJzL2Rvd25yZXYueG1sUEsBAhQAFAAAAAgAh07iQCvN&#10;Q8EhAgAASQQAAA4AAAAAAAAAAQAgAAAAJQEAAGRycy9lMm9Eb2MueG1sUEsFBgAAAAAGAAYAWQEA&#10;ALgFAAAAAA==&#10;">
                        <v:fill on="t" focussize="0,0"/>
                        <v:stroke weight="1pt" color="#000000" joinstyle="miter" endarrow="block"/>
                        <v:imagedata o:title=""/>
                        <o:lock v:ext="edit" aspectratio="f"/>
                        <v:textbox>
                          <w:txbxContent>
                            <w:p w14:paraId="416681AA">
                              <w:pPr>
                                <w:spacing w:line="240" w:lineRule="auto"/>
                                <w:ind w:firstLine="0" w:firstLineChars="0"/>
                                <w:jc w:val="both"/>
                                <w:rPr>
                                  <w:rFonts w:ascii="Calibri" w:hAnsi="Calibri"/>
                                  <w:sz w:val="21"/>
                                </w:rPr>
                              </w:pPr>
                              <w:r>
                                <w:rPr>
                                  <w:rFonts w:hint="eastAsia" w:ascii="Calibri" w:hAnsi="Calibri"/>
                                  <w:sz w:val="21"/>
                                </w:rPr>
                                <w:t>包装出货</w:t>
                              </w:r>
                            </w:p>
                          </w:txbxContent>
                        </v:textbox>
                      </v:shape>
                      <v:line id="_x0000_s1026" o:spid="_x0000_s1026" o:spt="20" style="position:absolute;left:4270375;top:905511;height:0;width:393700;" filled="f" stroked="t" coordsize="21600,21600" o:gfxdata="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PBcCS1AAAAAUBAAAPAAAAAAAAAAEAIAAAACIAAABkcnMvZG93bnJl&#10;di54bWxQSwECFAAUAAAACACHTuJAIH68AwECAADrAwAADgAAAAAAAAABACAAAAAjAQAAZHJzL2Uy&#10;b0RvYy54bWxQSwUGAAAAAAYABgBZAQAAlgUAAAAA&#10;">
                        <v:fill on="f" focussize="0,0"/>
                        <v:stroke weight="1pt" color="#000000" joinstyle="round" endarrow="block"/>
                        <v:imagedata o:title=""/>
                        <o:lock v:ext="edit" aspectratio="f"/>
                      </v:line>
                      <v:shape id="_x0000_s1026" o:spid="_x0000_s1026" o:spt="202" type="#_x0000_t202" style="position:absolute;left:3816350;top:802005;height:288290;width:469900;" fillcolor="#FFFFFF" filled="t" stroked="t" coordsize="21600,21600" o:gfxdata="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uox1L1gAA&#10;AAUBAAAPAAAAAAAAAAEAIAAAACIAAABkcnMvZG93bnJldi54bWxQSwECFAAUAAAACACHTuJAcDB7&#10;uyACAABJBAAADgAAAAAAAAABACAAAAAlAQAAZHJzL2Uyb0RvYy54bWxQSwUGAAAAAAYABgBZAQAA&#10;twUAAAAA&#10;">
                        <v:fill on="t" focussize="0,0"/>
                        <v:stroke weight="1pt" color="#000000" joinstyle="miter" endarrow="block"/>
                        <v:imagedata o:title=""/>
                        <o:lock v:ext="edit" aspectratio="f"/>
                        <v:textbox>
                          <w:txbxContent>
                            <w:p w14:paraId="5BC12A11">
                              <w:pPr>
                                <w:spacing w:line="240" w:lineRule="auto"/>
                                <w:ind w:firstLine="0" w:firstLineChars="0"/>
                                <w:jc w:val="both"/>
                                <w:rPr>
                                  <w:rFonts w:ascii="Calibri" w:hAnsi="Calibri"/>
                                  <w:sz w:val="21"/>
                                </w:rPr>
                              </w:pPr>
                              <w:r>
                                <w:rPr>
                                  <w:rFonts w:hint="eastAsia" w:ascii="Calibri" w:hAnsi="Calibri"/>
                                  <w:sz w:val="21"/>
                                </w:rPr>
                                <w:t>切粒</w:t>
                              </w:r>
                            </w:p>
                          </w:txbxContent>
                        </v:textbox>
                      </v:shape>
                      <v:shape id="_x0000_s1026" o:spid="_x0000_s1026" o:spt="202" type="#_x0000_t202" style="position:absolute;left:812165;top:111125;height:266700;width:965200;" filled="f" stroked="f" coordsize="21600,21600" o:gfxdata="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3BccU1AAAAAUBAAAPAAAAAAAAAAEAIAAAACIAAABkcnMvZG93bnJldi54bWxQ&#10;SwECFAAUAAAACACHTuJAUljTEfsBAADxAwAADgAAAAAAAAABACAAAAAjAQAAZHJzL2Uyb0RvYy54&#10;bWxQSwUGAAAAAAYABgBZAQAAkAUAAAAA&#10;">
                        <v:fill on="f" focussize="0,0"/>
                        <v:stroke on="f" weight="1pt" joinstyle="miter" dashstyle="1 1" endcap="square"/>
                        <v:imagedata o:title=""/>
                        <o:lock v:ext="edit" aspectratio="f"/>
                        <v:textbox>
                          <w:txbxContent>
                            <w:p w14:paraId="341A583C">
                              <w:pPr>
                                <w:spacing w:line="240" w:lineRule="auto"/>
                                <w:ind w:firstLine="0" w:firstLineChars="0"/>
                                <w:jc w:val="center"/>
                                <w:rPr>
                                  <w:rFonts w:ascii="Calibri" w:hAnsi="Calibri"/>
                                  <w:sz w:val="21"/>
                                </w:rPr>
                              </w:pPr>
                              <w:r>
                                <w:rPr>
                                  <w:rFonts w:hint="eastAsia" w:ascii="Calibri" w:hAnsi="Calibri"/>
                                  <w:sz w:val="21"/>
                                </w:rPr>
                                <w:t>噪声、粉尘</w:t>
                              </w:r>
                            </w:p>
                          </w:txbxContent>
                        </v:textbox>
                      </v:shape>
                      <v:shape id="_x0000_s1026" o:spid="_x0000_s1026" o:spt="202" type="#_x0000_t202" style="position:absolute;left:1728470;top:120650;height:257810;width:1277620;" filled="f" stroked="f" coordsize="21600,21600" o:gfxdata="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dwXHFNQAAAAFAQAADwAAAAAAAAABACAAAAAiAAAAZHJzL2Rvd25yZXYueG1s&#10;UEsBAhQAFAAAAAgAh07iQCM2cef8AQAA8wMAAA4AAAAAAAAAAQAgAAAAIwEAAGRycy9lMm9Eb2Mu&#10;eG1sUEsFBgAAAAAGAAYAWQEAAJEFAAAAAA==&#10;">
                        <v:fill on="f" focussize="0,0"/>
                        <v:stroke on="f" weight="1pt" joinstyle="miter" dashstyle="1 1" endcap="square"/>
                        <v:imagedata o:title=""/>
                        <o:lock v:ext="edit" aspectratio="f"/>
                        <v:textbox>
                          <w:txbxContent>
                            <w:p w14:paraId="06621DBE">
                              <w:pPr>
                                <w:spacing w:line="240" w:lineRule="auto"/>
                                <w:ind w:firstLine="0" w:firstLineChars="0"/>
                                <w:jc w:val="center"/>
                                <w:rPr>
                                  <w:rFonts w:ascii="Calibri" w:hAnsi="Calibri"/>
                                  <w:sz w:val="21"/>
                                </w:rPr>
                              </w:pPr>
                              <w:r>
                                <w:rPr>
                                  <w:rFonts w:hint="eastAsia" w:ascii="Calibri" w:hAnsi="Calibri"/>
                                  <w:sz w:val="21"/>
                                </w:rPr>
                                <w:t>噪声、非甲烷总烃</w:t>
                              </w:r>
                            </w:p>
                          </w:txbxContent>
                        </v:textbox>
                      </v:shape>
                      <v:shape id="_x0000_s1026" o:spid="_x0000_s1026" o:spt="32" type="#_x0000_t32" style="position:absolute;left:1285875;top:387350;flip:y;height:425450;width:635;" filled="f" stroked="t" coordsize="21600,21600" o:gfxdata="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fFg7V0AAAAAUBAAAPAAAAAAAAAAEAIAAAACIAAABkcnMvZG93bnJldi54bWxQSwEC&#10;FAAUAAAACACHTuJAhFyLfjUCAAA1BAAADgAAAAAAAAABACAAAAAfAQAAZHJzL2Uyb0RvYy54bWxQ&#10;SwUGAAAAAAYABgBZAQAAxgUAAAAA&#10;">
                        <v:fill on="f" focussize="0,0"/>
                        <v:stroke color="#000000 [3213]" joinstyle="round" dashstyle="dash" endarrow="block"/>
                        <v:imagedata o:title=""/>
                        <o:lock v:ext="edit" aspectratio="f"/>
                      </v:shape>
                      <v:shape id="_x0000_s1026" o:spid="_x0000_s1026" o:spt="32" type="#_x0000_t32" style="position:absolute;left:2303780;top:379730;flip:y;height:425450;width:635;" filled="f" stroked="t" coordsize="21600,21600" o:gfxdata="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AfFg7V0AAA&#10;AAUBAAAPAAAAAAAAAAEAIAAAACIAAABkcnMvZG93bnJldi54bWxQSwECFAAUAAAACACHTuJAmvrO&#10;xyYCAAANBAAADgAAAAAAAAABACAAAAAfAQAAZHJzL2Uyb0RvYy54bWxQSwUGAAAAAAYABgBZAQAA&#10;twUAAAAA&#10;">
                        <v:fill on="f" focussize="0,0"/>
                        <v:stroke color="#000000 [3213]" joinstyle="round" dashstyle="dash" endarrow="block"/>
                        <v:imagedata o:title=""/>
                        <o:lock v:ext="edit" aspectratio="f"/>
                      </v:shape>
                      <v:shape id="_x0000_s1026" o:spid="_x0000_s1026" o:spt="32" type="#_x0000_t32" style="position:absolute;left:4075430;top:389255;flip:y;height:425450;width:635;" filled="f" stroked="t" coordsize="21600,21600" o:gfxdata="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HxYO1dAA&#10;AAAFAQAADwAAAAAAAAABACAAAAAiAAAAZHJzL2Rvd25yZXYueG1sUEsBAhQAFAAAAAgAh07iQJhC&#10;SU4nAgAADQQAAA4AAAAAAAAAAQAgAAAAHwEAAGRycy9lMm9Eb2MueG1sUEsFBgAAAAAGAAYAWQEA&#10;ALgFAAAAAA==&#10;">
                        <v:fill on="f" focussize="0,0"/>
                        <v:stroke color="#000000 [3213]" joinstyle="round" dashstyle="dash" endarrow="block"/>
                        <v:imagedata o:title=""/>
                        <o:lock v:ext="edit" aspectratio="f"/>
                      </v:shape>
                      <v:shape id="_x0000_s1026" o:spid="_x0000_s1026" o:spt="32" type="#_x0000_t32" style="position:absolute;left:5046980;top:360680;flip:y;height:425450;width:635;" filled="f" stroked="t" coordsize="21600,21600" o:gfxdata="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HxYO1dAAAAAF&#10;AQAADwAAAAAAAAABACAAAAAiAAAAZHJzL2Rvd25yZXYueG1sUEsBAhQAFAAAAAgAh07iQKx0gAQk&#10;AgAADQQAAA4AAAAAAAAAAQAgAAAAHwEAAGRycy9lMm9Eb2MueG1sUEsFBgAAAAAGAAYAWQEAALUF&#10;AAAAAA==&#10;">
                        <v:fill on="f" focussize="0,0"/>
                        <v:stroke color="#000000 [3213]" joinstyle="round" dashstyle="dash" endarrow="block"/>
                        <v:imagedata o:title=""/>
                        <o:lock v:ext="edit" aspectratio="f"/>
                      </v:shape>
                      <w10:wrap type="none"/>
                      <w10:anchorlock/>
                    </v:group>
                  </w:pict>
                </mc:Fallback>
              </mc:AlternateContent>
            </w:r>
          </w:p>
          <w:p w14:paraId="490DCB92">
            <w:pPr>
              <w:widowControl/>
              <w:ind w:firstLine="0" w:firstLineChars="0"/>
              <w:jc w:val="center"/>
              <w:rPr>
                <w:b/>
                <w:color w:val="auto"/>
                <w:kern w:val="0"/>
                <w:sz w:val="21"/>
                <w:szCs w:val="21"/>
              </w:rPr>
            </w:pPr>
            <w:r>
              <w:rPr>
                <w:b/>
                <w:color w:val="auto"/>
                <w:kern w:val="0"/>
                <w:sz w:val="21"/>
                <w:szCs w:val="21"/>
              </w:rPr>
              <w:t>图</w:t>
            </w:r>
            <w:r>
              <w:rPr>
                <w:rFonts w:hint="eastAsia"/>
                <w:b/>
                <w:color w:val="auto"/>
                <w:kern w:val="0"/>
                <w:sz w:val="21"/>
                <w:szCs w:val="21"/>
              </w:rPr>
              <w:t>2</w:t>
            </w:r>
            <w:r>
              <w:rPr>
                <w:b/>
                <w:color w:val="auto"/>
                <w:kern w:val="0"/>
                <w:sz w:val="21"/>
                <w:szCs w:val="21"/>
              </w:rPr>
              <w:t>-</w:t>
            </w:r>
            <w:r>
              <w:rPr>
                <w:rFonts w:hint="eastAsia"/>
                <w:b/>
                <w:color w:val="auto"/>
                <w:kern w:val="0"/>
                <w:sz w:val="21"/>
                <w:szCs w:val="21"/>
              </w:rPr>
              <w:t>3</w:t>
            </w:r>
            <w:r>
              <w:rPr>
                <w:b/>
                <w:color w:val="auto"/>
                <w:kern w:val="0"/>
                <w:sz w:val="21"/>
                <w:szCs w:val="21"/>
              </w:rPr>
              <w:t xml:space="preserve"> 项目TPE热塑性弹性体产品生产工艺流程及产污环节示意图</w:t>
            </w:r>
          </w:p>
          <w:p w14:paraId="2B8F9A5B">
            <w:pPr>
              <w:widowControl/>
              <w:ind w:firstLine="482"/>
              <w:jc w:val="both"/>
              <w:rPr>
                <w:rFonts w:cs="宋体"/>
                <w:b/>
                <w:kern w:val="0"/>
              </w:rPr>
            </w:pPr>
            <w:r>
              <w:rPr>
                <w:rFonts w:cs="宋体"/>
                <w:b/>
                <w:kern w:val="0"/>
              </w:rPr>
              <w:t>工艺流程简述如下：</w:t>
            </w:r>
          </w:p>
          <w:p w14:paraId="254808CB">
            <w:pPr>
              <w:widowControl/>
              <w:ind w:firstLine="480"/>
              <w:jc w:val="both"/>
              <w:rPr>
                <w:rFonts w:cs="宋体"/>
                <w:bCs/>
                <w:kern w:val="0"/>
              </w:rPr>
            </w:pPr>
            <w:r>
              <w:rPr>
                <w:rFonts w:cs="宋体"/>
                <w:bCs/>
                <w:kern w:val="0"/>
              </w:rPr>
              <w:t>（1）原材料：采购SEBS弹性体、PP新塑胶粒、SBS热塑性弹性体、色母粒、滑石粉、软化油、抗氧剂、爽滑剂等倒入储料桶。</w:t>
            </w:r>
          </w:p>
          <w:p w14:paraId="2D71C634">
            <w:pPr>
              <w:widowControl/>
              <w:ind w:firstLine="480"/>
              <w:jc w:val="both"/>
              <w:rPr>
                <w:rFonts w:cs="宋体"/>
                <w:bCs/>
                <w:kern w:val="0"/>
              </w:rPr>
            </w:pPr>
            <w:r>
              <w:rPr>
                <w:rFonts w:cs="宋体"/>
                <w:bCs/>
                <w:kern w:val="0"/>
              </w:rPr>
              <w:t>（2）搅拌：</w:t>
            </w:r>
            <w:r>
              <w:rPr>
                <w:rFonts w:cs="宋体"/>
              </w:rPr>
              <w:t>将储料桶的原材料装入密闭的搅拌机内进行混合搅拌，确保各种物料混合均匀。该过程中会产生少量的粉尘废气</w:t>
            </w:r>
            <w:r>
              <w:rPr>
                <w:rFonts w:cs="宋体"/>
                <w:bCs/>
                <w:kern w:val="0"/>
              </w:rPr>
              <w:t>。</w:t>
            </w:r>
          </w:p>
          <w:p w14:paraId="5022DFB9">
            <w:pPr>
              <w:widowControl/>
              <w:ind w:firstLine="480"/>
              <w:jc w:val="both"/>
              <w:rPr>
                <w:rFonts w:cs="宋体"/>
                <w:bCs/>
                <w:kern w:val="0"/>
              </w:rPr>
            </w:pPr>
            <w:r>
              <w:rPr>
                <w:rFonts w:cs="宋体"/>
                <w:bCs/>
                <w:kern w:val="0"/>
              </w:rPr>
              <w:t>（3）挤出：</w:t>
            </w:r>
            <w:r>
              <w:rPr>
                <w:rFonts w:cs="宋体"/>
              </w:rPr>
              <w:t>混合物料通过管道进入65型双螺杆挤出机，通过电加热方式热熔，温</w:t>
            </w:r>
            <w:r>
              <w:rPr>
                <w:rFonts w:cs="宋体"/>
                <w:spacing w:val="-10"/>
              </w:rPr>
              <w:t>度维持在</w:t>
            </w:r>
            <w:r>
              <w:rPr>
                <w:rFonts w:cs="宋体"/>
                <w:spacing w:val="-3"/>
              </w:rPr>
              <w:t>110℃；然后经过挤出机挤出成细条状塑料，此过程会产生非甲烷总烃</w:t>
            </w:r>
            <w:r>
              <w:rPr>
                <w:rFonts w:cs="宋体"/>
                <w:bCs/>
                <w:kern w:val="0"/>
              </w:rPr>
              <w:t>。</w:t>
            </w:r>
          </w:p>
          <w:p w14:paraId="137256AC">
            <w:pPr>
              <w:widowControl/>
              <w:ind w:firstLine="480"/>
              <w:jc w:val="both"/>
              <w:rPr>
                <w:rFonts w:cs="宋体"/>
                <w:bCs/>
                <w:kern w:val="0"/>
              </w:rPr>
            </w:pPr>
            <w:r>
              <w:rPr>
                <w:rFonts w:cs="宋体"/>
                <w:bCs/>
                <w:kern w:val="0"/>
              </w:rPr>
              <w:t>（4）冷却：</w:t>
            </w:r>
            <w:r>
              <w:rPr>
                <w:rFonts w:cs="宋体"/>
                <w:spacing w:val="-3"/>
              </w:rPr>
              <w:t>通过</w:t>
            </w:r>
            <w:r>
              <w:rPr>
                <w:rFonts w:cs="宋体"/>
              </w:rPr>
              <w:t>65型双螺杆挤出机</w:t>
            </w:r>
            <w:r>
              <w:rPr>
                <w:rFonts w:cs="宋体"/>
                <w:spacing w:val="-3"/>
              </w:rPr>
              <w:t>的细条状塑料送入冷却塔</w:t>
            </w:r>
            <w:r>
              <w:rPr>
                <w:rFonts w:cs="宋体"/>
              </w:rPr>
              <w:t>进行冷水冷却</w:t>
            </w:r>
            <w:r>
              <w:rPr>
                <w:rFonts w:cs="宋体"/>
                <w:bCs/>
                <w:kern w:val="0"/>
              </w:rPr>
              <w:t>。</w:t>
            </w:r>
          </w:p>
          <w:p w14:paraId="4FCA41BF">
            <w:pPr>
              <w:widowControl/>
              <w:ind w:firstLine="480"/>
              <w:jc w:val="both"/>
              <w:rPr>
                <w:rFonts w:cs="宋体"/>
                <w:bCs/>
                <w:kern w:val="0"/>
              </w:rPr>
            </w:pPr>
            <w:r>
              <w:rPr>
                <w:rFonts w:cs="宋体"/>
                <w:bCs/>
                <w:kern w:val="0"/>
              </w:rPr>
              <w:t>（5）切粒：冷却后的细条状塑料经过切料机进行切粒。</w:t>
            </w:r>
          </w:p>
          <w:p w14:paraId="57A5E874">
            <w:pPr>
              <w:widowControl/>
              <w:ind w:firstLine="480"/>
              <w:jc w:val="both"/>
              <w:rPr>
                <w:rFonts w:cs="宋体"/>
                <w:b/>
                <w:bCs/>
              </w:rPr>
            </w:pPr>
            <w:r>
              <w:rPr>
                <w:rFonts w:cs="宋体"/>
                <w:bCs/>
                <w:kern w:val="0"/>
              </w:rPr>
              <w:t>（6）包装出货：切粒完成后即可包装出货，此过程会产生废包装材料。</w:t>
            </w:r>
          </w:p>
          <w:p w14:paraId="7F081F63">
            <w:pPr>
              <w:pStyle w:val="16"/>
              <w:rPr>
                <w:kern w:val="2"/>
                <w:szCs w:val="24"/>
              </w:rPr>
            </w:pPr>
            <w:r>
              <w:rPr>
                <w:kern w:val="2"/>
                <w:szCs w:val="24"/>
              </w:rPr>
              <w:t>表2-</w:t>
            </w:r>
            <w:r>
              <w:rPr>
                <w:rFonts w:hint="eastAsia"/>
                <w:kern w:val="2"/>
                <w:szCs w:val="24"/>
              </w:rPr>
              <w:t>9</w:t>
            </w:r>
            <w:r>
              <w:rPr>
                <w:kern w:val="2"/>
                <w:szCs w:val="24"/>
              </w:rPr>
              <w:t xml:space="preserve"> </w:t>
            </w:r>
            <w:r>
              <w:rPr>
                <w:rFonts w:hint="eastAsia"/>
                <w:kern w:val="2"/>
                <w:szCs w:val="24"/>
              </w:rPr>
              <w:t>原有</w:t>
            </w:r>
            <w:r>
              <w:rPr>
                <w:kern w:val="2"/>
                <w:szCs w:val="24"/>
              </w:rPr>
              <w:t>项目</w:t>
            </w:r>
            <w:r>
              <w:rPr>
                <w:rFonts w:hint="eastAsia"/>
                <w:kern w:val="2"/>
                <w:szCs w:val="24"/>
              </w:rPr>
              <w:t>产污</w:t>
            </w:r>
            <w:r>
              <w:rPr>
                <w:kern w:val="2"/>
                <w:szCs w:val="24"/>
              </w:rPr>
              <w:t>环节</w:t>
            </w:r>
            <w:r>
              <w:rPr>
                <w:rFonts w:hint="eastAsia"/>
                <w:kern w:val="2"/>
                <w:szCs w:val="24"/>
              </w:rPr>
              <w:t>一览表</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4"/>
              <w:gridCol w:w="759"/>
              <w:gridCol w:w="1572"/>
              <w:gridCol w:w="2299"/>
              <w:gridCol w:w="3255"/>
            </w:tblGrid>
            <w:tr w14:paraId="0E454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394" w:type="pct"/>
                  <w:vAlign w:val="center"/>
                </w:tcPr>
                <w:p w14:paraId="569F817C">
                  <w:pPr>
                    <w:pStyle w:val="8"/>
                    <w:rPr>
                      <w:b/>
                      <w:bCs/>
                    </w:rPr>
                  </w:pPr>
                  <w:r>
                    <w:rPr>
                      <w:b/>
                      <w:bCs/>
                    </w:rPr>
                    <w:t>类别</w:t>
                  </w:r>
                </w:p>
              </w:tc>
              <w:tc>
                <w:tcPr>
                  <w:tcW w:w="1361" w:type="pct"/>
                  <w:gridSpan w:val="2"/>
                  <w:vAlign w:val="center"/>
                </w:tcPr>
                <w:p w14:paraId="5F8BB812">
                  <w:pPr>
                    <w:pStyle w:val="8"/>
                    <w:rPr>
                      <w:b/>
                      <w:bCs/>
                    </w:rPr>
                  </w:pPr>
                  <w:r>
                    <w:rPr>
                      <w:b/>
                      <w:bCs/>
                    </w:rPr>
                    <w:t>产污工序</w:t>
                  </w:r>
                </w:p>
              </w:tc>
              <w:tc>
                <w:tcPr>
                  <w:tcW w:w="1343" w:type="pct"/>
                  <w:vAlign w:val="center"/>
                </w:tcPr>
                <w:p w14:paraId="31022ABA">
                  <w:pPr>
                    <w:pStyle w:val="8"/>
                    <w:rPr>
                      <w:b/>
                      <w:bCs/>
                    </w:rPr>
                  </w:pPr>
                  <w:r>
                    <w:rPr>
                      <w:b/>
                      <w:bCs/>
                    </w:rPr>
                    <w:t>污染物</w:t>
                  </w:r>
                </w:p>
              </w:tc>
              <w:tc>
                <w:tcPr>
                  <w:tcW w:w="1901" w:type="pct"/>
                  <w:vAlign w:val="center"/>
                </w:tcPr>
                <w:p w14:paraId="6863F297">
                  <w:pPr>
                    <w:pStyle w:val="8"/>
                    <w:rPr>
                      <w:b/>
                      <w:bCs/>
                    </w:rPr>
                  </w:pPr>
                  <w:r>
                    <w:rPr>
                      <w:rFonts w:hint="eastAsia"/>
                      <w:b/>
                      <w:bCs/>
                    </w:rPr>
                    <w:t>处理措施</w:t>
                  </w:r>
                </w:p>
              </w:tc>
            </w:tr>
            <w:tr w14:paraId="1A10B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394" w:type="pct"/>
                  <w:vMerge w:val="restart"/>
                  <w:vAlign w:val="center"/>
                </w:tcPr>
                <w:p w14:paraId="3D35C383">
                  <w:pPr>
                    <w:pStyle w:val="8"/>
                  </w:pPr>
                  <w:r>
                    <w:t>废水</w:t>
                  </w:r>
                </w:p>
              </w:tc>
              <w:tc>
                <w:tcPr>
                  <w:tcW w:w="1361" w:type="pct"/>
                  <w:gridSpan w:val="2"/>
                  <w:shd w:val="clear" w:color="auto" w:fill="auto"/>
                  <w:vAlign w:val="center"/>
                </w:tcPr>
                <w:p w14:paraId="532C5239">
                  <w:pPr>
                    <w:pStyle w:val="8"/>
                  </w:pPr>
                  <w:r>
                    <w:rPr>
                      <w:rFonts w:hint="eastAsia"/>
                    </w:rPr>
                    <w:t>生活用水</w:t>
                  </w:r>
                </w:p>
              </w:tc>
              <w:tc>
                <w:tcPr>
                  <w:tcW w:w="1343" w:type="pct"/>
                  <w:shd w:val="clear" w:color="auto" w:fill="auto"/>
                  <w:vAlign w:val="center"/>
                </w:tcPr>
                <w:p w14:paraId="06B73148">
                  <w:pPr>
                    <w:pStyle w:val="8"/>
                  </w:pPr>
                  <w:r>
                    <w:t>COD</w:t>
                  </w:r>
                  <w:r>
                    <w:rPr>
                      <w:vertAlign w:val="subscript"/>
                    </w:rPr>
                    <w:t>Cr</w:t>
                  </w:r>
                  <w:r>
                    <w:t>、</w:t>
                  </w:r>
                  <w:bookmarkStart w:id="170" w:name="OLE_LINK97"/>
                  <w:r>
                    <w:t>BOD</w:t>
                  </w:r>
                  <w:r>
                    <w:rPr>
                      <w:vertAlign w:val="subscript"/>
                    </w:rPr>
                    <w:t>5</w:t>
                  </w:r>
                  <w:r>
                    <w:t>、SS、</w:t>
                  </w:r>
                  <w:bookmarkEnd w:id="170"/>
                  <w:r>
                    <w:t>氨氮</w:t>
                  </w:r>
                  <w:r>
                    <w:rPr>
                      <w:rFonts w:hint="eastAsia"/>
                    </w:rPr>
                    <w:t>、总磷</w:t>
                  </w:r>
                </w:p>
              </w:tc>
              <w:tc>
                <w:tcPr>
                  <w:tcW w:w="1901" w:type="pct"/>
                  <w:vAlign w:val="center"/>
                </w:tcPr>
                <w:p w14:paraId="335F806D">
                  <w:pPr>
                    <w:pStyle w:val="8"/>
                  </w:pPr>
                  <w:r>
                    <w:t>经</w:t>
                  </w:r>
                  <w:r>
                    <w:rPr>
                      <w:rFonts w:hint="eastAsia"/>
                    </w:rPr>
                    <w:t>三级化粪池</w:t>
                  </w:r>
                  <w:r>
                    <w:t>预处理后</w:t>
                  </w:r>
                  <w:r>
                    <w:rPr>
                      <w:rFonts w:hint="eastAsia"/>
                    </w:rPr>
                    <w:t>排入市政</w:t>
                  </w:r>
                  <w:r>
                    <w:t>污水管网</w:t>
                  </w:r>
                  <w:r>
                    <w:rPr>
                      <w:rFonts w:hint="eastAsia"/>
                    </w:rPr>
                    <w:t>纳</w:t>
                  </w:r>
                  <w:r>
                    <w:t>入</w:t>
                  </w:r>
                  <w:r>
                    <w:rPr>
                      <w:rFonts w:hint="eastAsia"/>
                    </w:rPr>
                    <w:t>园洲镇第五污水处理厂</w:t>
                  </w:r>
                  <w:r>
                    <w:t>处理</w:t>
                  </w:r>
                </w:p>
              </w:tc>
            </w:tr>
            <w:tr w14:paraId="2AF34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394" w:type="pct"/>
                  <w:vMerge w:val="continue"/>
                  <w:vAlign w:val="center"/>
                </w:tcPr>
                <w:p w14:paraId="58D05F68">
                  <w:pPr>
                    <w:pStyle w:val="8"/>
                  </w:pPr>
                </w:p>
              </w:tc>
              <w:tc>
                <w:tcPr>
                  <w:tcW w:w="1361" w:type="pct"/>
                  <w:gridSpan w:val="2"/>
                  <w:shd w:val="clear" w:color="auto" w:fill="auto"/>
                  <w:vAlign w:val="center"/>
                </w:tcPr>
                <w:p w14:paraId="36F76E22">
                  <w:pPr>
                    <w:pStyle w:val="8"/>
                  </w:pPr>
                  <w:r>
                    <w:rPr>
                      <w:rFonts w:hint="eastAsia"/>
                    </w:rPr>
                    <w:t>冷却</w:t>
                  </w:r>
                </w:p>
              </w:tc>
              <w:tc>
                <w:tcPr>
                  <w:tcW w:w="1343" w:type="pct"/>
                  <w:shd w:val="clear" w:color="auto" w:fill="auto"/>
                  <w:vAlign w:val="center"/>
                </w:tcPr>
                <w:p w14:paraId="3B6F2459">
                  <w:pPr>
                    <w:pStyle w:val="8"/>
                  </w:pPr>
                  <w:r>
                    <w:t>BOD</w:t>
                  </w:r>
                  <w:r>
                    <w:rPr>
                      <w:vertAlign w:val="subscript"/>
                    </w:rPr>
                    <w:t>5</w:t>
                  </w:r>
                  <w:r>
                    <w:t>、SS、</w:t>
                  </w:r>
                  <w:r>
                    <w:rPr>
                      <w:rFonts w:hint="eastAsia"/>
                    </w:rPr>
                    <w:t>色度</w:t>
                  </w:r>
                </w:p>
              </w:tc>
              <w:tc>
                <w:tcPr>
                  <w:tcW w:w="1901" w:type="pct"/>
                  <w:vAlign w:val="center"/>
                </w:tcPr>
                <w:p w14:paraId="5C02EB6E">
                  <w:pPr>
                    <w:pStyle w:val="8"/>
                  </w:pPr>
                  <w:r>
                    <w:rPr>
                      <w:rFonts w:hint="eastAsia"/>
                    </w:rPr>
                    <w:t>经“混凝沉淀+压滤+保安过滤”处理后回用于直接冷却工序，不外排</w:t>
                  </w:r>
                </w:p>
              </w:tc>
            </w:tr>
            <w:tr w14:paraId="5BEAC1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jc w:val="center"/>
              </w:trPr>
              <w:tc>
                <w:tcPr>
                  <w:tcW w:w="394" w:type="pct"/>
                  <w:vMerge w:val="restart"/>
                  <w:vAlign w:val="center"/>
                </w:tcPr>
                <w:p w14:paraId="02E329BF">
                  <w:pPr>
                    <w:pStyle w:val="8"/>
                  </w:pPr>
                  <w:r>
                    <w:rPr>
                      <w:rFonts w:hint="eastAsia"/>
                    </w:rPr>
                    <w:t>废气</w:t>
                  </w:r>
                </w:p>
              </w:tc>
              <w:tc>
                <w:tcPr>
                  <w:tcW w:w="1361" w:type="pct"/>
                  <w:gridSpan w:val="2"/>
                  <w:shd w:val="clear" w:color="auto" w:fill="auto"/>
                  <w:vAlign w:val="center"/>
                </w:tcPr>
                <w:p w14:paraId="60D35057">
                  <w:pPr>
                    <w:pStyle w:val="8"/>
                  </w:pPr>
                  <w:r>
                    <w:rPr>
                      <w:rFonts w:hint="eastAsia"/>
                    </w:rPr>
                    <w:t>挤出</w:t>
                  </w:r>
                </w:p>
              </w:tc>
              <w:tc>
                <w:tcPr>
                  <w:tcW w:w="1343" w:type="pct"/>
                  <w:shd w:val="clear" w:color="auto" w:fill="auto"/>
                  <w:vAlign w:val="center"/>
                </w:tcPr>
                <w:p w14:paraId="02A9226A">
                  <w:pPr>
                    <w:pStyle w:val="8"/>
                  </w:pPr>
                  <w:r>
                    <w:t>非甲烷总烃</w:t>
                  </w:r>
                </w:p>
              </w:tc>
              <w:tc>
                <w:tcPr>
                  <w:tcW w:w="1901" w:type="pct"/>
                  <w:vMerge w:val="restart"/>
                  <w:vAlign w:val="center"/>
                </w:tcPr>
                <w:p w14:paraId="5AC7AC17">
                  <w:pPr>
                    <w:pStyle w:val="8"/>
                  </w:pPr>
                  <w:bookmarkStart w:id="171" w:name="OLE_LINK70"/>
                  <w:r>
                    <w:rPr>
                      <w:rFonts w:hint="eastAsia"/>
                      <w:szCs w:val="21"/>
                    </w:rPr>
                    <w:t>经“水喷淋+活性炭吸附”装置</w:t>
                  </w:r>
                  <w:r>
                    <w:t>处理后由</w:t>
                  </w:r>
                  <w:r>
                    <w:rPr>
                      <w:rFonts w:hint="eastAsia"/>
                    </w:rPr>
                    <w:t>15m排气筒高空</w:t>
                  </w:r>
                  <w:r>
                    <w:t>排放</w:t>
                  </w:r>
                  <w:bookmarkEnd w:id="171"/>
                </w:p>
              </w:tc>
            </w:tr>
            <w:tr w14:paraId="4EF85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394" w:type="pct"/>
                  <w:vMerge w:val="continue"/>
                  <w:vAlign w:val="center"/>
                </w:tcPr>
                <w:p w14:paraId="53AAE1B5">
                  <w:pPr>
                    <w:pStyle w:val="8"/>
                  </w:pPr>
                </w:p>
              </w:tc>
              <w:tc>
                <w:tcPr>
                  <w:tcW w:w="1361" w:type="pct"/>
                  <w:gridSpan w:val="2"/>
                  <w:shd w:val="clear" w:color="auto" w:fill="auto"/>
                  <w:vAlign w:val="center"/>
                </w:tcPr>
                <w:p w14:paraId="4D3FA871">
                  <w:pPr>
                    <w:pStyle w:val="8"/>
                  </w:pPr>
                  <w:r>
                    <w:rPr>
                      <w:rFonts w:hint="eastAsia"/>
                    </w:rPr>
                    <w:t>搅拌</w:t>
                  </w:r>
                </w:p>
              </w:tc>
              <w:tc>
                <w:tcPr>
                  <w:tcW w:w="1343" w:type="pct"/>
                  <w:shd w:val="clear" w:color="auto" w:fill="auto"/>
                  <w:vAlign w:val="center"/>
                </w:tcPr>
                <w:p w14:paraId="0743D433">
                  <w:pPr>
                    <w:pStyle w:val="8"/>
                  </w:pPr>
                  <w:r>
                    <w:rPr>
                      <w:rFonts w:hint="eastAsia"/>
                    </w:rPr>
                    <w:t>颗粒物</w:t>
                  </w:r>
                </w:p>
              </w:tc>
              <w:tc>
                <w:tcPr>
                  <w:tcW w:w="1901" w:type="pct"/>
                  <w:vMerge w:val="continue"/>
                  <w:vAlign w:val="center"/>
                </w:tcPr>
                <w:p w14:paraId="0D4CE7F9">
                  <w:pPr>
                    <w:pStyle w:val="8"/>
                    <w:rPr>
                      <w:szCs w:val="21"/>
                      <w:highlight w:val="yellow"/>
                    </w:rPr>
                  </w:pPr>
                </w:p>
              </w:tc>
            </w:tr>
            <w:tr w14:paraId="1B358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394" w:type="pct"/>
                  <w:vAlign w:val="center"/>
                </w:tcPr>
                <w:p w14:paraId="285DB1E4">
                  <w:pPr>
                    <w:pStyle w:val="8"/>
                  </w:pPr>
                  <w:r>
                    <w:t>噪声</w:t>
                  </w:r>
                </w:p>
              </w:tc>
              <w:tc>
                <w:tcPr>
                  <w:tcW w:w="1361" w:type="pct"/>
                  <w:gridSpan w:val="2"/>
                  <w:shd w:val="clear" w:color="auto" w:fill="auto"/>
                  <w:vAlign w:val="center"/>
                </w:tcPr>
                <w:p w14:paraId="3A1513E2">
                  <w:pPr>
                    <w:pStyle w:val="8"/>
                  </w:pPr>
                  <w:r>
                    <w:rPr>
                      <w:rFonts w:hint="eastAsia"/>
                    </w:rPr>
                    <w:t>生产</w:t>
                  </w:r>
                  <w:r>
                    <w:t>设备</w:t>
                  </w:r>
                </w:p>
              </w:tc>
              <w:tc>
                <w:tcPr>
                  <w:tcW w:w="1343" w:type="pct"/>
                  <w:shd w:val="clear" w:color="auto" w:fill="auto"/>
                  <w:vAlign w:val="center"/>
                </w:tcPr>
                <w:p w14:paraId="2D3C300A">
                  <w:pPr>
                    <w:pStyle w:val="8"/>
                  </w:pPr>
                  <w:r>
                    <w:t>噪声</w:t>
                  </w:r>
                </w:p>
              </w:tc>
              <w:tc>
                <w:tcPr>
                  <w:tcW w:w="1901" w:type="pct"/>
                  <w:vAlign w:val="center"/>
                </w:tcPr>
                <w:p w14:paraId="02282C0E">
                  <w:pPr>
                    <w:pStyle w:val="8"/>
                  </w:pPr>
                  <w:bookmarkStart w:id="172" w:name="OLE_LINK109"/>
                  <w:r>
                    <w:rPr>
                      <w:rFonts w:hint="eastAsia"/>
                    </w:rPr>
                    <w:t>厂房隔声、设备基础减振等综合降噪措施</w:t>
                  </w:r>
                  <w:bookmarkEnd w:id="172"/>
                </w:p>
              </w:tc>
            </w:tr>
            <w:tr w14:paraId="1A0CA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394" w:type="pct"/>
                  <w:vMerge w:val="restart"/>
                  <w:vAlign w:val="center"/>
                </w:tcPr>
                <w:p w14:paraId="6667D1E2">
                  <w:pPr>
                    <w:pStyle w:val="8"/>
                  </w:pPr>
                  <w:r>
                    <w:t>固废</w:t>
                  </w:r>
                </w:p>
              </w:tc>
              <w:tc>
                <w:tcPr>
                  <w:tcW w:w="443" w:type="pct"/>
                  <w:shd w:val="clear" w:color="auto" w:fill="auto"/>
                  <w:vAlign w:val="center"/>
                </w:tcPr>
                <w:p w14:paraId="5BEE87BE">
                  <w:pPr>
                    <w:pStyle w:val="8"/>
                  </w:pPr>
                  <w:r>
                    <w:rPr>
                      <w:rFonts w:hint="eastAsia"/>
                    </w:rPr>
                    <w:t>生活垃圾</w:t>
                  </w:r>
                </w:p>
              </w:tc>
              <w:tc>
                <w:tcPr>
                  <w:tcW w:w="917" w:type="pct"/>
                  <w:shd w:val="clear" w:color="auto" w:fill="auto"/>
                  <w:vAlign w:val="center"/>
                </w:tcPr>
                <w:p w14:paraId="1339594A">
                  <w:pPr>
                    <w:pStyle w:val="8"/>
                  </w:pPr>
                  <w:r>
                    <w:t>员工</w:t>
                  </w:r>
                </w:p>
              </w:tc>
              <w:tc>
                <w:tcPr>
                  <w:tcW w:w="1343" w:type="pct"/>
                  <w:vAlign w:val="center"/>
                </w:tcPr>
                <w:p w14:paraId="0E0F0979">
                  <w:pPr>
                    <w:pStyle w:val="8"/>
                  </w:pPr>
                  <w:r>
                    <w:t>生活垃圾</w:t>
                  </w:r>
                </w:p>
              </w:tc>
              <w:tc>
                <w:tcPr>
                  <w:tcW w:w="1901" w:type="pct"/>
                  <w:vAlign w:val="center"/>
                </w:tcPr>
                <w:p w14:paraId="469099BC">
                  <w:pPr>
                    <w:pStyle w:val="8"/>
                  </w:pPr>
                  <w:r>
                    <w:t>交由环卫部门</w:t>
                  </w:r>
                  <w:r>
                    <w:rPr>
                      <w:rFonts w:hint="eastAsia"/>
                    </w:rPr>
                    <w:t>统一清运</w:t>
                  </w:r>
                </w:p>
              </w:tc>
            </w:tr>
            <w:tr w14:paraId="560AD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394" w:type="pct"/>
                  <w:vMerge w:val="continue"/>
                  <w:vAlign w:val="center"/>
                </w:tcPr>
                <w:p w14:paraId="5053CD32">
                  <w:pPr>
                    <w:pStyle w:val="8"/>
                  </w:pPr>
                </w:p>
              </w:tc>
              <w:tc>
                <w:tcPr>
                  <w:tcW w:w="443" w:type="pct"/>
                  <w:vMerge w:val="restart"/>
                  <w:vAlign w:val="center"/>
                </w:tcPr>
                <w:p w14:paraId="55CC05AC">
                  <w:pPr>
                    <w:pStyle w:val="8"/>
                    <w:rPr>
                      <w:rFonts w:cs="宋体"/>
                      <w:szCs w:val="21"/>
                    </w:rPr>
                  </w:pPr>
                  <w:r>
                    <w:rPr>
                      <w:rFonts w:hint="eastAsia" w:cs="宋体"/>
                      <w:szCs w:val="21"/>
                    </w:rPr>
                    <w:t>一般工业固废</w:t>
                  </w:r>
                </w:p>
              </w:tc>
              <w:tc>
                <w:tcPr>
                  <w:tcW w:w="917" w:type="pct"/>
                  <w:shd w:val="clear" w:color="auto" w:fill="auto"/>
                  <w:vAlign w:val="center"/>
                </w:tcPr>
                <w:p w14:paraId="7D284EF1">
                  <w:pPr>
                    <w:pStyle w:val="8"/>
                    <w:rPr>
                      <w:rFonts w:cs="宋体"/>
                      <w:szCs w:val="21"/>
                    </w:rPr>
                  </w:pPr>
                  <w:r>
                    <w:rPr>
                      <w:rFonts w:hint="eastAsia" w:cs="宋体"/>
                      <w:szCs w:val="21"/>
                    </w:rPr>
                    <w:t>包装</w:t>
                  </w:r>
                </w:p>
              </w:tc>
              <w:tc>
                <w:tcPr>
                  <w:tcW w:w="1343" w:type="pct"/>
                  <w:shd w:val="clear" w:color="auto" w:fill="auto"/>
                  <w:vAlign w:val="center"/>
                </w:tcPr>
                <w:p w14:paraId="083DB95A">
                  <w:pPr>
                    <w:pStyle w:val="8"/>
                    <w:rPr>
                      <w:rFonts w:cs="宋体"/>
                      <w:szCs w:val="21"/>
                    </w:rPr>
                  </w:pPr>
                  <w:r>
                    <w:rPr>
                      <w:rFonts w:hint="eastAsia" w:cs="宋体"/>
                      <w:szCs w:val="21"/>
                    </w:rPr>
                    <w:t>包装废物</w:t>
                  </w:r>
                </w:p>
              </w:tc>
              <w:tc>
                <w:tcPr>
                  <w:tcW w:w="1901" w:type="pct"/>
                  <w:vAlign w:val="center"/>
                </w:tcPr>
                <w:p w14:paraId="3EB57E70">
                  <w:pPr>
                    <w:pStyle w:val="8"/>
                  </w:pPr>
                  <w:r>
                    <w:rPr>
                      <w:rFonts w:hint="eastAsia"/>
                    </w:rPr>
                    <w:t>交由专业回收公司回收利用</w:t>
                  </w:r>
                </w:p>
              </w:tc>
            </w:tr>
            <w:tr w14:paraId="124BC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394" w:type="pct"/>
                  <w:vMerge w:val="continue"/>
                  <w:vAlign w:val="center"/>
                </w:tcPr>
                <w:p w14:paraId="0B0FC648">
                  <w:pPr>
                    <w:pStyle w:val="8"/>
                  </w:pPr>
                </w:p>
              </w:tc>
              <w:tc>
                <w:tcPr>
                  <w:tcW w:w="443" w:type="pct"/>
                  <w:vMerge w:val="continue"/>
                  <w:vAlign w:val="center"/>
                </w:tcPr>
                <w:p w14:paraId="2D9C909C">
                  <w:pPr>
                    <w:pStyle w:val="8"/>
                    <w:rPr>
                      <w:rFonts w:cs="宋体"/>
                      <w:szCs w:val="21"/>
                    </w:rPr>
                  </w:pPr>
                </w:p>
              </w:tc>
              <w:tc>
                <w:tcPr>
                  <w:tcW w:w="917" w:type="pct"/>
                  <w:shd w:val="clear" w:color="auto" w:fill="auto"/>
                  <w:vAlign w:val="center"/>
                </w:tcPr>
                <w:p w14:paraId="1C47AFB1">
                  <w:pPr>
                    <w:pStyle w:val="8"/>
                    <w:rPr>
                      <w:rFonts w:cs="宋体"/>
                      <w:szCs w:val="21"/>
                    </w:rPr>
                  </w:pPr>
                  <w:r>
                    <w:rPr>
                      <w:rFonts w:hint="eastAsia" w:cs="宋体"/>
                      <w:szCs w:val="21"/>
                    </w:rPr>
                    <w:t>冷却处理设施</w:t>
                  </w:r>
                </w:p>
              </w:tc>
              <w:tc>
                <w:tcPr>
                  <w:tcW w:w="1343" w:type="pct"/>
                  <w:shd w:val="clear" w:color="auto" w:fill="auto"/>
                  <w:vAlign w:val="center"/>
                </w:tcPr>
                <w:p w14:paraId="5DE5D452">
                  <w:pPr>
                    <w:pStyle w:val="8"/>
                    <w:rPr>
                      <w:rFonts w:cs="宋体"/>
                      <w:szCs w:val="21"/>
                    </w:rPr>
                  </w:pPr>
                  <w:bookmarkStart w:id="173" w:name="OLE_LINK239"/>
                  <w:r>
                    <w:rPr>
                      <w:rFonts w:hint="eastAsia" w:cs="宋体"/>
                      <w:szCs w:val="21"/>
                    </w:rPr>
                    <w:t>冷却废水污泥</w:t>
                  </w:r>
                  <w:bookmarkEnd w:id="173"/>
                </w:p>
              </w:tc>
              <w:tc>
                <w:tcPr>
                  <w:tcW w:w="1901" w:type="pct"/>
                  <w:vAlign w:val="center"/>
                </w:tcPr>
                <w:p w14:paraId="3F70E99B">
                  <w:pPr>
                    <w:pStyle w:val="8"/>
                  </w:pPr>
                  <w:r>
                    <w:rPr>
                      <w:rFonts w:hint="eastAsia"/>
                    </w:rPr>
                    <w:t>交由有相应处理工艺的资质单位处理</w:t>
                  </w:r>
                </w:p>
              </w:tc>
            </w:tr>
            <w:tr w14:paraId="71787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394" w:type="pct"/>
                  <w:vMerge w:val="continue"/>
                  <w:vAlign w:val="center"/>
                </w:tcPr>
                <w:p w14:paraId="1248B73A">
                  <w:pPr>
                    <w:pStyle w:val="8"/>
                  </w:pPr>
                </w:p>
              </w:tc>
              <w:tc>
                <w:tcPr>
                  <w:tcW w:w="443" w:type="pct"/>
                  <w:vMerge w:val="restart"/>
                  <w:vAlign w:val="center"/>
                </w:tcPr>
                <w:p w14:paraId="6CFD19A2">
                  <w:pPr>
                    <w:pStyle w:val="8"/>
                    <w:rPr>
                      <w:rFonts w:cs="宋体"/>
                      <w:szCs w:val="21"/>
                    </w:rPr>
                  </w:pPr>
                  <w:r>
                    <w:rPr>
                      <w:rFonts w:cs="宋体"/>
                      <w:szCs w:val="21"/>
                    </w:rPr>
                    <w:t>危险</w:t>
                  </w:r>
                  <w:r>
                    <w:rPr>
                      <w:rFonts w:hint="eastAsia" w:cs="宋体"/>
                      <w:szCs w:val="21"/>
                    </w:rPr>
                    <w:t>废物</w:t>
                  </w:r>
                </w:p>
              </w:tc>
              <w:tc>
                <w:tcPr>
                  <w:tcW w:w="917" w:type="pct"/>
                  <w:shd w:val="clear" w:color="auto" w:fill="auto"/>
                  <w:vAlign w:val="center"/>
                </w:tcPr>
                <w:p w14:paraId="331C8F18">
                  <w:pPr>
                    <w:pStyle w:val="8"/>
                    <w:rPr>
                      <w:rFonts w:cs="宋体"/>
                      <w:szCs w:val="21"/>
                    </w:rPr>
                  </w:pPr>
                  <w:r>
                    <w:rPr>
                      <w:rFonts w:hint="eastAsia" w:cs="宋体"/>
                      <w:szCs w:val="21"/>
                    </w:rPr>
                    <w:t>机械维修</w:t>
                  </w:r>
                </w:p>
              </w:tc>
              <w:tc>
                <w:tcPr>
                  <w:tcW w:w="1343" w:type="pct"/>
                  <w:shd w:val="clear" w:color="auto" w:fill="auto"/>
                  <w:vAlign w:val="center"/>
                </w:tcPr>
                <w:p w14:paraId="068D42A8">
                  <w:pPr>
                    <w:pStyle w:val="8"/>
                    <w:rPr>
                      <w:rFonts w:cs="宋体"/>
                      <w:szCs w:val="21"/>
                    </w:rPr>
                  </w:pPr>
                  <w:r>
                    <w:rPr>
                      <w:rFonts w:hint="eastAsia" w:cs="宋体"/>
                      <w:szCs w:val="21"/>
                    </w:rPr>
                    <w:t>废润滑油、废抹布手套</w:t>
                  </w:r>
                </w:p>
              </w:tc>
              <w:tc>
                <w:tcPr>
                  <w:tcW w:w="1901" w:type="pct"/>
                  <w:vMerge w:val="restart"/>
                  <w:vAlign w:val="center"/>
                </w:tcPr>
                <w:p w14:paraId="4C252C77">
                  <w:pPr>
                    <w:pStyle w:val="8"/>
                  </w:pPr>
                  <w:r>
                    <w:rPr>
                      <w:rFonts w:hint="eastAsia"/>
                    </w:rPr>
                    <w:t>交由深圳市环保科技集团股份有限公司处理</w:t>
                  </w:r>
                </w:p>
              </w:tc>
            </w:tr>
            <w:tr w14:paraId="35608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4" w:hRule="atLeast"/>
                <w:jc w:val="center"/>
              </w:trPr>
              <w:tc>
                <w:tcPr>
                  <w:tcW w:w="394" w:type="pct"/>
                  <w:vMerge w:val="continue"/>
                  <w:vAlign w:val="center"/>
                </w:tcPr>
                <w:p w14:paraId="501E5A38">
                  <w:pPr>
                    <w:pStyle w:val="8"/>
                  </w:pPr>
                </w:p>
              </w:tc>
              <w:tc>
                <w:tcPr>
                  <w:tcW w:w="443" w:type="pct"/>
                  <w:vMerge w:val="continue"/>
                  <w:vAlign w:val="center"/>
                </w:tcPr>
                <w:p w14:paraId="198E3EDF">
                  <w:pPr>
                    <w:pStyle w:val="8"/>
                    <w:rPr>
                      <w:rFonts w:cs="宋体"/>
                      <w:szCs w:val="21"/>
                    </w:rPr>
                  </w:pPr>
                </w:p>
              </w:tc>
              <w:tc>
                <w:tcPr>
                  <w:tcW w:w="917" w:type="pct"/>
                  <w:shd w:val="clear" w:color="auto" w:fill="auto"/>
                  <w:vAlign w:val="center"/>
                </w:tcPr>
                <w:p w14:paraId="3D0265B7">
                  <w:pPr>
                    <w:pStyle w:val="8"/>
                    <w:rPr>
                      <w:rFonts w:cs="宋体"/>
                      <w:szCs w:val="21"/>
                    </w:rPr>
                  </w:pPr>
                  <w:r>
                    <w:rPr>
                      <w:rFonts w:hint="eastAsia" w:cs="宋体"/>
                      <w:szCs w:val="21"/>
                    </w:rPr>
                    <w:t>机械维修、生产过程</w:t>
                  </w:r>
                </w:p>
              </w:tc>
              <w:tc>
                <w:tcPr>
                  <w:tcW w:w="1343" w:type="pct"/>
                  <w:shd w:val="clear" w:color="auto" w:fill="auto"/>
                  <w:vAlign w:val="center"/>
                </w:tcPr>
                <w:p w14:paraId="1F0E95E8">
                  <w:pPr>
                    <w:pStyle w:val="8"/>
                    <w:rPr>
                      <w:rFonts w:cs="宋体"/>
                      <w:szCs w:val="21"/>
                    </w:rPr>
                  </w:pPr>
                  <w:r>
                    <w:rPr>
                      <w:rFonts w:hint="eastAsia" w:cs="宋体"/>
                      <w:szCs w:val="21"/>
                    </w:rPr>
                    <w:t>废容器空桶</w:t>
                  </w:r>
                </w:p>
              </w:tc>
              <w:tc>
                <w:tcPr>
                  <w:tcW w:w="1901" w:type="pct"/>
                  <w:vMerge w:val="continue"/>
                  <w:vAlign w:val="center"/>
                </w:tcPr>
                <w:p w14:paraId="573E8BC8">
                  <w:pPr>
                    <w:pStyle w:val="8"/>
                  </w:pPr>
                </w:p>
              </w:tc>
            </w:tr>
            <w:tr w14:paraId="29D7C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394" w:type="pct"/>
                  <w:vMerge w:val="continue"/>
                  <w:vAlign w:val="center"/>
                </w:tcPr>
                <w:p w14:paraId="07BC2F6B">
                  <w:pPr>
                    <w:pStyle w:val="8"/>
                  </w:pPr>
                </w:p>
              </w:tc>
              <w:tc>
                <w:tcPr>
                  <w:tcW w:w="443" w:type="pct"/>
                  <w:vMerge w:val="continue"/>
                  <w:vAlign w:val="center"/>
                </w:tcPr>
                <w:p w14:paraId="69AFED91">
                  <w:pPr>
                    <w:pStyle w:val="8"/>
                    <w:rPr>
                      <w:rFonts w:cs="宋体"/>
                      <w:szCs w:val="21"/>
                    </w:rPr>
                  </w:pPr>
                </w:p>
              </w:tc>
              <w:tc>
                <w:tcPr>
                  <w:tcW w:w="917" w:type="pct"/>
                  <w:shd w:val="clear" w:color="auto" w:fill="auto"/>
                  <w:vAlign w:val="center"/>
                </w:tcPr>
                <w:p w14:paraId="357EA253">
                  <w:pPr>
                    <w:pStyle w:val="8"/>
                    <w:rPr>
                      <w:rFonts w:cs="宋体"/>
                      <w:szCs w:val="21"/>
                    </w:rPr>
                  </w:pPr>
                  <w:r>
                    <w:rPr>
                      <w:rFonts w:hint="eastAsia" w:cs="宋体"/>
                      <w:szCs w:val="21"/>
                    </w:rPr>
                    <w:t>废气处理</w:t>
                  </w:r>
                </w:p>
              </w:tc>
              <w:tc>
                <w:tcPr>
                  <w:tcW w:w="1343" w:type="pct"/>
                  <w:shd w:val="clear" w:color="auto" w:fill="auto"/>
                  <w:vAlign w:val="center"/>
                </w:tcPr>
                <w:p w14:paraId="79AFE2CA">
                  <w:pPr>
                    <w:pStyle w:val="8"/>
                    <w:rPr>
                      <w:rFonts w:cs="宋体"/>
                      <w:szCs w:val="21"/>
                    </w:rPr>
                  </w:pPr>
                  <w:r>
                    <w:rPr>
                      <w:rFonts w:hint="eastAsia" w:cs="宋体"/>
                      <w:szCs w:val="21"/>
                    </w:rPr>
                    <w:t>废活性炭、喷淋塔废液</w:t>
                  </w:r>
                </w:p>
              </w:tc>
              <w:tc>
                <w:tcPr>
                  <w:tcW w:w="1901" w:type="pct"/>
                  <w:vMerge w:val="continue"/>
                  <w:vAlign w:val="center"/>
                </w:tcPr>
                <w:p w14:paraId="7533CA2A">
                  <w:pPr>
                    <w:pStyle w:val="8"/>
                  </w:pPr>
                </w:p>
              </w:tc>
            </w:tr>
          </w:tbl>
          <w:p w14:paraId="617DF245">
            <w:pPr>
              <w:widowControl/>
              <w:ind w:firstLine="482"/>
              <w:jc w:val="both"/>
              <w:rPr>
                <w:rFonts w:cs="宋体"/>
                <w:b/>
                <w:bCs/>
              </w:rPr>
            </w:pPr>
            <w:r>
              <w:rPr>
                <w:rFonts w:hint="eastAsia" w:cs="宋体"/>
                <w:b/>
                <w:bCs/>
              </w:rPr>
              <w:t>3、原有项目污染物产排情况</w:t>
            </w:r>
          </w:p>
          <w:p w14:paraId="5F417A4C">
            <w:pPr>
              <w:widowControl/>
              <w:ind w:firstLine="480"/>
              <w:jc w:val="both"/>
              <w:rPr>
                <w:rFonts w:cs="宋体"/>
              </w:rPr>
            </w:pPr>
            <w:r>
              <w:rPr>
                <w:rFonts w:hint="eastAsia" w:cs="宋体"/>
              </w:rPr>
              <w:t>（1）废水</w:t>
            </w:r>
          </w:p>
          <w:p w14:paraId="7428D0CE">
            <w:pPr>
              <w:pStyle w:val="42"/>
              <w:adjustRightInd/>
              <w:snapToGrid/>
              <w:ind w:firstLine="480"/>
              <w:jc w:val="both"/>
              <w:rPr>
                <w:rFonts w:ascii="Times New Roman"/>
              </w:rPr>
            </w:pPr>
            <w:r>
              <w:rPr>
                <w:rFonts w:hint="eastAsia" w:ascii="Times New Roman"/>
              </w:rPr>
              <w:t>项目无生产废水排放，只有直接冷却水和生活污水产生。</w:t>
            </w:r>
            <w:r>
              <w:rPr>
                <w:rFonts w:ascii="Times New Roman" w:cs="Times New Roman"/>
                <w:color w:val="auto"/>
              </w:rPr>
              <w:t>项目员工</w:t>
            </w:r>
            <w:r>
              <w:rPr>
                <w:rFonts w:hint="eastAsia" w:ascii="Times New Roman" w:cs="Times New Roman"/>
                <w:color w:val="auto"/>
              </w:rPr>
              <w:t>人数为</w:t>
            </w:r>
            <w:r>
              <w:rPr>
                <w:rFonts w:ascii="Times New Roman" w:cs="Times New Roman"/>
                <w:color w:val="auto"/>
              </w:rPr>
              <w:t>5人，均不在项目内食宿，项目年工作300天，</w:t>
            </w:r>
            <w:r>
              <w:rPr>
                <w:rFonts w:hint="eastAsia" w:ascii="Times New Roman" w:cs="Times New Roman"/>
                <w:color w:val="auto"/>
              </w:rPr>
              <w:t>根据</w:t>
            </w:r>
            <w:r>
              <w:rPr>
                <w:rFonts w:ascii="Times New Roman" w:cs="Times New Roman"/>
                <w:color w:val="auto"/>
              </w:rPr>
              <w:t>广东省地方标准《用水定额 第3部分：生活》（DB44/T1461.3-2021）中表A.1</w:t>
            </w:r>
            <w:r>
              <w:rPr>
                <w:rFonts w:hint="eastAsia" w:ascii="Times New Roman" w:cs="Times New Roman"/>
                <w:color w:val="auto"/>
              </w:rPr>
              <w:t>的</w:t>
            </w:r>
            <w:r>
              <w:rPr>
                <w:rFonts w:ascii="Times New Roman" w:cs="Times New Roman"/>
                <w:color w:val="auto"/>
              </w:rPr>
              <w:t>办公楼-无食堂和浴室的用水定额先进值10m</w:t>
            </w:r>
            <w:r>
              <w:rPr>
                <w:rFonts w:ascii="Times New Roman" w:cs="Times New Roman"/>
                <w:color w:val="auto"/>
                <w:vertAlign w:val="superscript"/>
              </w:rPr>
              <w:t>3</w:t>
            </w:r>
            <w:r>
              <w:rPr>
                <w:rFonts w:ascii="Times New Roman" w:cs="Times New Roman"/>
                <w:color w:val="auto"/>
              </w:rPr>
              <w:t>/（人•a），则项目生活用水量为</w:t>
            </w:r>
            <w:r>
              <w:rPr>
                <w:rFonts w:hint="eastAsia" w:ascii="Times New Roman" w:cs="Times New Roman"/>
                <w:color w:val="auto"/>
              </w:rPr>
              <w:t>50</w:t>
            </w:r>
            <w:r>
              <w:rPr>
                <w:rFonts w:ascii="Times New Roman" w:cs="Times New Roman"/>
                <w:color w:val="auto"/>
              </w:rPr>
              <w:t>t/a（0.</w:t>
            </w:r>
            <w:r>
              <w:rPr>
                <w:rFonts w:hint="eastAsia" w:ascii="Times New Roman" w:cs="Times New Roman"/>
                <w:color w:val="auto"/>
              </w:rPr>
              <w:t>167</w:t>
            </w:r>
            <w:r>
              <w:rPr>
                <w:rFonts w:ascii="Times New Roman" w:cs="Times New Roman"/>
                <w:color w:val="auto"/>
              </w:rPr>
              <w:t>t/d）。</w:t>
            </w:r>
            <w:r>
              <w:rPr>
                <w:rFonts w:hint="eastAsia" w:ascii="Times New Roman" w:cs="Times New Roman"/>
                <w:color w:val="auto"/>
              </w:rPr>
              <w:t>项目生活污水排污系数按0.8计算，则生活污水排放量为40.2t/a（0.134t/d）。</w:t>
            </w:r>
            <w:r>
              <w:rPr>
                <w:rFonts w:hint="eastAsia" w:ascii="Times New Roman"/>
              </w:rPr>
              <w:t>项目生活污水经三级化粪池预处理后排入市政管网纳入博罗县园洲镇第五污水处理厂处理达标后排入园洲中心排渠，再经沙河最终汇入东江。</w:t>
            </w:r>
          </w:p>
          <w:p w14:paraId="2BDD636F">
            <w:pPr>
              <w:pStyle w:val="44"/>
              <w:adjustRightInd/>
              <w:snapToGrid/>
              <w:spacing w:beforeLines="0" w:afterLines="0" w:line="360" w:lineRule="auto"/>
              <w:ind w:firstLine="480"/>
              <w:rPr>
                <w:rFonts w:ascii="Times New Roman"/>
                <w:highlight w:val="yellow"/>
              </w:rPr>
            </w:pPr>
            <w:bookmarkStart w:id="174" w:name="OLE_LINK116"/>
            <w:r>
              <w:rPr>
                <w:rFonts w:hint="eastAsia" w:ascii="Times New Roman"/>
                <w:sz w:val="24"/>
              </w:rPr>
              <w:t>项目</w:t>
            </w:r>
            <w:bookmarkStart w:id="175" w:name="OLE_LINK34"/>
            <w:r>
              <w:rPr>
                <w:rFonts w:hint="eastAsia" w:ascii="Times New Roman"/>
                <w:sz w:val="24"/>
              </w:rPr>
              <w:t>直接冷却水</w:t>
            </w:r>
            <w:bookmarkEnd w:id="175"/>
            <w:r>
              <w:rPr>
                <w:rFonts w:hint="eastAsia" w:ascii="Times New Roman"/>
                <w:sz w:val="24"/>
              </w:rPr>
              <w:t>循环使用，定期补充损耗，补充水量为158.4t/a（0.528t/d），直接</w:t>
            </w:r>
            <w:bookmarkStart w:id="176" w:name="OLE_LINK28"/>
            <w:r>
              <w:rPr>
                <w:rFonts w:hint="eastAsia" w:ascii="Times New Roman"/>
                <w:sz w:val="24"/>
              </w:rPr>
              <w:t>冷却水每3个月收集处理一次（1.32t/次），全年处理量为5.28t/a，</w:t>
            </w:r>
            <w:bookmarkStart w:id="177" w:name="OLE_LINK107"/>
            <w:r>
              <w:rPr>
                <w:rFonts w:hint="eastAsia" w:ascii="Times New Roman"/>
                <w:sz w:val="24"/>
              </w:rPr>
              <w:t>冷却水</w:t>
            </w:r>
            <w:bookmarkStart w:id="178" w:name="OLE_LINK98"/>
            <w:r>
              <w:rPr>
                <w:rFonts w:hint="eastAsia" w:ascii="Times New Roman"/>
                <w:sz w:val="24"/>
              </w:rPr>
              <w:t>经“混凝沉淀</w:t>
            </w:r>
            <w:r>
              <w:rPr>
                <w:rFonts w:hint="eastAsia" w:ascii="Arial" w:hAnsi="Arial" w:cs="Arial"/>
                <w:sz w:val="24"/>
              </w:rPr>
              <w:t>+</w:t>
            </w:r>
            <w:r>
              <w:rPr>
                <w:rFonts w:hint="eastAsia" w:ascii="Times New Roman"/>
                <w:sz w:val="24"/>
              </w:rPr>
              <w:t>压滤</w:t>
            </w:r>
            <w:r>
              <w:rPr>
                <w:rFonts w:hint="eastAsia" w:ascii="Arial" w:hAnsi="Arial" w:cs="Arial"/>
                <w:sz w:val="24"/>
              </w:rPr>
              <w:t>+</w:t>
            </w:r>
            <w:r>
              <w:rPr>
                <w:rFonts w:hint="eastAsia" w:ascii="Times New Roman"/>
                <w:sz w:val="24"/>
              </w:rPr>
              <w:t>保安过滤”处理后回用于直接冷却工序</w:t>
            </w:r>
            <w:bookmarkEnd w:id="176"/>
            <w:r>
              <w:rPr>
                <w:rFonts w:hint="eastAsia" w:ascii="Times New Roman"/>
                <w:sz w:val="24"/>
              </w:rPr>
              <w:t>，不外排</w:t>
            </w:r>
            <w:bookmarkEnd w:id="178"/>
            <w:r>
              <w:rPr>
                <w:rFonts w:hint="eastAsia" w:ascii="Times New Roman"/>
                <w:sz w:val="24"/>
              </w:rPr>
              <w:t>。</w:t>
            </w:r>
            <w:bookmarkEnd w:id="177"/>
            <w:r>
              <w:rPr>
                <w:rFonts w:hint="eastAsia" w:ascii="Times New Roman" w:cs="宋体"/>
                <w:sz w:val="24"/>
              </w:rPr>
              <w:t>企业于2023年4月17、18日委托东莞市启丰检测技术服务有限公司对原有工程冷却水及回用水进行了检测，检测报告编号：QFHJ20230417012，原有工程冷却水监测结果如下：</w:t>
            </w:r>
            <w:bookmarkEnd w:id="174"/>
          </w:p>
          <w:p w14:paraId="357EB070">
            <w:pPr>
              <w:spacing w:line="240" w:lineRule="auto"/>
              <w:ind w:firstLine="0" w:firstLineChars="0"/>
              <w:jc w:val="center"/>
              <w:rPr>
                <w:b/>
                <w:sz w:val="21"/>
                <w:szCs w:val="21"/>
              </w:rPr>
            </w:pPr>
            <w:r>
              <w:rPr>
                <w:rFonts w:hint="eastAsia"/>
                <w:b/>
                <w:sz w:val="21"/>
                <w:szCs w:val="21"/>
              </w:rPr>
              <w:t>表2-10 原有项目冷却水监测结果  单位：dB（A）</w:t>
            </w:r>
          </w:p>
          <w:tbl>
            <w:tblPr>
              <w:tblStyle w:val="34"/>
              <w:tblW w:w="4998"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831"/>
              <w:gridCol w:w="1915"/>
              <w:gridCol w:w="1756"/>
              <w:gridCol w:w="1585"/>
              <w:gridCol w:w="1462"/>
            </w:tblGrid>
            <w:tr w14:paraId="001D3A1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0" w:hRule="atLeast"/>
                <w:jc w:val="center"/>
              </w:trPr>
              <w:tc>
                <w:tcPr>
                  <w:tcW w:w="1071" w:type="pct"/>
                  <w:vMerge w:val="restart"/>
                  <w:tcBorders>
                    <w:tl2br w:val="nil"/>
                    <w:tr2bl w:val="nil"/>
                  </w:tcBorders>
                  <w:vAlign w:val="center"/>
                </w:tcPr>
                <w:p w14:paraId="7A3D007E">
                  <w:pPr>
                    <w:spacing w:line="240" w:lineRule="auto"/>
                    <w:ind w:firstLine="0" w:firstLineChars="0"/>
                    <w:jc w:val="center"/>
                    <w:rPr>
                      <w:b/>
                      <w:bCs/>
                      <w:sz w:val="21"/>
                    </w:rPr>
                  </w:pPr>
                  <w:r>
                    <w:rPr>
                      <w:rFonts w:hint="eastAsia"/>
                      <w:b/>
                      <w:bCs/>
                      <w:sz w:val="21"/>
                    </w:rPr>
                    <w:t>监测因子</w:t>
                  </w:r>
                </w:p>
              </w:tc>
              <w:tc>
                <w:tcPr>
                  <w:tcW w:w="2147" w:type="pct"/>
                  <w:gridSpan w:val="2"/>
                  <w:tcBorders>
                    <w:tl2br w:val="nil"/>
                    <w:tr2bl w:val="nil"/>
                  </w:tcBorders>
                  <w:vAlign w:val="center"/>
                </w:tcPr>
                <w:p w14:paraId="4CE7C018">
                  <w:pPr>
                    <w:spacing w:line="240" w:lineRule="auto"/>
                    <w:ind w:firstLine="0" w:firstLineChars="0"/>
                    <w:jc w:val="center"/>
                    <w:rPr>
                      <w:b/>
                      <w:bCs/>
                      <w:sz w:val="21"/>
                    </w:rPr>
                  </w:pPr>
                  <w:r>
                    <w:rPr>
                      <w:rFonts w:hint="eastAsia"/>
                      <w:b/>
                      <w:bCs/>
                      <w:sz w:val="21"/>
                    </w:rPr>
                    <w:t>监测点位及监测结果</w:t>
                  </w:r>
                </w:p>
              </w:tc>
              <w:tc>
                <w:tcPr>
                  <w:tcW w:w="927" w:type="pct"/>
                  <w:vMerge w:val="restart"/>
                  <w:tcBorders>
                    <w:tl2br w:val="nil"/>
                    <w:tr2bl w:val="nil"/>
                  </w:tcBorders>
                  <w:vAlign w:val="center"/>
                </w:tcPr>
                <w:p w14:paraId="32F73292">
                  <w:pPr>
                    <w:spacing w:line="240" w:lineRule="auto"/>
                    <w:ind w:firstLine="0" w:firstLineChars="0"/>
                    <w:jc w:val="center"/>
                    <w:rPr>
                      <w:b/>
                      <w:bCs/>
                      <w:sz w:val="21"/>
                    </w:rPr>
                  </w:pPr>
                  <w:r>
                    <w:rPr>
                      <w:rFonts w:hint="eastAsia"/>
                      <w:b/>
                      <w:bCs/>
                      <w:sz w:val="21"/>
                    </w:rPr>
                    <w:t>执行标准</w:t>
                  </w:r>
                </w:p>
              </w:tc>
              <w:tc>
                <w:tcPr>
                  <w:tcW w:w="854" w:type="pct"/>
                  <w:vMerge w:val="restart"/>
                  <w:tcBorders>
                    <w:tl2br w:val="nil"/>
                    <w:tr2bl w:val="nil"/>
                  </w:tcBorders>
                  <w:vAlign w:val="center"/>
                </w:tcPr>
                <w:p w14:paraId="0BBD2E78">
                  <w:pPr>
                    <w:spacing w:line="240" w:lineRule="auto"/>
                    <w:ind w:firstLine="0" w:firstLineChars="0"/>
                    <w:jc w:val="center"/>
                    <w:rPr>
                      <w:b/>
                      <w:bCs/>
                      <w:sz w:val="21"/>
                    </w:rPr>
                  </w:pPr>
                  <w:r>
                    <w:rPr>
                      <w:rFonts w:hint="eastAsia"/>
                      <w:b/>
                      <w:bCs/>
                      <w:sz w:val="21"/>
                    </w:rPr>
                    <w:t>达标情况</w:t>
                  </w:r>
                </w:p>
              </w:tc>
            </w:tr>
            <w:tr w14:paraId="7208D35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42" w:hRule="atLeast"/>
                <w:jc w:val="center"/>
              </w:trPr>
              <w:tc>
                <w:tcPr>
                  <w:tcW w:w="1071" w:type="pct"/>
                  <w:vMerge w:val="continue"/>
                  <w:tcBorders>
                    <w:tl2br w:val="nil"/>
                    <w:tr2bl w:val="nil"/>
                  </w:tcBorders>
                  <w:vAlign w:val="center"/>
                </w:tcPr>
                <w:p w14:paraId="457B92E2">
                  <w:pPr>
                    <w:spacing w:line="240" w:lineRule="auto"/>
                    <w:ind w:firstLine="0" w:firstLineChars="0"/>
                    <w:jc w:val="center"/>
                    <w:rPr>
                      <w:b/>
                      <w:bCs/>
                      <w:sz w:val="21"/>
                    </w:rPr>
                  </w:pPr>
                </w:p>
              </w:tc>
              <w:tc>
                <w:tcPr>
                  <w:tcW w:w="1120" w:type="pct"/>
                  <w:tcBorders>
                    <w:tl2br w:val="nil"/>
                    <w:tr2bl w:val="nil"/>
                  </w:tcBorders>
                  <w:vAlign w:val="center"/>
                </w:tcPr>
                <w:p w14:paraId="00829270">
                  <w:pPr>
                    <w:spacing w:line="240" w:lineRule="auto"/>
                    <w:ind w:firstLine="0" w:firstLineChars="0"/>
                    <w:jc w:val="center"/>
                    <w:rPr>
                      <w:b/>
                      <w:bCs/>
                      <w:sz w:val="21"/>
                    </w:rPr>
                  </w:pPr>
                  <w:r>
                    <w:rPr>
                      <w:rFonts w:hint="eastAsia"/>
                      <w:b/>
                      <w:bCs/>
                      <w:sz w:val="21"/>
                    </w:rPr>
                    <w:t>冷却水原水池</w:t>
                  </w:r>
                </w:p>
              </w:tc>
              <w:tc>
                <w:tcPr>
                  <w:tcW w:w="1026" w:type="pct"/>
                  <w:tcBorders>
                    <w:tl2br w:val="nil"/>
                    <w:tr2bl w:val="nil"/>
                  </w:tcBorders>
                  <w:vAlign w:val="center"/>
                </w:tcPr>
                <w:p w14:paraId="1F5FF097">
                  <w:pPr>
                    <w:spacing w:line="240" w:lineRule="auto"/>
                    <w:ind w:firstLine="0" w:firstLineChars="0"/>
                    <w:jc w:val="center"/>
                    <w:rPr>
                      <w:b/>
                      <w:bCs/>
                      <w:sz w:val="21"/>
                    </w:rPr>
                  </w:pPr>
                  <w:r>
                    <w:rPr>
                      <w:rFonts w:hint="eastAsia"/>
                      <w:b/>
                      <w:bCs/>
                      <w:sz w:val="21"/>
                    </w:rPr>
                    <w:t>冷却水回用水池</w:t>
                  </w:r>
                </w:p>
              </w:tc>
              <w:tc>
                <w:tcPr>
                  <w:tcW w:w="927" w:type="pct"/>
                  <w:vMerge w:val="continue"/>
                  <w:tcBorders>
                    <w:tl2br w:val="nil"/>
                    <w:tr2bl w:val="nil"/>
                  </w:tcBorders>
                  <w:vAlign w:val="center"/>
                </w:tcPr>
                <w:p w14:paraId="06544F51">
                  <w:pPr>
                    <w:spacing w:line="240" w:lineRule="auto"/>
                    <w:ind w:firstLine="0" w:firstLineChars="0"/>
                    <w:jc w:val="center"/>
                    <w:rPr>
                      <w:b/>
                      <w:bCs/>
                      <w:sz w:val="21"/>
                    </w:rPr>
                  </w:pPr>
                </w:p>
              </w:tc>
              <w:tc>
                <w:tcPr>
                  <w:tcW w:w="854" w:type="pct"/>
                  <w:vMerge w:val="continue"/>
                  <w:tcBorders>
                    <w:tl2br w:val="nil"/>
                    <w:tr2bl w:val="nil"/>
                  </w:tcBorders>
                  <w:vAlign w:val="center"/>
                </w:tcPr>
                <w:p w14:paraId="13CF3125">
                  <w:pPr>
                    <w:spacing w:line="240" w:lineRule="auto"/>
                    <w:ind w:firstLine="0" w:firstLineChars="0"/>
                    <w:jc w:val="center"/>
                    <w:rPr>
                      <w:b/>
                      <w:bCs/>
                      <w:sz w:val="21"/>
                    </w:rPr>
                  </w:pPr>
                </w:p>
              </w:tc>
            </w:tr>
            <w:tr w14:paraId="0555CEA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5" w:hRule="atLeast"/>
                <w:jc w:val="center"/>
              </w:trPr>
              <w:tc>
                <w:tcPr>
                  <w:tcW w:w="1071" w:type="pct"/>
                  <w:tcBorders>
                    <w:tl2br w:val="nil"/>
                    <w:tr2bl w:val="nil"/>
                  </w:tcBorders>
                  <w:vAlign w:val="center"/>
                </w:tcPr>
                <w:p w14:paraId="60E7E39C">
                  <w:pPr>
                    <w:spacing w:line="240" w:lineRule="auto"/>
                    <w:ind w:firstLine="0" w:firstLineChars="0"/>
                    <w:jc w:val="center"/>
                    <w:rPr>
                      <w:sz w:val="21"/>
                    </w:rPr>
                  </w:pPr>
                  <w:bookmarkStart w:id="179" w:name="OLE_LINK243"/>
                  <w:r>
                    <w:rPr>
                      <w:rFonts w:hint="eastAsia"/>
                      <w:sz w:val="21"/>
                    </w:rPr>
                    <w:t>色度</w:t>
                  </w:r>
                  <w:bookmarkEnd w:id="179"/>
                </w:p>
              </w:tc>
              <w:tc>
                <w:tcPr>
                  <w:tcW w:w="1120" w:type="pct"/>
                  <w:tcBorders>
                    <w:tl2br w:val="nil"/>
                    <w:tr2bl w:val="nil"/>
                  </w:tcBorders>
                  <w:vAlign w:val="center"/>
                </w:tcPr>
                <w:p w14:paraId="20F5288A">
                  <w:pPr>
                    <w:spacing w:line="240" w:lineRule="auto"/>
                    <w:ind w:firstLine="0" w:firstLineChars="0"/>
                    <w:jc w:val="center"/>
                    <w:rPr>
                      <w:sz w:val="21"/>
                    </w:rPr>
                  </w:pPr>
                  <w:r>
                    <w:rPr>
                      <w:rFonts w:hint="eastAsia"/>
                      <w:sz w:val="21"/>
                    </w:rPr>
                    <w:t>5度</w:t>
                  </w:r>
                </w:p>
              </w:tc>
              <w:tc>
                <w:tcPr>
                  <w:tcW w:w="1026" w:type="pct"/>
                  <w:tcBorders>
                    <w:tl2br w:val="nil"/>
                    <w:tr2bl w:val="nil"/>
                  </w:tcBorders>
                  <w:vAlign w:val="center"/>
                </w:tcPr>
                <w:p w14:paraId="48FBDFA3">
                  <w:pPr>
                    <w:spacing w:line="240" w:lineRule="auto"/>
                    <w:ind w:firstLine="0" w:firstLineChars="0"/>
                    <w:jc w:val="center"/>
                    <w:rPr>
                      <w:sz w:val="21"/>
                    </w:rPr>
                  </w:pPr>
                  <w:r>
                    <w:rPr>
                      <w:rFonts w:hint="eastAsia"/>
                      <w:sz w:val="21"/>
                    </w:rPr>
                    <w:t>5L</w:t>
                  </w:r>
                </w:p>
              </w:tc>
              <w:tc>
                <w:tcPr>
                  <w:tcW w:w="927" w:type="pct"/>
                  <w:tcBorders>
                    <w:bottom w:val="single" w:color="auto" w:sz="4" w:space="0"/>
                    <w:tl2br w:val="nil"/>
                    <w:tr2bl w:val="nil"/>
                  </w:tcBorders>
                  <w:vAlign w:val="center"/>
                </w:tcPr>
                <w:p w14:paraId="482D3FFA">
                  <w:pPr>
                    <w:spacing w:line="240" w:lineRule="auto"/>
                    <w:ind w:firstLine="0" w:firstLineChars="0"/>
                    <w:jc w:val="center"/>
                    <w:rPr>
                      <w:sz w:val="21"/>
                    </w:rPr>
                  </w:pPr>
                  <w:r>
                    <w:rPr>
                      <w:rFonts w:hint="eastAsia"/>
                      <w:sz w:val="21"/>
                    </w:rPr>
                    <w:t>30度</w:t>
                  </w:r>
                </w:p>
              </w:tc>
              <w:tc>
                <w:tcPr>
                  <w:tcW w:w="854" w:type="pct"/>
                  <w:tcBorders>
                    <w:bottom w:val="single" w:color="auto" w:sz="4" w:space="0"/>
                    <w:tl2br w:val="nil"/>
                    <w:tr2bl w:val="nil"/>
                  </w:tcBorders>
                  <w:vAlign w:val="center"/>
                </w:tcPr>
                <w:p w14:paraId="53BB9848">
                  <w:pPr>
                    <w:spacing w:line="240" w:lineRule="auto"/>
                    <w:ind w:firstLine="0" w:firstLineChars="0"/>
                    <w:jc w:val="center"/>
                    <w:rPr>
                      <w:sz w:val="21"/>
                    </w:rPr>
                  </w:pPr>
                  <w:r>
                    <w:rPr>
                      <w:rFonts w:hint="eastAsia"/>
                      <w:sz w:val="21"/>
                    </w:rPr>
                    <w:t>达标</w:t>
                  </w:r>
                </w:p>
              </w:tc>
            </w:tr>
            <w:tr w14:paraId="670D062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5" w:hRule="atLeast"/>
                <w:jc w:val="center"/>
              </w:trPr>
              <w:tc>
                <w:tcPr>
                  <w:tcW w:w="1071" w:type="pct"/>
                  <w:tcBorders>
                    <w:tl2br w:val="nil"/>
                    <w:tr2bl w:val="nil"/>
                  </w:tcBorders>
                  <w:vAlign w:val="center"/>
                </w:tcPr>
                <w:p w14:paraId="1082B69A">
                  <w:pPr>
                    <w:spacing w:line="240" w:lineRule="auto"/>
                    <w:ind w:firstLine="0" w:firstLineChars="0"/>
                    <w:jc w:val="center"/>
                    <w:rPr>
                      <w:sz w:val="21"/>
                    </w:rPr>
                  </w:pPr>
                  <w:r>
                    <w:rPr>
                      <w:rFonts w:hint="eastAsia"/>
                      <w:color w:val="000000" w:themeColor="text1"/>
                      <w:sz w:val="21"/>
                      <w:szCs w:val="22"/>
                      <w14:textFill>
                        <w14:solidFill>
                          <w14:schemeClr w14:val="tx1"/>
                        </w14:solidFill>
                      </w14:textFill>
                    </w:rPr>
                    <w:t>悬浮物</w:t>
                  </w:r>
                </w:p>
              </w:tc>
              <w:tc>
                <w:tcPr>
                  <w:tcW w:w="1120" w:type="pct"/>
                  <w:tcBorders>
                    <w:tl2br w:val="nil"/>
                    <w:tr2bl w:val="nil"/>
                  </w:tcBorders>
                  <w:vAlign w:val="center"/>
                </w:tcPr>
                <w:p w14:paraId="173C2FA2">
                  <w:pPr>
                    <w:spacing w:line="240" w:lineRule="auto"/>
                    <w:ind w:firstLine="0" w:firstLineChars="0"/>
                    <w:jc w:val="center"/>
                    <w:rPr>
                      <w:sz w:val="21"/>
                    </w:rPr>
                  </w:pPr>
                  <w:r>
                    <w:rPr>
                      <w:rFonts w:hint="eastAsia"/>
                      <w:sz w:val="21"/>
                    </w:rPr>
                    <w:t>10mg/L</w:t>
                  </w:r>
                </w:p>
              </w:tc>
              <w:tc>
                <w:tcPr>
                  <w:tcW w:w="1026" w:type="pct"/>
                  <w:tcBorders>
                    <w:tl2br w:val="nil"/>
                    <w:tr2bl w:val="nil"/>
                  </w:tcBorders>
                  <w:vAlign w:val="center"/>
                </w:tcPr>
                <w:p w14:paraId="0AC737FB">
                  <w:pPr>
                    <w:spacing w:line="240" w:lineRule="auto"/>
                    <w:ind w:firstLine="0" w:firstLineChars="0"/>
                    <w:jc w:val="center"/>
                    <w:rPr>
                      <w:sz w:val="21"/>
                    </w:rPr>
                  </w:pPr>
                  <w:r>
                    <w:rPr>
                      <w:rFonts w:hint="eastAsia"/>
                      <w:sz w:val="21"/>
                    </w:rPr>
                    <w:t>5mg/L</w:t>
                  </w:r>
                </w:p>
              </w:tc>
              <w:tc>
                <w:tcPr>
                  <w:tcW w:w="927" w:type="pct"/>
                  <w:tcBorders>
                    <w:top w:val="single" w:color="auto" w:sz="4" w:space="0"/>
                    <w:bottom w:val="single" w:color="auto" w:sz="4" w:space="0"/>
                    <w:tl2br w:val="nil"/>
                    <w:tr2bl w:val="nil"/>
                  </w:tcBorders>
                  <w:vAlign w:val="center"/>
                </w:tcPr>
                <w:p w14:paraId="4B03CC77">
                  <w:pPr>
                    <w:spacing w:line="240" w:lineRule="auto"/>
                    <w:ind w:firstLine="0" w:firstLineChars="0"/>
                    <w:jc w:val="center"/>
                    <w:rPr>
                      <w:sz w:val="21"/>
                    </w:rPr>
                  </w:pPr>
                  <w:r>
                    <w:rPr>
                      <w:rFonts w:hint="eastAsia"/>
                      <w:sz w:val="21"/>
                    </w:rPr>
                    <w:t>/</w:t>
                  </w:r>
                </w:p>
              </w:tc>
              <w:tc>
                <w:tcPr>
                  <w:tcW w:w="854" w:type="pct"/>
                  <w:tcBorders>
                    <w:top w:val="single" w:color="auto" w:sz="4" w:space="0"/>
                    <w:bottom w:val="single" w:color="auto" w:sz="4" w:space="0"/>
                    <w:tl2br w:val="nil"/>
                    <w:tr2bl w:val="nil"/>
                  </w:tcBorders>
                  <w:vAlign w:val="center"/>
                </w:tcPr>
                <w:p w14:paraId="257ACD33">
                  <w:pPr>
                    <w:spacing w:line="240" w:lineRule="auto"/>
                    <w:ind w:firstLine="0" w:firstLineChars="0"/>
                    <w:jc w:val="center"/>
                    <w:rPr>
                      <w:sz w:val="21"/>
                    </w:rPr>
                  </w:pPr>
                  <w:r>
                    <w:rPr>
                      <w:rFonts w:hint="eastAsia"/>
                      <w:sz w:val="21"/>
                    </w:rPr>
                    <w:t>/</w:t>
                  </w:r>
                </w:p>
              </w:tc>
            </w:tr>
            <w:tr w14:paraId="32605BD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5" w:hRule="atLeast"/>
                <w:jc w:val="center"/>
              </w:trPr>
              <w:tc>
                <w:tcPr>
                  <w:tcW w:w="1071" w:type="pct"/>
                  <w:tcBorders>
                    <w:tl2br w:val="nil"/>
                    <w:tr2bl w:val="nil"/>
                  </w:tcBorders>
                  <w:vAlign w:val="center"/>
                </w:tcPr>
                <w:p w14:paraId="243FA7CF">
                  <w:pPr>
                    <w:spacing w:line="240" w:lineRule="auto"/>
                    <w:ind w:firstLine="0" w:firstLineChars="0"/>
                    <w:jc w:val="center"/>
                    <w:rPr>
                      <w:color w:val="000000" w:themeColor="text1"/>
                      <w:sz w:val="21"/>
                      <w:szCs w:val="22"/>
                      <w14:textFill>
                        <w14:solidFill>
                          <w14:schemeClr w14:val="tx1"/>
                        </w14:solidFill>
                      </w14:textFill>
                    </w:rPr>
                  </w:pPr>
                  <w:r>
                    <w:rPr>
                      <w:rFonts w:hint="eastAsia"/>
                      <w:color w:val="000000" w:themeColor="text1"/>
                      <w:sz w:val="21"/>
                      <w:szCs w:val="22"/>
                      <w14:textFill>
                        <w14:solidFill>
                          <w14:schemeClr w14:val="tx1"/>
                        </w14:solidFill>
                      </w14:textFill>
                    </w:rPr>
                    <w:t>五日生化需氧量</w:t>
                  </w:r>
                </w:p>
              </w:tc>
              <w:tc>
                <w:tcPr>
                  <w:tcW w:w="1120" w:type="pct"/>
                  <w:tcBorders>
                    <w:tl2br w:val="nil"/>
                    <w:tr2bl w:val="nil"/>
                  </w:tcBorders>
                  <w:vAlign w:val="center"/>
                </w:tcPr>
                <w:p w14:paraId="4ACDD816">
                  <w:pPr>
                    <w:spacing w:line="240" w:lineRule="auto"/>
                    <w:ind w:firstLine="0" w:firstLineChars="0"/>
                    <w:jc w:val="center"/>
                    <w:rPr>
                      <w:sz w:val="21"/>
                    </w:rPr>
                  </w:pPr>
                  <w:r>
                    <w:rPr>
                      <w:rFonts w:hint="eastAsia"/>
                      <w:sz w:val="21"/>
                    </w:rPr>
                    <w:t>46.8mg/L</w:t>
                  </w:r>
                </w:p>
              </w:tc>
              <w:tc>
                <w:tcPr>
                  <w:tcW w:w="1026" w:type="pct"/>
                  <w:tcBorders>
                    <w:tl2br w:val="nil"/>
                    <w:tr2bl w:val="nil"/>
                  </w:tcBorders>
                  <w:vAlign w:val="center"/>
                </w:tcPr>
                <w:p w14:paraId="11EC06DE">
                  <w:pPr>
                    <w:spacing w:line="240" w:lineRule="auto"/>
                    <w:ind w:firstLine="0" w:firstLineChars="0"/>
                    <w:jc w:val="center"/>
                    <w:rPr>
                      <w:sz w:val="21"/>
                    </w:rPr>
                  </w:pPr>
                  <w:r>
                    <w:rPr>
                      <w:rFonts w:hint="eastAsia"/>
                      <w:sz w:val="21"/>
                    </w:rPr>
                    <w:t>8.0</w:t>
                  </w:r>
                  <w:bookmarkStart w:id="180" w:name="OLE_LINK96"/>
                  <w:r>
                    <w:rPr>
                      <w:rFonts w:hint="eastAsia"/>
                      <w:sz w:val="21"/>
                    </w:rPr>
                    <w:t>mg/L</w:t>
                  </w:r>
                  <w:bookmarkEnd w:id="180"/>
                </w:p>
              </w:tc>
              <w:tc>
                <w:tcPr>
                  <w:tcW w:w="927" w:type="pct"/>
                  <w:tcBorders>
                    <w:top w:val="single" w:color="auto" w:sz="4" w:space="0"/>
                    <w:bottom w:val="single" w:color="auto" w:sz="4" w:space="0"/>
                    <w:tl2br w:val="nil"/>
                    <w:tr2bl w:val="nil"/>
                  </w:tcBorders>
                  <w:vAlign w:val="center"/>
                </w:tcPr>
                <w:p w14:paraId="63ACA38F">
                  <w:pPr>
                    <w:spacing w:line="240" w:lineRule="auto"/>
                    <w:ind w:firstLine="0" w:firstLineChars="0"/>
                    <w:jc w:val="center"/>
                    <w:rPr>
                      <w:sz w:val="21"/>
                    </w:rPr>
                  </w:pPr>
                  <w:r>
                    <w:rPr>
                      <w:rFonts w:hint="eastAsia"/>
                      <w:sz w:val="21"/>
                    </w:rPr>
                    <w:t>10</w:t>
                  </w:r>
                  <w:bookmarkStart w:id="181" w:name="OLE_LINK95"/>
                  <w:r>
                    <w:rPr>
                      <w:rFonts w:hint="eastAsia"/>
                      <w:sz w:val="21"/>
                    </w:rPr>
                    <w:t>mg/L</w:t>
                  </w:r>
                  <w:bookmarkEnd w:id="181"/>
                </w:p>
              </w:tc>
              <w:tc>
                <w:tcPr>
                  <w:tcW w:w="854" w:type="pct"/>
                  <w:tcBorders>
                    <w:top w:val="single" w:color="auto" w:sz="4" w:space="0"/>
                    <w:bottom w:val="single" w:color="auto" w:sz="4" w:space="0"/>
                    <w:tl2br w:val="nil"/>
                    <w:tr2bl w:val="nil"/>
                  </w:tcBorders>
                  <w:vAlign w:val="center"/>
                </w:tcPr>
                <w:p w14:paraId="762CCAA3">
                  <w:pPr>
                    <w:spacing w:line="240" w:lineRule="auto"/>
                    <w:ind w:firstLine="0" w:firstLineChars="0"/>
                    <w:jc w:val="center"/>
                    <w:rPr>
                      <w:sz w:val="21"/>
                    </w:rPr>
                  </w:pPr>
                  <w:bookmarkStart w:id="182" w:name="OLE_LINK94"/>
                  <w:r>
                    <w:rPr>
                      <w:rFonts w:hint="eastAsia"/>
                      <w:sz w:val="21"/>
                    </w:rPr>
                    <w:t>达标</w:t>
                  </w:r>
                  <w:bookmarkEnd w:id="182"/>
                </w:p>
              </w:tc>
            </w:tr>
            <w:tr w14:paraId="590ED3E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5" w:hRule="atLeast"/>
                <w:jc w:val="center"/>
              </w:trPr>
              <w:tc>
                <w:tcPr>
                  <w:tcW w:w="5000" w:type="pct"/>
                  <w:gridSpan w:val="5"/>
                  <w:tcBorders>
                    <w:tl2br w:val="nil"/>
                    <w:tr2bl w:val="nil"/>
                  </w:tcBorders>
                  <w:vAlign w:val="center"/>
                </w:tcPr>
                <w:p w14:paraId="33D501EA">
                  <w:pPr>
                    <w:spacing w:line="240" w:lineRule="auto"/>
                    <w:ind w:firstLine="0" w:firstLineChars="0"/>
                    <w:jc w:val="center"/>
                    <w:rPr>
                      <w:sz w:val="21"/>
                    </w:rPr>
                  </w:pPr>
                  <w:r>
                    <w:rPr>
                      <w:rFonts w:hint="eastAsia"/>
                      <w:sz w:val="21"/>
                    </w:rPr>
                    <w:t>注：L表示检验数值低于方法检出限，以所使用的方法检出限值报出。</w:t>
                  </w:r>
                </w:p>
              </w:tc>
            </w:tr>
          </w:tbl>
          <w:p w14:paraId="49F22FB4">
            <w:pPr>
              <w:widowControl/>
              <w:ind w:firstLine="480"/>
              <w:jc w:val="both"/>
              <w:rPr>
                <w:rFonts w:cs="宋体"/>
              </w:rPr>
            </w:pPr>
            <w:r>
              <w:rPr>
                <w:rFonts w:hint="eastAsia" w:cs="宋体"/>
              </w:rPr>
              <w:t>由监测结果可知，项目冷却水回用水中色度、悬浮物、五日生化需氧量均可达到</w:t>
            </w:r>
            <w:bookmarkStart w:id="183" w:name="OLE_LINK121"/>
            <w:r>
              <w:rPr>
                <w:rFonts w:hint="eastAsia" w:cs="宋体"/>
              </w:rPr>
              <w:t>《城市污水再生利用 工业用水水质》（GB/T19923-2005）</w:t>
            </w:r>
            <w:bookmarkEnd w:id="183"/>
            <w:r>
              <w:rPr>
                <w:rFonts w:hint="eastAsia" w:cs="宋体"/>
              </w:rPr>
              <w:t>中工艺与产品用水标准要求。</w:t>
            </w:r>
          </w:p>
          <w:p w14:paraId="30F3E7FB">
            <w:pPr>
              <w:widowControl/>
              <w:ind w:firstLine="480"/>
              <w:jc w:val="both"/>
              <w:rPr>
                <w:rFonts w:cs="宋体"/>
              </w:rPr>
            </w:pPr>
            <w:r>
              <w:rPr>
                <w:rFonts w:hint="eastAsia" w:cs="宋体"/>
              </w:rPr>
              <w:t>（2）废气</w:t>
            </w:r>
          </w:p>
          <w:p w14:paraId="46FEFA92">
            <w:pPr>
              <w:pStyle w:val="42"/>
              <w:adjustRightInd/>
              <w:snapToGrid/>
              <w:ind w:firstLine="480"/>
              <w:jc w:val="both"/>
              <w:rPr>
                <w:rFonts w:ascii="Times New Roman"/>
              </w:rPr>
            </w:pPr>
            <w:bookmarkStart w:id="184" w:name="OLE_LINK64"/>
            <w:r>
              <w:rPr>
                <w:rFonts w:hint="eastAsia" w:ascii="Times New Roman"/>
              </w:rPr>
              <w:t>根据验收资料，现有项</w:t>
            </w:r>
            <w:bookmarkStart w:id="185" w:name="OLE_LINK310"/>
            <w:r>
              <w:rPr>
                <w:rFonts w:hint="eastAsia" w:ascii="Times New Roman"/>
              </w:rPr>
              <w:t>目产生的废气主要为挤出工序产生的有机废气（以非甲烷总烃计）和搅拌工序产生的粉尘（颗粒物），搅拌、挤出工序废气采用集气罩收集后引至一套“水喷淋+活性炭吸附”装置处理后由15m排气筒高空排放。</w:t>
            </w:r>
            <w:bookmarkStart w:id="186" w:name="OLE_LINK91"/>
            <w:r>
              <w:rPr>
                <w:rFonts w:hint="eastAsia" w:ascii="Times New Roman"/>
              </w:rPr>
              <w:t>企业于2023年4月17、18日委托东莞市启丰检测技术服务有</w:t>
            </w:r>
            <w:bookmarkEnd w:id="185"/>
            <w:r>
              <w:rPr>
                <w:rFonts w:hint="eastAsia" w:ascii="Times New Roman"/>
              </w:rPr>
              <w:t>限公司对原有工程废气排放情况进行了检测，检测报告编号：QFHJ20230417012，现有项目废气监测结果见</w:t>
            </w:r>
            <w:bookmarkStart w:id="187" w:name="OLE_LINK87"/>
            <w:r>
              <w:rPr>
                <w:rFonts w:hint="eastAsia" w:ascii="Times New Roman"/>
              </w:rPr>
              <w:t>附件</w:t>
            </w:r>
            <w:bookmarkEnd w:id="187"/>
            <w:r>
              <w:rPr>
                <w:rFonts w:hint="eastAsia" w:ascii="Times New Roman"/>
              </w:rPr>
              <w:t>9，原有项目废气产排污情况如下：</w:t>
            </w:r>
            <w:bookmarkEnd w:id="186"/>
          </w:p>
          <w:bookmarkEnd w:id="184"/>
          <w:p w14:paraId="35D00935">
            <w:pPr>
              <w:spacing w:line="240" w:lineRule="auto"/>
              <w:ind w:firstLine="0" w:firstLineChars="0"/>
              <w:jc w:val="center"/>
              <w:rPr>
                <w:b/>
                <w:sz w:val="21"/>
                <w:highlight w:val="yellow"/>
              </w:rPr>
            </w:pPr>
            <w:r>
              <w:rPr>
                <w:rFonts w:hint="eastAsia" w:cs="宋体"/>
                <w:b/>
                <w:sz w:val="21"/>
                <w:szCs w:val="21"/>
              </w:rPr>
              <w:t xml:space="preserve">表2-11 </w:t>
            </w:r>
            <w:bookmarkStart w:id="188" w:name="OLE_LINK84"/>
            <w:r>
              <w:rPr>
                <w:rFonts w:hint="eastAsia" w:cs="宋体"/>
                <w:b/>
                <w:sz w:val="21"/>
                <w:szCs w:val="21"/>
              </w:rPr>
              <w:t>原有项目废气</w:t>
            </w:r>
            <w:r>
              <w:rPr>
                <w:b/>
                <w:sz w:val="21"/>
              </w:rPr>
              <w:t>产</w:t>
            </w:r>
            <w:r>
              <w:rPr>
                <w:rFonts w:hint="eastAsia"/>
                <w:b/>
                <w:sz w:val="21"/>
              </w:rPr>
              <w:t>排污</w:t>
            </w:r>
            <w:r>
              <w:rPr>
                <w:b/>
                <w:sz w:val="21"/>
              </w:rPr>
              <w:t>情况</w:t>
            </w:r>
            <w:bookmarkEnd w:id="188"/>
            <w:r>
              <w:rPr>
                <w:b/>
                <w:sz w:val="21"/>
              </w:rPr>
              <w:t>一览表</w:t>
            </w:r>
          </w:p>
          <w:tbl>
            <w:tblPr>
              <w:tblStyle w:val="34"/>
              <w:tblW w:w="4997"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613"/>
              <w:gridCol w:w="608"/>
              <w:gridCol w:w="622"/>
              <w:gridCol w:w="794"/>
              <w:gridCol w:w="794"/>
              <w:gridCol w:w="798"/>
              <w:gridCol w:w="660"/>
              <w:gridCol w:w="626"/>
              <w:gridCol w:w="637"/>
              <w:gridCol w:w="794"/>
              <w:gridCol w:w="794"/>
              <w:gridCol w:w="817"/>
            </w:tblGrid>
            <w:tr w14:paraId="1763F59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77" w:hRule="atLeast"/>
                <w:jc w:val="center"/>
              </w:trPr>
              <w:tc>
                <w:tcPr>
                  <w:tcW w:w="382" w:type="pct"/>
                  <w:vMerge w:val="restart"/>
                  <w:vAlign w:val="center"/>
                </w:tcPr>
                <w:p w14:paraId="28ABBF18">
                  <w:pPr>
                    <w:spacing w:line="240" w:lineRule="auto"/>
                    <w:ind w:firstLine="0" w:firstLineChars="0"/>
                    <w:jc w:val="center"/>
                    <w:rPr>
                      <w:b/>
                      <w:bCs/>
                      <w:kern w:val="0"/>
                      <w:sz w:val="21"/>
                      <w:szCs w:val="20"/>
                    </w:rPr>
                  </w:pPr>
                  <w:r>
                    <w:rPr>
                      <w:rFonts w:hint="eastAsia"/>
                      <w:b/>
                      <w:bCs/>
                      <w:kern w:val="0"/>
                      <w:sz w:val="21"/>
                      <w:szCs w:val="20"/>
                    </w:rPr>
                    <w:t>排放方式</w:t>
                  </w:r>
                </w:p>
              </w:tc>
              <w:tc>
                <w:tcPr>
                  <w:tcW w:w="379" w:type="pct"/>
                  <w:vMerge w:val="restart"/>
                  <w:vAlign w:val="center"/>
                </w:tcPr>
                <w:p w14:paraId="19B1F560">
                  <w:pPr>
                    <w:spacing w:line="240" w:lineRule="auto"/>
                    <w:ind w:firstLine="0" w:firstLineChars="0"/>
                    <w:jc w:val="center"/>
                    <w:rPr>
                      <w:b/>
                      <w:bCs/>
                      <w:kern w:val="0"/>
                      <w:sz w:val="21"/>
                      <w:szCs w:val="20"/>
                    </w:rPr>
                  </w:pPr>
                  <w:r>
                    <w:rPr>
                      <w:b/>
                      <w:bCs/>
                      <w:kern w:val="0"/>
                      <w:sz w:val="21"/>
                      <w:szCs w:val="20"/>
                    </w:rPr>
                    <w:t>产污</w:t>
                  </w:r>
                  <w:r>
                    <w:rPr>
                      <w:rFonts w:hint="eastAsia"/>
                      <w:b/>
                      <w:bCs/>
                      <w:kern w:val="0"/>
                      <w:sz w:val="21"/>
                      <w:szCs w:val="20"/>
                    </w:rPr>
                    <w:t>工序</w:t>
                  </w:r>
                </w:p>
              </w:tc>
              <w:tc>
                <w:tcPr>
                  <w:tcW w:w="387" w:type="pct"/>
                  <w:vMerge w:val="restart"/>
                  <w:vAlign w:val="center"/>
                </w:tcPr>
                <w:p w14:paraId="2491E0B6">
                  <w:pPr>
                    <w:spacing w:line="240" w:lineRule="auto"/>
                    <w:ind w:firstLine="0" w:firstLineChars="0"/>
                    <w:jc w:val="center"/>
                    <w:rPr>
                      <w:b/>
                      <w:bCs/>
                      <w:kern w:val="0"/>
                      <w:sz w:val="21"/>
                      <w:szCs w:val="20"/>
                    </w:rPr>
                  </w:pPr>
                  <w:r>
                    <w:rPr>
                      <w:b/>
                      <w:bCs/>
                      <w:kern w:val="0"/>
                      <w:sz w:val="21"/>
                      <w:szCs w:val="20"/>
                    </w:rPr>
                    <w:t>污染物</w:t>
                  </w:r>
                </w:p>
              </w:tc>
              <w:tc>
                <w:tcPr>
                  <w:tcW w:w="1295" w:type="pct"/>
                  <w:gridSpan w:val="3"/>
                  <w:vAlign w:val="center"/>
                </w:tcPr>
                <w:p w14:paraId="2E5ADCF5">
                  <w:pPr>
                    <w:spacing w:line="240" w:lineRule="auto"/>
                    <w:ind w:firstLine="0" w:firstLineChars="0"/>
                    <w:jc w:val="center"/>
                    <w:rPr>
                      <w:b/>
                      <w:bCs/>
                      <w:kern w:val="0"/>
                      <w:sz w:val="21"/>
                      <w:szCs w:val="20"/>
                    </w:rPr>
                  </w:pPr>
                  <w:r>
                    <w:rPr>
                      <w:b/>
                      <w:bCs/>
                      <w:kern w:val="0"/>
                      <w:sz w:val="21"/>
                      <w:szCs w:val="20"/>
                    </w:rPr>
                    <w:t>产生</w:t>
                  </w:r>
                  <w:r>
                    <w:rPr>
                      <w:rFonts w:hint="eastAsia"/>
                      <w:b/>
                      <w:bCs/>
                      <w:kern w:val="0"/>
                      <w:sz w:val="21"/>
                      <w:szCs w:val="20"/>
                    </w:rPr>
                    <w:t>情况</w:t>
                  </w:r>
                </w:p>
              </w:tc>
              <w:tc>
                <w:tcPr>
                  <w:tcW w:w="1197" w:type="pct"/>
                  <w:gridSpan w:val="3"/>
                  <w:tcBorders>
                    <w:right w:val="single" w:color="auto" w:sz="4" w:space="0"/>
                  </w:tcBorders>
                  <w:vAlign w:val="center"/>
                </w:tcPr>
                <w:p w14:paraId="3BD49D9B">
                  <w:pPr>
                    <w:spacing w:line="240" w:lineRule="auto"/>
                    <w:ind w:firstLine="0" w:firstLineChars="0"/>
                    <w:jc w:val="center"/>
                    <w:rPr>
                      <w:b/>
                      <w:bCs/>
                      <w:kern w:val="0"/>
                      <w:sz w:val="21"/>
                      <w:szCs w:val="20"/>
                    </w:rPr>
                  </w:pPr>
                  <w:r>
                    <w:rPr>
                      <w:b/>
                      <w:bCs/>
                      <w:kern w:val="0"/>
                      <w:sz w:val="21"/>
                      <w:szCs w:val="20"/>
                    </w:rPr>
                    <w:t>治理措施</w:t>
                  </w:r>
                </w:p>
              </w:tc>
              <w:tc>
                <w:tcPr>
                  <w:tcW w:w="1357" w:type="pct"/>
                  <w:gridSpan w:val="3"/>
                  <w:tcBorders>
                    <w:right w:val="single" w:color="auto" w:sz="4" w:space="0"/>
                  </w:tcBorders>
                  <w:vAlign w:val="center"/>
                </w:tcPr>
                <w:p w14:paraId="4D37069E">
                  <w:pPr>
                    <w:spacing w:line="240" w:lineRule="auto"/>
                    <w:ind w:firstLine="0" w:firstLineChars="0"/>
                    <w:jc w:val="center"/>
                    <w:rPr>
                      <w:b/>
                      <w:bCs/>
                      <w:kern w:val="0"/>
                      <w:sz w:val="21"/>
                      <w:szCs w:val="20"/>
                    </w:rPr>
                  </w:pPr>
                  <w:r>
                    <w:rPr>
                      <w:b/>
                      <w:bCs/>
                      <w:kern w:val="0"/>
                      <w:sz w:val="21"/>
                      <w:szCs w:val="20"/>
                    </w:rPr>
                    <w:t>排放情况</w:t>
                  </w:r>
                </w:p>
              </w:tc>
            </w:tr>
            <w:tr w14:paraId="69CD8B2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52" w:hRule="atLeast"/>
                <w:jc w:val="center"/>
              </w:trPr>
              <w:tc>
                <w:tcPr>
                  <w:tcW w:w="382" w:type="pct"/>
                  <w:vMerge w:val="continue"/>
                  <w:vAlign w:val="center"/>
                </w:tcPr>
                <w:p w14:paraId="2792C328">
                  <w:pPr>
                    <w:spacing w:line="240" w:lineRule="auto"/>
                    <w:ind w:firstLine="0" w:firstLineChars="0"/>
                    <w:jc w:val="center"/>
                    <w:rPr>
                      <w:b/>
                      <w:bCs/>
                      <w:kern w:val="0"/>
                      <w:sz w:val="21"/>
                      <w:szCs w:val="20"/>
                    </w:rPr>
                  </w:pPr>
                </w:p>
              </w:tc>
              <w:tc>
                <w:tcPr>
                  <w:tcW w:w="379" w:type="pct"/>
                  <w:vMerge w:val="continue"/>
                  <w:vAlign w:val="center"/>
                </w:tcPr>
                <w:p w14:paraId="7DBEE662">
                  <w:pPr>
                    <w:spacing w:line="240" w:lineRule="auto"/>
                    <w:ind w:firstLine="0" w:firstLineChars="0"/>
                    <w:jc w:val="center"/>
                    <w:rPr>
                      <w:b/>
                      <w:bCs/>
                      <w:kern w:val="0"/>
                      <w:sz w:val="21"/>
                      <w:szCs w:val="20"/>
                    </w:rPr>
                  </w:pPr>
                </w:p>
              </w:tc>
              <w:tc>
                <w:tcPr>
                  <w:tcW w:w="387" w:type="pct"/>
                  <w:vMerge w:val="continue"/>
                  <w:vAlign w:val="center"/>
                </w:tcPr>
                <w:p w14:paraId="4E2F3F6F">
                  <w:pPr>
                    <w:spacing w:line="240" w:lineRule="auto"/>
                    <w:ind w:firstLine="0" w:firstLineChars="0"/>
                    <w:jc w:val="center"/>
                    <w:rPr>
                      <w:b/>
                      <w:bCs/>
                      <w:kern w:val="0"/>
                      <w:sz w:val="21"/>
                      <w:szCs w:val="20"/>
                    </w:rPr>
                  </w:pPr>
                </w:p>
              </w:tc>
              <w:tc>
                <w:tcPr>
                  <w:tcW w:w="405" w:type="pct"/>
                  <w:vAlign w:val="center"/>
                </w:tcPr>
                <w:p w14:paraId="250961F7">
                  <w:pPr>
                    <w:spacing w:line="240" w:lineRule="auto"/>
                    <w:ind w:firstLine="0" w:firstLineChars="0"/>
                    <w:jc w:val="center"/>
                    <w:rPr>
                      <w:b/>
                      <w:bCs/>
                      <w:kern w:val="0"/>
                      <w:sz w:val="21"/>
                      <w:szCs w:val="20"/>
                    </w:rPr>
                  </w:pPr>
                  <w:r>
                    <w:rPr>
                      <w:b/>
                      <w:bCs/>
                      <w:kern w:val="0"/>
                      <w:sz w:val="21"/>
                      <w:szCs w:val="20"/>
                    </w:rPr>
                    <w:t>产生量t/a</w:t>
                  </w:r>
                </w:p>
              </w:tc>
              <w:tc>
                <w:tcPr>
                  <w:tcW w:w="405" w:type="pct"/>
                  <w:vAlign w:val="center"/>
                </w:tcPr>
                <w:p w14:paraId="1C12FBB6">
                  <w:pPr>
                    <w:spacing w:line="240" w:lineRule="auto"/>
                    <w:ind w:firstLine="0" w:firstLineChars="0"/>
                    <w:jc w:val="center"/>
                    <w:rPr>
                      <w:b/>
                      <w:bCs/>
                      <w:kern w:val="0"/>
                      <w:sz w:val="21"/>
                      <w:szCs w:val="20"/>
                    </w:rPr>
                  </w:pPr>
                  <w:r>
                    <w:rPr>
                      <w:b/>
                      <w:bCs/>
                      <w:kern w:val="0"/>
                      <w:sz w:val="21"/>
                      <w:szCs w:val="20"/>
                    </w:rPr>
                    <w:t>产生速率kg/h</w:t>
                  </w:r>
                </w:p>
              </w:tc>
              <w:tc>
                <w:tcPr>
                  <w:tcW w:w="484" w:type="pct"/>
                  <w:vAlign w:val="center"/>
                </w:tcPr>
                <w:p w14:paraId="0B29EBF9">
                  <w:pPr>
                    <w:spacing w:line="240" w:lineRule="auto"/>
                    <w:ind w:firstLine="0" w:firstLineChars="0"/>
                    <w:jc w:val="center"/>
                    <w:rPr>
                      <w:b/>
                      <w:bCs/>
                      <w:kern w:val="0"/>
                      <w:sz w:val="21"/>
                      <w:szCs w:val="20"/>
                    </w:rPr>
                  </w:pPr>
                  <w:r>
                    <w:rPr>
                      <w:b/>
                      <w:bCs/>
                      <w:kern w:val="0"/>
                      <w:sz w:val="21"/>
                      <w:szCs w:val="20"/>
                    </w:rPr>
                    <w:t>产生浓度mg/m</w:t>
                  </w:r>
                  <w:r>
                    <w:rPr>
                      <w:b/>
                      <w:bCs/>
                      <w:kern w:val="0"/>
                      <w:sz w:val="21"/>
                      <w:szCs w:val="20"/>
                      <w:vertAlign w:val="superscript"/>
                    </w:rPr>
                    <w:t>3</w:t>
                  </w:r>
                </w:p>
              </w:tc>
              <w:tc>
                <w:tcPr>
                  <w:tcW w:w="413" w:type="pct"/>
                  <w:tcBorders>
                    <w:right w:val="single" w:color="auto" w:sz="4" w:space="0"/>
                  </w:tcBorders>
                  <w:vAlign w:val="center"/>
                </w:tcPr>
                <w:p w14:paraId="2C259C30">
                  <w:pPr>
                    <w:spacing w:line="240" w:lineRule="auto"/>
                    <w:ind w:firstLine="0" w:firstLineChars="0"/>
                    <w:jc w:val="center"/>
                    <w:rPr>
                      <w:b/>
                      <w:bCs/>
                      <w:kern w:val="0"/>
                      <w:sz w:val="21"/>
                      <w:szCs w:val="20"/>
                    </w:rPr>
                  </w:pPr>
                  <w:r>
                    <w:rPr>
                      <w:b/>
                      <w:bCs/>
                      <w:kern w:val="0"/>
                      <w:sz w:val="21"/>
                      <w:szCs w:val="20"/>
                    </w:rPr>
                    <w:t>收集效率%</w:t>
                  </w:r>
                </w:p>
              </w:tc>
              <w:tc>
                <w:tcPr>
                  <w:tcW w:w="389" w:type="pct"/>
                  <w:vAlign w:val="center"/>
                </w:tcPr>
                <w:p w14:paraId="14129F34">
                  <w:pPr>
                    <w:spacing w:line="240" w:lineRule="auto"/>
                    <w:ind w:firstLine="0" w:firstLineChars="0"/>
                    <w:jc w:val="center"/>
                    <w:rPr>
                      <w:b/>
                      <w:bCs/>
                      <w:kern w:val="0"/>
                      <w:sz w:val="21"/>
                      <w:szCs w:val="20"/>
                    </w:rPr>
                  </w:pPr>
                  <w:r>
                    <w:rPr>
                      <w:rFonts w:hint="eastAsia"/>
                      <w:b/>
                      <w:bCs/>
                      <w:kern w:val="0"/>
                      <w:sz w:val="21"/>
                      <w:szCs w:val="20"/>
                    </w:rPr>
                    <w:t>治理</w:t>
                  </w:r>
                  <w:r>
                    <w:rPr>
                      <w:b/>
                      <w:bCs/>
                      <w:kern w:val="0"/>
                      <w:sz w:val="21"/>
                      <w:szCs w:val="20"/>
                    </w:rPr>
                    <w:t>工艺</w:t>
                  </w:r>
                </w:p>
              </w:tc>
              <w:tc>
                <w:tcPr>
                  <w:tcW w:w="394" w:type="pct"/>
                  <w:tcBorders>
                    <w:right w:val="single" w:color="auto" w:sz="4" w:space="0"/>
                  </w:tcBorders>
                  <w:vAlign w:val="center"/>
                </w:tcPr>
                <w:p w14:paraId="17F4ADD8">
                  <w:pPr>
                    <w:spacing w:line="240" w:lineRule="auto"/>
                    <w:ind w:firstLine="0" w:firstLineChars="0"/>
                    <w:jc w:val="center"/>
                    <w:rPr>
                      <w:b/>
                      <w:bCs/>
                      <w:kern w:val="0"/>
                      <w:sz w:val="21"/>
                      <w:szCs w:val="20"/>
                    </w:rPr>
                  </w:pPr>
                  <w:r>
                    <w:rPr>
                      <w:b/>
                      <w:bCs/>
                      <w:kern w:val="0"/>
                      <w:sz w:val="21"/>
                      <w:szCs w:val="20"/>
                    </w:rPr>
                    <w:t>处理效率%</w:t>
                  </w:r>
                </w:p>
              </w:tc>
              <w:tc>
                <w:tcPr>
                  <w:tcW w:w="425" w:type="pct"/>
                  <w:vAlign w:val="center"/>
                </w:tcPr>
                <w:p w14:paraId="78F6EAFF">
                  <w:pPr>
                    <w:spacing w:line="240" w:lineRule="auto"/>
                    <w:ind w:firstLine="0" w:firstLineChars="0"/>
                    <w:jc w:val="center"/>
                    <w:rPr>
                      <w:b/>
                      <w:bCs/>
                      <w:kern w:val="0"/>
                      <w:sz w:val="21"/>
                      <w:szCs w:val="20"/>
                    </w:rPr>
                  </w:pPr>
                  <w:r>
                    <w:rPr>
                      <w:b/>
                      <w:bCs/>
                      <w:kern w:val="0"/>
                      <w:sz w:val="21"/>
                      <w:szCs w:val="20"/>
                    </w:rPr>
                    <w:t>排放量t/a</w:t>
                  </w:r>
                </w:p>
              </w:tc>
              <w:tc>
                <w:tcPr>
                  <w:tcW w:w="431" w:type="pct"/>
                  <w:tcBorders>
                    <w:right w:val="single" w:color="auto" w:sz="4" w:space="0"/>
                  </w:tcBorders>
                  <w:vAlign w:val="center"/>
                </w:tcPr>
                <w:p w14:paraId="1F756750">
                  <w:pPr>
                    <w:spacing w:line="240" w:lineRule="auto"/>
                    <w:ind w:firstLine="0" w:firstLineChars="0"/>
                    <w:jc w:val="center"/>
                    <w:rPr>
                      <w:b/>
                      <w:bCs/>
                      <w:kern w:val="0"/>
                      <w:sz w:val="21"/>
                      <w:szCs w:val="20"/>
                    </w:rPr>
                  </w:pPr>
                  <w:r>
                    <w:rPr>
                      <w:b/>
                      <w:bCs/>
                      <w:kern w:val="0"/>
                      <w:sz w:val="21"/>
                      <w:szCs w:val="20"/>
                    </w:rPr>
                    <w:t>排放速率kg/h</w:t>
                  </w:r>
                </w:p>
              </w:tc>
              <w:tc>
                <w:tcPr>
                  <w:tcW w:w="500" w:type="pct"/>
                  <w:tcBorders>
                    <w:left w:val="single" w:color="auto" w:sz="4" w:space="0"/>
                    <w:right w:val="single" w:color="auto" w:sz="4" w:space="0"/>
                  </w:tcBorders>
                  <w:vAlign w:val="center"/>
                </w:tcPr>
                <w:p w14:paraId="635B0CDE">
                  <w:pPr>
                    <w:spacing w:line="240" w:lineRule="auto"/>
                    <w:ind w:firstLine="0" w:firstLineChars="0"/>
                    <w:jc w:val="center"/>
                    <w:rPr>
                      <w:b/>
                      <w:bCs/>
                      <w:kern w:val="0"/>
                      <w:sz w:val="21"/>
                      <w:szCs w:val="20"/>
                    </w:rPr>
                  </w:pPr>
                  <w:r>
                    <w:rPr>
                      <w:b/>
                      <w:bCs/>
                      <w:kern w:val="0"/>
                      <w:sz w:val="21"/>
                      <w:szCs w:val="20"/>
                    </w:rPr>
                    <w:t>排放浓度mg/m</w:t>
                  </w:r>
                  <w:r>
                    <w:rPr>
                      <w:b/>
                      <w:bCs/>
                      <w:kern w:val="0"/>
                      <w:sz w:val="21"/>
                      <w:szCs w:val="20"/>
                      <w:vertAlign w:val="superscript"/>
                    </w:rPr>
                    <w:t>3</w:t>
                  </w:r>
                </w:p>
              </w:tc>
            </w:tr>
            <w:tr w14:paraId="0D83AF6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32" w:hRule="atLeast"/>
                <w:jc w:val="center"/>
              </w:trPr>
              <w:tc>
                <w:tcPr>
                  <w:tcW w:w="382" w:type="pct"/>
                  <w:vMerge w:val="restart"/>
                  <w:vAlign w:val="center"/>
                </w:tcPr>
                <w:p w14:paraId="37989C51">
                  <w:pPr>
                    <w:spacing w:line="240" w:lineRule="auto"/>
                    <w:ind w:firstLine="0" w:firstLineChars="0"/>
                    <w:jc w:val="center"/>
                    <w:rPr>
                      <w:kern w:val="0"/>
                      <w:sz w:val="21"/>
                      <w:szCs w:val="20"/>
                    </w:rPr>
                  </w:pPr>
                  <w:r>
                    <w:rPr>
                      <w:rFonts w:hint="eastAsia"/>
                      <w:kern w:val="0"/>
                      <w:sz w:val="21"/>
                      <w:szCs w:val="20"/>
                    </w:rPr>
                    <w:t>有组织</w:t>
                  </w:r>
                </w:p>
              </w:tc>
              <w:tc>
                <w:tcPr>
                  <w:tcW w:w="379" w:type="pct"/>
                  <w:vAlign w:val="center"/>
                </w:tcPr>
                <w:p w14:paraId="277930AD">
                  <w:pPr>
                    <w:spacing w:line="240" w:lineRule="auto"/>
                    <w:ind w:firstLine="0" w:firstLineChars="0"/>
                    <w:jc w:val="center"/>
                    <w:rPr>
                      <w:kern w:val="0"/>
                      <w:sz w:val="21"/>
                      <w:szCs w:val="20"/>
                    </w:rPr>
                  </w:pPr>
                  <w:r>
                    <w:rPr>
                      <w:rFonts w:hint="eastAsia"/>
                      <w:kern w:val="0"/>
                      <w:sz w:val="21"/>
                      <w:szCs w:val="20"/>
                    </w:rPr>
                    <w:t>挤出</w:t>
                  </w:r>
                </w:p>
              </w:tc>
              <w:tc>
                <w:tcPr>
                  <w:tcW w:w="387" w:type="pct"/>
                  <w:vAlign w:val="center"/>
                </w:tcPr>
                <w:p w14:paraId="03570F76">
                  <w:pPr>
                    <w:spacing w:line="240" w:lineRule="auto"/>
                    <w:ind w:firstLine="0" w:firstLineChars="0"/>
                    <w:jc w:val="center"/>
                    <w:rPr>
                      <w:kern w:val="0"/>
                      <w:sz w:val="21"/>
                      <w:szCs w:val="20"/>
                    </w:rPr>
                  </w:pPr>
                  <w:r>
                    <w:rPr>
                      <w:kern w:val="0"/>
                      <w:sz w:val="21"/>
                      <w:szCs w:val="20"/>
                    </w:rPr>
                    <w:t>非甲烷总烃</w:t>
                  </w:r>
                </w:p>
              </w:tc>
              <w:tc>
                <w:tcPr>
                  <w:tcW w:w="405" w:type="pct"/>
                  <w:vAlign w:val="center"/>
                </w:tcPr>
                <w:p w14:paraId="67713BE4">
                  <w:pPr>
                    <w:spacing w:line="240" w:lineRule="auto"/>
                    <w:ind w:firstLine="0" w:firstLineChars="0"/>
                    <w:jc w:val="center"/>
                    <w:rPr>
                      <w:kern w:val="0"/>
                      <w:sz w:val="21"/>
                      <w:szCs w:val="20"/>
                    </w:rPr>
                  </w:pPr>
                  <w:r>
                    <w:rPr>
                      <w:rFonts w:hint="eastAsia"/>
                      <w:kern w:val="0"/>
                      <w:sz w:val="21"/>
                      <w:szCs w:val="20"/>
                    </w:rPr>
                    <w:t>0.1027</w:t>
                  </w:r>
                </w:p>
              </w:tc>
              <w:tc>
                <w:tcPr>
                  <w:tcW w:w="405" w:type="pct"/>
                  <w:vAlign w:val="center"/>
                </w:tcPr>
                <w:p w14:paraId="5CD9F58A">
                  <w:pPr>
                    <w:spacing w:line="240" w:lineRule="auto"/>
                    <w:ind w:firstLine="0" w:firstLineChars="0"/>
                    <w:jc w:val="center"/>
                    <w:rPr>
                      <w:kern w:val="0"/>
                      <w:sz w:val="21"/>
                      <w:szCs w:val="20"/>
                    </w:rPr>
                  </w:pPr>
                  <w:r>
                    <w:rPr>
                      <w:rFonts w:hint="eastAsia"/>
                      <w:kern w:val="0"/>
                      <w:sz w:val="21"/>
                      <w:szCs w:val="20"/>
                    </w:rPr>
                    <w:t>0.0428</w:t>
                  </w:r>
                </w:p>
              </w:tc>
              <w:tc>
                <w:tcPr>
                  <w:tcW w:w="484" w:type="pct"/>
                  <w:vAlign w:val="center"/>
                </w:tcPr>
                <w:p w14:paraId="465C8BCE">
                  <w:pPr>
                    <w:spacing w:line="240" w:lineRule="auto"/>
                    <w:ind w:firstLine="0" w:firstLineChars="0"/>
                    <w:jc w:val="center"/>
                    <w:rPr>
                      <w:kern w:val="0"/>
                      <w:sz w:val="21"/>
                      <w:szCs w:val="20"/>
                    </w:rPr>
                  </w:pPr>
                  <w:r>
                    <w:rPr>
                      <w:rFonts w:hint="eastAsia"/>
                      <w:kern w:val="0"/>
                      <w:sz w:val="21"/>
                      <w:szCs w:val="20"/>
                    </w:rPr>
                    <w:t>16.6</w:t>
                  </w:r>
                </w:p>
              </w:tc>
              <w:tc>
                <w:tcPr>
                  <w:tcW w:w="413" w:type="pct"/>
                  <w:tcBorders>
                    <w:bottom w:val="single" w:color="auto" w:sz="4" w:space="0"/>
                    <w:right w:val="single" w:color="auto" w:sz="4" w:space="0"/>
                  </w:tcBorders>
                  <w:vAlign w:val="center"/>
                </w:tcPr>
                <w:p w14:paraId="5ED8794A">
                  <w:pPr>
                    <w:spacing w:line="240" w:lineRule="auto"/>
                    <w:ind w:firstLine="0" w:firstLineChars="0"/>
                    <w:jc w:val="center"/>
                    <w:rPr>
                      <w:kern w:val="0"/>
                      <w:sz w:val="21"/>
                      <w:szCs w:val="20"/>
                    </w:rPr>
                  </w:pPr>
                  <w:r>
                    <w:rPr>
                      <w:rFonts w:hint="eastAsia"/>
                      <w:kern w:val="0"/>
                      <w:sz w:val="21"/>
                      <w:szCs w:val="20"/>
                    </w:rPr>
                    <w:t>80</w:t>
                  </w:r>
                </w:p>
              </w:tc>
              <w:tc>
                <w:tcPr>
                  <w:tcW w:w="389" w:type="pct"/>
                  <w:vMerge w:val="restart"/>
                  <w:vAlign w:val="center"/>
                </w:tcPr>
                <w:p w14:paraId="66F67742">
                  <w:pPr>
                    <w:spacing w:line="240" w:lineRule="auto"/>
                    <w:ind w:firstLine="0" w:firstLineChars="0"/>
                    <w:jc w:val="center"/>
                    <w:rPr>
                      <w:kern w:val="0"/>
                      <w:sz w:val="21"/>
                      <w:szCs w:val="20"/>
                    </w:rPr>
                  </w:pPr>
                  <w:r>
                    <w:rPr>
                      <w:rFonts w:hint="eastAsia"/>
                      <w:kern w:val="0"/>
                      <w:sz w:val="21"/>
                      <w:szCs w:val="20"/>
                    </w:rPr>
                    <w:t>水喷淋+</w:t>
                  </w:r>
                  <w:r>
                    <w:rPr>
                      <w:kern w:val="0"/>
                      <w:sz w:val="21"/>
                      <w:szCs w:val="20"/>
                    </w:rPr>
                    <w:t>活性炭</w:t>
                  </w:r>
                  <w:r>
                    <w:rPr>
                      <w:rFonts w:hint="eastAsia"/>
                      <w:kern w:val="0"/>
                      <w:sz w:val="21"/>
                      <w:szCs w:val="20"/>
                    </w:rPr>
                    <w:t>吸附</w:t>
                  </w:r>
                </w:p>
              </w:tc>
              <w:tc>
                <w:tcPr>
                  <w:tcW w:w="394" w:type="pct"/>
                  <w:tcBorders>
                    <w:bottom w:val="single" w:color="auto" w:sz="4" w:space="0"/>
                    <w:right w:val="single" w:color="auto" w:sz="4" w:space="0"/>
                  </w:tcBorders>
                  <w:vAlign w:val="center"/>
                </w:tcPr>
                <w:p w14:paraId="0EF7968D">
                  <w:pPr>
                    <w:spacing w:line="240" w:lineRule="auto"/>
                    <w:ind w:firstLine="0" w:firstLineChars="0"/>
                    <w:jc w:val="center"/>
                    <w:rPr>
                      <w:kern w:val="0"/>
                      <w:sz w:val="21"/>
                      <w:szCs w:val="20"/>
                    </w:rPr>
                  </w:pPr>
                  <w:r>
                    <w:rPr>
                      <w:rFonts w:hint="eastAsia"/>
                      <w:kern w:val="0"/>
                      <w:sz w:val="21"/>
                      <w:szCs w:val="20"/>
                    </w:rPr>
                    <w:t>52</w:t>
                  </w:r>
                </w:p>
              </w:tc>
              <w:tc>
                <w:tcPr>
                  <w:tcW w:w="425" w:type="pct"/>
                  <w:vAlign w:val="center"/>
                </w:tcPr>
                <w:p w14:paraId="5803F149">
                  <w:pPr>
                    <w:spacing w:line="240" w:lineRule="auto"/>
                    <w:ind w:firstLine="0" w:firstLineChars="0"/>
                    <w:jc w:val="center"/>
                    <w:rPr>
                      <w:kern w:val="0"/>
                      <w:sz w:val="21"/>
                      <w:szCs w:val="20"/>
                    </w:rPr>
                  </w:pPr>
                  <w:r>
                    <w:rPr>
                      <w:rFonts w:hint="eastAsia"/>
                      <w:kern w:val="0"/>
                      <w:sz w:val="21"/>
                      <w:szCs w:val="20"/>
                    </w:rPr>
                    <w:t>0.0492</w:t>
                  </w:r>
                </w:p>
              </w:tc>
              <w:tc>
                <w:tcPr>
                  <w:tcW w:w="431" w:type="pct"/>
                  <w:tcBorders>
                    <w:right w:val="single" w:color="auto" w:sz="4" w:space="0"/>
                  </w:tcBorders>
                  <w:vAlign w:val="center"/>
                </w:tcPr>
                <w:p w14:paraId="7BFAFF99">
                  <w:pPr>
                    <w:spacing w:line="240" w:lineRule="auto"/>
                    <w:ind w:firstLine="0" w:firstLineChars="0"/>
                    <w:jc w:val="center"/>
                    <w:rPr>
                      <w:kern w:val="0"/>
                      <w:sz w:val="21"/>
                      <w:szCs w:val="20"/>
                    </w:rPr>
                  </w:pPr>
                  <w:r>
                    <w:rPr>
                      <w:rFonts w:hint="eastAsia"/>
                      <w:kern w:val="0"/>
                      <w:sz w:val="21"/>
                      <w:szCs w:val="20"/>
                    </w:rPr>
                    <w:t>0.0205</w:t>
                  </w:r>
                </w:p>
              </w:tc>
              <w:tc>
                <w:tcPr>
                  <w:tcW w:w="500" w:type="pct"/>
                  <w:tcBorders>
                    <w:left w:val="single" w:color="auto" w:sz="4" w:space="0"/>
                  </w:tcBorders>
                  <w:vAlign w:val="center"/>
                </w:tcPr>
                <w:p w14:paraId="5B16F86C">
                  <w:pPr>
                    <w:spacing w:line="240" w:lineRule="auto"/>
                    <w:ind w:firstLine="0" w:firstLineChars="0"/>
                    <w:jc w:val="center"/>
                    <w:rPr>
                      <w:kern w:val="0"/>
                      <w:sz w:val="21"/>
                      <w:szCs w:val="20"/>
                    </w:rPr>
                  </w:pPr>
                  <w:r>
                    <w:rPr>
                      <w:rFonts w:hint="eastAsia"/>
                      <w:kern w:val="0"/>
                      <w:sz w:val="21"/>
                      <w:szCs w:val="20"/>
                    </w:rPr>
                    <w:t>7.5</w:t>
                  </w:r>
                </w:p>
              </w:tc>
            </w:tr>
            <w:tr w14:paraId="4E86EC2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42" w:hRule="atLeast"/>
                <w:jc w:val="center"/>
              </w:trPr>
              <w:tc>
                <w:tcPr>
                  <w:tcW w:w="382" w:type="pct"/>
                  <w:vMerge w:val="continue"/>
                  <w:vAlign w:val="center"/>
                </w:tcPr>
                <w:p w14:paraId="552BE35F">
                  <w:pPr>
                    <w:spacing w:line="240" w:lineRule="auto"/>
                    <w:ind w:firstLine="0" w:firstLineChars="0"/>
                    <w:jc w:val="center"/>
                    <w:rPr>
                      <w:kern w:val="0"/>
                      <w:sz w:val="21"/>
                      <w:szCs w:val="20"/>
                    </w:rPr>
                  </w:pPr>
                </w:p>
              </w:tc>
              <w:tc>
                <w:tcPr>
                  <w:tcW w:w="379" w:type="pct"/>
                  <w:shd w:val="clear" w:color="auto" w:fill="auto"/>
                  <w:vAlign w:val="center"/>
                </w:tcPr>
                <w:p w14:paraId="061F8358">
                  <w:pPr>
                    <w:spacing w:line="240" w:lineRule="auto"/>
                    <w:ind w:firstLine="0" w:firstLineChars="0"/>
                    <w:jc w:val="center"/>
                    <w:rPr>
                      <w:kern w:val="0"/>
                      <w:sz w:val="21"/>
                      <w:szCs w:val="20"/>
                    </w:rPr>
                  </w:pPr>
                  <w:r>
                    <w:rPr>
                      <w:rFonts w:hint="eastAsia"/>
                      <w:kern w:val="0"/>
                      <w:sz w:val="21"/>
                      <w:szCs w:val="20"/>
                    </w:rPr>
                    <w:t>搅拌</w:t>
                  </w:r>
                </w:p>
              </w:tc>
              <w:tc>
                <w:tcPr>
                  <w:tcW w:w="387" w:type="pct"/>
                  <w:shd w:val="clear" w:color="auto" w:fill="auto"/>
                  <w:vAlign w:val="center"/>
                </w:tcPr>
                <w:p w14:paraId="1AA73567">
                  <w:pPr>
                    <w:spacing w:line="240" w:lineRule="auto"/>
                    <w:ind w:firstLine="0" w:firstLineChars="0"/>
                    <w:jc w:val="center"/>
                    <w:rPr>
                      <w:kern w:val="0"/>
                      <w:sz w:val="21"/>
                      <w:szCs w:val="20"/>
                    </w:rPr>
                  </w:pPr>
                  <w:r>
                    <w:rPr>
                      <w:rFonts w:hint="eastAsia"/>
                      <w:kern w:val="0"/>
                      <w:sz w:val="21"/>
                      <w:szCs w:val="20"/>
                    </w:rPr>
                    <w:t>颗粒物</w:t>
                  </w:r>
                </w:p>
              </w:tc>
              <w:tc>
                <w:tcPr>
                  <w:tcW w:w="405" w:type="pct"/>
                  <w:vAlign w:val="center"/>
                </w:tcPr>
                <w:p w14:paraId="6EA9CADE">
                  <w:pPr>
                    <w:spacing w:line="240" w:lineRule="auto"/>
                    <w:ind w:firstLine="0" w:firstLineChars="0"/>
                    <w:jc w:val="center"/>
                    <w:rPr>
                      <w:kern w:val="0"/>
                      <w:sz w:val="21"/>
                      <w:szCs w:val="20"/>
                    </w:rPr>
                  </w:pPr>
                  <w:r>
                    <w:rPr>
                      <w:rFonts w:hint="eastAsia"/>
                      <w:kern w:val="0"/>
                      <w:sz w:val="21"/>
                      <w:szCs w:val="20"/>
                    </w:rPr>
                    <w:t>0.1709</w:t>
                  </w:r>
                </w:p>
              </w:tc>
              <w:tc>
                <w:tcPr>
                  <w:tcW w:w="405" w:type="pct"/>
                  <w:vAlign w:val="center"/>
                </w:tcPr>
                <w:p w14:paraId="6D0BFE10">
                  <w:pPr>
                    <w:spacing w:line="240" w:lineRule="auto"/>
                    <w:ind w:firstLine="0" w:firstLineChars="0"/>
                    <w:jc w:val="center"/>
                    <w:rPr>
                      <w:kern w:val="0"/>
                      <w:sz w:val="21"/>
                      <w:szCs w:val="20"/>
                    </w:rPr>
                  </w:pPr>
                  <w:r>
                    <w:rPr>
                      <w:rFonts w:hint="eastAsia"/>
                      <w:kern w:val="0"/>
                      <w:sz w:val="21"/>
                      <w:szCs w:val="20"/>
                    </w:rPr>
                    <w:t>0.0712</w:t>
                  </w:r>
                </w:p>
              </w:tc>
              <w:tc>
                <w:tcPr>
                  <w:tcW w:w="484" w:type="pct"/>
                  <w:vAlign w:val="center"/>
                </w:tcPr>
                <w:p w14:paraId="4898DB28">
                  <w:pPr>
                    <w:spacing w:line="240" w:lineRule="auto"/>
                    <w:ind w:firstLine="0" w:firstLineChars="0"/>
                    <w:jc w:val="center"/>
                    <w:rPr>
                      <w:kern w:val="0"/>
                      <w:sz w:val="21"/>
                      <w:szCs w:val="20"/>
                    </w:rPr>
                  </w:pPr>
                  <w:r>
                    <w:rPr>
                      <w:rFonts w:hint="eastAsia"/>
                      <w:kern w:val="0"/>
                      <w:sz w:val="21"/>
                      <w:szCs w:val="20"/>
                    </w:rPr>
                    <w:t>27.5</w:t>
                  </w:r>
                </w:p>
              </w:tc>
              <w:tc>
                <w:tcPr>
                  <w:tcW w:w="413" w:type="pct"/>
                  <w:tcBorders>
                    <w:right w:val="single" w:color="auto" w:sz="4" w:space="0"/>
                  </w:tcBorders>
                  <w:vAlign w:val="center"/>
                </w:tcPr>
                <w:p w14:paraId="6B65D065">
                  <w:pPr>
                    <w:spacing w:line="240" w:lineRule="auto"/>
                    <w:ind w:firstLine="0" w:firstLineChars="0"/>
                    <w:jc w:val="center"/>
                    <w:rPr>
                      <w:kern w:val="0"/>
                      <w:sz w:val="21"/>
                      <w:szCs w:val="20"/>
                    </w:rPr>
                  </w:pPr>
                  <w:r>
                    <w:rPr>
                      <w:rFonts w:hint="eastAsia"/>
                      <w:kern w:val="0"/>
                      <w:sz w:val="21"/>
                      <w:szCs w:val="20"/>
                    </w:rPr>
                    <w:t>80</w:t>
                  </w:r>
                </w:p>
              </w:tc>
              <w:tc>
                <w:tcPr>
                  <w:tcW w:w="389" w:type="pct"/>
                  <w:vMerge w:val="continue"/>
                  <w:vAlign w:val="center"/>
                </w:tcPr>
                <w:p w14:paraId="5C2FDCF2">
                  <w:pPr>
                    <w:spacing w:line="240" w:lineRule="auto"/>
                    <w:ind w:firstLine="0" w:firstLineChars="0"/>
                    <w:jc w:val="center"/>
                    <w:rPr>
                      <w:kern w:val="0"/>
                      <w:sz w:val="21"/>
                      <w:szCs w:val="20"/>
                    </w:rPr>
                  </w:pPr>
                </w:p>
              </w:tc>
              <w:tc>
                <w:tcPr>
                  <w:tcW w:w="394" w:type="pct"/>
                  <w:tcBorders>
                    <w:right w:val="single" w:color="auto" w:sz="4" w:space="0"/>
                  </w:tcBorders>
                  <w:vAlign w:val="center"/>
                </w:tcPr>
                <w:p w14:paraId="3AB5DFA7">
                  <w:pPr>
                    <w:spacing w:line="240" w:lineRule="auto"/>
                    <w:ind w:firstLine="0" w:firstLineChars="0"/>
                    <w:jc w:val="center"/>
                    <w:rPr>
                      <w:kern w:val="0"/>
                      <w:sz w:val="21"/>
                      <w:szCs w:val="20"/>
                    </w:rPr>
                  </w:pPr>
                  <w:r>
                    <w:rPr>
                      <w:rFonts w:hint="eastAsia"/>
                      <w:kern w:val="0"/>
                      <w:sz w:val="21"/>
                      <w:szCs w:val="20"/>
                    </w:rPr>
                    <w:t>71</w:t>
                  </w:r>
                </w:p>
              </w:tc>
              <w:tc>
                <w:tcPr>
                  <w:tcW w:w="425" w:type="pct"/>
                  <w:vAlign w:val="center"/>
                </w:tcPr>
                <w:p w14:paraId="064B3DBC">
                  <w:pPr>
                    <w:spacing w:line="240" w:lineRule="auto"/>
                    <w:ind w:firstLine="0" w:firstLineChars="0"/>
                    <w:jc w:val="center"/>
                    <w:rPr>
                      <w:kern w:val="0"/>
                      <w:sz w:val="21"/>
                      <w:szCs w:val="20"/>
                    </w:rPr>
                  </w:pPr>
                  <w:r>
                    <w:rPr>
                      <w:rFonts w:hint="eastAsia"/>
                      <w:kern w:val="0"/>
                      <w:sz w:val="21"/>
                      <w:szCs w:val="20"/>
                    </w:rPr>
                    <w:t>0.0492</w:t>
                  </w:r>
                </w:p>
              </w:tc>
              <w:tc>
                <w:tcPr>
                  <w:tcW w:w="431" w:type="pct"/>
                  <w:tcBorders>
                    <w:right w:val="single" w:color="auto" w:sz="4" w:space="0"/>
                  </w:tcBorders>
                  <w:vAlign w:val="center"/>
                </w:tcPr>
                <w:p w14:paraId="5A8E84E2">
                  <w:pPr>
                    <w:spacing w:line="240" w:lineRule="auto"/>
                    <w:ind w:firstLine="0" w:firstLineChars="0"/>
                    <w:jc w:val="center"/>
                    <w:rPr>
                      <w:kern w:val="0"/>
                      <w:sz w:val="21"/>
                      <w:szCs w:val="20"/>
                    </w:rPr>
                  </w:pPr>
                  <w:r>
                    <w:rPr>
                      <w:rFonts w:hint="eastAsia"/>
                      <w:kern w:val="0"/>
                      <w:sz w:val="21"/>
                      <w:szCs w:val="20"/>
                    </w:rPr>
                    <w:t>0.0205</w:t>
                  </w:r>
                </w:p>
              </w:tc>
              <w:tc>
                <w:tcPr>
                  <w:tcW w:w="500" w:type="pct"/>
                  <w:tcBorders>
                    <w:left w:val="single" w:color="auto" w:sz="4" w:space="0"/>
                  </w:tcBorders>
                  <w:vAlign w:val="center"/>
                </w:tcPr>
                <w:p w14:paraId="5F73F0AF">
                  <w:pPr>
                    <w:spacing w:line="240" w:lineRule="auto"/>
                    <w:ind w:firstLine="0" w:firstLineChars="0"/>
                    <w:jc w:val="center"/>
                    <w:rPr>
                      <w:kern w:val="0"/>
                      <w:sz w:val="21"/>
                      <w:szCs w:val="20"/>
                    </w:rPr>
                  </w:pPr>
                  <w:r>
                    <w:rPr>
                      <w:rFonts w:hint="eastAsia"/>
                      <w:kern w:val="0"/>
                      <w:sz w:val="21"/>
                      <w:szCs w:val="20"/>
                    </w:rPr>
                    <w:t>7.5</w:t>
                  </w:r>
                </w:p>
              </w:tc>
            </w:tr>
          </w:tbl>
          <w:p w14:paraId="6D7E9F19">
            <w:pPr>
              <w:pStyle w:val="44"/>
              <w:adjustRightInd/>
              <w:snapToGrid/>
              <w:spacing w:beforeLines="0" w:afterLines="0" w:line="360" w:lineRule="auto"/>
              <w:ind w:firstLine="480"/>
              <w:rPr>
                <w:rFonts w:ascii="Times New Roman" w:cs="宋体"/>
                <w:sz w:val="24"/>
                <w:szCs w:val="24"/>
              </w:rPr>
            </w:pPr>
            <w:r>
              <w:rPr>
                <w:rFonts w:hint="eastAsia" w:ascii="Times New Roman" w:cs="宋体"/>
                <w:sz w:val="24"/>
                <w:szCs w:val="24"/>
              </w:rPr>
              <w:t>由上表可知</w:t>
            </w:r>
            <w:r>
              <w:rPr>
                <w:rFonts w:ascii="Times New Roman" w:cs="宋体"/>
                <w:sz w:val="24"/>
                <w:szCs w:val="24"/>
              </w:rPr>
              <w:t>，</w:t>
            </w:r>
            <w:r>
              <w:rPr>
                <w:rFonts w:hint="eastAsia" w:ascii="Times New Roman" w:cs="宋体"/>
                <w:sz w:val="24"/>
                <w:szCs w:val="24"/>
              </w:rPr>
              <w:t>项目</w:t>
            </w:r>
            <w:r>
              <w:rPr>
                <w:rFonts w:ascii="Times New Roman" w:cs="宋体"/>
                <w:sz w:val="24"/>
                <w:szCs w:val="24"/>
              </w:rPr>
              <w:t>颗粒物、非甲烷总烃</w:t>
            </w:r>
            <w:r>
              <w:rPr>
                <w:rFonts w:hint="eastAsia" w:ascii="Times New Roman" w:cs="宋体"/>
                <w:sz w:val="24"/>
                <w:szCs w:val="24"/>
              </w:rPr>
              <w:t>有组织排放浓度</w:t>
            </w:r>
            <w:r>
              <w:rPr>
                <w:rFonts w:ascii="Times New Roman" w:cs="宋体"/>
                <w:sz w:val="24"/>
                <w:szCs w:val="24"/>
              </w:rPr>
              <w:t>可</w:t>
            </w:r>
            <w:r>
              <w:rPr>
                <w:rFonts w:hint="eastAsia" w:ascii="Times New Roman" w:cs="宋体"/>
                <w:sz w:val="24"/>
                <w:szCs w:val="24"/>
              </w:rPr>
              <w:t>达到</w:t>
            </w:r>
            <w:bookmarkStart w:id="189" w:name="OLE_LINK93"/>
            <w:r>
              <w:rPr>
                <w:rFonts w:hint="eastAsia" w:ascii="Times New Roman" w:cs="宋体"/>
                <w:sz w:val="24"/>
                <w:szCs w:val="24"/>
              </w:rPr>
              <w:t>《合成树脂工业污染物排放标准》（GB31572-2015）</w:t>
            </w:r>
            <w:bookmarkEnd w:id="189"/>
            <w:r>
              <w:rPr>
                <w:rFonts w:hint="eastAsia" w:ascii="Times New Roman" w:cs="宋体"/>
                <w:sz w:val="24"/>
                <w:szCs w:val="24"/>
              </w:rPr>
              <w:t>表5大气污染物特别排放限值要求，对周围环境不会产生明显影响。</w:t>
            </w:r>
          </w:p>
          <w:p w14:paraId="42D46F7E">
            <w:pPr>
              <w:pStyle w:val="44"/>
              <w:adjustRightInd/>
              <w:snapToGrid/>
              <w:spacing w:beforeLines="0" w:afterLines="0" w:line="360" w:lineRule="auto"/>
              <w:ind w:firstLine="480"/>
              <w:rPr>
                <w:rFonts w:ascii="Times New Roman" w:cs="宋体"/>
                <w:sz w:val="24"/>
                <w:szCs w:val="24"/>
              </w:rPr>
            </w:pPr>
            <w:r>
              <w:rPr>
                <w:rFonts w:hint="eastAsia" w:ascii="Times New Roman" w:cs="宋体"/>
                <w:sz w:val="24"/>
                <w:szCs w:val="24"/>
              </w:rPr>
              <w:t>项目验收监测期间运行工况为75%，折算工况</w:t>
            </w:r>
            <w:r>
              <w:rPr>
                <w:rFonts w:hint="eastAsia" w:ascii="Times New Roman" w:cs="宋体"/>
                <w:color w:val="auto"/>
                <w:sz w:val="24"/>
                <w:szCs w:val="24"/>
              </w:rPr>
              <w:t>100%情况下，</w:t>
            </w:r>
            <w:bookmarkStart w:id="190" w:name="OLE_LINK67"/>
            <w:r>
              <w:rPr>
                <w:rFonts w:hint="eastAsia" w:ascii="Times New Roman" w:cs="宋体"/>
                <w:color w:val="auto"/>
                <w:sz w:val="24"/>
                <w:szCs w:val="24"/>
              </w:rPr>
              <w:t>非甲烷总烃有组织产生量为0.1369t/a</w:t>
            </w:r>
            <w:bookmarkEnd w:id="190"/>
            <w:r>
              <w:rPr>
                <w:rFonts w:hint="eastAsia" w:ascii="Times New Roman" w:cs="宋体"/>
                <w:color w:val="auto"/>
                <w:sz w:val="24"/>
                <w:szCs w:val="24"/>
              </w:rPr>
              <w:t>，颗粒物有组织产生量为0.2279t/a，</w:t>
            </w:r>
            <w:bookmarkStart w:id="191" w:name="OLE_LINK301"/>
            <w:r>
              <w:rPr>
                <w:rFonts w:hint="eastAsia" w:ascii="Times New Roman" w:cs="宋体"/>
                <w:color w:val="auto"/>
                <w:sz w:val="24"/>
                <w:szCs w:val="24"/>
              </w:rPr>
              <w:t>原有项目收集效率引用《</w:t>
            </w:r>
            <w:r>
              <w:rPr>
                <w:rFonts w:hint="eastAsia" w:ascii="Times New Roman" w:cs="宋体"/>
                <w:color w:val="auto"/>
                <w:sz w:val="24"/>
                <w:szCs w:val="24"/>
                <w:lang w:eastAsia="zh-CN"/>
              </w:rPr>
              <w:t>惠州市巨禾塑胶科技有限公司</w:t>
            </w:r>
            <w:r>
              <w:rPr>
                <w:rFonts w:hint="eastAsia" w:ascii="Times New Roman" w:cs="宋体"/>
                <w:color w:val="auto"/>
                <w:sz w:val="24"/>
                <w:szCs w:val="24"/>
              </w:rPr>
              <w:t>建设项目环境影响报告表》中的数据，</w:t>
            </w:r>
            <w:bookmarkEnd w:id="191"/>
            <w:r>
              <w:rPr>
                <w:rFonts w:hint="eastAsia" w:ascii="Times New Roman" w:cs="宋体"/>
                <w:color w:val="auto"/>
                <w:sz w:val="24"/>
                <w:szCs w:val="24"/>
              </w:rPr>
              <w:t>收集效率按80%计，则颗粒物总产生量为0.2849t/a，有组织排放量为0.</w:t>
            </w:r>
            <w:bookmarkStart w:id="192" w:name="OLE_LINK68"/>
            <w:r>
              <w:rPr>
                <w:rFonts w:hint="eastAsia" w:ascii="Times New Roman" w:cs="宋体"/>
                <w:color w:val="auto"/>
                <w:sz w:val="24"/>
                <w:szCs w:val="24"/>
              </w:rPr>
              <w:t>066</w:t>
            </w:r>
            <w:r>
              <w:rPr>
                <w:rFonts w:hint="eastAsia" w:ascii="Times New Roman" w:cs="宋体"/>
                <w:sz w:val="24"/>
                <w:szCs w:val="24"/>
              </w:rPr>
              <w:t>1</w:t>
            </w:r>
            <w:bookmarkEnd w:id="192"/>
            <w:r>
              <w:rPr>
                <w:rFonts w:hint="eastAsia" w:ascii="Times New Roman" w:cs="宋体"/>
                <w:sz w:val="24"/>
                <w:szCs w:val="24"/>
              </w:rPr>
              <w:t>t/a，无组织排放量为0.057t/a，则颗粒物总排放量为0.1231t/a；非甲烷总烃总产生量为0.1711t/a，有组织排放量为0.0657t/a，</w:t>
            </w:r>
            <w:bookmarkStart w:id="193" w:name="OLE_LINK85"/>
            <w:r>
              <w:rPr>
                <w:rFonts w:hint="eastAsia" w:ascii="Times New Roman" w:cs="宋体"/>
                <w:sz w:val="24"/>
                <w:szCs w:val="24"/>
              </w:rPr>
              <w:t>无组织排放量为0.</w:t>
            </w:r>
            <w:bookmarkStart w:id="194" w:name="OLE_LINK86"/>
            <w:r>
              <w:rPr>
                <w:rFonts w:hint="eastAsia" w:ascii="Times New Roman" w:cs="宋体"/>
                <w:sz w:val="24"/>
                <w:szCs w:val="24"/>
              </w:rPr>
              <w:t>0342t/a</w:t>
            </w:r>
            <w:bookmarkEnd w:id="193"/>
            <w:bookmarkEnd w:id="194"/>
            <w:r>
              <w:rPr>
                <w:rFonts w:hint="eastAsia" w:ascii="Times New Roman" w:cs="宋体"/>
                <w:sz w:val="24"/>
                <w:szCs w:val="24"/>
              </w:rPr>
              <w:t>，</w:t>
            </w:r>
            <w:bookmarkStart w:id="195" w:name="OLE_LINK37"/>
            <w:r>
              <w:rPr>
                <w:rFonts w:hint="eastAsia" w:ascii="Times New Roman" w:cs="宋体"/>
                <w:sz w:val="24"/>
                <w:szCs w:val="24"/>
              </w:rPr>
              <w:t>则非甲烷总烃总排放量为0.0999t/a</w:t>
            </w:r>
            <w:bookmarkEnd w:id="195"/>
            <w:r>
              <w:rPr>
                <w:rFonts w:hint="eastAsia" w:ascii="Times New Roman" w:cs="宋体"/>
                <w:sz w:val="24"/>
                <w:szCs w:val="24"/>
              </w:rPr>
              <w:t>。</w:t>
            </w:r>
            <w:bookmarkStart w:id="196" w:name="OLE_LINK83"/>
            <w:r>
              <w:rPr>
                <w:rFonts w:hint="eastAsia" w:ascii="Times New Roman" w:cs="宋体"/>
                <w:sz w:val="24"/>
                <w:szCs w:val="24"/>
              </w:rPr>
              <w:t>根据环评批复，现有项目</w:t>
            </w:r>
            <w:bookmarkStart w:id="197" w:name="OLE_LINK69"/>
            <w:r>
              <w:rPr>
                <w:rFonts w:hint="eastAsia" w:ascii="Times New Roman" w:cs="宋体"/>
                <w:sz w:val="24"/>
                <w:szCs w:val="24"/>
              </w:rPr>
              <w:t>VOCs许可排放量</w:t>
            </w:r>
            <w:r>
              <w:rPr>
                <w:rFonts w:ascii="Arial" w:hAnsi="Arial" w:cs="Arial"/>
                <w:sz w:val="24"/>
                <w:szCs w:val="24"/>
              </w:rPr>
              <w:t>≤</w:t>
            </w:r>
            <w:bookmarkStart w:id="198" w:name="OLE_LINK336"/>
            <w:r>
              <w:rPr>
                <w:rFonts w:hint="eastAsia" w:ascii="Times New Roman" w:cs="宋体"/>
                <w:sz w:val="24"/>
                <w:szCs w:val="24"/>
              </w:rPr>
              <w:t>0.1374</w:t>
            </w:r>
            <w:bookmarkEnd w:id="198"/>
            <w:r>
              <w:rPr>
                <w:rFonts w:hint="eastAsia" w:ascii="Times New Roman" w:cs="宋体"/>
                <w:sz w:val="24"/>
                <w:szCs w:val="24"/>
              </w:rPr>
              <w:t>t/a</w:t>
            </w:r>
            <w:bookmarkEnd w:id="197"/>
            <w:r>
              <w:rPr>
                <w:rFonts w:hint="eastAsia" w:ascii="Times New Roman" w:cs="宋体"/>
                <w:sz w:val="24"/>
                <w:szCs w:val="24"/>
              </w:rPr>
              <w:t>，实际上现有项目VOCs环评总排放量为0.0999t/a，未超出许可排放量要求。</w:t>
            </w:r>
          </w:p>
          <w:bookmarkEnd w:id="196"/>
          <w:p w14:paraId="7526E73D">
            <w:pPr>
              <w:widowControl/>
              <w:ind w:firstLine="480"/>
              <w:jc w:val="both"/>
              <w:rPr>
                <w:rFonts w:cs="宋体"/>
              </w:rPr>
            </w:pPr>
            <w:r>
              <w:rPr>
                <w:rFonts w:hint="eastAsia" w:cs="宋体"/>
              </w:rPr>
              <w:t>（3）噪声</w:t>
            </w:r>
          </w:p>
          <w:p w14:paraId="0B72B638">
            <w:pPr>
              <w:pStyle w:val="42"/>
              <w:adjustRightInd/>
              <w:snapToGrid/>
              <w:ind w:firstLine="480"/>
              <w:jc w:val="both"/>
              <w:rPr>
                <w:rFonts w:ascii="Times New Roman"/>
              </w:rPr>
            </w:pPr>
            <w:r>
              <w:rPr>
                <w:rFonts w:hint="eastAsia" w:ascii="Times New Roman"/>
              </w:rPr>
              <w:t>企业于2023年4月17、18日委托东莞市启丰检测技术服务有限公司对原有工程噪声排放情况进行了检测，检测报告编号：QFHJ20230417012。项目</w:t>
            </w:r>
            <w:bookmarkStart w:id="199" w:name="OLE_LINK92"/>
            <w:r>
              <w:rPr>
                <w:rFonts w:hint="eastAsia" w:ascii="Times New Roman"/>
              </w:rPr>
              <w:t>原有工程噪声监测结果如下：</w:t>
            </w:r>
            <w:bookmarkEnd w:id="199"/>
          </w:p>
          <w:p w14:paraId="31BF6E1B">
            <w:pPr>
              <w:spacing w:line="240" w:lineRule="auto"/>
              <w:ind w:firstLine="0" w:firstLineChars="0"/>
              <w:jc w:val="center"/>
              <w:rPr>
                <w:b/>
                <w:sz w:val="21"/>
                <w:szCs w:val="21"/>
              </w:rPr>
            </w:pPr>
            <w:bookmarkStart w:id="200" w:name="OLE_LINK66"/>
            <w:bookmarkStart w:id="201" w:name="OLE_LINK89"/>
            <w:r>
              <w:rPr>
                <w:rFonts w:hint="eastAsia"/>
                <w:b/>
                <w:sz w:val="21"/>
                <w:szCs w:val="21"/>
              </w:rPr>
              <w:t>表2-12原有项目厂界噪声监测结果  单位：dB（A）</w:t>
            </w:r>
          </w:p>
          <w:tbl>
            <w:tblPr>
              <w:tblStyle w:val="34"/>
              <w:tblW w:w="4998"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1195"/>
              <w:gridCol w:w="2118"/>
              <w:gridCol w:w="1436"/>
              <w:gridCol w:w="1453"/>
              <w:gridCol w:w="1137"/>
              <w:gridCol w:w="1210"/>
            </w:tblGrid>
            <w:tr w14:paraId="70BF8D5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5" w:hRule="atLeast"/>
                <w:jc w:val="center"/>
              </w:trPr>
              <w:tc>
                <w:tcPr>
                  <w:tcW w:w="699" w:type="pct"/>
                  <w:vMerge w:val="restart"/>
                  <w:tcBorders>
                    <w:tl2br w:val="nil"/>
                    <w:tr2bl w:val="nil"/>
                  </w:tcBorders>
                  <w:vAlign w:val="center"/>
                </w:tcPr>
                <w:p w14:paraId="1A14C0D0">
                  <w:pPr>
                    <w:spacing w:line="240" w:lineRule="auto"/>
                    <w:ind w:firstLine="0" w:firstLineChars="0"/>
                    <w:jc w:val="center"/>
                    <w:rPr>
                      <w:b/>
                      <w:bCs/>
                      <w:sz w:val="21"/>
                    </w:rPr>
                  </w:pPr>
                  <w:r>
                    <w:rPr>
                      <w:rFonts w:hint="eastAsia"/>
                      <w:b/>
                      <w:bCs/>
                      <w:sz w:val="21"/>
                    </w:rPr>
                    <w:t>测点编号</w:t>
                  </w:r>
                </w:p>
              </w:tc>
              <w:tc>
                <w:tcPr>
                  <w:tcW w:w="1239" w:type="pct"/>
                  <w:vMerge w:val="restart"/>
                  <w:tcBorders>
                    <w:tl2br w:val="nil"/>
                    <w:tr2bl w:val="nil"/>
                  </w:tcBorders>
                  <w:vAlign w:val="center"/>
                </w:tcPr>
                <w:p w14:paraId="742B6FAE">
                  <w:pPr>
                    <w:spacing w:line="240" w:lineRule="auto"/>
                    <w:ind w:firstLine="0" w:firstLineChars="0"/>
                    <w:jc w:val="center"/>
                    <w:rPr>
                      <w:b/>
                      <w:bCs/>
                      <w:sz w:val="21"/>
                    </w:rPr>
                  </w:pPr>
                  <w:r>
                    <w:rPr>
                      <w:rFonts w:hint="eastAsia"/>
                      <w:b/>
                      <w:bCs/>
                      <w:sz w:val="21"/>
                    </w:rPr>
                    <w:t>检测点位</w:t>
                  </w:r>
                </w:p>
              </w:tc>
              <w:tc>
                <w:tcPr>
                  <w:tcW w:w="1690" w:type="pct"/>
                  <w:gridSpan w:val="2"/>
                  <w:tcBorders>
                    <w:tl2br w:val="nil"/>
                    <w:tr2bl w:val="nil"/>
                  </w:tcBorders>
                  <w:vAlign w:val="center"/>
                </w:tcPr>
                <w:p w14:paraId="1C021568">
                  <w:pPr>
                    <w:spacing w:line="240" w:lineRule="auto"/>
                    <w:ind w:firstLine="0" w:firstLineChars="0"/>
                    <w:jc w:val="center"/>
                    <w:rPr>
                      <w:b/>
                      <w:bCs/>
                      <w:sz w:val="21"/>
                    </w:rPr>
                  </w:pPr>
                  <w:r>
                    <w:rPr>
                      <w:rFonts w:hint="eastAsia"/>
                      <w:b/>
                      <w:bCs/>
                      <w:sz w:val="21"/>
                    </w:rPr>
                    <w:t>监测值</w:t>
                  </w:r>
                </w:p>
              </w:tc>
              <w:tc>
                <w:tcPr>
                  <w:tcW w:w="665" w:type="pct"/>
                  <w:vMerge w:val="restart"/>
                  <w:tcBorders>
                    <w:tl2br w:val="nil"/>
                    <w:tr2bl w:val="nil"/>
                  </w:tcBorders>
                  <w:vAlign w:val="center"/>
                </w:tcPr>
                <w:p w14:paraId="25C8070A">
                  <w:pPr>
                    <w:spacing w:line="240" w:lineRule="auto"/>
                    <w:ind w:firstLine="0" w:firstLineChars="0"/>
                    <w:jc w:val="center"/>
                    <w:rPr>
                      <w:b/>
                      <w:bCs/>
                      <w:sz w:val="21"/>
                    </w:rPr>
                  </w:pPr>
                  <w:r>
                    <w:rPr>
                      <w:rFonts w:hint="eastAsia"/>
                      <w:b/>
                      <w:bCs/>
                      <w:sz w:val="21"/>
                    </w:rPr>
                    <w:t>执行标准</w:t>
                  </w:r>
                </w:p>
              </w:tc>
              <w:tc>
                <w:tcPr>
                  <w:tcW w:w="706" w:type="pct"/>
                  <w:vMerge w:val="restart"/>
                  <w:tcBorders>
                    <w:tl2br w:val="nil"/>
                    <w:tr2bl w:val="nil"/>
                  </w:tcBorders>
                  <w:vAlign w:val="center"/>
                </w:tcPr>
                <w:p w14:paraId="19A56E70">
                  <w:pPr>
                    <w:spacing w:line="240" w:lineRule="auto"/>
                    <w:ind w:firstLine="0" w:firstLineChars="0"/>
                    <w:jc w:val="center"/>
                    <w:rPr>
                      <w:b/>
                      <w:bCs/>
                      <w:sz w:val="21"/>
                    </w:rPr>
                  </w:pPr>
                  <w:r>
                    <w:rPr>
                      <w:rFonts w:hint="eastAsia"/>
                      <w:b/>
                      <w:bCs/>
                      <w:sz w:val="21"/>
                    </w:rPr>
                    <w:t>达标情况</w:t>
                  </w:r>
                </w:p>
              </w:tc>
            </w:tr>
            <w:tr w14:paraId="5E44DF4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75" w:hRule="atLeast"/>
                <w:jc w:val="center"/>
              </w:trPr>
              <w:tc>
                <w:tcPr>
                  <w:tcW w:w="699" w:type="pct"/>
                  <w:vMerge w:val="continue"/>
                  <w:tcBorders>
                    <w:tl2br w:val="nil"/>
                    <w:tr2bl w:val="nil"/>
                  </w:tcBorders>
                  <w:vAlign w:val="center"/>
                </w:tcPr>
                <w:p w14:paraId="0641EC77">
                  <w:pPr>
                    <w:spacing w:line="240" w:lineRule="auto"/>
                    <w:ind w:firstLine="0" w:firstLineChars="0"/>
                    <w:jc w:val="center"/>
                    <w:rPr>
                      <w:b/>
                      <w:bCs/>
                      <w:sz w:val="21"/>
                    </w:rPr>
                  </w:pPr>
                </w:p>
              </w:tc>
              <w:tc>
                <w:tcPr>
                  <w:tcW w:w="1239" w:type="pct"/>
                  <w:vMerge w:val="continue"/>
                  <w:tcBorders>
                    <w:tl2br w:val="nil"/>
                    <w:tr2bl w:val="nil"/>
                  </w:tcBorders>
                  <w:vAlign w:val="center"/>
                </w:tcPr>
                <w:p w14:paraId="16A293FB">
                  <w:pPr>
                    <w:spacing w:line="240" w:lineRule="auto"/>
                    <w:ind w:firstLine="0" w:firstLineChars="0"/>
                    <w:jc w:val="center"/>
                    <w:rPr>
                      <w:b/>
                      <w:bCs/>
                      <w:sz w:val="21"/>
                    </w:rPr>
                  </w:pPr>
                </w:p>
              </w:tc>
              <w:tc>
                <w:tcPr>
                  <w:tcW w:w="840" w:type="pct"/>
                  <w:tcBorders>
                    <w:tl2br w:val="nil"/>
                    <w:tr2bl w:val="nil"/>
                  </w:tcBorders>
                  <w:vAlign w:val="center"/>
                </w:tcPr>
                <w:p w14:paraId="686AE143">
                  <w:pPr>
                    <w:spacing w:line="240" w:lineRule="auto"/>
                    <w:ind w:firstLine="0" w:firstLineChars="0"/>
                    <w:jc w:val="center"/>
                    <w:rPr>
                      <w:b/>
                      <w:bCs/>
                      <w:sz w:val="21"/>
                    </w:rPr>
                  </w:pPr>
                  <w:r>
                    <w:rPr>
                      <w:rFonts w:hint="eastAsia"/>
                      <w:b/>
                      <w:bCs/>
                      <w:sz w:val="21"/>
                    </w:rPr>
                    <w:t>2023-4-17</w:t>
                  </w:r>
                </w:p>
              </w:tc>
              <w:tc>
                <w:tcPr>
                  <w:tcW w:w="850" w:type="pct"/>
                  <w:tcBorders>
                    <w:tl2br w:val="nil"/>
                    <w:tr2bl w:val="nil"/>
                  </w:tcBorders>
                  <w:vAlign w:val="center"/>
                </w:tcPr>
                <w:p w14:paraId="43A56B2A">
                  <w:pPr>
                    <w:spacing w:line="240" w:lineRule="auto"/>
                    <w:ind w:firstLine="0" w:firstLineChars="0"/>
                    <w:jc w:val="center"/>
                    <w:rPr>
                      <w:b/>
                      <w:bCs/>
                      <w:sz w:val="21"/>
                    </w:rPr>
                  </w:pPr>
                  <w:r>
                    <w:rPr>
                      <w:rFonts w:hint="eastAsia"/>
                      <w:b/>
                      <w:bCs/>
                      <w:sz w:val="21"/>
                    </w:rPr>
                    <w:t>2023-4-18</w:t>
                  </w:r>
                </w:p>
              </w:tc>
              <w:tc>
                <w:tcPr>
                  <w:tcW w:w="665" w:type="pct"/>
                  <w:vMerge w:val="continue"/>
                  <w:tcBorders>
                    <w:tl2br w:val="nil"/>
                    <w:tr2bl w:val="nil"/>
                  </w:tcBorders>
                  <w:vAlign w:val="center"/>
                </w:tcPr>
                <w:p w14:paraId="3B2DDCA1">
                  <w:pPr>
                    <w:spacing w:line="240" w:lineRule="auto"/>
                    <w:ind w:firstLine="0" w:firstLineChars="0"/>
                    <w:jc w:val="center"/>
                    <w:rPr>
                      <w:b/>
                      <w:bCs/>
                      <w:sz w:val="21"/>
                    </w:rPr>
                  </w:pPr>
                </w:p>
              </w:tc>
              <w:tc>
                <w:tcPr>
                  <w:tcW w:w="706" w:type="pct"/>
                  <w:vMerge w:val="continue"/>
                  <w:tcBorders>
                    <w:tl2br w:val="nil"/>
                    <w:tr2bl w:val="nil"/>
                  </w:tcBorders>
                  <w:vAlign w:val="center"/>
                </w:tcPr>
                <w:p w14:paraId="32095DDA">
                  <w:pPr>
                    <w:spacing w:line="240" w:lineRule="auto"/>
                    <w:ind w:firstLine="0" w:firstLineChars="0"/>
                    <w:jc w:val="center"/>
                    <w:rPr>
                      <w:b/>
                      <w:bCs/>
                      <w:sz w:val="21"/>
                    </w:rPr>
                  </w:pPr>
                </w:p>
              </w:tc>
            </w:tr>
            <w:tr w14:paraId="27BC842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5" w:hRule="atLeast"/>
                <w:jc w:val="center"/>
              </w:trPr>
              <w:tc>
                <w:tcPr>
                  <w:tcW w:w="699" w:type="pct"/>
                  <w:tcBorders>
                    <w:tl2br w:val="nil"/>
                    <w:tr2bl w:val="nil"/>
                  </w:tcBorders>
                  <w:vAlign w:val="center"/>
                </w:tcPr>
                <w:p w14:paraId="0995FC80">
                  <w:pPr>
                    <w:spacing w:line="240" w:lineRule="auto"/>
                    <w:ind w:firstLine="0" w:firstLineChars="0"/>
                    <w:jc w:val="center"/>
                    <w:rPr>
                      <w:sz w:val="21"/>
                    </w:rPr>
                  </w:pPr>
                  <w:r>
                    <w:rPr>
                      <w:rFonts w:hint="eastAsia"/>
                      <w:sz w:val="21"/>
                    </w:rPr>
                    <w:t>1#</w:t>
                  </w:r>
                </w:p>
              </w:tc>
              <w:tc>
                <w:tcPr>
                  <w:tcW w:w="1239" w:type="pct"/>
                  <w:tcBorders>
                    <w:tl2br w:val="nil"/>
                    <w:tr2bl w:val="nil"/>
                  </w:tcBorders>
                  <w:vAlign w:val="center"/>
                </w:tcPr>
                <w:p w14:paraId="11EEE88E">
                  <w:pPr>
                    <w:spacing w:line="240" w:lineRule="auto"/>
                    <w:ind w:firstLine="0" w:firstLineChars="0"/>
                    <w:jc w:val="center"/>
                    <w:rPr>
                      <w:sz w:val="21"/>
                    </w:rPr>
                  </w:pPr>
                  <w:bookmarkStart w:id="202" w:name="OLE_LINK88"/>
                  <w:r>
                    <w:rPr>
                      <w:rFonts w:hint="eastAsia"/>
                      <w:sz w:val="21"/>
                    </w:rPr>
                    <w:t>厂界东北外1米处</w:t>
                  </w:r>
                  <w:bookmarkEnd w:id="202"/>
                </w:p>
              </w:tc>
              <w:tc>
                <w:tcPr>
                  <w:tcW w:w="840" w:type="pct"/>
                  <w:tcBorders>
                    <w:tl2br w:val="nil"/>
                    <w:tr2bl w:val="nil"/>
                  </w:tcBorders>
                  <w:vAlign w:val="center"/>
                </w:tcPr>
                <w:p w14:paraId="68DFE5CD">
                  <w:pPr>
                    <w:spacing w:line="240" w:lineRule="auto"/>
                    <w:ind w:firstLine="0" w:firstLineChars="0"/>
                    <w:jc w:val="center"/>
                    <w:rPr>
                      <w:sz w:val="21"/>
                    </w:rPr>
                  </w:pPr>
                  <w:r>
                    <w:rPr>
                      <w:rFonts w:hint="eastAsia"/>
                      <w:sz w:val="21"/>
                    </w:rPr>
                    <w:t>58</w:t>
                  </w:r>
                </w:p>
              </w:tc>
              <w:tc>
                <w:tcPr>
                  <w:tcW w:w="850" w:type="pct"/>
                  <w:tcBorders>
                    <w:tl2br w:val="nil"/>
                    <w:tr2bl w:val="nil"/>
                  </w:tcBorders>
                  <w:vAlign w:val="center"/>
                </w:tcPr>
                <w:p w14:paraId="457AD919">
                  <w:pPr>
                    <w:spacing w:line="240" w:lineRule="auto"/>
                    <w:ind w:firstLine="0" w:firstLineChars="0"/>
                    <w:jc w:val="center"/>
                    <w:rPr>
                      <w:sz w:val="21"/>
                    </w:rPr>
                  </w:pPr>
                  <w:r>
                    <w:rPr>
                      <w:rFonts w:hint="eastAsia"/>
                      <w:sz w:val="21"/>
                    </w:rPr>
                    <w:t>59</w:t>
                  </w:r>
                </w:p>
              </w:tc>
              <w:tc>
                <w:tcPr>
                  <w:tcW w:w="665" w:type="pct"/>
                  <w:vMerge w:val="restart"/>
                  <w:tcBorders>
                    <w:tl2br w:val="nil"/>
                    <w:tr2bl w:val="nil"/>
                  </w:tcBorders>
                  <w:vAlign w:val="center"/>
                </w:tcPr>
                <w:p w14:paraId="250251BC">
                  <w:pPr>
                    <w:spacing w:line="240" w:lineRule="auto"/>
                    <w:ind w:firstLine="0" w:firstLineChars="0"/>
                    <w:jc w:val="center"/>
                    <w:rPr>
                      <w:sz w:val="21"/>
                    </w:rPr>
                  </w:pPr>
                  <w:r>
                    <w:rPr>
                      <w:rFonts w:hint="eastAsia"/>
                      <w:sz w:val="21"/>
                    </w:rPr>
                    <w:t>60</w:t>
                  </w:r>
                </w:p>
              </w:tc>
              <w:tc>
                <w:tcPr>
                  <w:tcW w:w="706" w:type="pct"/>
                  <w:vMerge w:val="restart"/>
                  <w:tcBorders>
                    <w:tl2br w:val="nil"/>
                    <w:tr2bl w:val="nil"/>
                  </w:tcBorders>
                  <w:vAlign w:val="center"/>
                </w:tcPr>
                <w:p w14:paraId="05DF202B">
                  <w:pPr>
                    <w:spacing w:line="240" w:lineRule="auto"/>
                    <w:ind w:firstLine="0" w:firstLineChars="0"/>
                    <w:jc w:val="center"/>
                    <w:rPr>
                      <w:sz w:val="21"/>
                    </w:rPr>
                  </w:pPr>
                  <w:r>
                    <w:rPr>
                      <w:rFonts w:hint="eastAsia"/>
                      <w:sz w:val="21"/>
                    </w:rPr>
                    <w:t>达标</w:t>
                  </w:r>
                </w:p>
              </w:tc>
            </w:tr>
            <w:bookmarkEnd w:id="200"/>
            <w:tr w14:paraId="5089159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5" w:hRule="atLeast"/>
                <w:jc w:val="center"/>
              </w:trPr>
              <w:tc>
                <w:tcPr>
                  <w:tcW w:w="699" w:type="pct"/>
                  <w:tcBorders>
                    <w:tl2br w:val="nil"/>
                    <w:tr2bl w:val="nil"/>
                  </w:tcBorders>
                  <w:vAlign w:val="center"/>
                </w:tcPr>
                <w:p w14:paraId="5786EEE1">
                  <w:pPr>
                    <w:spacing w:line="240" w:lineRule="auto"/>
                    <w:ind w:firstLine="0" w:firstLineChars="0"/>
                    <w:jc w:val="center"/>
                    <w:rPr>
                      <w:sz w:val="21"/>
                    </w:rPr>
                  </w:pPr>
                  <w:r>
                    <w:rPr>
                      <w:rFonts w:hint="eastAsia"/>
                      <w:sz w:val="21"/>
                    </w:rPr>
                    <w:t>2#</w:t>
                  </w:r>
                </w:p>
              </w:tc>
              <w:tc>
                <w:tcPr>
                  <w:tcW w:w="1239" w:type="pct"/>
                  <w:tcBorders>
                    <w:tl2br w:val="nil"/>
                    <w:tr2bl w:val="nil"/>
                  </w:tcBorders>
                  <w:vAlign w:val="center"/>
                </w:tcPr>
                <w:p w14:paraId="4AA75FB9">
                  <w:pPr>
                    <w:spacing w:line="240" w:lineRule="auto"/>
                    <w:ind w:firstLine="0" w:firstLineChars="0"/>
                    <w:jc w:val="center"/>
                    <w:rPr>
                      <w:sz w:val="21"/>
                    </w:rPr>
                  </w:pPr>
                  <w:r>
                    <w:rPr>
                      <w:rFonts w:hint="eastAsia"/>
                      <w:color w:val="000000" w:themeColor="text1"/>
                      <w:sz w:val="21"/>
                      <w:szCs w:val="22"/>
                      <w14:textFill>
                        <w14:solidFill>
                          <w14:schemeClr w14:val="tx1"/>
                        </w14:solidFill>
                      </w14:textFill>
                    </w:rPr>
                    <w:t>厂界东南外1米处</w:t>
                  </w:r>
                </w:p>
              </w:tc>
              <w:tc>
                <w:tcPr>
                  <w:tcW w:w="840" w:type="pct"/>
                  <w:tcBorders>
                    <w:tl2br w:val="nil"/>
                    <w:tr2bl w:val="nil"/>
                  </w:tcBorders>
                  <w:vAlign w:val="center"/>
                </w:tcPr>
                <w:p w14:paraId="7A194F4E">
                  <w:pPr>
                    <w:spacing w:line="240" w:lineRule="auto"/>
                    <w:ind w:firstLine="0" w:firstLineChars="0"/>
                    <w:jc w:val="center"/>
                    <w:rPr>
                      <w:sz w:val="21"/>
                    </w:rPr>
                  </w:pPr>
                  <w:r>
                    <w:rPr>
                      <w:rFonts w:hint="eastAsia"/>
                      <w:sz w:val="21"/>
                    </w:rPr>
                    <w:t>58</w:t>
                  </w:r>
                </w:p>
              </w:tc>
              <w:tc>
                <w:tcPr>
                  <w:tcW w:w="850" w:type="pct"/>
                  <w:tcBorders>
                    <w:tl2br w:val="nil"/>
                    <w:tr2bl w:val="nil"/>
                  </w:tcBorders>
                  <w:vAlign w:val="center"/>
                </w:tcPr>
                <w:p w14:paraId="7B006155">
                  <w:pPr>
                    <w:spacing w:line="240" w:lineRule="auto"/>
                    <w:ind w:firstLine="0" w:firstLineChars="0"/>
                    <w:jc w:val="center"/>
                    <w:rPr>
                      <w:sz w:val="21"/>
                    </w:rPr>
                  </w:pPr>
                  <w:r>
                    <w:rPr>
                      <w:rFonts w:hint="eastAsia"/>
                      <w:sz w:val="21"/>
                    </w:rPr>
                    <w:t>58</w:t>
                  </w:r>
                </w:p>
              </w:tc>
              <w:tc>
                <w:tcPr>
                  <w:tcW w:w="665" w:type="pct"/>
                  <w:vMerge w:val="continue"/>
                  <w:tcBorders>
                    <w:tl2br w:val="nil"/>
                    <w:tr2bl w:val="nil"/>
                  </w:tcBorders>
                  <w:vAlign w:val="center"/>
                </w:tcPr>
                <w:p w14:paraId="0ACB57FB">
                  <w:pPr>
                    <w:spacing w:line="240" w:lineRule="auto"/>
                    <w:ind w:firstLine="0" w:firstLineChars="0"/>
                    <w:jc w:val="center"/>
                    <w:rPr>
                      <w:sz w:val="21"/>
                    </w:rPr>
                  </w:pPr>
                </w:p>
              </w:tc>
              <w:tc>
                <w:tcPr>
                  <w:tcW w:w="706" w:type="pct"/>
                  <w:vMerge w:val="continue"/>
                  <w:tcBorders>
                    <w:tl2br w:val="nil"/>
                    <w:tr2bl w:val="nil"/>
                  </w:tcBorders>
                  <w:vAlign w:val="center"/>
                </w:tcPr>
                <w:p w14:paraId="417E281D">
                  <w:pPr>
                    <w:spacing w:line="240" w:lineRule="auto"/>
                    <w:ind w:firstLine="420"/>
                    <w:jc w:val="center"/>
                    <w:rPr>
                      <w:sz w:val="21"/>
                    </w:rPr>
                  </w:pPr>
                </w:p>
              </w:tc>
            </w:tr>
            <w:tr w14:paraId="4890D36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5" w:hRule="atLeast"/>
                <w:jc w:val="center"/>
              </w:trPr>
              <w:tc>
                <w:tcPr>
                  <w:tcW w:w="5000" w:type="pct"/>
                  <w:gridSpan w:val="6"/>
                  <w:tcBorders>
                    <w:tl2br w:val="nil"/>
                    <w:tr2bl w:val="nil"/>
                  </w:tcBorders>
                  <w:vAlign w:val="center"/>
                </w:tcPr>
                <w:p w14:paraId="6AD94B77">
                  <w:pPr>
                    <w:spacing w:line="240" w:lineRule="auto"/>
                    <w:ind w:firstLine="0" w:firstLineChars="0"/>
                    <w:jc w:val="both"/>
                    <w:rPr>
                      <w:sz w:val="21"/>
                    </w:rPr>
                  </w:pPr>
                  <w:r>
                    <w:rPr>
                      <w:rFonts w:hint="eastAsia"/>
                      <w:sz w:val="21"/>
                    </w:rPr>
                    <w:t>注：1、项目夜间不生产，故夜间噪声不作监测；</w:t>
                  </w:r>
                </w:p>
                <w:p w14:paraId="73740A78">
                  <w:pPr>
                    <w:spacing w:line="240" w:lineRule="auto"/>
                    <w:ind w:firstLine="420"/>
                    <w:jc w:val="both"/>
                    <w:rPr>
                      <w:sz w:val="21"/>
                    </w:rPr>
                  </w:pPr>
                  <w:r>
                    <w:rPr>
                      <w:rFonts w:hint="eastAsia"/>
                      <w:sz w:val="21"/>
                    </w:rPr>
                    <w:t>2、厂界西南、西北面与外厂共厂界，未设监测点。</w:t>
                  </w:r>
                </w:p>
              </w:tc>
            </w:tr>
            <w:bookmarkEnd w:id="201"/>
          </w:tbl>
          <w:p w14:paraId="15103FDB">
            <w:pPr>
              <w:pStyle w:val="44"/>
              <w:spacing w:before="36" w:after="36"/>
              <w:ind w:firstLine="480"/>
            </w:pPr>
            <w:r>
              <w:rPr>
                <w:rFonts w:hint="eastAsia" w:ascii="Times New Roman"/>
                <w:sz w:val="24"/>
              </w:rPr>
              <w:t>从监测结果可知，在采取隔声、减振、消声等措施后，原有项目厂界噪声排放满足《工业企业厂界环境噪声排放标准》（GB 12348-2008）2类标准，对周边环境影响较小。</w:t>
            </w:r>
          </w:p>
          <w:p w14:paraId="0F2AF1CA">
            <w:pPr>
              <w:widowControl/>
              <w:ind w:firstLine="480"/>
              <w:jc w:val="both"/>
              <w:rPr>
                <w:rFonts w:cs="宋体"/>
              </w:rPr>
            </w:pPr>
            <w:r>
              <w:rPr>
                <w:rFonts w:hint="eastAsia" w:cs="宋体"/>
              </w:rPr>
              <w:t>（4）固体废物</w:t>
            </w:r>
          </w:p>
          <w:p w14:paraId="2E272DB8">
            <w:pPr>
              <w:spacing w:line="240" w:lineRule="auto"/>
              <w:ind w:firstLine="0" w:firstLineChars="0"/>
              <w:jc w:val="center"/>
              <w:rPr>
                <w:b/>
                <w:sz w:val="21"/>
                <w:szCs w:val="21"/>
              </w:rPr>
            </w:pPr>
            <w:r>
              <w:rPr>
                <w:rFonts w:hint="eastAsia"/>
                <w:b/>
                <w:sz w:val="21"/>
                <w:szCs w:val="21"/>
              </w:rPr>
              <w:t>表2-13 原有项目固体废物产排情况一览表</w:t>
            </w:r>
          </w:p>
          <w:tbl>
            <w:tblPr>
              <w:tblStyle w:val="34"/>
              <w:tblW w:w="4998"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722"/>
              <w:gridCol w:w="1671"/>
              <w:gridCol w:w="1324"/>
              <w:gridCol w:w="1394"/>
              <w:gridCol w:w="1317"/>
              <w:gridCol w:w="2121"/>
            </w:tblGrid>
            <w:tr w14:paraId="46E2AB2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36" w:hRule="atLeast"/>
                <w:jc w:val="center"/>
              </w:trPr>
              <w:tc>
                <w:tcPr>
                  <w:tcW w:w="422" w:type="pct"/>
                  <w:tcBorders>
                    <w:tl2br w:val="nil"/>
                    <w:tr2bl w:val="nil"/>
                  </w:tcBorders>
                  <w:vAlign w:val="center"/>
                </w:tcPr>
                <w:p w14:paraId="601FFEE8">
                  <w:pPr>
                    <w:spacing w:line="240" w:lineRule="auto"/>
                    <w:ind w:firstLine="0" w:firstLineChars="0"/>
                    <w:jc w:val="center"/>
                    <w:rPr>
                      <w:b/>
                      <w:bCs/>
                      <w:sz w:val="21"/>
                    </w:rPr>
                  </w:pPr>
                  <w:r>
                    <w:rPr>
                      <w:rFonts w:hint="eastAsia"/>
                      <w:b/>
                      <w:bCs/>
                      <w:sz w:val="21"/>
                    </w:rPr>
                    <w:t>序号</w:t>
                  </w:r>
                </w:p>
              </w:tc>
              <w:tc>
                <w:tcPr>
                  <w:tcW w:w="977" w:type="pct"/>
                  <w:tcBorders>
                    <w:right w:val="single" w:color="auto" w:sz="4" w:space="0"/>
                    <w:tl2br w:val="nil"/>
                    <w:tr2bl w:val="nil"/>
                  </w:tcBorders>
                  <w:vAlign w:val="center"/>
                </w:tcPr>
                <w:p w14:paraId="304629C2">
                  <w:pPr>
                    <w:spacing w:line="240" w:lineRule="auto"/>
                    <w:ind w:firstLine="0" w:firstLineChars="0"/>
                    <w:jc w:val="center"/>
                    <w:rPr>
                      <w:b/>
                      <w:bCs/>
                      <w:sz w:val="21"/>
                    </w:rPr>
                  </w:pPr>
                  <w:r>
                    <w:rPr>
                      <w:rFonts w:hint="eastAsia"/>
                      <w:b/>
                      <w:bCs/>
                      <w:sz w:val="21"/>
                    </w:rPr>
                    <w:t>名称</w:t>
                  </w:r>
                </w:p>
              </w:tc>
              <w:tc>
                <w:tcPr>
                  <w:tcW w:w="774" w:type="pct"/>
                  <w:tcBorders>
                    <w:left w:val="single" w:color="auto" w:sz="4" w:space="0"/>
                    <w:tl2br w:val="nil"/>
                    <w:tr2bl w:val="nil"/>
                  </w:tcBorders>
                  <w:vAlign w:val="center"/>
                </w:tcPr>
                <w:p w14:paraId="65937DF9">
                  <w:pPr>
                    <w:spacing w:line="240" w:lineRule="auto"/>
                    <w:ind w:firstLine="0" w:firstLineChars="0"/>
                    <w:jc w:val="center"/>
                    <w:rPr>
                      <w:b/>
                      <w:bCs/>
                      <w:sz w:val="21"/>
                    </w:rPr>
                  </w:pPr>
                  <w:r>
                    <w:rPr>
                      <w:rFonts w:hint="eastAsia"/>
                      <w:b/>
                      <w:bCs/>
                      <w:sz w:val="21"/>
                    </w:rPr>
                    <w:t>产生环节</w:t>
                  </w:r>
                </w:p>
              </w:tc>
              <w:tc>
                <w:tcPr>
                  <w:tcW w:w="815" w:type="pct"/>
                  <w:tcBorders>
                    <w:tl2br w:val="nil"/>
                    <w:tr2bl w:val="nil"/>
                  </w:tcBorders>
                  <w:vAlign w:val="center"/>
                </w:tcPr>
                <w:p w14:paraId="3D3AD9C4">
                  <w:pPr>
                    <w:spacing w:line="240" w:lineRule="auto"/>
                    <w:ind w:firstLine="0" w:firstLineChars="0"/>
                    <w:jc w:val="center"/>
                    <w:rPr>
                      <w:b/>
                      <w:bCs/>
                      <w:sz w:val="21"/>
                    </w:rPr>
                  </w:pPr>
                  <w:r>
                    <w:rPr>
                      <w:rFonts w:hint="eastAsia"/>
                      <w:b/>
                      <w:bCs/>
                      <w:sz w:val="21"/>
                    </w:rPr>
                    <w:t>产生量t/a</w:t>
                  </w:r>
                </w:p>
              </w:tc>
              <w:tc>
                <w:tcPr>
                  <w:tcW w:w="770" w:type="pct"/>
                  <w:tcBorders>
                    <w:tl2br w:val="nil"/>
                    <w:tr2bl w:val="nil"/>
                  </w:tcBorders>
                  <w:vAlign w:val="center"/>
                </w:tcPr>
                <w:p w14:paraId="12877A50">
                  <w:pPr>
                    <w:spacing w:line="240" w:lineRule="auto"/>
                    <w:ind w:firstLine="0" w:firstLineChars="0"/>
                    <w:jc w:val="center"/>
                    <w:rPr>
                      <w:b/>
                      <w:bCs/>
                      <w:sz w:val="21"/>
                    </w:rPr>
                  </w:pPr>
                  <w:r>
                    <w:rPr>
                      <w:rFonts w:hint="eastAsia"/>
                      <w:b/>
                      <w:bCs/>
                      <w:sz w:val="21"/>
                    </w:rPr>
                    <w:t>类型</w:t>
                  </w:r>
                </w:p>
              </w:tc>
              <w:tc>
                <w:tcPr>
                  <w:tcW w:w="1240" w:type="pct"/>
                  <w:tcBorders>
                    <w:tl2br w:val="nil"/>
                    <w:tr2bl w:val="nil"/>
                  </w:tcBorders>
                  <w:vAlign w:val="center"/>
                </w:tcPr>
                <w:p w14:paraId="1B6FD2FB">
                  <w:pPr>
                    <w:spacing w:line="240" w:lineRule="auto"/>
                    <w:ind w:firstLine="0" w:firstLineChars="0"/>
                    <w:jc w:val="center"/>
                    <w:rPr>
                      <w:b/>
                      <w:bCs/>
                      <w:sz w:val="21"/>
                    </w:rPr>
                  </w:pPr>
                  <w:r>
                    <w:rPr>
                      <w:rFonts w:hint="eastAsia"/>
                      <w:b/>
                      <w:bCs/>
                      <w:sz w:val="21"/>
                    </w:rPr>
                    <w:t>处理方式</w:t>
                  </w:r>
                </w:p>
              </w:tc>
            </w:tr>
            <w:tr w14:paraId="0582F4B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65" w:hRule="atLeast"/>
                <w:jc w:val="center"/>
              </w:trPr>
              <w:tc>
                <w:tcPr>
                  <w:tcW w:w="422" w:type="pct"/>
                  <w:tcBorders>
                    <w:tl2br w:val="nil"/>
                    <w:tr2bl w:val="nil"/>
                  </w:tcBorders>
                  <w:vAlign w:val="center"/>
                </w:tcPr>
                <w:p w14:paraId="7E8C702B">
                  <w:pPr>
                    <w:spacing w:line="240" w:lineRule="auto"/>
                    <w:ind w:firstLine="0" w:firstLineChars="0"/>
                    <w:jc w:val="center"/>
                    <w:rPr>
                      <w:sz w:val="21"/>
                    </w:rPr>
                  </w:pPr>
                  <w:r>
                    <w:rPr>
                      <w:rFonts w:hint="eastAsia"/>
                      <w:sz w:val="21"/>
                    </w:rPr>
                    <w:t>1</w:t>
                  </w:r>
                </w:p>
              </w:tc>
              <w:tc>
                <w:tcPr>
                  <w:tcW w:w="977" w:type="pct"/>
                  <w:tcBorders>
                    <w:right w:val="single" w:color="auto" w:sz="4" w:space="0"/>
                    <w:tl2br w:val="nil"/>
                    <w:tr2bl w:val="nil"/>
                  </w:tcBorders>
                  <w:vAlign w:val="center"/>
                </w:tcPr>
                <w:p w14:paraId="0546650D">
                  <w:pPr>
                    <w:spacing w:line="240" w:lineRule="auto"/>
                    <w:ind w:firstLine="0" w:firstLineChars="0"/>
                    <w:jc w:val="center"/>
                    <w:rPr>
                      <w:sz w:val="21"/>
                    </w:rPr>
                  </w:pPr>
                  <w:r>
                    <w:rPr>
                      <w:rFonts w:hint="eastAsia"/>
                      <w:sz w:val="21"/>
                    </w:rPr>
                    <w:t>生活垃圾</w:t>
                  </w:r>
                </w:p>
              </w:tc>
              <w:tc>
                <w:tcPr>
                  <w:tcW w:w="774" w:type="pct"/>
                  <w:tcBorders>
                    <w:left w:val="single" w:color="auto" w:sz="4" w:space="0"/>
                    <w:tl2br w:val="nil"/>
                    <w:tr2bl w:val="nil"/>
                  </w:tcBorders>
                  <w:vAlign w:val="center"/>
                </w:tcPr>
                <w:p w14:paraId="018BC971">
                  <w:pPr>
                    <w:spacing w:line="240" w:lineRule="auto"/>
                    <w:ind w:firstLine="0" w:firstLineChars="0"/>
                    <w:jc w:val="center"/>
                    <w:rPr>
                      <w:sz w:val="21"/>
                    </w:rPr>
                  </w:pPr>
                  <w:r>
                    <w:rPr>
                      <w:rFonts w:hint="eastAsia"/>
                      <w:sz w:val="21"/>
                    </w:rPr>
                    <w:t>员工生活</w:t>
                  </w:r>
                </w:p>
              </w:tc>
              <w:tc>
                <w:tcPr>
                  <w:tcW w:w="815" w:type="pct"/>
                  <w:tcBorders>
                    <w:tl2br w:val="nil"/>
                    <w:tr2bl w:val="nil"/>
                  </w:tcBorders>
                  <w:vAlign w:val="center"/>
                </w:tcPr>
                <w:p w14:paraId="0B5EAF06">
                  <w:pPr>
                    <w:spacing w:line="240" w:lineRule="auto"/>
                    <w:ind w:firstLine="0" w:firstLineChars="0"/>
                    <w:jc w:val="center"/>
                    <w:rPr>
                      <w:sz w:val="21"/>
                    </w:rPr>
                  </w:pPr>
                  <w:r>
                    <w:rPr>
                      <w:rFonts w:hint="eastAsia"/>
                      <w:sz w:val="21"/>
                    </w:rPr>
                    <w:t>0.75</w:t>
                  </w:r>
                </w:p>
              </w:tc>
              <w:tc>
                <w:tcPr>
                  <w:tcW w:w="770" w:type="pct"/>
                  <w:tcBorders>
                    <w:bottom w:val="single" w:color="auto" w:sz="4" w:space="0"/>
                    <w:tl2br w:val="nil"/>
                    <w:tr2bl w:val="nil"/>
                  </w:tcBorders>
                  <w:vAlign w:val="center"/>
                </w:tcPr>
                <w:p w14:paraId="6D2CF314">
                  <w:pPr>
                    <w:spacing w:line="240" w:lineRule="auto"/>
                    <w:ind w:firstLine="0" w:firstLineChars="0"/>
                    <w:jc w:val="center"/>
                    <w:rPr>
                      <w:sz w:val="21"/>
                    </w:rPr>
                  </w:pPr>
                  <w:r>
                    <w:rPr>
                      <w:rFonts w:hint="eastAsia"/>
                      <w:sz w:val="21"/>
                    </w:rPr>
                    <w:t>生活垃圾</w:t>
                  </w:r>
                </w:p>
              </w:tc>
              <w:tc>
                <w:tcPr>
                  <w:tcW w:w="1240" w:type="pct"/>
                  <w:tcBorders>
                    <w:bottom w:val="single" w:color="auto" w:sz="4" w:space="0"/>
                    <w:tl2br w:val="nil"/>
                    <w:tr2bl w:val="nil"/>
                  </w:tcBorders>
                  <w:vAlign w:val="center"/>
                </w:tcPr>
                <w:p w14:paraId="08BA2385">
                  <w:pPr>
                    <w:spacing w:line="240" w:lineRule="auto"/>
                    <w:ind w:firstLine="0" w:firstLineChars="0"/>
                    <w:jc w:val="center"/>
                    <w:rPr>
                      <w:sz w:val="21"/>
                    </w:rPr>
                  </w:pPr>
                  <w:r>
                    <w:rPr>
                      <w:rFonts w:hint="eastAsia"/>
                      <w:sz w:val="21"/>
                    </w:rPr>
                    <w:t>交由环卫部门处理</w:t>
                  </w:r>
                </w:p>
              </w:tc>
            </w:tr>
            <w:tr w14:paraId="45A891A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5" w:hRule="atLeast"/>
                <w:jc w:val="center"/>
              </w:trPr>
              <w:tc>
                <w:tcPr>
                  <w:tcW w:w="422" w:type="pct"/>
                  <w:tcBorders>
                    <w:tl2br w:val="nil"/>
                    <w:tr2bl w:val="nil"/>
                  </w:tcBorders>
                  <w:vAlign w:val="center"/>
                </w:tcPr>
                <w:p w14:paraId="5E74F9B4">
                  <w:pPr>
                    <w:spacing w:line="240" w:lineRule="auto"/>
                    <w:ind w:firstLine="0" w:firstLineChars="0"/>
                    <w:jc w:val="center"/>
                    <w:rPr>
                      <w:sz w:val="21"/>
                    </w:rPr>
                  </w:pPr>
                  <w:r>
                    <w:rPr>
                      <w:rFonts w:hint="eastAsia"/>
                      <w:sz w:val="21"/>
                    </w:rPr>
                    <w:t>2</w:t>
                  </w:r>
                </w:p>
              </w:tc>
              <w:tc>
                <w:tcPr>
                  <w:tcW w:w="977" w:type="pct"/>
                  <w:tcBorders>
                    <w:right w:val="single" w:color="auto" w:sz="4" w:space="0"/>
                    <w:tl2br w:val="nil"/>
                    <w:tr2bl w:val="nil"/>
                  </w:tcBorders>
                  <w:vAlign w:val="center"/>
                </w:tcPr>
                <w:p w14:paraId="002223C4">
                  <w:pPr>
                    <w:spacing w:line="240" w:lineRule="auto"/>
                    <w:ind w:firstLine="0" w:firstLineChars="0"/>
                    <w:jc w:val="center"/>
                    <w:rPr>
                      <w:sz w:val="21"/>
                    </w:rPr>
                  </w:pPr>
                  <w:r>
                    <w:rPr>
                      <w:rFonts w:hint="eastAsia"/>
                      <w:sz w:val="21"/>
                    </w:rPr>
                    <w:t>包装废物</w:t>
                  </w:r>
                </w:p>
              </w:tc>
              <w:tc>
                <w:tcPr>
                  <w:tcW w:w="774" w:type="pct"/>
                  <w:tcBorders>
                    <w:left w:val="single" w:color="auto" w:sz="4" w:space="0"/>
                    <w:tl2br w:val="nil"/>
                    <w:tr2bl w:val="nil"/>
                  </w:tcBorders>
                  <w:vAlign w:val="center"/>
                </w:tcPr>
                <w:p w14:paraId="1298DDDD">
                  <w:pPr>
                    <w:spacing w:line="240" w:lineRule="auto"/>
                    <w:ind w:firstLine="0" w:firstLineChars="0"/>
                    <w:jc w:val="center"/>
                    <w:rPr>
                      <w:sz w:val="21"/>
                    </w:rPr>
                  </w:pPr>
                  <w:bookmarkStart w:id="203" w:name="OLE_LINK90"/>
                  <w:r>
                    <w:rPr>
                      <w:rFonts w:hint="eastAsia"/>
                      <w:sz w:val="21"/>
                    </w:rPr>
                    <w:t>生产过程</w:t>
                  </w:r>
                  <w:bookmarkEnd w:id="203"/>
                </w:p>
              </w:tc>
              <w:tc>
                <w:tcPr>
                  <w:tcW w:w="815" w:type="pct"/>
                  <w:tcBorders>
                    <w:tl2br w:val="nil"/>
                    <w:tr2bl w:val="nil"/>
                  </w:tcBorders>
                  <w:vAlign w:val="center"/>
                </w:tcPr>
                <w:p w14:paraId="643BC5CD">
                  <w:pPr>
                    <w:spacing w:line="240" w:lineRule="auto"/>
                    <w:ind w:firstLine="0" w:firstLineChars="0"/>
                    <w:jc w:val="center"/>
                    <w:rPr>
                      <w:sz w:val="21"/>
                    </w:rPr>
                  </w:pPr>
                  <w:r>
                    <w:rPr>
                      <w:rFonts w:hint="eastAsia"/>
                      <w:sz w:val="21"/>
                    </w:rPr>
                    <w:t>0.5</w:t>
                  </w:r>
                </w:p>
              </w:tc>
              <w:tc>
                <w:tcPr>
                  <w:tcW w:w="770" w:type="pct"/>
                  <w:vMerge w:val="restart"/>
                  <w:tcBorders>
                    <w:top w:val="single" w:color="auto" w:sz="4" w:space="0"/>
                    <w:tl2br w:val="nil"/>
                    <w:tr2bl w:val="nil"/>
                  </w:tcBorders>
                  <w:vAlign w:val="center"/>
                </w:tcPr>
                <w:p w14:paraId="5F061CF2">
                  <w:pPr>
                    <w:spacing w:line="240" w:lineRule="auto"/>
                    <w:ind w:firstLine="0" w:firstLineChars="0"/>
                    <w:jc w:val="center"/>
                    <w:rPr>
                      <w:sz w:val="21"/>
                    </w:rPr>
                  </w:pPr>
                  <w:r>
                    <w:rPr>
                      <w:rFonts w:hint="eastAsia"/>
                      <w:sz w:val="21"/>
                    </w:rPr>
                    <w:t>一般工业固废</w:t>
                  </w:r>
                </w:p>
              </w:tc>
              <w:tc>
                <w:tcPr>
                  <w:tcW w:w="1240" w:type="pct"/>
                  <w:tcBorders>
                    <w:top w:val="single" w:color="auto" w:sz="4" w:space="0"/>
                    <w:bottom w:val="single" w:color="auto" w:sz="4" w:space="0"/>
                    <w:tl2br w:val="nil"/>
                    <w:tr2bl w:val="nil"/>
                  </w:tcBorders>
                  <w:vAlign w:val="center"/>
                </w:tcPr>
                <w:p w14:paraId="69C3F74C">
                  <w:pPr>
                    <w:spacing w:line="240" w:lineRule="auto"/>
                    <w:ind w:firstLine="0" w:firstLineChars="0"/>
                    <w:jc w:val="center"/>
                    <w:rPr>
                      <w:sz w:val="21"/>
                    </w:rPr>
                  </w:pPr>
                  <w:r>
                    <w:rPr>
                      <w:rFonts w:hint="eastAsia"/>
                      <w:sz w:val="21"/>
                    </w:rPr>
                    <w:t>交由专业回收公司回收利用</w:t>
                  </w:r>
                </w:p>
              </w:tc>
            </w:tr>
            <w:tr w14:paraId="49206CA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35" w:hRule="atLeast"/>
                <w:jc w:val="center"/>
              </w:trPr>
              <w:tc>
                <w:tcPr>
                  <w:tcW w:w="422" w:type="pct"/>
                  <w:tcBorders>
                    <w:tl2br w:val="nil"/>
                    <w:tr2bl w:val="nil"/>
                  </w:tcBorders>
                  <w:vAlign w:val="center"/>
                </w:tcPr>
                <w:p w14:paraId="1A4F09CC">
                  <w:pPr>
                    <w:spacing w:line="240" w:lineRule="auto"/>
                    <w:ind w:firstLine="0" w:firstLineChars="0"/>
                    <w:jc w:val="center"/>
                    <w:rPr>
                      <w:sz w:val="21"/>
                    </w:rPr>
                  </w:pPr>
                  <w:r>
                    <w:rPr>
                      <w:rFonts w:hint="eastAsia"/>
                      <w:sz w:val="21"/>
                    </w:rPr>
                    <w:t>3</w:t>
                  </w:r>
                </w:p>
              </w:tc>
              <w:tc>
                <w:tcPr>
                  <w:tcW w:w="977" w:type="pct"/>
                  <w:tcBorders>
                    <w:right w:val="single" w:color="auto" w:sz="4" w:space="0"/>
                    <w:tl2br w:val="nil"/>
                    <w:tr2bl w:val="nil"/>
                  </w:tcBorders>
                  <w:vAlign w:val="center"/>
                </w:tcPr>
                <w:p w14:paraId="76D91109">
                  <w:pPr>
                    <w:spacing w:line="240" w:lineRule="auto"/>
                    <w:ind w:firstLine="0" w:firstLineChars="0"/>
                    <w:jc w:val="center"/>
                    <w:rPr>
                      <w:sz w:val="21"/>
                    </w:rPr>
                  </w:pPr>
                  <w:r>
                    <w:rPr>
                      <w:rFonts w:hint="eastAsia"/>
                      <w:sz w:val="21"/>
                    </w:rPr>
                    <w:t>冷却废水污泥</w:t>
                  </w:r>
                </w:p>
              </w:tc>
              <w:tc>
                <w:tcPr>
                  <w:tcW w:w="774" w:type="pct"/>
                  <w:tcBorders>
                    <w:left w:val="single" w:color="auto" w:sz="4" w:space="0"/>
                    <w:tl2br w:val="nil"/>
                    <w:tr2bl w:val="nil"/>
                  </w:tcBorders>
                  <w:vAlign w:val="center"/>
                </w:tcPr>
                <w:p w14:paraId="6923CE73">
                  <w:pPr>
                    <w:spacing w:line="240" w:lineRule="auto"/>
                    <w:ind w:firstLine="0" w:firstLineChars="0"/>
                    <w:jc w:val="center"/>
                    <w:rPr>
                      <w:sz w:val="21"/>
                    </w:rPr>
                  </w:pPr>
                  <w:r>
                    <w:rPr>
                      <w:rFonts w:hint="eastAsia"/>
                      <w:sz w:val="21"/>
                    </w:rPr>
                    <w:t>冷却水处理设施</w:t>
                  </w:r>
                </w:p>
              </w:tc>
              <w:tc>
                <w:tcPr>
                  <w:tcW w:w="815" w:type="pct"/>
                  <w:tcBorders>
                    <w:tl2br w:val="nil"/>
                    <w:tr2bl w:val="nil"/>
                  </w:tcBorders>
                  <w:vAlign w:val="center"/>
                </w:tcPr>
                <w:p w14:paraId="406614B8">
                  <w:pPr>
                    <w:spacing w:line="240" w:lineRule="auto"/>
                    <w:ind w:firstLine="0" w:firstLineChars="0"/>
                    <w:jc w:val="center"/>
                    <w:rPr>
                      <w:sz w:val="21"/>
                    </w:rPr>
                  </w:pPr>
                  <w:r>
                    <w:rPr>
                      <w:rFonts w:hint="eastAsia"/>
                      <w:sz w:val="21"/>
                    </w:rPr>
                    <w:t>0.0096</w:t>
                  </w:r>
                </w:p>
              </w:tc>
              <w:tc>
                <w:tcPr>
                  <w:tcW w:w="770" w:type="pct"/>
                  <w:vMerge w:val="continue"/>
                  <w:tcBorders>
                    <w:bottom w:val="single" w:color="auto" w:sz="4" w:space="0"/>
                    <w:tl2br w:val="nil"/>
                    <w:tr2bl w:val="nil"/>
                  </w:tcBorders>
                  <w:vAlign w:val="center"/>
                </w:tcPr>
                <w:p w14:paraId="45C15A12">
                  <w:pPr>
                    <w:spacing w:line="240" w:lineRule="auto"/>
                    <w:ind w:firstLine="0" w:firstLineChars="0"/>
                    <w:jc w:val="center"/>
                    <w:rPr>
                      <w:sz w:val="21"/>
                    </w:rPr>
                  </w:pPr>
                </w:p>
              </w:tc>
              <w:tc>
                <w:tcPr>
                  <w:tcW w:w="1240" w:type="pct"/>
                  <w:tcBorders>
                    <w:top w:val="single" w:color="auto" w:sz="4" w:space="0"/>
                    <w:bottom w:val="single" w:color="auto" w:sz="4" w:space="0"/>
                    <w:tl2br w:val="nil"/>
                    <w:tr2bl w:val="nil"/>
                  </w:tcBorders>
                  <w:vAlign w:val="center"/>
                </w:tcPr>
                <w:p w14:paraId="77095149">
                  <w:pPr>
                    <w:spacing w:line="240" w:lineRule="auto"/>
                    <w:ind w:firstLine="0" w:firstLineChars="0"/>
                    <w:jc w:val="center"/>
                    <w:rPr>
                      <w:sz w:val="21"/>
                    </w:rPr>
                  </w:pPr>
                  <w:bookmarkStart w:id="204" w:name="OLE_LINK99"/>
                  <w:r>
                    <w:rPr>
                      <w:rFonts w:hint="eastAsia"/>
                      <w:sz w:val="21"/>
                    </w:rPr>
                    <w:t>交由有相应处理工艺的资质单位处理</w:t>
                  </w:r>
                  <w:bookmarkEnd w:id="204"/>
                </w:p>
              </w:tc>
            </w:tr>
            <w:tr w14:paraId="6DAF4CA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30" w:hRule="atLeast"/>
                <w:jc w:val="center"/>
              </w:trPr>
              <w:tc>
                <w:tcPr>
                  <w:tcW w:w="422" w:type="pct"/>
                  <w:tcBorders>
                    <w:tl2br w:val="nil"/>
                    <w:tr2bl w:val="nil"/>
                  </w:tcBorders>
                  <w:vAlign w:val="center"/>
                </w:tcPr>
                <w:p w14:paraId="5860B630">
                  <w:pPr>
                    <w:spacing w:line="240" w:lineRule="auto"/>
                    <w:ind w:firstLine="0" w:firstLineChars="0"/>
                    <w:jc w:val="center"/>
                    <w:rPr>
                      <w:sz w:val="21"/>
                    </w:rPr>
                  </w:pPr>
                  <w:bookmarkStart w:id="205" w:name="OLE_LINK100" w:colFirst="1" w:colLast="1"/>
                  <w:r>
                    <w:rPr>
                      <w:rFonts w:hint="eastAsia"/>
                      <w:sz w:val="21"/>
                    </w:rPr>
                    <w:t>4</w:t>
                  </w:r>
                </w:p>
              </w:tc>
              <w:tc>
                <w:tcPr>
                  <w:tcW w:w="977" w:type="pct"/>
                  <w:tcBorders>
                    <w:right w:val="single" w:color="auto" w:sz="4" w:space="0"/>
                    <w:tl2br w:val="nil"/>
                    <w:tr2bl w:val="nil"/>
                  </w:tcBorders>
                  <w:vAlign w:val="center"/>
                </w:tcPr>
                <w:p w14:paraId="323B2403">
                  <w:pPr>
                    <w:spacing w:line="240" w:lineRule="auto"/>
                    <w:ind w:firstLine="0" w:firstLineChars="0"/>
                    <w:jc w:val="center"/>
                    <w:rPr>
                      <w:sz w:val="21"/>
                    </w:rPr>
                  </w:pPr>
                  <w:r>
                    <w:rPr>
                      <w:rFonts w:hint="eastAsia"/>
                      <w:sz w:val="21"/>
                    </w:rPr>
                    <w:t>废抹布手套</w:t>
                  </w:r>
                </w:p>
              </w:tc>
              <w:tc>
                <w:tcPr>
                  <w:tcW w:w="774" w:type="pct"/>
                  <w:vMerge w:val="restart"/>
                  <w:tcBorders>
                    <w:left w:val="single" w:color="auto" w:sz="4" w:space="0"/>
                    <w:tl2br w:val="nil"/>
                    <w:tr2bl w:val="nil"/>
                  </w:tcBorders>
                  <w:vAlign w:val="center"/>
                </w:tcPr>
                <w:p w14:paraId="731DC13A">
                  <w:pPr>
                    <w:spacing w:line="240" w:lineRule="auto"/>
                    <w:ind w:firstLine="0" w:firstLineChars="0"/>
                    <w:jc w:val="center"/>
                    <w:rPr>
                      <w:sz w:val="21"/>
                    </w:rPr>
                  </w:pPr>
                  <w:bookmarkStart w:id="206" w:name="OLE_LINK101"/>
                  <w:r>
                    <w:rPr>
                      <w:rFonts w:hint="eastAsia"/>
                      <w:sz w:val="21"/>
                    </w:rPr>
                    <w:t>机械维修</w:t>
                  </w:r>
                  <w:bookmarkEnd w:id="206"/>
                </w:p>
              </w:tc>
              <w:tc>
                <w:tcPr>
                  <w:tcW w:w="815" w:type="pct"/>
                  <w:tcBorders>
                    <w:tl2br w:val="nil"/>
                    <w:tr2bl w:val="nil"/>
                  </w:tcBorders>
                  <w:vAlign w:val="center"/>
                </w:tcPr>
                <w:p w14:paraId="182C29C7">
                  <w:pPr>
                    <w:spacing w:line="240" w:lineRule="auto"/>
                    <w:ind w:firstLine="0" w:firstLineChars="0"/>
                    <w:jc w:val="center"/>
                    <w:rPr>
                      <w:sz w:val="21"/>
                    </w:rPr>
                  </w:pPr>
                  <w:r>
                    <w:rPr>
                      <w:rFonts w:hint="eastAsia"/>
                      <w:sz w:val="21"/>
                    </w:rPr>
                    <w:t>0.1</w:t>
                  </w:r>
                </w:p>
              </w:tc>
              <w:tc>
                <w:tcPr>
                  <w:tcW w:w="770" w:type="pct"/>
                  <w:vMerge w:val="restart"/>
                  <w:tcBorders>
                    <w:top w:val="single" w:color="auto" w:sz="4" w:space="0"/>
                    <w:tl2br w:val="nil"/>
                    <w:tr2bl w:val="nil"/>
                  </w:tcBorders>
                  <w:vAlign w:val="center"/>
                </w:tcPr>
                <w:p w14:paraId="544A47A3">
                  <w:pPr>
                    <w:spacing w:line="240" w:lineRule="auto"/>
                    <w:ind w:firstLine="0" w:firstLineChars="0"/>
                    <w:jc w:val="center"/>
                    <w:rPr>
                      <w:sz w:val="21"/>
                    </w:rPr>
                  </w:pPr>
                  <w:r>
                    <w:rPr>
                      <w:rFonts w:hint="eastAsia"/>
                      <w:sz w:val="21"/>
                    </w:rPr>
                    <w:t>危险废物</w:t>
                  </w:r>
                </w:p>
              </w:tc>
              <w:tc>
                <w:tcPr>
                  <w:tcW w:w="1240" w:type="pct"/>
                  <w:vMerge w:val="restart"/>
                  <w:tcBorders>
                    <w:top w:val="single" w:color="auto" w:sz="4" w:space="0"/>
                    <w:tl2br w:val="nil"/>
                    <w:tr2bl w:val="nil"/>
                  </w:tcBorders>
                  <w:vAlign w:val="center"/>
                </w:tcPr>
                <w:p w14:paraId="65A6F526">
                  <w:pPr>
                    <w:spacing w:line="240" w:lineRule="auto"/>
                    <w:ind w:firstLine="0" w:firstLineChars="0"/>
                    <w:jc w:val="center"/>
                    <w:rPr>
                      <w:sz w:val="21"/>
                    </w:rPr>
                  </w:pPr>
                  <w:bookmarkStart w:id="207" w:name="OLE_LINK102"/>
                  <w:r>
                    <w:rPr>
                      <w:sz w:val="21"/>
                    </w:rPr>
                    <w:t>交由</w:t>
                  </w:r>
                  <w:r>
                    <w:rPr>
                      <w:rFonts w:hint="eastAsia"/>
                      <w:sz w:val="21"/>
                    </w:rPr>
                    <w:t>深圳市环保科技集团股份有限公司</w:t>
                  </w:r>
                  <w:r>
                    <w:rPr>
                      <w:sz w:val="21"/>
                    </w:rPr>
                    <w:t>处理</w:t>
                  </w:r>
                  <w:bookmarkEnd w:id="207"/>
                </w:p>
              </w:tc>
            </w:tr>
            <w:tr w14:paraId="7E61C0B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20" w:hRule="atLeast"/>
                <w:jc w:val="center"/>
              </w:trPr>
              <w:tc>
                <w:tcPr>
                  <w:tcW w:w="422" w:type="pct"/>
                  <w:tcBorders>
                    <w:tl2br w:val="nil"/>
                    <w:tr2bl w:val="nil"/>
                  </w:tcBorders>
                  <w:vAlign w:val="center"/>
                </w:tcPr>
                <w:p w14:paraId="11EDBB97">
                  <w:pPr>
                    <w:spacing w:line="240" w:lineRule="auto"/>
                    <w:ind w:firstLine="0" w:firstLineChars="0"/>
                    <w:jc w:val="center"/>
                    <w:rPr>
                      <w:sz w:val="21"/>
                    </w:rPr>
                  </w:pPr>
                  <w:r>
                    <w:rPr>
                      <w:rFonts w:hint="eastAsia"/>
                      <w:sz w:val="21"/>
                    </w:rPr>
                    <w:t>5</w:t>
                  </w:r>
                </w:p>
              </w:tc>
              <w:tc>
                <w:tcPr>
                  <w:tcW w:w="977" w:type="pct"/>
                  <w:tcBorders>
                    <w:right w:val="single" w:color="auto" w:sz="4" w:space="0"/>
                    <w:tl2br w:val="nil"/>
                    <w:tr2bl w:val="nil"/>
                  </w:tcBorders>
                  <w:vAlign w:val="center"/>
                </w:tcPr>
                <w:p w14:paraId="1F0F90A8">
                  <w:pPr>
                    <w:spacing w:line="240" w:lineRule="auto"/>
                    <w:ind w:firstLine="0" w:firstLineChars="0"/>
                    <w:jc w:val="center"/>
                    <w:rPr>
                      <w:sz w:val="21"/>
                    </w:rPr>
                  </w:pPr>
                  <w:r>
                    <w:rPr>
                      <w:rFonts w:hint="eastAsia"/>
                      <w:sz w:val="21"/>
                    </w:rPr>
                    <w:t>废润滑油</w:t>
                  </w:r>
                </w:p>
              </w:tc>
              <w:tc>
                <w:tcPr>
                  <w:tcW w:w="774" w:type="pct"/>
                  <w:vMerge w:val="continue"/>
                  <w:tcBorders>
                    <w:left w:val="single" w:color="auto" w:sz="4" w:space="0"/>
                    <w:tl2br w:val="nil"/>
                    <w:tr2bl w:val="nil"/>
                  </w:tcBorders>
                  <w:vAlign w:val="center"/>
                </w:tcPr>
                <w:p w14:paraId="1495B249">
                  <w:pPr>
                    <w:spacing w:line="240" w:lineRule="auto"/>
                    <w:ind w:firstLine="0" w:firstLineChars="0"/>
                    <w:jc w:val="center"/>
                    <w:rPr>
                      <w:sz w:val="21"/>
                    </w:rPr>
                  </w:pPr>
                </w:p>
              </w:tc>
              <w:tc>
                <w:tcPr>
                  <w:tcW w:w="815" w:type="pct"/>
                  <w:tcBorders>
                    <w:tl2br w:val="nil"/>
                    <w:tr2bl w:val="nil"/>
                  </w:tcBorders>
                  <w:vAlign w:val="center"/>
                </w:tcPr>
                <w:p w14:paraId="3FB17C60">
                  <w:pPr>
                    <w:spacing w:line="240" w:lineRule="auto"/>
                    <w:ind w:firstLine="0" w:firstLineChars="0"/>
                    <w:jc w:val="center"/>
                    <w:rPr>
                      <w:sz w:val="21"/>
                    </w:rPr>
                  </w:pPr>
                  <w:r>
                    <w:rPr>
                      <w:rFonts w:hint="eastAsia"/>
                      <w:sz w:val="21"/>
                    </w:rPr>
                    <w:t>0.005</w:t>
                  </w:r>
                </w:p>
              </w:tc>
              <w:tc>
                <w:tcPr>
                  <w:tcW w:w="770" w:type="pct"/>
                  <w:vMerge w:val="continue"/>
                  <w:tcBorders>
                    <w:tl2br w:val="nil"/>
                    <w:tr2bl w:val="nil"/>
                  </w:tcBorders>
                  <w:vAlign w:val="center"/>
                </w:tcPr>
                <w:p w14:paraId="0EBD5D00">
                  <w:pPr>
                    <w:spacing w:line="240" w:lineRule="auto"/>
                    <w:ind w:firstLine="0" w:firstLineChars="0"/>
                    <w:jc w:val="center"/>
                    <w:rPr>
                      <w:sz w:val="21"/>
                    </w:rPr>
                  </w:pPr>
                </w:p>
              </w:tc>
              <w:tc>
                <w:tcPr>
                  <w:tcW w:w="1240" w:type="pct"/>
                  <w:vMerge w:val="continue"/>
                  <w:tcBorders>
                    <w:tl2br w:val="nil"/>
                    <w:tr2bl w:val="nil"/>
                  </w:tcBorders>
                  <w:vAlign w:val="center"/>
                </w:tcPr>
                <w:p w14:paraId="6865E15C">
                  <w:pPr>
                    <w:spacing w:line="240" w:lineRule="auto"/>
                    <w:ind w:firstLine="0" w:firstLineChars="0"/>
                    <w:jc w:val="center"/>
                    <w:rPr>
                      <w:sz w:val="21"/>
                    </w:rPr>
                  </w:pPr>
                </w:p>
              </w:tc>
            </w:tr>
            <w:tr w14:paraId="148823F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55" w:hRule="atLeast"/>
                <w:jc w:val="center"/>
              </w:trPr>
              <w:tc>
                <w:tcPr>
                  <w:tcW w:w="422" w:type="pct"/>
                  <w:tcBorders>
                    <w:tl2br w:val="nil"/>
                    <w:tr2bl w:val="nil"/>
                  </w:tcBorders>
                  <w:vAlign w:val="center"/>
                </w:tcPr>
                <w:p w14:paraId="5268E201">
                  <w:pPr>
                    <w:spacing w:line="240" w:lineRule="auto"/>
                    <w:ind w:firstLine="0" w:firstLineChars="0"/>
                    <w:jc w:val="center"/>
                    <w:rPr>
                      <w:sz w:val="21"/>
                    </w:rPr>
                  </w:pPr>
                  <w:r>
                    <w:rPr>
                      <w:rFonts w:hint="eastAsia"/>
                      <w:sz w:val="21"/>
                    </w:rPr>
                    <w:t>6</w:t>
                  </w:r>
                </w:p>
              </w:tc>
              <w:tc>
                <w:tcPr>
                  <w:tcW w:w="977" w:type="pct"/>
                  <w:tcBorders>
                    <w:right w:val="single" w:color="auto" w:sz="4" w:space="0"/>
                    <w:tl2br w:val="nil"/>
                    <w:tr2bl w:val="nil"/>
                  </w:tcBorders>
                  <w:vAlign w:val="center"/>
                </w:tcPr>
                <w:p w14:paraId="0CB53FDB">
                  <w:pPr>
                    <w:spacing w:line="240" w:lineRule="auto"/>
                    <w:ind w:firstLine="0" w:firstLineChars="0"/>
                    <w:jc w:val="center"/>
                    <w:rPr>
                      <w:sz w:val="21"/>
                    </w:rPr>
                  </w:pPr>
                  <w:r>
                    <w:rPr>
                      <w:rFonts w:hint="eastAsia"/>
                      <w:sz w:val="21"/>
                    </w:rPr>
                    <w:t>废容器空桶</w:t>
                  </w:r>
                </w:p>
              </w:tc>
              <w:tc>
                <w:tcPr>
                  <w:tcW w:w="774" w:type="pct"/>
                  <w:tcBorders>
                    <w:left w:val="single" w:color="auto" w:sz="4" w:space="0"/>
                    <w:tl2br w:val="nil"/>
                    <w:tr2bl w:val="nil"/>
                  </w:tcBorders>
                  <w:vAlign w:val="center"/>
                </w:tcPr>
                <w:p w14:paraId="09CA307E">
                  <w:pPr>
                    <w:spacing w:line="240" w:lineRule="auto"/>
                    <w:ind w:firstLine="0" w:firstLineChars="0"/>
                    <w:jc w:val="center"/>
                    <w:rPr>
                      <w:sz w:val="21"/>
                    </w:rPr>
                  </w:pPr>
                  <w:r>
                    <w:rPr>
                      <w:rFonts w:hint="eastAsia"/>
                      <w:sz w:val="21"/>
                    </w:rPr>
                    <w:t>生产过程</w:t>
                  </w:r>
                </w:p>
              </w:tc>
              <w:tc>
                <w:tcPr>
                  <w:tcW w:w="815" w:type="pct"/>
                  <w:tcBorders>
                    <w:tl2br w:val="nil"/>
                    <w:tr2bl w:val="nil"/>
                  </w:tcBorders>
                  <w:vAlign w:val="center"/>
                </w:tcPr>
                <w:p w14:paraId="5480CA0D">
                  <w:pPr>
                    <w:spacing w:line="240" w:lineRule="auto"/>
                    <w:ind w:firstLine="0" w:firstLineChars="0"/>
                    <w:jc w:val="center"/>
                    <w:rPr>
                      <w:sz w:val="21"/>
                    </w:rPr>
                  </w:pPr>
                  <w:r>
                    <w:rPr>
                      <w:rFonts w:hint="eastAsia"/>
                      <w:sz w:val="21"/>
                    </w:rPr>
                    <w:t>0.01</w:t>
                  </w:r>
                </w:p>
              </w:tc>
              <w:tc>
                <w:tcPr>
                  <w:tcW w:w="770" w:type="pct"/>
                  <w:vMerge w:val="continue"/>
                  <w:tcBorders>
                    <w:tl2br w:val="nil"/>
                    <w:tr2bl w:val="nil"/>
                  </w:tcBorders>
                  <w:vAlign w:val="center"/>
                </w:tcPr>
                <w:p w14:paraId="2B6E110A">
                  <w:pPr>
                    <w:spacing w:line="240" w:lineRule="auto"/>
                    <w:ind w:firstLine="0" w:firstLineChars="0"/>
                    <w:jc w:val="center"/>
                    <w:rPr>
                      <w:sz w:val="21"/>
                    </w:rPr>
                  </w:pPr>
                </w:p>
              </w:tc>
              <w:tc>
                <w:tcPr>
                  <w:tcW w:w="1240" w:type="pct"/>
                  <w:vMerge w:val="continue"/>
                  <w:tcBorders>
                    <w:tl2br w:val="nil"/>
                    <w:tr2bl w:val="nil"/>
                  </w:tcBorders>
                  <w:vAlign w:val="center"/>
                </w:tcPr>
                <w:p w14:paraId="3D358D39">
                  <w:pPr>
                    <w:spacing w:line="240" w:lineRule="auto"/>
                    <w:ind w:firstLine="0" w:firstLineChars="0"/>
                    <w:jc w:val="center"/>
                    <w:rPr>
                      <w:sz w:val="21"/>
                    </w:rPr>
                  </w:pPr>
                </w:p>
              </w:tc>
            </w:tr>
            <w:tr w14:paraId="60E96B9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90" w:hRule="atLeast"/>
                <w:jc w:val="center"/>
              </w:trPr>
              <w:tc>
                <w:tcPr>
                  <w:tcW w:w="422" w:type="pct"/>
                  <w:tcBorders>
                    <w:tl2br w:val="nil"/>
                    <w:tr2bl w:val="nil"/>
                  </w:tcBorders>
                  <w:vAlign w:val="center"/>
                </w:tcPr>
                <w:p w14:paraId="4A8DA02F">
                  <w:pPr>
                    <w:spacing w:line="240" w:lineRule="auto"/>
                    <w:ind w:firstLine="0" w:firstLineChars="0"/>
                    <w:jc w:val="center"/>
                    <w:rPr>
                      <w:sz w:val="21"/>
                    </w:rPr>
                  </w:pPr>
                  <w:r>
                    <w:rPr>
                      <w:rFonts w:hint="eastAsia"/>
                      <w:sz w:val="21"/>
                    </w:rPr>
                    <w:t>7</w:t>
                  </w:r>
                </w:p>
              </w:tc>
              <w:tc>
                <w:tcPr>
                  <w:tcW w:w="977" w:type="pct"/>
                  <w:tcBorders>
                    <w:right w:val="single" w:color="auto" w:sz="4" w:space="0"/>
                    <w:tl2br w:val="nil"/>
                    <w:tr2bl w:val="nil"/>
                  </w:tcBorders>
                  <w:vAlign w:val="center"/>
                </w:tcPr>
                <w:p w14:paraId="1C971A7C">
                  <w:pPr>
                    <w:spacing w:line="240" w:lineRule="auto"/>
                    <w:ind w:firstLine="0" w:firstLineChars="0"/>
                    <w:jc w:val="center"/>
                    <w:rPr>
                      <w:sz w:val="21"/>
                    </w:rPr>
                  </w:pPr>
                  <w:r>
                    <w:rPr>
                      <w:rFonts w:hint="eastAsia"/>
                      <w:sz w:val="21"/>
                    </w:rPr>
                    <w:t>废活性炭</w:t>
                  </w:r>
                </w:p>
              </w:tc>
              <w:tc>
                <w:tcPr>
                  <w:tcW w:w="774" w:type="pct"/>
                  <w:vMerge w:val="restart"/>
                  <w:tcBorders>
                    <w:left w:val="single" w:color="auto" w:sz="4" w:space="0"/>
                    <w:tl2br w:val="nil"/>
                    <w:tr2bl w:val="nil"/>
                  </w:tcBorders>
                  <w:vAlign w:val="center"/>
                </w:tcPr>
                <w:p w14:paraId="1EA6B834">
                  <w:pPr>
                    <w:spacing w:line="240" w:lineRule="auto"/>
                    <w:ind w:firstLine="0" w:firstLineChars="0"/>
                    <w:jc w:val="center"/>
                    <w:rPr>
                      <w:sz w:val="21"/>
                    </w:rPr>
                  </w:pPr>
                  <w:r>
                    <w:rPr>
                      <w:rFonts w:hint="eastAsia"/>
                      <w:sz w:val="21"/>
                    </w:rPr>
                    <w:t>废气处理</w:t>
                  </w:r>
                </w:p>
              </w:tc>
              <w:tc>
                <w:tcPr>
                  <w:tcW w:w="815" w:type="pct"/>
                  <w:tcBorders>
                    <w:tl2br w:val="nil"/>
                    <w:tr2bl w:val="nil"/>
                  </w:tcBorders>
                  <w:vAlign w:val="center"/>
                </w:tcPr>
                <w:p w14:paraId="3155A186">
                  <w:pPr>
                    <w:spacing w:line="240" w:lineRule="auto"/>
                    <w:ind w:firstLine="0" w:firstLineChars="0"/>
                    <w:jc w:val="center"/>
                    <w:rPr>
                      <w:sz w:val="21"/>
                    </w:rPr>
                  </w:pPr>
                  <w:r>
                    <w:rPr>
                      <w:rFonts w:hint="eastAsia"/>
                      <w:sz w:val="21"/>
                    </w:rPr>
                    <w:t>0.875</w:t>
                  </w:r>
                </w:p>
              </w:tc>
              <w:tc>
                <w:tcPr>
                  <w:tcW w:w="770" w:type="pct"/>
                  <w:vMerge w:val="continue"/>
                  <w:tcBorders>
                    <w:tl2br w:val="nil"/>
                    <w:tr2bl w:val="nil"/>
                  </w:tcBorders>
                  <w:vAlign w:val="center"/>
                </w:tcPr>
                <w:p w14:paraId="5CD0F8B7">
                  <w:pPr>
                    <w:spacing w:line="240" w:lineRule="auto"/>
                    <w:ind w:firstLine="0" w:firstLineChars="0"/>
                    <w:jc w:val="center"/>
                    <w:rPr>
                      <w:sz w:val="21"/>
                    </w:rPr>
                  </w:pPr>
                </w:p>
              </w:tc>
              <w:tc>
                <w:tcPr>
                  <w:tcW w:w="1240" w:type="pct"/>
                  <w:vMerge w:val="continue"/>
                  <w:tcBorders>
                    <w:tl2br w:val="nil"/>
                    <w:tr2bl w:val="nil"/>
                  </w:tcBorders>
                  <w:vAlign w:val="center"/>
                </w:tcPr>
                <w:p w14:paraId="244C4E0D">
                  <w:pPr>
                    <w:spacing w:line="240" w:lineRule="auto"/>
                    <w:ind w:firstLine="0" w:firstLineChars="0"/>
                    <w:jc w:val="center"/>
                    <w:rPr>
                      <w:sz w:val="21"/>
                    </w:rPr>
                  </w:pPr>
                </w:p>
              </w:tc>
            </w:tr>
            <w:tr w14:paraId="164626A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75" w:hRule="atLeast"/>
                <w:jc w:val="center"/>
              </w:trPr>
              <w:tc>
                <w:tcPr>
                  <w:tcW w:w="422" w:type="pct"/>
                  <w:tcBorders>
                    <w:tl2br w:val="nil"/>
                    <w:tr2bl w:val="nil"/>
                  </w:tcBorders>
                  <w:vAlign w:val="center"/>
                </w:tcPr>
                <w:p w14:paraId="331A2BDC">
                  <w:pPr>
                    <w:spacing w:line="240" w:lineRule="auto"/>
                    <w:ind w:firstLine="0" w:firstLineChars="0"/>
                    <w:jc w:val="center"/>
                    <w:rPr>
                      <w:sz w:val="21"/>
                    </w:rPr>
                  </w:pPr>
                  <w:r>
                    <w:rPr>
                      <w:rFonts w:hint="eastAsia"/>
                      <w:sz w:val="21"/>
                    </w:rPr>
                    <w:t>8</w:t>
                  </w:r>
                </w:p>
              </w:tc>
              <w:tc>
                <w:tcPr>
                  <w:tcW w:w="977" w:type="pct"/>
                  <w:tcBorders>
                    <w:right w:val="single" w:color="auto" w:sz="4" w:space="0"/>
                    <w:tl2br w:val="nil"/>
                    <w:tr2bl w:val="nil"/>
                  </w:tcBorders>
                  <w:vAlign w:val="center"/>
                </w:tcPr>
                <w:p w14:paraId="7785807B">
                  <w:pPr>
                    <w:spacing w:line="240" w:lineRule="auto"/>
                    <w:ind w:firstLine="0" w:firstLineChars="0"/>
                    <w:jc w:val="center"/>
                    <w:rPr>
                      <w:sz w:val="21"/>
                    </w:rPr>
                  </w:pPr>
                  <w:r>
                    <w:rPr>
                      <w:rFonts w:hint="eastAsia"/>
                      <w:sz w:val="21"/>
                    </w:rPr>
                    <w:t>喷淋塔废液</w:t>
                  </w:r>
                </w:p>
              </w:tc>
              <w:tc>
                <w:tcPr>
                  <w:tcW w:w="774" w:type="pct"/>
                  <w:vMerge w:val="continue"/>
                  <w:tcBorders>
                    <w:left w:val="single" w:color="auto" w:sz="4" w:space="0"/>
                    <w:tl2br w:val="nil"/>
                    <w:tr2bl w:val="nil"/>
                  </w:tcBorders>
                  <w:vAlign w:val="center"/>
                </w:tcPr>
                <w:p w14:paraId="16B1E6B8">
                  <w:pPr>
                    <w:spacing w:line="240" w:lineRule="auto"/>
                    <w:ind w:firstLine="0" w:firstLineChars="0"/>
                    <w:jc w:val="center"/>
                    <w:rPr>
                      <w:sz w:val="21"/>
                    </w:rPr>
                  </w:pPr>
                </w:p>
              </w:tc>
              <w:tc>
                <w:tcPr>
                  <w:tcW w:w="815" w:type="pct"/>
                  <w:tcBorders>
                    <w:tl2br w:val="nil"/>
                    <w:tr2bl w:val="nil"/>
                  </w:tcBorders>
                  <w:vAlign w:val="center"/>
                </w:tcPr>
                <w:p w14:paraId="4591612B">
                  <w:pPr>
                    <w:spacing w:line="240" w:lineRule="auto"/>
                    <w:ind w:firstLine="0" w:firstLineChars="0"/>
                    <w:jc w:val="center"/>
                    <w:rPr>
                      <w:sz w:val="21"/>
                    </w:rPr>
                  </w:pPr>
                  <w:r>
                    <w:rPr>
                      <w:rFonts w:hint="eastAsia"/>
                      <w:sz w:val="21"/>
                    </w:rPr>
                    <w:t>0.02</w:t>
                  </w:r>
                </w:p>
              </w:tc>
              <w:tc>
                <w:tcPr>
                  <w:tcW w:w="770" w:type="pct"/>
                  <w:vMerge w:val="continue"/>
                  <w:tcBorders>
                    <w:tl2br w:val="nil"/>
                    <w:tr2bl w:val="nil"/>
                  </w:tcBorders>
                  <w:vAlign w:val="center"/>
                </w:tcPr>
                <w:p w14:paraId="31F2DCD5">
                  <w:pPr>
                    <w:spacing w:line="240" w:lineRule="auto"/>
                    <w:ind w:firstLine="0" w:firstLineChars="0"/>
                    <w:jc w:val="center"/>
                    <w:rPr>
                      <w:sz w:val="21"/>
                    </w:rPr>
                  </w:pPr>
                </w:p>
              </w:tc>
              <w:tc>
                <w:tcPr>
                  <w:tcW w:w="1240" w:type="pct"/>
                  <w:vMerge w:val="continue"/>
                  <w:tcBorders>
                    <w:tl2br w:val="nil"/>
                    <w:tr2bl w:val="nil"/>
                  </w:tcBorders>
                  <w:vAlign w:val="center"/>
                </w:tcPr>
                <w:p w14:paraId="3FAA8636">
                  <w:pPr>
                    <w:spacing w:line="240" w:lineRule="auto"/>
                    <w:ind w:firstLine="0" w:firstLineChars="0"/>
                    <w:jc w:val="center"/>
                    <w:rPr>
                      <w:sz w:val="21"/>
                    </w:rPr>
                  </w:pPr>
                </w:p>
              </w:tc>
            </w:tr>
            <w:bookmarkEnd w:id="205"/>
          </w:tbl>
          <w:p w14:paraId="7FA6716A">
            <w:pPr>
              <w:widowControl/>
              <w:ind w:firstLine="482"/>
              <w:jc w:val="both"/>
              <w:rPr>
                <w:rFonts w:cs="宋体"/>
                <w:b/>
                <w:bCs/>
              </w:rPr>
            </w:pPr>
            <w:r>
              <w:rPr>
                <w:rFonts w:hint="eastAsia" w:cs="宋体"/>
                <w:b/>
                <w:bCs/>
              </w:rPr>
              <w:t>4、原有项目存在的主要环境问题</w:t>
            </w:r>
          </w:p>
          <w:p w14:paraId="4A5E30B4">
            <w:pPr>
              <w:widowControl/>
              <w:ind w:firstLine="480"/>
              <w:jc w:val="both"/>
              <w:rPr>
                <w:bCs/>
                <w:szCs w:val="21"/>
              </w:rPr>
            </w:pPr>
            <w:r>
              <w:rPr>
                <w:rFonts w:hint="eastAsia"/>
                <w:bCs/>
                <w:szCs w:val="21"/>
              </w:rPr>
              <w:t>综上所述，原有项目针对废水、废气、噪声、固体废物和环境风险等均采取了相应的污染防治措施，各项环保措施均符合环评建设要求，污染物均能达标排放，未对周围环境造成明显影响，且原有项目未受到环保投诉或处罚。</w:t>
            </w:r>
            <w:bookmarkEnd w:id="163"/>
          </w:p>
        </w:tc>
      </w:tr>
    </w:tbl>
    <w:p w14:paraId="1B539896">
      <w:pPr>
        <w:pStyle w:val="30"/>
        <w:jc w:val="center"/>
        <w:rPr>
          <w:rFonts w:ascii="Times New Roman" w:hAnsi="Times New Roman" w:eastAsia="黑体"/>
          <w:snapToGrid w:val="0"/>
          <w:sz w:val="36"/>
          <w:szCs w:val="36"/>
        </w:rPr>
        <w:sectPr>
          <w:pgSz w:w="11906" w:h="16838"/>
          <w:pgMar w:top="1440" w:right="1440" w:bottom="1440" w:left="1440" w:header="851" w:footer="851" w:gutter="0"/>
          <w:cols w:space="720" w:num="1"/>
          <w:docGrid w:linePitch="312" w:charSpace="0"/>
        </w:sectPr>
      </w:pPr>
    </w:p>
    <w:p w14:paraId="3D94193A">
      <w:pPr>
        <w:pStyle w:val="30"/>
        <w:spacing w:before="0" w:beforeAutospacing="0" w:after="0" w:afterAutospacing="0" w:line="240" w:lineRule="auto"/>
        <w:ind w:firstLine="0" w:firstLineChars="0"/>
        <w:jc w:val="center"/>
        <w:outlineLvl w:val="0"/>
        <w:rPr>
          <w:rFonts w:ascii="Times New Roman" w:hAnsi="Times New Roman" w:eastAsia="黑体"/>
          <w:snapToGrid w:val="0"/>
          <w:sz w:val="30"/>
          <w:szCs w:val="30"/>
        </w:rPr>
      </w:pPr>
      <w:bookmarkStart w:id="208" w:name="_Toc17001"/>
      <w:bookmarkStart w:id="209" w:name="_Toc23192"/>
      <w:bookmarkStart w:id="210" w:name="_Toc167267309"/>
      <w:bookmarkStart w:id="211" w:name="_Toc30035"/>
      <w:bookmarkStart w:id="212" w:name="_Toc26735"/>
      <w:bookmarkStart w:id="213" w:name="_Toc2769"/>
      <w:r>
        <w:rPr>
          <w:rFonts w:ascii="Times New Roman" w:hAnsi="Times New Roman"/>
          <w:b/>
          <w:bCs/>
          <w:kern w:val="44"/>
          <w:sz w:val="30"/>
          <w:szCs w:val="30"/>
        </w:rPr>
        <w:t>三、区域环境质量现状、环境保护目标及评价标准</w:t>
      </w:r>
      <w:bookmarkEnd w:id="208"/>
      <w:bookmarkEnd w:id="209"/>
      <w:bookmarkEnd w:id="210"/>
      <w:bookmarkEnd w:id="211"/>
      <w:bookmarkEnd w:id="212"/>
      <w:bookmarkEnd w:id="213"/>
    </w:p>
    <w:tbl>
      <w:tblPr>
        <w:tblStyle w:val="3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553"/>
        <w:gridCol w:w="8690"/>
      </w:tblGrid>
      <w:tr w14:paraId="06328E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91" w:hRule="atLeast"/>
          <w:jc w:val="center"/>
        </w:trPr>
        <w:tc>
          <w:tcPr>
            <w:tcW w:w="299" w:type="pct"/>
            <w:vAlign w:val="center"/>
          </w:tcPr>
          <w:p w14:paraId="1F731E05">
            <w:pPr>
              <w:spacing w:line="240" w:lineRule="auto"/>
              <w:ind w:firstLine="0" w:firstLineChars="0"/>
            </w:pPr>
            <w:r>
              <w:t>区域</w:t>
            </w:r>
          </w:p>
          <w:p w14:paraId="5B1588BC">
            <w:pPr>
              <w:spacing w:line="240" w:lineRule="auto"/>
              <w:ind w:firstLine="0" w:firstLineChars="0"/>
            </w:pPr>
            <w:r>
              <w:t>环境</w:t>
            </w:r>
          </w:p>
          <w:p w14:paraId="525865A3">
            <w:pPr>
              <w:spacing w:line="240" w:lineRule="auto"/>
              <w:ind w:firstLine="0" w:firstLineChars="0"/>
            </w:pPr>
            <w:r>
              <w:t>质量</w:t>
            </w:r>
          </w:p>
          <w:p w14:paraId="0A1DE2EC">
            <w:pPr>
              <w:spacing w:line="240" w:lineRule="auto"/>
              <w:ind w:firstLine="0" w:firstLineChars="0"/>
              <w:rPr>
                <w:kern w:val="0"/>
              </w:rPr>
            </w:pPr>
            <w:r>
              <w:t>现状</w:t>
            </w:r>
          </w:p>
        </w:tc>
        <w:tc>
          <w:tcPr>
            <w:tcW w:w="4700" w:type="pct"/>
            <w:vAlign w:val="center"/>
          </w:tcPr>
          <w:p w14:paraId="1261FF9C">
            <w:pPr>
              <w:pStyle w:val="101"/>
              <w:ind w:firstLine="482"/>
              <w:jc w:val="both"/>
              <w:rPr>
                <w:rFonts w:ascii="Times New Roman" w:hAnsi="Times New Roman"/>
                <w:b/>
                <w:sz w:val="24"/>
                <w:lang w:eastAsia="zh-CN"/>
              </w:rPr>
            </w:pPr>
            <w:r>
              <w:rPr>
                <w:rFonts w:ascii="Times New Roman" w:hAnsi="Times New Roman" w:eastAsia="Times New Roman"/>
                <w:b/>
                <w:sz w:val="24"/>
                <w:lang w:eastAsia="zh-CN"/>
              </w:rPr>
              <w:t>1</w:t>
            </w:r>
            <w:r>
              <w:rPr>
                <w:rFonts w:ascii="Times New Roman" w:hAnsi="Times New Roman"/>
                <w:b/>
                <w:sz w:val="24"/>
                <w:lang w:eastAsia="zh-CN"/>
              </w:rPr>
              <w:t>、环境空气质量现状</w:t>
            </w:r>
          </w:p>
          <w:p w14:paraId="057DC58A">
            <w:pPr>
              <w:pStyle w:val="101"/>
              <w:ind w:firstLine="480"/>
              <w:jc w:val="both"/>
              <w:rPr>
                <w:rFonts w:ascii="Times New Roman" w:hAnsi="Times New Roman"/>
                <w:sz w:val="24"/>
                <w:szCs w:val="24"/>
                <w:lang w:eastAsia="zh-CN"/>
              </w:rPr>
            </w:pPr>
            <w:r>
              <w:rPr>
                <w:rFonts w:hint="eastAsia" w:ascii="Times New Roman" w:hAnsi="Times New Roman"/>
                <w:kern w:val="2"/>
                <w:sz w:val="24"/>
                <w:szCs w:val="24"/>
                <w:lang w:eastAsia="zh-CN"/>
              </w:rPr>
              <w:t>根据《关于印发&lt;惠州市环境空气质量功能区划（2024 年修订）&gt;的通知》（惠市环（2024）16 号），</w:t>
            </w:r>
            <w:r>
              <w:rPr>
                <w:rFonts w:hint="eastAsia" w:ascii="Times New Roman" w:hAnsi="Times New Roman"/>
                <w:sz w:val="24"/>
                <w:szCs w:val="24"/>
                <w:lang w:eastAsia="zh-CN"/>
              </w:rPr>
              <w:t>本项目所在地属于环境空气质量功能区的二类区，环境空气质量应执行《环境空气质量标准》（</w:t>
            </w:r>
            <w:r>
              <w:rPr>
                <w:rFonts w:ascii="Times New Roman" w:hAnsi="Times New Roman"/>
                <w:sz w:val="24"/>
                <w:szCs w:val="24"/>
                <w:lang w:eastAsia="zh-CN"/>
              </w:rPr>
              <w:t>GB3095-2012</w:t>
            </w:r>
            <w:r>
              <w:rPr>
                <w:rFonts w:hint="eastAsia" w:ascii="Times New Roman" w:hAnsi="Times New Roman"/>
                <w:sz w:val="24"/>
                <w:szCs w:val="24"/>
                <w:lang w:eastAsia="zh-CN"/>
              </w:rPr>
              <w:t>）及</w:t>
            </w:r>
            <w:r>
              <w:rPr>
                <w:rFonts w:ascii="Times New Roman" w:hAnsi="Times New Roman"/>
                <w:sz w:val="24"/>
                <w:szCs w:val="24"/>
                <w:lang w:eastAsia="zh-CN"/>
              </w:rPr>
              <w:t xml:space="preserve">2018 </w:t>
            </w:r>
            <w:r>
              <w:rPr>
                <w:rFonts w:hint="eastAsia" w:ascii="Times New Roman" w:hAnsi="Times New Roman"/>
                <w:sz w:val="24"/>
                <w:szCs w:val="24"/>
                <w:lang w:eastAsia="zh-CN"/>
              </w:rPr>
              <w:t>年修改单中规定的二级标准。</w:t>
            </w:r>
          </w:p>
          <w:p w14:paraId="7427F3D2">
            <w:pPr>
              <w:pStyle w:val="101"/>
              <w:ind w:firstLine="482"/>
              <w:jc w:val="both"/>
              <w:rPr>
                <w:rFonts w:ascii="Times New Roman" w:hAnsi="Times New Roman"/>
                <w:b/>
                <w:kern w:val="2"/>
                <w:sz w:val="24"/>
                <w:szCs w:val="24"/>
                <w:lang w:eastAsia="zh-CN"/>
              </w:rPr>
            </w:pPr>
            <w:r>
              <w:rPr>
                <w:rFonts w:ascii="Times New Roman" w:hAnsi="Times New Roman"/>
                <w:b/>
                <w:kern w:val="2"/>
                <w:sz w:val="24"/>
                <w:szCs w:val="24"/>
                <w:lang w:eastAsia="zh-CN"/>
              </w:rPr>
              <w:t>(1)</w:t>
            </w:r>
            <w:r>
              <w:rPr>
                <w:rFonts w:hint="eastAsia" w:ascii="Times New Roman" w:hAnsi="Times New Roman"/>
                <w:b/>
                <w:kern w:val="2"/>
                <w:sz w:val="24"/>
                <w:szCs w:val="24"/>
                <w:lang w:eastAsia="zh-CN"/>
              </w:rPr>
              <w:t>常规污染物环境质量现状</w:t>
            </w:r>
          </w:p>
          <w:p w14:paraId="50AFEDE6">
            <w:pPr>
              <w:pStyle w:val="101"/>
              <w:ind w:firstLine="480"/>
              <w:jc w:val="both"/>
              <w:rPr>
                <w:rFonts w:ascii="Times New Roman" w:hAnsi="Times New Roman"/>
                <w:kern w:val="2"/>
                <w:sz w:val="24"/>
                <w:szCs w:val="24"/>
                <w:lang w:eastAsia="zh-CN"/>
              </w:rPr>
            </w:pPr>
            <w:r>
              <w:rPr>
                <w:rFonts w:hint="eastAsia" w:ascii="Times New Roman" w:hAnsi="Times New Roman"/>
                <w:kern w:val="2"/>
                <w:sz w:val="24"/>
                <w:szCs w:val="24"/>
                <w:lang w:eastAsia="zh-CN"/>
              </w:rPr>
              <w:t>根据《2023年惠州市生态环境状况公报》：2023年，惠州市环境空气质量优良。六项污染物年评价浓度均达标，其中，二氧化硫、二氧化氮、一氧化碳和可吸入颗粒物PM</w:t>
            </w:r>
            <w:r>
              <w:rPr>
                <w:rFonts w:hint="eastAsia" w:ascii="Times New Roman" w:hAnsi="Times New Roman"/>
                <w:kern w:val="2"/>
                <w:sz w:val="24"/>
                <w:szCs w:val="24"/>
                <w:vertAlign w:val="subscript"/>
                <w:lang w:eastAsia="zh-CN"/>
              </w:rPr>
              <w:t>10</w:t>
            </w:r>
            <w:r>
              <w:rPr>
                <w:rFonts w:hint="eastAsia" w:ascii="Times New Roman" w:hAnsi="Times New Roman"/>
                <w:kern w:val="2"/>
                <w:sz w:val="24"/>
                <w:szCs w:val="24"/>
                <w:lang w:eastAsia="zh-CN"/>
              </w:rPr>
              <w:t>年评价浓度达到国家一级标准；细颗粒物PM</w:t>
            </w:r>
            <w:r>
              <w:rPr>
                <w:rFonts w:hint="eastAsia" w:ascii="Times New Roman" w:hAnsi="Times New Roman"/>
                <w:kern w:val="2"/>
                <w:sz w:val="24"/>
                <w:szCs w:val="24"/>
                <w:vertAlign w:val="subscript"/>
                <w:lang w:eastAsia="zh-CN"/>
              </w:rPr>
              <w:t>2.5</w:t>
            </w:r>
            <w:r>
              <w:rPr>
                <w:rFonts w:hint="eastAsia" w:ascii="Times New Roman" w:hAnsi="Times New Roman"/>
                <w:kern w:val="2"/>
                <w:sz w:val="24"/>
                <w:szCs w:val="24"/>
                <w:lang w:eastAsia="zh-CN"/>
              </w:rPr>
              <w:t>和臭氧年评价浓度达到国家二级标准。综合指数为2.56，AQI达标率为98.4%，其中，优225天，良134天，轻度污染6天，无中度及以上污染，超标污染物为臭氧。</w:t>
            </w:r>
          </w:p>
          <w:p w14:paraId="07CDD5CA">
            <w:pPr>
              <w:pStyle w:val="101"/>
              <w:ind w:firstLine="480"/>
              <w:jc w:val="both"/>
              <w:rPr>
                <w:rFonts w:ascii="Times New Roman" w:hAnsi="Times New Roman"/>
                <w:kern w:val="2"/>
                <w:sz w:val="24"/>
                <w:szCs w:val="24"/>
                <w:lang w:eastAsia="zh-CN"/>
              </w:rPr>
            </w:pPr>
            <w:r>
              <w:rPr>
                <w:rFonts w:hint="eastAsia" w:ascii="Times New Roman" w:hAnsi="Times New Roman"/>
                <w:kern w:val="2"/>
                <w:sz w:val="24"/>
                <w:szCs w:val="24"/>
                <w:lang w:eastAsia="zh-CN"/>
              </w:rPr>
              <w:t>与2022年相比，惠州市环境空气质量有所改善。综合指数下降0.8%，AQI达标率上升4.7个百分点，臭氧下降13.9%，一氧化碳和二氧化氮持平，可吸入颗粒物PM</w:t>
            </w:r>
            <w:r>
              <w:rPr>
                <w:rFonts w:hint="eastAsia" w:ascii="Times New Roman" w:hAnsi="Times New Roman"/>
                <w:kern w:val="2"/>
                <w:sz w:val="24"/>
                <w:szCs w:val="24"/>
                <w:vertAlign w:val="subscript"/>
                <w:lang w:eastAsia="zh-CN"/>
              </w:rPr>
              <w:t>10</w:t>
            </w:r>
            <w:r>
              <w:rPr>
                <w:rFonts w:hint="eastAsia" w:ascii="Times New Roman" w:hAnsi="Times New Roman"/>
                <w:kern w:val="2"/>
                <w:sz w:val="24"/>
                <w:szCs w:val="24"/>
                <w:lang w:eastAsia="zh-CN"/>
              </w:rPr>
              <w:t>、细颗粒物PM</w:t>
            </w:r>
            <w:r>
              <w:rPr>
                <w:rFonts w:hint="eastAsia" w:ascii="Times New Roman" w:hAnsi="Times New Roman"/>
                <w:kern w:val="2"/>
                <w:sz w:val="24"/>
                <w:szCs w:val="24"/>
                <w:vertAlign w:val="subscript"/>
                <w:lang w:eastAsia="zh-CN"/>
              </w:rPr>
              <w:t>2.5</w:t>
            </w:r>
            <w:r>
              <w:rPr>
                <w:rFonts w:hint="eastAsia" w:ascii="Times New Roman" w:hAnsi="Times New Roman"/>
                <w:kern w:val="2"/>
                <w:sz w:val="24"/>
                <w:szCs w:val="24"/>
                <w:lang w:eastAsia="zh-CN"/>
              </w:rPr>
              <w:t>、二氧化硫分别上升9.1%、11.8%、20.0%。具体详见图3-1。</w:t>
            </w:r>
          </w:p>
          <w:p w14:paraId="7E1E3F22">
            <w:pPr>
              <w:pStyle w:val="101"/>
              <w:adjustRightInd w:val="0"/>
              <w:snapToGrid w:val="0"/>
              <w:ind w:firstLine="440"/>
              <w:jc w:val="center"/>
            </w:pPr>
            <w:r>
              <w:drawing>
                <wp:inline distT="0" distB="0" distL="114300" distR="114300">
                  <wp:extent cx="4337685" cy="3328035"/>
                  <wp:effectExtent l="0" t="0" r="5715" b="5715"/>
                  <wp:docPr id="50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图片 4"/>
                          <pic:cNvPicPr>
                            <a:picLocks noChangeAspect="1"/>
                          </pic:cNvPicPr>
                        </pic:nvPicPr>
                        <pic:blipFill>
                          <a:blip r:embed="rId23"/>
                          <a:stretch>
                            <a:fillRect/>
                          </a:stretch>
                        </pic:blipFill>
                        <pic:spPr>
                          <a:xfrm>
                            <a:off x="0" y="0"/>
                            <a:ext cx="4337685" cy="3328035"/>
                          </a:xfrm>
                          <a:prstGeom prst="rect">
                            <a:avLst/>
                          </a:prstGeom>
                          <a:noFill/>
                          <a:ln>
                            <a:noFill/>
                          </a:ln>
                        </pic:spPr>
                      </pic:pic>
                    </a:graphicData>
                  </a:graphic>
                </wp:inline>
              </w:drawing>
            </w:r>
          </w:p>
          <w:p w14:paraId="26D16A76">
            <w:pPr>
              <w:pStyle w:val="101"/>
              <w:adjustRightInd w:val="0"/>
              <w:snapToGrid w:val="0"/>
              <w:ind w:firstLine="422"/>
              <w:jc w:val="center"/>
              <w:rPr>
                <w:lang w:eastAsia="zh-CN"/>
              </w:rPr>
            </w:pPr>
            <w:r>
              <w:rPr>
                <w:rFonts w:hint="eastAsia" w:ascii="Times New Roman" w:hAnsi="Times New Roman"/>
                <w:b/>
                <w:bCs/>
                <w:kern w:val="2"/>
                <w:sz w:val="21"/>
                <w:szCs w:val="21"/>
                <w:lang w:eastAsia="zh-CN"/>
              </w:rPr>
              <w:t>图3-1  2023年惠州市生态环境状况公报截图-环境空气质量</w:t>
            </w:r>
          </w:p>
          <w:p w14:paraId="6725CFCB">
            <w:pPr>
              <w:ind w:firstLine="480"/>
              <w:jc w:val="both"/>
            </w:pPr>
            <w:r>
              <w:rPr>
                <w:rFonts w:hint="eastAsia"/>
              </w:rPr>
              <w:t>根据《</w:t>
            </w:r>
            <w:r>
              <w:t>202</w:t>
            </w:r>
            <w:r>
              <w:rPr>
                <w:rFonts w:hint="eastAsia"/>
              </w:rPr>
              <w:t>3年惠州市生态环境状况公报》，项目所在区域环境空气质量优良，满足</w:t>
            </w:r>
            <w:r>
              <w:t>《环境空气质量标准》（GB3095-2012）</w:t>
            </w:r>
            <w:r>
              <w:rPr>
                <w:spacing w:val="-29"/>
              </w:rPr>
              <w:t xml:space="preserve">及 </w:t>
            </w:r>
            <w:r>
              <w:t xml:space="preserve">2018 </w:t>
            </w:r>
            <w:r>
              <w:rPr>
                <w:spacing w:val="-2"/>
              </w:rPr>
              <w:t>年修改单的二</w:t>
            </w:r>
            <w:r>
              <w:t>级标准，所在区域为环境空气质量达标区。</w:t>
            </w:r>
          </w:p>
          <w:p w14:paraId="28BC808B">
            <w:pPr>
              <w:pStyle w:val="101"/>
              <w:ind w:firstLine="482"/>
              <w:jc w:val="both"/>
              <w:rPr>
                <w:rFonts w:ascii="Times New Roman" w:hAnsi="Times New Roman"/>
                <w:b/>
                <w:kern w:val="2"/>
                <w:sz w:val="24"/>
                <w:szCs w:val="24"/>
                <w:lang w:eastAsia="zh-CN"/>
              </w:rPr>
            </w:pPr>
            <w:r>
              <w:rPr>
                <w:rFonts w:ascii="Times New Roman" w:hAnsi="Times New Roman"/>
                <w:b/>
                <w:kern w:val="2"/>
                <w:sz w:val="24"/>
                <w:szCs w:val="24"/>
                <w:lang w:eastAsia="zh-CN"/>
              </w:rPr>
              <w:t>(2)</w:t>
            </w:r>
            <w:r>
              <w:rPr>
                <w:rFonts w:hint="eastAsia" w:ascii="Times New Roman" w:hAnsi="Times New Roman"/>
                <w:b/>
                <w:kern w:val="2"/>
                <w:sz w:val="24"/>
                <w:szCs w:val="24"/>
                <w:lang w:eastAsia="zh-CN"/>
              </w:rPr>
              <w:t>特征污染物环境质量现状</w:t>
            </w:r>
          </w:p>
          <w:p w14:paraId="4A44B0CD">
            <w:pPr>
              <w:widowControl/>
              <w:kinsoku w:val="0"/>
              <w:autoSpaceDE w:val="0"/>
              <w:autoSpaceDN w:val="0"/>
              <w:ind w:firstLine="472"/>
              <w:jc w:val="both"/>
              <w:textAlignment w:val="baseline"/>
              <w:rPr>
                <w:rFonts w:cs="宋体"/>
                <w:snapToGrid w:val="0"/>
                <w:color w:val="000000"/>
                <w:spacing w:val="-2"/>
                <w:kern w:val="0"/>
              </w:rPr>
            </w:pPr>
            <w:r>
              <w:rPr>
                <w:rFonts w:cs="宋体"/>
                <w:snapToGrid w:val="0"/>
                <w:color w:val="000000"/>
                <w:spacing w:val="-2"/>
                <w:kern w:val="0"/>
              </w:rPr>
              <w:t>本项目特征污染物为非甲烷总烃</w:t>
            </w:r>
            <w:r>
              <w:rPr>
                <w:rFonts w:hint="eastAsia" w:cs="宋体"/>
                <w:snapToGrid w:val="0"/>
                <w:color w:val="000000"/>
                <w:spacing w:val="-2"/>
                <w:kern w:val="0"/>
              </w:rPr>
              <w:t>、</w:t>
            </w:r>
            <w:r>
              <w:rPr>
                <w:rFonts w:cs="宋体"/>
                <w:snapToGrid w:val="0"/>
                <w:color w:val="000000"/>
                <w:spacing w:val="-2"/>
                <w:kern w:val="0"/>
              </w:rPr>
              <w:t>TSP</w:t>
            </w:r>
            <w:r>
              <w:rPr>
                <w:rFonts w:hint="eastAsia" w:cs="宋体"/>
                <w:snapToGrid w:val="0"/>
                <w:color w:val="000000"/>
                <w:spacing w:val="-2"/>
                <w:kern w:val="0"/>
              </w:rPr>
              <w:t>、臭气浓度</w:t>
            </w:r>
            <w:r>
              <w:rPr>
                <w:rFonts w:cs="宋体"/>
                <w:snapToGrid w:val="0"/>
                <w:color w:val="000000"/>
                <w:spacing w:val="-2"/>
                <w:kern w:val="0"/>
              </w:rPr>
              <w:t>，</w:t>
            </w:r>
            <w:r>
              <w:rPr>
                <w:rFonts w:hint="eastAsia" w:cs="宋体"/>
                <w:snapToGrid w:val="0"/>
                <w:color w:val="000000"/>
                <w:spacing w:val="-2"/>
                <w:kern w:val="0"/>
              </w:rPr>
              <w:t>本项目引用《广东江丰精密制造有限公司显示面板及半导体设备高端金属材料和部件项目环境影响报告书》（惠市环建[2023]27号）中委托广州中诺检测技术有限公司于2022年6月30日~2022年7月6日对该公司项目所在地进行的现状监测数据（报告编号：CNT202202310），监测点位于本项目北面420m处，</w:t>
            </w:r>
            <w:r>
              <w:rPr>
                <w:rFonts w:hint="eastAsia" w:cs="宋体"/>
                <w:snapToGrid w:val="0"/>
                <w:color w:val="000000"/>
                <w:spacing w:val="-3"/>
                <w:kern w:val="0"/>
              </w:rPr>
              <w:t>监测点与本项目位置关系见图3-2。引用数据</w:t>
            </w:r>
            <w:r>
              <w:rPr>
                <w:rFonts w:hint="eastAsia" w:cs="宋体"/>
                <w:snapToGrid w:val="0"/>
                <w:color w:val="000000"/>
                <w:spacing w:val="-2"/>
                <w:kern w:val="0"/>
              </w:rPr>
              <w:t>符合建设项目周边5</w:t>
            </w:r>
            <w:r>
              <w:rPr>
                <w:rFonts w:cs="宋体"/>
                <w:snapToGrid w:val="0"/>
                <w:color w:val="000000"/>
                <w:spacing w:val="-1"/>
                <w:kern w:val="0"/>
              </w:rPr>
              <w:t>km</w:t>
            </w:r>
            <w:r>
              <w:rPr>
                <w:rFonts w:hint="eastAsia" w:cs="宋体"/>
                <w:snapToGrid w:val="0"/>
                <w:color w:val="000000"/>
                <w:spacing w:val="-2"/>
                <w:kern w:val="0"/>
              </w:rPr>
              <w:t>范围内近3年的现有监测数据的要求，因此引用数据具有可行性，具体现状监测数据见下表。</w:t>
            </w:r>
          </w:p>
          <w:p w14:paraId="13F1DEDA">
            <w:pPr>
              <w:kinsoku w:val="0"/>
              <w:autoSpaceDE w:val="0"/>
              <w:autoSpaceDN w:val="0"/>
              <w:adjustRightInd w:val="0"/>
              <w:snapToGrid w:val="0"/>
              <w:spacing w:before="35" w:line="212" w:lineRule="auto"/>
              <w:ind w:firstLine="406"/>
              <w:jc w:val="center"/>
              <w:textAlignment w:val="baseline"/>
              <w:rPr>
                <w:rFonts w:cs="宋体"/>
                <w:snapToGrid w:val="0"/>
                <w:color w:val="000000"/>
                <w:kern w:val="0"/>
                <w:sz w:val="21"/>
                <w:szCs w:val="21"/>
              </w:rPr>
            </w:pPr>
            <w:r>
              <w:rPr>
                <w:rFonts w:cs="宋体"/>
                <w:b/>
                <w:bCs/>
                <w:snapToGrid w:val="0"/>
                <w:color w:val="000000"/>
                <w:spacing w:val="-4"/>
                <w:kern w:val="0"/>
                <w:sz w:val="21"/>
                <w:szCs w:val="21"/>
              </w:rPr>
              <w:t>表3-1</w:t>
            </w:r>
            <w:r>
              <w:rPr>
                <w:rFonts w:hint="eastAsia" w:cs="宋体"/>
                <w:b/>
                <w:bCs/>
                <w:snapToGrid w:val="0"/>
                <w:color w:val="000000"/>
                <w:spacing w:val="-4"/>
                <w:kern w:val="0"/>
                <w:sz w:val="21"/>
                <w:szCs w:val="21"/>
              </w:rPr>
              <w:t xml:space="preserve"> </w:t>
            </w:r>
            <w:r>
              <w:rPr>
                <w:rFonts w:cs="宋体"/>
                <w:b/>
                <w:bCs/>
                <w:snapToGrid w:val="0"/>
                <w:color w:val="000000"/>
                <w:spacing w:val="-4"/>
                <w:kern w:val="0"/>
                <w:sz w:val="21"/>
                <w:szCs w:val="21"/>
              </w:rPr>
              <w:t>引用现状环境空气质量监测数据一览表</w:t>
            </w:r>
          </w:p>
          <w:tbl>
            <w:tblPr>
              <w:tblStyle w:val="110"/>
              <w:tblW w:w="4997" w:type="pct"/>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1093"/>
              <w:gridCol w:w="1096"/>
              <w:gridCol w:w="1127"/>
              <w:gridCol w:w="1115"/>
              <w:gridCol w:w="1294"/>
              <w:gridCol w:w="913"/>
              <w:gridCol w:w="913"/>
              <w:gridCol w:w="913"/>
            </w:tblGrid>
            <w:tr w14:paraId="2ABF6A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4" w:hRule="atLeast"/>
                <w:jc w:val="center"/>
              </w:trPr>
              <w:tc>
                <w:tcPr>
                  <w:tcW w:w="645" w:type="pct"/>
                  <w:vAlign w:val="center"/>
                </w:tcPr>
                <w:p w14:paraId="06E7F4D0">
                  <w:pPr>
                    <w:widowControl/>
                    <w:kinsoku w:val="0"/>
                    <w:autoSpaceDE w:val="0"/>
                    <w:autoSpaceDN w:val="0"/>
                    <w:spacing w:line="240" w:lineRule="auto"/>
                    <w:ind w:firstLine="0" w:firstLineChars="0"/>
                    <w:jc w:val="center"/>
                    <w:textAlignment w:val="baseline"/>
                    <w:rPr>
                      <w:rFonts w:cs="宋体"/>
                      <w:snapToGrid w:val="0"/>
                      <w:color w:val="000000"/>
                      <w:kern w:val="0"/>
                      <w:sz w:val="21"/>
                      <w:szCs w:val="21"/>
                    </w:rPr>
                  </w:pPr>
                  <w:r>
                    <w:rPr>
                      <w:rFonts w:cs="宋体"/>
                      <w:b/>
                      <w:bCs/>
                      <w:snapToGrid w:val="0"/>
                      <w:color w:val="000000"/>
                      <w:spacing w:val="3"/>
                      <w:kern w:val="0"/>
                      <w:sz w:val="21"/>
                      <w:szCs w:val="21"/>
                    </w:rPr>
                    <w:t>监测</w:t>
                  </w:r>
                  <w:r>
                    <w:rPr>
                      <w:rFonts w:cs="宋体"/>
                      <w:b/>
                      <w:bCs/>
                      <w:snapToGrid w:val="0"/>
                      <w:color w:val="000000"/>
                      <w:spacing w:val="-3"/>
                      <w:kern w:val="0"/>
                      <w:sz w:val="21"/>
                      <w:szCs w:val="21"/>
                    </w:rPr>
                    <w:t>点</w:t>
                  </w:r>
                  <w:r>
                    <w:rPr>
                      <w:rFonts w:hint="eastAsia" w:cs="宋体"/>
                      <w:b/>
                      <w:bCs/>
                      <w:snapToGrid w:val="0"/>
                      <w:color w:val="000000"/>
                      <w:spacing w:val="-3"/>
                      <w:kern w:val="0"/>
                      <w:sz w:val="21"/>
                      <w:szCs w:val="21"/>
                    </w:rPr>
                    <w:t>位</w:t>
                  </w:r>
                </w:p>
              </w:tc>
              <w:tc>
                <w:tcPr>
                  <w:tcW w:w="647" w:type="pct"/>
                  <w:vAlign w:val="center"/>
                </w:tcPr>
                <w:p w14:paraId="6A46457B">
                  <w:pPr>
                    <w:widowControl/>
                    <w:kinsoku w:val="0"/>
                    <w:autoSpaceDE w:val="0"/>
                    <w:autoSpaceDN w:val="0"/>
                    <w:spacing w:line="240" w:lineRule="auto"/>
                    <w:ind w:firstLine="0" w:firstLineChars="0"/>
                    <w:jc w:val="center"/>
                    <w:textAlignment w:val="baseline"/>
                    <w:rPr>
                      <w:rFonts w:cs="宋体"/>
                      <w:snapToGrid w:val="0"/>
                      <w:color w:val="000000"/>
                      <w:kern w:val="0"/>
                      <w:sz w:val="21"/>
                      <w:szCs w:val="21"/>
                    </w:rPr>
                  </w:pPr>
                  <w:r>
                    <w:rPr>
                      <w:rFonts w:cs="宋体"/>
                      <w:b/>
                      <w:bCs/>
                      <w:snapToGrid w:val="0"/>
                      <w:color w:val="000000"/>
                      <w:spacing w:val="5"/>
                      <w:kern w:val="0"/>
                      <w:sz w:val="21"/>
                      <w:szCs w:val="21"/>
                    </w:rPr>
                    <w:t>污染物</w:t>
                  </w:r>
                </w:p>
              </w:tc>
              <w:tc>
                <w:tcPr>
                  <w:tcW w:w="665" w:type="pct"/>
                  <w:vAlign w:val="center"/>
                </w:tcPr>
                <w:p w14:paraId="228D79DE">
                  <w:pPr>
                    <w:widowControl/>
                    <w:kinsoku w:val="0"/>
                    <w:autoSpaceDE w:val="0"/>
                    <w:autoSpaceDN w:val="0"/>
                    <w:spacing w:line="240" w:lineRule="auto"/>
                    <w:ind w:firstLine="0" w:firstLineChars="0"/>
                    <w:jc w:val="center"/>
                    <w:textAlignment w:val="baseline"/>
                    <w:rPr>
                      <w:rFonts w:cs="宋体"/>
                      <w:b/>
                      <w:bCs/>
                      <w:snapToGrid w:val="0"/>
                      <w:color w:val="000000"/>
                      <w:spacing w:val="6"/>
                      <w:kern w:val="0"/>
                      <w:sz w:val="21"/>
                      <w:szCs w:val="21"/>
                    </w:rPr>
                  </w:pPr>
                  <w:r>
                    <w:rPr>
                      <w:rFonts w:hint="eastAsia" w:cs="宋体"/>
                      <w:b/>
                      <w:bCs/>
                      <w:snapToGrid w:val="0"/>
                      <w:color w:val="000000"/>
                      <w:spacing w:val="6"/>
                      <w:kern w:val="0"/>
                      <w:sz w:val="21"/>
                      <w:szCs w:val="21"/>
                    </w:rPr>
                    <w:t>监测时段</w:t>
                  </w:r>
                </w:p>
              </w:tc>
              <w:tc>
                <w:tcPr>
                  <w:tcW w:w="658" w:type="pct"/>
                  <w:vAlign w:val="center"/>
                </w:tcPr>
                <w:p w14:paraId="4E061010">
                  <w:pPr>
                    <w:widowControl/>
                    <w:kinsoku w:val="0"/>
                    <w:autoSpaceDE w:val="0"/>
                    <w:autoSpaceDN w:val="0"/>
                    <w:spacing w:line="240" w:lineRule="auto"/>
                    <w:ind w:firstLine="0" w:firstLineChars="0"/>
                    <w:jc w:val="center"/>
                    <w:textAlignment w:val="baseline"/>
                    <w:rPr>
                      <w:rFonts w:cs="宋体"/>
                      <w:b/>
                      <w:bCs/>
                      <w:snapToGrid w:val="0"/>
                      <w:color w:val="000000"/>
                      <w:spacing w:val="6"/>
                      <w:kern w:val="0"/>
                      <w:sz w:val="21"/>
                      <w:szCs w:val="21"/>
                    </w:rPr>
                  </w:pPr>
                  <w:r>
                    <w:rPr>
                      <w:rFonts w:cs="宋体"/>
                      <w:b/>
                      <w:bCs/>
                      <w:snapToGrid w:val="0"/>
                      <w:color w:val="000000"/>
                      <w:spacing w:val="6"/>
                      <w:kern w:val="0"/>
                      <w:sz w:val="21"/>
                      <w:szCs w:val="21"/>
                    </w:rPr>
                    <w:t>评价标准</w:t>
                  </w:r>
                  <w:r>
                    <w:rPr>
                      <w:rFonts w:hint="eastAsia" w:cs="宋体"/>
                      <w:b/>
                      <w:bCs/>
                      <w:snapToGrid w:val="0"/>
                      <w:color w:val="000000"/>
                      <w:spacing w:val="6"/>
                      <w:kern w:val="0"/>
                      <w:sz w:val="21"/>
                      <w:szCs w:val="21"/>
                    </w:rPr>
                    <w:t>/（</w:t>
                  </w:r>
                  <w:r>
                    <w:rPr>
                      <w:rFonts w:cs="宋体"/>
                      <w:b/>
                      <w:bCs/>
                      <w:snapToGrid w:val="0"/>
                      <w:color w:val="000000"/>
                      <w:kern w:val="0"/>
                      <w:sz w:val="21"/>
                      <w:szCs w:val="21"/>
                    </w:rPr>
                    <w:t>mg</w:t>
                  </w:r>
                  <w:r>
                    <w:rPr>
                      <w:rFonts w:cs="宋体"/>
                      <w:b/>
                      <w:bCs/>
                      <w:snapToGrid w:val="0"/>
                      <w:color w:val="000000"/>
                      <w:spacing w:val="6"/>
                      <w:kern w:val="0"/>
                      <w:sz w:val="21"/>
                      <w:szCs w:val="21"/>
                    </w:rPr>
                    <w:t>/m</w:t>
                  </w:r>
                  <w:r>
                    <w:rPr>
                      <w:rFonts w:hint="eastAsia" w:cs="宋体"/>
                      <w:b/>
                      <w:bCs/>
                      <w:snapToGrid w:val="0"/>
                      <w:color w:val="000000"/>
                      <w:spacing w:val="6"/>
                      <w:kern w:val="0"/>
                      <w:sz w:val="21"/>
                      <w:szCs w:val="21"/>
                      <w:vertAlign w:val="superscript"/>
                    </w:rPr>
                    <w:t>3</w:t>
                  </w:r>
                  <w:r>
                    <w:rPr>
                      <w:rFonts w:hint="eastAsia" w:cs="宋体"/>
                      <w:b/>
                      <w:bCs/>
                      <w:snapToGrid w:val="0"/>
                      <w:color w:val="000000"/>
                      <w:spacing w:val="6"/>
                      <w:kern w:val="0"/>
                      <w:sz w:val="21"/>
                      <w:szCs w:val="21"/>
                    </w:rPr>
                    <w:t>）</w:t>
                  </w:r>
                </w:p>
              </w:tc>
              <w:tc>
                <w:tcPr>
                  <w:tcW w:w="764" w:type="pct"/>
                  <w:vAlign w:val="center"/>
                </w:tcPr>
                <w:p w14:paraId="7341ABAC">
                  <w:pPr>
                    <w:widowControl/>
                    <w:kinsoku w:val="0"/>
                    <w:autoSpaceDE w:val="0"/>
                    <w:autoSpaceDN w:val="0"/>
                    <w:spacing w:line="240" w:lineRule="auto"/>
                    <w:ind w:firstLine="0" w:firstLineChars="0"/>
                    <w:jc w:val="center"/>
                    <w:textAlignment w:val="baseline"/>
                    <w:rPr>
                      <w:rFonts w:cs="宋体"/>
                      <w:snapToGrid w:val="0"/>
                      <w:color w:val="000000"/>
                      <w:kern w:val="0"/>
                      <w:sz w:val="21"/>
                      <w:szCs w:val="21"/>
                    </w:rPr>
                  </w:pPr>
                  <w:r>
                    <w:rPr>
                      <w:rFonts w:cs="宋体"/>
                      <w:b/>
                      <w:bCs/>
                      <w:snapToGrid w:val="0"/>
                      <w:color w:val="000000"/>
                      <w:spacing w:val="6"/>
                      <w:kern w:val="0"/>
                      <w:sz w:val="21"/>
                      <w:szCs w:val="21"/>
                    </w:rPr>
                    <w:t>监测浓度范围</w:t>
                  </w:r>
                  <w:r>
                    <w:rPr>
                      <w:rFonts w:hint="eastAsia" w:cs="宋体"/>
                      <w:b/>
                      <w:bCs/>
                      <w:snapToGrid w:val="0"/>
                      <w:color w:val="000000"/>
                      <w:spacing w:val="6"/>
                      <w:kern w:val="0"/>
                      <w:sz w:val="21"/>
                      <w:szCs w:val="21"/>
                    </w:rPr>
                    <w:t>/（</w:t>
                  </w:r>
                  <w:r>
                    <w:rPr>
                      <w:rFonts w:cs="宋体"/>
                      <w:b/>
                      <w:bCs/>
                      <w:snapToGrid w:val="0"/>
                      <w:color w:val="000000"/>
                      <w:kern w:val="0"/>
                      <w:sz w:val="21"/>
                      <w:szCs w:val="21"/>
                    </w:rPr>
                    <w:t>mg</w:t>
                  </w:r>
                  <w:r>
                    <w:rPr>
                      <w:rFonts w:cs="宋体"/>
                      <w:b/>
                      <w:bCs/>
                      <w:snapToGrid w:val="0"/>
                      <w:color w:val="000000"/>
                      <w:spacing w:val="6"/>
                      <w:kern w:val="0"/>
                      <w:sz w:val="21"/>
                      <w:szCs w:val="21"/>
                    </w:rPr>
                    <w:t>/m</w:t>
                  </w:r>
                  <w:r>
                    <w:rPr>
                      <w:rFonts w:hint="eastAsia" w:cs="宋体"/>
                      <w:b/>
                      <w:bCs/>
                      <w:snapToGrid w:val="0"/>
                      <w:color w:val="000000"/>
                      <w:spacing w:val="6"/>
                      <w:kern w:val="0"/>
                      <w:sz w:val="21"/>
                      <w:szCs w:val="21"/>
                      <w:vertAlign w:val="superscript"/>
                    </w:rPr>
                    <w:t>3</w:t>
                  </w:r>
                  <w:r>
                    <w:rPr>
                      <w:rFonts w:hint="eastAsia" w:cs="宋体"/>
                      <w:b/>
                      <w:bCs/>
                      <w:snapToGrid w:val="0"/>
                      <w:color w:val="000000"/>
                      <w:spacing w:val="6"/>
                      <w:kern w:val="0"/>
                      <w:sz w:val="21"/>
                      <w:szCs w:val="21"/>
                    </w:rPr>
                    <w:t>）</w:t>
                  </w:r>
                </w:p>
              </w:tc>
              <w:tc>
                <w:tcPr>
                  <w:tcW w:w="539" w:type="pct"/>
                  <w:vAlign w:val="center"/>
                </w:tcPr>
                <w:p w14:paraId="2C1877C0">
                  <w:pPr>
                    <w:widowControl/>
                    <w:kinsoku w:val="0"/>
                    <w:autoSpaceDE w:val="0"/>
                    <w:autoSpaceDN w:val="0"/>
                    <w:spacing w:line="240" w:lineRule="auto"/>
                    <w:ind w:firstLine="0" w:firstLineChars="0"/>
                    <w:jc w:val="center"/>
                    <w:textAlignment w:val="baseline"/>
                    <w:rPr>
                      <w:rFonts w:cs="宋体"/>
                      <w:b/>
                      <w:bCs/>
                      <w:snapToGrid w:val="0"/>
                      <w:color w:val="000000"/>
                      <w:spacing w:val="7"/>
                      <w:kern w:val="0"/>
                      <w:sz w:val="21"/>
                      <w:szCs w:val="21"/>
                    </w:rPr>
                  </w:pPr>
                  <w:r>
                    <w:rPr>
                      <w:rFonts w:hint="eastAsia" w:cs="宋体"/>
                      <w:b/>
                      <w:bCs/>
                      <w:snapToGrid w:val="0"/>
                      <w:color w:val="000000"/>
                      <w:spacing w:val="7"/>
                      <w:kern w:val="0"/>
                      <w:sz w:val="21"/>
                      <w:szCs w:val="21"/>
                    </w:rPr>
                    <w:t>最大浓度</w:t>
                  </w:r>
                </w:p>
                <w:p w14:paraId="20969B8A">
                  <w:pPr>
                    <w:widowControl/>
                    <w:kinsoku w:val="0"/>
                    <w:autoSpaceDE w:val="0"/>
                    <w:autoSpaceDN w:val="0"/>
                    <w:spacing w:line="240" w:lineRule="auto"/>
                    <w:ind w:firstLine="0" w:firstLineChars="0"/>
                    <w:jc w:val="center"/>
                    <w:textAlignment w:val="baseline"/>
                    <w:rPr>
                      <w:rFonts w:cs="宋体"/>
                      <w:b/>
                      <w:bCs/>
                      <w:snapToGrid w:val="0"/>
                      <w:color w:val="000000"/>
                      <w:spacing w:val="7"/>
                      <w:kern w:val="0"/>
                      <w:sz w:val="21"/>
                      <w:szCs w:val="21"/>
                    </w:rPr>
                  </w:pPr>
                  <w:r>
                    <w:rPr>
                      <w:rFonts w:hint="eastAsia" w:cs="宋体"/>
                      <w:b/>
                      <w:bCs/>
                      <w:snapToGrid w:val="0"/>
                      <w:color w:val="000000"/>
                      <w:spacing w:val="7"/>
                      <w:kern w:val="0"/>
                      <w:sz w:val="21"/>
                      <w:szCs w:val="21"/>
                    </w:rPr>
                    <w:t>占标率%</w:t>
                  </w:r>
                </w:p>
              </w:tc>
              <w:tc>
                <w:tcPr>
                  <w:tcW w:w="539" w:type="pct"/>
                  <w:vAlign w:val="center"/>
                </w:tcPr>
                <w:p w14:paraId="288D6A42">
                  <w:pPr>
                    <w:widowControl/>
                    <w:kinsoku w:val="0"/>
                    <w:autoSpaceDE w:val="0"/>
                    <w:autoSpaceDN w:val="0"/>
                    <w:spacing w:line="240" w:lineRule="auto"/>
                    <w:ind w:firstLine="0" w:firstLineChars="0"/>
                    <w:jc w:val="center"/>
                    <w:textAlignment w:val="baseline"/>
                    <w:rPr>
                      <w:rFonts w:cs="宋体"/>
                      <w:snapToGrid w:val="0"/>
                      <w:color w:val="000000"/>
                      <w:kern w:val="0"/>
                      <w:sz w:val="21"/>
                      <w:szCs w:val="21"/>
                    </w:rPr>
                  </w:pPr>
                  <w:r>
                    <w:rPr>
                      <w:rFonts w:cs="宋体"/>
                      <w:b/>
                      <w:bCs/>
                      <w:snapToGrid w:val="0"/>
                      <w:color w:val="000000"/>
                      <w:spacing w:val="7"/>
                      <w:kern w:val="0"/>
                      <w:sz w:val="21"/>
                      <w:szCs w:val="21"/>
                    </w:rPr>
                    <w:t>超标率%</w:t>
                  </w:r>
                </w:p>
              </w:tc>
              <w:tc>
                <w:tcPr>
                  <w:tcW w:w="539" w:type="pct"/>
                  <w:vAlign w:val="center"/>
                </w:tcPr>
                <w:p w14:paraId="290DB4DB">
                  <w:pPr>
                    <w:widowControl/>
                    <w:kinsoku w:val="0"/>
                    <w:autoSpaceDE w:val="0"/>
                    <w:autoSpaceDN w:val="0"/>
                    <w:spacing w:line="240" w:lineRule="auto"/>
                    <w:ind w:firstLine="0" w:firstLineChars="0"/>
                    <w:jc w:val="center"/>
                    <w:textAlignment w:val="baseline"/>
                    <w:rPr>
                      <w:rFonts w:cs="宋体"/>
                      <w:snapToGrid w:val="0"/>
                      <w:color w:val="000000"/>
                      <w:kern w:val="0"/>
                      <w:sz w:val="21"/>
                      <w:szCs w:val="21"/>
                    </w:rPr>
                  </w:pPr>
                  <w:r>
                    <w:rPr>
                      <w:rFonts w:cs="宋体"/>
                      <w:b/>
                      <w:bCs/>
                      <w:snapToGrid w:val="0"/>
                      <w:color w:val="000000"/>
                      <w:spacing w:val="6"/>
                      <w:kern w:val="0"/>
                      <w:sz w:val="21"/>
                      <w:szCs w:val="21"/>
                    </w:rPr>
                    <w:t>达标情况</w:t>
                  </w:r>
                </w:p>
              </w:tc>
            </w:tr>
            <w:tr w14:paraId="2719A1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jc w:val="center"/>
              </w:trPr>
              <w:tc>
                <w:tcPr>
                  <w:tcW w:w="645" w:type="pct"/>
                  <w:vMerge w:val="restart"/>
                  <w:tcBorders>
                    <w:bottom w:val="nil"/>
                  </w:tcBorders>
                  <w:vAlign w:val="center"/>
                </w:tcPr>
                <w:p w14:paraId="779B931B">
                  <w:pPr>
                    <w:widowControl/>
                    <w:kinsoku w:val="0"/>
                    <w:autoSpaceDE w:val="0"/>
                    <w:autoSpaceDN w:val="0"/>
                    <w:spacing w:line="240" w:lineRule="auto"/>
                    <w:ind w:firstLine="0" w:firstLineChars="0"/>
                    <w:jc w:val="center"/>
                    <w:textAlignment w:val="baseline"/>
                    <w:rPr>
                      <w:rFonts w:cs="宋体"/>
                      <w:snapToGrid w:val="0"/>
                      <w:color w:val="000000"/>
                      <w:kern w:val="0"/>
                      <w:sz w:val="21"/>
                      <w:szCs w:val="21"/>
                    </w:rPr>
                  </w:pPr>
                  <w:bookmarkStart w:id="214" w:name="_Toc17573"/>
                  <w:r>
                    <w:rPr>
                      <w:rFonts w:hint="eastAsia" w:cs="宋体"/>
                      <w:snapToGrid w:val="0"/>
                      <w:color w:val="000000"/>
                      <w:kern w:val="0"/>
                      <w:sz w:val="21"/>
                      <w:szCs w:val="21"/>
                    </w:rPr>
                    <w:t>G1</w:t>
                  </w:r>
                  <w:bookmarkEnd w:id="214"/>
                  <w:r>
                    <w:rPr>
                      <w:rFonts w:hint="eastAsia" w:cs="宋体"/>
                      <w:snapToGrid w:val="0"/>
                      <w:color w:val="000000"/>
                      <w:kern w:val="0"/>
                      <w:sz w:val="21"/>
                      <w:szCs w:val="21"/>
                    </w:rPr>
                    <w:t>广东江丰精密制造有限公司厂区所在地</w:t>
                  </w:r>
                </w:p>
              </w:tc>
              <w:tc>
                <w:tcPr>
                  <w:tcW w:w="647" w:type="pct"/>
                  <w:vAlign w:val="center"/>
                </w:tcPr>
                <w:p w14:paraId="45CD119C">
                  <w:pPr>
                    <w:widowControl/>
                    <w:kinsoku w:val="0"/>
                    <w:autoSpaceDE w:val="0"/>
                    <w:autoSpaceDN w:val="0"/>
                    <w:spacing w:line="240" w:lineRule="auto"/>
                    <w:ind w:firstLine="0" w:firstLineChars="0"/>
                    <w:jc w:val="center"/>
                    <w:textAlignment w:val="baseline"/>
                    <w:rPr>
                      <w:rFonts w:cs="宋体"/>
                      <w:snapToGrid w:val="0"/>
                      <w:color w:val="000000"/>
                      <w:kern w:val="0"/>
                      <w:sz w:val="21"/>
                      <w:szCs w:val="21"/>
                    </w:rPr>
                  </w:pPr>
                  <w:bookmarkStart w:id="215" w:name="_Toc7899"/>
                  <w:r>
                    <w:rPr>
                      <w:rFonts w:cs="宋体"/>
                      <w:snapToGrid w:val="0"/>
                      <w:color w:val="000000"/>
                      <w:spacing w:val="7"/>
                      <w:kern w:val="0"/>
                      <w:sz w:val="21"/>
                      <w:szCs w:val="21"/>
                    </w:rPr>
                    <w:t>非甲烷总烃</w:t>
                  </w:r>
                  <w:bookmarkEnd w:id="215"/>
                </w:p>
              </w:tc>
              <w:tc>
                <w:tcPr>
                  <w:tcW w:w="665" w:type="pct"/>
                  <w:vAlign w:val="center"/>
                </w:tcPr>
                <w:p w14:paraId="7CD872E8">
                  <w:pPr>
                    <w:widowControl/>
                    <w:kinsoku w:val="0"/>
                    <w:autoSpaceDE w:val="0"/>
                    <w:autoSpaceDN w:val="0"/>
                    <w:spacing w:line="240" w:lineRule="auto"/>
                    <w:ind w:firstLine="0" w:firstLineChars="0"/>
                    <w:jc w:val="center"/>
                    <w:textAlignment w:val="baseline"/>
                    <w:rPr>
                      <w:rFonts w:cs="宋体"/>
                      <w:snapToGrid w:val="0"/>
                      <w:color w:val="000000"/>
                      <w:kern w:val="0"/>
                      <w:sz w:val="21"/>
                      <w:szCs w:val="21"/>
                    </w:rPr>
                  </w:pPr>
                  <w:r>
                    <w:rPr>
                      <w:rFonts w:hint="eastAsia" w:cs="宋体"/>
                      <w:snapToGrid w:val="0"/>
                      <w:color w:val="000000"/>
                      <w:kern w:val="0"/>
                      <w:sz w:val="21"/>
                      <w:szCs w:val="21"/>
                    </w:rPr>
                    <w:t>1小时均值</w:t>
                  </w:r>
                </w:p>
              </w:tc>
              <w:tc>
                <w:tcPr>
                  <w:tcW w:w="658" w:type="pct"/>
                  <w:vAlign w:val="center"/>
                </w:tcPr>
                <w:p w14:paraId="535E6A05">
                  <w:pPr>
                    <w:widowControl/>
                    <w:kinsoku w:val="0"/>
                    <w:autoSpaceDE w:val="0"/>
                    <w:autoSpaceDN w:val="0"/>
                    <w:spacing w:line="240" w:lineRule="auto"/>
                    <w:ind w:firstLine="0" w:firstLineChars="0"/>
                    <w:jc w:val="center"/>
                    <w:textAlignment w:val="baseline"/>
                    <w:rPr>
                      <w:rFonts w:cs="宋体"/>
                      <w:snapToGrid w:val="0"/>
                      <w:color w:val="000000"/>
                      <w:kern w:val="0"/>
                      <w:sz w:val="21"/>
                      <w:szCs w:val="21"/>
                    </w:rPr>
                  </w:pPr>
                  <w:r>
                    <w:rPr>
                      <w:rFonts w:hint="eastAsia" w:cs="宋体"/>
                      <w:snapToGrid w:val="0"/>
                      <w:color w:val="000000"/>
                      <w:kern w:val="0"/>
                      <w:sz w:val="21"/>
                      <w:szCs w:val="21"/>
                    </w:rPr>
                    <w:t>2.0</w:t>
                  </w:r>
                </w:p>
              </w:tc>
              <w:tc>
                <w:tcPr>
                  <w:tcW w:w="764" w:type="pct"/>
                  <w:vAlign w:val="center"/>
                </w:tcPr>
                <w:p w14:paraId="4FA2094A">
                  <w:pPr>
                    <w:widowControl/>
                    <w:kinsoku w:val="0"/>
                    <w:autoSpaceDE w:val="0"/>
                    <w:autoSpaceDN w:val="0"/>
                    <w:spacing w:line="240" w:lineRule="auto"/>
                    <w:ind w:firstLine="0" w:firstLineChars="0"/>
                    <w:jc w:val="center"/>
                    <w:textAlignment w:val="baseline"/>
                    <w:rPr>
                      <w:rFonts w:cs="宋体"/>
                      <w:snapToGrid w:val="0"/>
                      <w:color w:val="000000"/>
                      <w:kern w:val="0"/>
                      <w:sz w:val="21"/>
                      <w:szCs w:val="21"/>
                    </w:rPr>
                  </w:pPr>
                  <w:r>
                    <w:rPr>
                      <w:rFonts w:hint="eastAsia" w:cs="宋体"/>
                      <w:snapToGrid w:val="0"/>
                      <w:color w:val="000000"/>
                      <w:kern w:val="0"/>
                      <w:sz w:val="21"/>
                      <w:szCs w:val="21"/>
                    </w:rPr>
                    <w:t>0.28-0.52</w:t>
                  </w:r>
                </w:p>
              </w:tc>
              <w:tc>
                <w:tcPr>
                  <w:tcW w:w="539" w:type="pct"/>
                  <w:vAlign w:val="center"/>
                </w:tcPr>
                <w:p w14:paraId="60F840F2">
                  <w:pPr>
                    <w:widowControl/>
                    <w:kinsoku w:val="0"/>
                    <w:autoSpaceDE w:val="0"/>
                    <w:autoSpaceDN w:val="0"/>
                    <w:spacing w:line="240" w:lineRule="auto"/>
                    <w:ind w:firstLine="0" w:firstLineChars="0"/>
                    <w:jc w:val="center"/>
                    <w:textAlignment w:val="baseline"/>
                    <w:rPr>
                      <w:rFonts w:cs="宋体"/>
                      <w:snapToGrid w:val="0"/>
                      <w:color w:val="000000"/>
                      <w:kern w:val="0"/>
                      <w:sz w:val="21"/>
                      <w:szCs w:val="21"/>
                    </w:rPr>
                  </w:pPr>
                  <w:r>
                    <w:rPr>
                      <w:rFonts w:hint="eastAsia" w:cs="宋体"/>
                      <w:snapToGrid w:val="0"/>
                      <w:color w:val="000000"/>
                      <w:kern w:val="0"/>
                      <w:sz w:val="21"/>
                      <w:szCs w:val="21"/>
                    </w:rPr>
                    <w:t>26</w:t>
                  </w:r>
                </w:p>
              </w:tc>
              <w:tc>
                <w:tcPr>
                  <w:tcW w:w="539" w:type="pct"/>
                  <w:vAlign w:val="center"/>
                </w:tcPr>
                <w:p w14:paraId="0B1D658C">
                  <w:pPr>
                    <w:widowControl/>
                    <w:kinsoku w:val="0"/>
                    <w:autoSpaceDE w:val="0"/>
                    <w:autoSpaceDN w:val="0"/>
                    <w:spacing w:line="240" w:lineRule="auto"/>
                    <w:ind w:firstLine="0" w:firstLineChars="0"/>
                    <w:jc w:val="center"/>
                    <w:textAlignment w:val="baseline"/>
                    <w:rPr>
                      <w:rFonts w:cs="宋体"/>
                      <w:snapToGrid w:val="0"/>
                      <w:color w:val="000000"/>
                      <w:kern w:val="0"/>
                      <w:sz w:val="21"/>
                      <w:szCs w:val="21"/>
                    </w:rPr>
                  </w:pPr>
                  <w:r>
                    <w:rPr>
                      <w:rFonts w:cs="宋体"/>
                      <w:snapToGrid w:val="0"/>
                      <w:color w:val="000000"/>
                      <w:kern w:val="0"/>
                      <w:sz w:val="21"/>
                      <w:szCs w:val="21"/>
                    </w:rPr>
                    <w:t>0</w:t>
                  </w:r>
                </w:p>
              </w:tc>
              <w:tc>
                <w:tcPr>
                  <w:tcW w:w="539" w:type="pct"/>
                  <w:vAlign w:val="center"/>
                </w:tcPr>
                <w:p w14:paraId="3016CAAA">
                  <w:pPr>
                    <w:widowControl/>
                    <w:kinsoku w:val="0"/>
                    <w:autoSpaceDE w:val="0"/>
                    <w:autoSpaceDN w:val="0"/>
                    <w:spacing w:line="240" w:lineRule="auto"/>
                    <w:ind w:firstLine="0" w:firstLineChars="0"/>
                    <w:jc w:val="center"/>
                    <w:textAlignment w:val="baseline"/>
                    <w:rPr>
                      <w:rFonts w:cs="宋体"/>
                      <w:snapToGrid w:val="0"/>
                      <w:color w:val="000000"/>
                      <w:kern w:val="0"/>
                      <w:sz w:val="21"/>
                      <w:szCs w:val="21"/>
                    </w:rPr>
                  </w:pPr>
                  <w:r>
                    <w:rPr>
                      <w:rFonts w:cs="宋体"/>
                      <w:snapToGrid w:val="0"/>
                      <w:color w:val="000000"/>
                      <w:spacing w:val="5"/>
                      <w:kern w:val="0"/>
                      <w:sz w:val="21"/>
                      <w:szCs w:val="21"/>
                    </w:rPr>
                    <w:t>达标</w:t>
                  </w:r>
                </w:p>
              </w:tc>
            </w:tr>
            <w:tr w14:paraId="7BEFDA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jc w:val="center"/>
              </w:trPr>
              <w:tc>
                <w:tcPr>
                  <w:tcW w:w="645" w:type="pct"/>
                  <w:vMerge w:val="continue"/>
                  <w:tcBorders>
                    <w:top w:val="nil"/>
                    <w:bottom w:val="nil"/>
                  </w:tcBorders>
                  <w:vAlign w:val="center"/>
                </w:tcPr>
                <w:p w14:paraId="6615735F">
                  <w:pPr>
                    <w:widowControl/>
                    <w:kinsoku w:val="0"/>
                    <w:autoSpaceDE w:val="0"/>
                    <w:autoSpaceDN w:val="0"/>
                    <w:spacing w:line="240" w:lineRule="auto"/>
                    <w:ind w:firstLine="0" w:firstLineChars="0"/>
                    <w:jc w:val="center"/>
                    <w:textAlignment w:val="baseline"/>
                    <w:rPr>
                      <w:rFonts w:cs="宋体"/>
                      <w:snapToGrid w:val="0"/>
                      <w:color w:val="000000"/>
                      <w:kern w:val="0"/>
                      <w:sz w:val="21"/>
                      <w:szCs w:val="21"/>
                    </w:rPr>
                  </w:pPr>
                </w:p>
              </w:tc>
              <w:tc>
                <w:tcPr>
                  <w:tcW w:w="647" w:type="pct"/>
                  <w:vAlign w:val="center"/>
                </w:tcPr>
                <w:p w14:paraId="1FCDADBF">
                  <w:pPr>
                    <w:widowControl/>
                    <w:kinsoku w:val="0"/>
                    <w:autoSpaceDE w:val="0"/>
                    <w:autoSpaceDN w:val="0"/>
                    <w:spacing w:line="240" w:lineRule="auto"/>
                    <w:ind w:firstLine="0" w:firstLineChars="0"/>
                    <w:jc w:val="center"/>
                    <w:textAlignment w:val="baseline"/>
                    <w:rPr>
                      <w:rFonts w:cs="宋体"/>
                      <w:snapToGrid w:val="0"/>
                      <w:color w:val="000000"/>
                      <w:kern w:val="0"/>
                      <w:sz w:val="21"/>
                      <w:szCs w:val="21"/>
                    </w:rPr>
                  </w:pPr>
                  <w:r>
                    <w:rPr>
                      <w:rFonts w:hint="eastAsia" w:cs="宋体"/>
                      <w:snapToGrid w:val="0"/>
                      <w:color w:val="000000"/>
                      <w:kern w:val="0"/>
                      <w:sz w:val="21"/>
                      <w:szCs w:val="21"/>
                    </w:rPr>
                    <w:t>TSP</w:t>
                  </w:r>
                </w:p>
              </w:tc>
              <w:tc>
                <w:tcPr>
                  <w:tcW w:w="665" w:type="pct"/>
                  <w:vAlign w:val="center"/>
                </w:tcPr>
                <w:p w14:paraId="5E5CC9A5">
                  <w:pPr>
                    <w:widowControl/>
                    <w:kinsoku w:val="0"/>
                    <w:autoSpaceDE w:val="0"/>
                    <w:autoSpaceDN w:val="0"/>
                    <w:spacing w:line="240" w:lineRule="auto"/>
                    <w:ind w:firstLine="0" w:firstLineChars="0"/>
                    <w:jc w:val="center"/>
                    <w:textAlignment w:val="baseline"/>
                    <w:rPr>
                      <w:rFonts w:cs="宋体"/>
                      <w:snapToGrid w:val="0"/>
                      <w:color w:val="000000"/>
                      <w:spacing w:val="1"/>
                      <w:kern w:val="0"/>
                      <w:sz w:val="21"/>
                      <w:szCs w:val="21"/>
                    </w:rPr>
                  </w:pPr>
                  <w:r>
                    <w:rPr>
                      <w:rFonts w:hint="eastAsia" w:cs="宋体"/>
                      <w:snapToGrid w:val="0"/>
                      <w:color w:val="000000"/>
                      <w:spacing w:val="1"/>
                      <w:kern w:val="0"/>
                      <w:sz w:val="21"/>
                      <w:szCs w:val="21"/>
                    </w:rPr>
                    <w:t>24小时均值</w:t>
                  </w:r>
                </w:p>
              </w:tc>
              <w:tc>
                <w:tcPr>
                  <w:tcW w:w="658" w:type="pct"/>
                  <w:vAlign w:val="center"/>
                </w:tcPr>
                <w:p w14:paraId="053A61A7">
                  <w:pPr>
                    <w:widowControl/>
                    <w:kinsoku w:val="0"/>
                    <w:autoSpaceDE w:val="0"/>
                    <w:autoSpaceDN w:val="0"/>
                    <w:spacing w:line="240" w:lineRule="auto"/>
                    <w:ind w:firstLine="0" w:firstLineChars="0"/>
                    <w:jc w:val="center"/>
                    <w:textAlignment w:val="baseline"/>
                    <w:rPr>
                      <w:rFonts w:cs="宋体"/>
                      <w:snapToGrid w:val="0"/>
                      <w:color w:val="000000"/>
                      <w:kern w:val="0"/>
                      <w:sz w:val="21"/>
                      <w:szCs w:val="21"/>
                    </w:rPr>
                  </w:pPr>
                  <w:r>
                    <w:rPr>
                      <w:rFonts w:hint="eastAsia" w:cs="宋体"/>
                      <w:snapToGrid w:val="0"/>
                      <w:color w:val="000000"/>
                      <w:kern w:val="0"/>
                      <w:sz w:val="21"/>
                      <w:szCs w:val="21"/>
                    </w:rPr>
                    <w:t>0.3</w:t>
                  </w:r>
                </w:p>
              </w:tc>
              <w:tc>
                <w:tcPr>
                  <w:tcW w:w="764" w:type="pct"/>
                  <w:vAlign w:val="center"/>
                </w:tcPr>
                <w:p w14:paraId="1CFAAFD7">
                  <w:pPr>
                    <w:widowControl/>
                    <w:kinsoku w:val="0"/>
                    <w:autoSpaceDE w:val="0"/>
                    <w:autoSpaceDN w:val="0"/>
                    <w:spacing w:line="240" w:lineRule="auto"/>
                    <w:ind w:firstLine="0" w:firstLineChars="0"/>
                    <w:jc w:val="center"/>
                    <w:textAlignment w:val="baseline"/>
                    <w:rPr>
                      <w:rFonts w:cs="宋体"/>
                      <w:snapToGrid w:val="0"/>
                      <w:color w:val="000000"/>
                      <w:kern w:val="0"/>
                      <w:sz w:val="21"/>
                      <w:szCs w:val="21"/>
                    </w:rPr>
                  </w:pPr>
                  <w:r>
                    <w:rPr>
                      <w:rFonts w:hint="eastAsia" w:cs="宋体"/>
                      <w:snapToGrid w:val="0"/>
                      <w:color w:val="000000"/>
                      <w:kern w:val="0"/>
                      <w:sz w:val="21"/>
                      <w:szCs w:val="21"/>
                    </w:rPr>
                    <w:t>0.108-0.170</w:t>
                  </w:r>
                </w:p>
              </w:tc>
              <w:tc>
                <w:tcPr>
                  <w:tcW w:w="539" w:type="pct"/>
                  <w:vAlign w:val="center"/>
                </w:tcPr>
                <w:p w14:paraId="465733EA">
                  <w:pPr>
                    <w:widowControl/>
                    <w:kinsoku w:val="0"/>
                    <w:autoSpaceDE w:val="0"/>
                    <w:autoSpaceDN w:val="0"/>
                    <w:spacing w:line="240" w:lineRule="auto"/>
                    <w:ind w:firstLine="0" w:firstLineChars="0"/>
                    <w:jc w:val="center"/>
                    <w:textAlignment w:val="baseline"/>
                    <w:rPr>
                      <w:rFonts w:cs="宋体"/>
                      <w:snapToGrid w:val="0"/>
                      <w:color w:val="000000"/>
                      <w:kern w:val="0"/>
                      <w:sz w:val="21"/>
                      <w:szCs w:val="21"/>
                    </w:rPr>
                  </w:pPr>
                  <w:r>
                    <w:rPr>
                      <w:rFonts w:hint="eastAsia" w:cs="宋体"/>
                      <w:snapToGrid w:val="0"/>
                      <w:color w:val="000000"/>
                      <w:kern w:val="0"/>
                      <w:sz w:val="21"/>
                      <w:szCs w:val="21"/>
                    </w:rPr>
                    <w:t>56.67</w:t>
                  </w:r>
                </w:p>
              </w:tc>
              <w:tc>
                <w:tcPr>
                  <w:tcW w:w="539" w:type="pct"/>
                  <w:vAlign w:val="center"/>
                </w:tcPr>
                <w:p w14:paraId="49808888">
                  <w:pPr>
                    <w:widowControl/>
                    <w:kinsoku w:val="0"/>
                    <w:autoSpaceDE w:val="0"/>
                    <w:autoSpaceDN w:val="0"/>
                    <w:spacing w:line="240" w:lineRule="auto"/>
                    <w:ind w:firstLine="0" w:firstLineChars="0"/>
                    <w:jc w:val="center"/>
                    <w:textAlignment w:val="baseline"/>
                    <w:rPr>
                      <w:rFonts w:cs="宋体"/>
                      <w:snapToGrid w:val="0"/>
                      <w:color w:val="000000"/>
                      <w:kern w:val="0"/>
                      <w:sz w:val="21"/>
                      <w:szCs w:val="21"/>
                    </w:rPr>
                  </w:pPr>
                  <w:r>
                    <w:rPr>
                      <w:rFonts w:cs="宋体"/>
                      <w:snapToGrid w:val="0"/>
                      <w:color w:val="000000"/>
                      <w:kern w:val="0"/>
                      <w:sz w:val="21"/>
                      <w:szCs w:val="21"/>
                    </w:rPr>
                    <w:t>0</w:t>
                  </w:r>
                </w:p>
              </w:tc>
              <w:tc>
                <w:tcPr>
                  <w:tcW w:w="539" w:type="pct"/>
                  <w:vAlign w:val="center"/>
                </w:tcPr>
                <w:p w14:paraId="7ABEDEB0">
                  <w:pPr>
                    <w:widowControl/>
                    <w:kinsoku w:val="0"/>
                    <w:autoSpaceDE w:val="0"/>
                    <w:autoSpaceDN w:val="0"/>
                    <w:spacing w:line="240" w:lineRule="auto"/>
                    <w:ind w:firstLine="0" w:firstLineChars="0"/>
                    <w:jc w:val="center"/>
                    <w:textAlignment w:val="baseline"/>
                    <w:rPr>
                      <w:rFonts w:cs="宋体"/>
                      <w:snapToGrid w:val="0"/>
                      <w:color w:val="000000"/>
                      <w:kern w:val="0"/>
                      <w:sz w:val="21"/>
                      <w:szCs w:val="21"/>
                    </w:rPr>
                  </w:pPr>
                  <w:r>
                    <w:rPr>
                      <w:rFonts w:cs="宋体"/>
                      <w:snapToGrid w:val="0"/>
                      <w:color w:val="000000"/>
                      <w:spacing w:val="5"/>
                      <w:kern w:val="0"/>
                      <w:sz w:val="21"/>
                      <w:szCs w:val="21"/>
                    </w:rPr>
                    <w:t>达标</w:t>
                  </w:r>
                </w:p>
              </w:tc>
            </w:tr>
            <w:tr w14:paraId="15A90E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4" w:hRule="atLeast"/>
                <w:jc w:val="center"/>
              </w:trPr>
              <w:tc>
                <w:tcPr>
                  <w:tcW w:w="645" w:type="pct"/>
                  <w:vMerge w:val="continue"/>
                  <w:tcBorders>
                    <w:top w:val="nil"/>
                  </w:tcBorders>
                  <w:vAlign w:val="center"/>
                </w:tcPr>
                <w:p w14:paraId="3F2AD32D">
                  <w:pPr>
                    <w:widowControl/>
                    <w:kinsoku w:val="0"/>
                    <w:autoSpaceDE w:val="0"/>
                    <w:autoSpaceDN w:val="0"/>
                    <w:spacing w:line="240" w:lineRule="auto"/>
                    <w:ind w:firstLine="0" w:firstLineChars="0"/>
                    <w:jc w:val="center"/>
                    <w:textAlignment w:val="baseline"/>
                    <w:rPr>
                      <w:rFonts w:cs="宋体"/>
                      <w:snapToGrid w:val="0"/>
                      <w:color w:val="000000"/>
                      <w:kern w:val="0"/>
                      <w:sz w:val="21"/>
                      <w:szCs w:val="21"/>
                    </w:rPr>
                  </w:pPr>
                </w:p>
              </w:tc>
              <w:tc>
                <w:tcPr>
                  <w:tcW w:w="647" w:type="pct"/>
                  <w:vAlign w:val="center"/>
                </w:tcPr>
                <w:p w14:paraId="3B6410D1">
                  <w:pPr>
                    <w:widowControl/>
                    <w:kinsoku w:val="0"/>
                    <w:autoSpaceDE w:val="0"/>
                    <w:autoSpaceDN w:val="0"/>
                    <w:spacing w:line="240" w:lineRule="auto"/>
                    <w:ind w:firstLine="0" w:firstLineChars="0"/>
                    <w:jc w:val="center"/>
                    <w:textAlignment w:val="baseline"/>
                    <w:rPr>
                      <w:rFonts w:cs="宋体"/>
                      <w:snapToGrid w:val="0"/>
                      <w:color w:val="000000"/>
                      <w:kern w:val="0"/>
                      <w:sz w:val="21"/>
                      <w:szCs w:val="21"/>
                    </w:rPr>
                  </w:pPr>
                  <w:r>
                    <w:rPr>
                      <w:rFonts w:hint="eastAsia" w:cs="宋体"/>
                      <w:snapToGrid w:val="0"/>
                      <w:color w:val="000000"/>
                      <w:kern w:val="0"/>
                      <w:sz w:val="21"/>
                      <w:szCs w:val="21"/>
                    </w:rPr>
                    <w:t>臭气浓度</w:t>
                  </w:r>
                </w:p>
              </w:tc>
              <w:tc>
                <w:tcPr>
                  <w:tcW w:w="665" w:type="pct"/>
                  <w:vAlign w:val="center"/>
                </w:tcPr>
                <w:p w14:paraId="0D0A3080">
                  <w:pPr>
                    <w:widowControl/>
                    <w:kinsoku w:val="0"/>
                    <w:autoSpaceDE w:val="0"/>
                    <w:autoSpaceDN w:val="0"/>
                    <w:spacing w:line="240" w:lineRule="auto"/>
                    <w:ind w:firstLine="0" w:firstLineChars="0"/>
                    <w:jc w:val="center"/>
                    <w:textAlignment w:val="baseline"/>
                    <w:rPr>
                      <w:rFonts w:cs="宋体"/>
                      <w:snapToGrid w:val="0"/>
                      <w:color w:val="000000"/>
                      <w:spacing w:val="1"/>
                      <w:kern w:val="0"/>
                      <w:sz w:val="21"/>
                      <w:szCs w:val="21"/>
                    </w:rPr>
                  </w:pPr>
                  <w:r>
                    <w:rPr>
                      <w:rFonts w:hint="eastAsia" w:cs="宋体"/>
                      <w:snapToGrid w:val="0"/>
                      <w:color w:val="000000"/>
                      <w:spacing w:val="1"/>
                      <w:kern w:val="0"/>
                      <w:sz w:val="21"/>
                      <w:szCs w:val="21"/>
                    </w:rPr>
                    <w:t>无量纲</w:t>
                  </w:r>
                </w:p>
              </w:tc>
              <w:tc>
                <w:tcPr>
                  <w:tcW w:w="658" w:type="pct"/>
                  <w:vAlign w:val="center"/>
                </w:tcPr>
                <w:p w14:paraId="612492EE">
                  <w:pPr>
                    <w:widowControl/>
                    <w:kinsoku w:val="0"/>
                    <w:autoSpaceDE w:val="0"/>
                    <w:autoSpaceDN w:val="0"/>
                    <w:spacing w:line="240" w:lineRule="auto"/>
                    <w:ind w:firstLine="0" w:firstLineChars="0"/>
                    <w:jc w:val="center"/>
                    <w:textAlignment w:val="baseline"/>
                    <w:rPr>
                      <w:rFonts w:cs="宋体"/>
                      <w:snapToGrid w:val="0"/>
                      <w:color w:val="000000"/>
                      <w:kern w:val="0"/>
                      <w:sz w:val="21"/>
                      <w:szCs w:val="21"/>
                    </w:rPr>
                  </w:pPr>
                  <w:r>
                    <w:rPr>
                      <w:rFonts w:hint="eastAsia" w:cs="宋体"/>
                      <w:snapToGrid w:val="0"/>
                      <w:color w:val="000000"/>
                      <w:kern w:val="0"/>
                      <w:sz w:val="21"/>
                      <w:szCs w:val="21"/>
                    </w:rPr>
                    <w:t>20</w:t>
                  </w:r>
                </w:p>
              </w:tc>
              <w:tc>
                <w:tcPr>
                  <w:tcW w:w="764" w:type="pct"/>
                  <w:vAlign w:val="center"/>
                </w:tcPr>
                <w:p w14:paraId="4ABF9324">
                  <w:pPr>
                    <w:widowControl/>
                    <w:kinsoku w:val="0"/>
                    <w:autoSpaceDE w:val="0"/>
                    <w:autoSpaceDN w:val="0"/>
                    <w:spacing w:line="240" w:lineRule="auto"/>
                    <w:ind w:firstLine="0" w:firstLineChars="0"/>
                    <w:jc w:val="center"/>
                    <w:textAlignment w:val="baseline"/>
                    <w:rPr>
                      <w:rFonts w:cs="宋体"/>
                      <w:snapToGrid w:val="0"/>
                      <w:color w:val="000000"/>
                      <w:kern w:val="0"/>
                      <w:sz w:val="21"/>
                      <w:szCs w:val="21"/>
                    </w:rPr>
                  </w:pPr>
                  <w:r>
                    <w:rPr>
                      <w:rFonts w:hint="eastAsia" w:cs="宋体"/>
                      <w:snapToGrid w:val="0"/>
                      <w:color w:val="000000"/>
                      <w:kern w:val="0"/>
                      <w:sz w:val="21"/>
                      <w:szCs w:val="21"/>
                    </w:rPr>
                    <w:t>&lt;10</w:t>
                  </w:r>
                </w:p>
              </w:tc>
              <w:tc>
                <w:tcPr>
                  <w:tcW w:w="539" w:type="pct"/>
                  <w:vAlign w:val="center"/>
                </w:tcPr>
                <w:p w14:paraId="34C51D87">
                  <w:pPr>
                    <w:widowControl/>
                    <w:kinsoku w:val="0"/>
                    <w:autoSpaceDE w:val="0"/>
                    <w:autoSpaceDN w:val="0"/>
                    <w:spacing w:line="240" w:lineRule="auto"/>
                    <w:ind w:firstLine="0" w:firstLineChars="0"/>
                    <w:jc w:val="center"/>
                    <w:textAlignment w:val="baseline"/>
                    <w:rPr>
                      <w:rFonts w:cs="宋体"/>
                      <w:snapToGrid w:val="0"/>
                      <w:color w:val="000000"/>
                      <w:kern w:val="0"/>
                      <w:sz w:val="21"/>
                      <w:szCs w:val="21"/>
                    </w:rPr>
                  </w:pPr>
                  <w:r>
                    <w:rPr>
                      <w:rFonts w:hint="eastAsia" w:cs="宋体"/>
                      <w:snapToGrid w:val="0"/>
                      <w:color w:val="000000"/>
                      <w:kern w:val="0"/>
                      <w:sz w:val="21"/>
                      <w:szCs w:val="21"/>
                    </w:rPr>
                    <w:t>/</w:t>
                  </w:r>
                </w:p>
              </w:tc>
              <w:tc>
                <w:tcPr>
                  <w:tcW w:w="539" w:type="pct"/>
                  <w:vAlign w:val="center"/>
                </w:tcPr>
                <w:p w14:paraId="1C6199D1">
                  <w:pPr>
                    <w:widowControl/>
                    <w:kinsoku w:val="0"/>
                    <w:autoSpaceDE w:val="0"/>
                    <w:autoSpaceDN w:val="0"/>
                    <w:spacing w:line="240" w:lineRule="auto"/>
                    <w:ind w:firstLine="0" w:firstLineChars="0"/>
                    <w:jc w:val="center"/>
                    <w:textAlignment w:val="baseline"/>
                    <w:rPr>
                      <w:rFonts w:cs="宋体"/>
                      <w:snapToGrid w:val="0"/>
                      <w:color w:val="000000"/>
                      <w:kern w:val="0"/>
                      <w:sz w:val="21"/>
                      <w:szCs w:val="21"/>
                    </w:rPr>
                  </w:pPr>
                  <w:r>
                    <w:rPr>
                      <w:rFonts w:cs="宋体"/>
                      <w:snapToGrid w:val="0"/>
                      <w:color w:val="000000"/>
                      <w:kern w:val="0"/>
                      <w:sz w:val="21"/>
                      <w:szCs w:val="21"/>
                    </w:rPr>
                    <w:t>0</w:t>
                  </w:r>
                </w:p>
              </w:tc>
              <w:tc>
                <w:tcPr>
                  <w:tcW w:w="539" w:type="pct"/>
                  <w:vAlign w:val="center"/>
                </w:tcPr>
                <w:p w14:paraId="3CA7CE61">
                  <w:pPr>
                    <w:widowControl/>
                    <w:kinsoku w:val="0"/>
                    <w:autoSpaceDE w:val="0"/>
                    <w:autoSpaceDN w:val="0"/>
                    <w:spacing w:line="240" w:lineRule="auto"/>
                    <w:ind w:firstLine="0" w:firstLineChars="0"/>
                    <w:jc w:val="center"/>
                    <w:textAlignment w:val="baseline"/>
                    <w:rPr>
                      <w:rFonts w:cs="宋体"/>
                      <w:snapToGrid w:val="0"/>
                      <w:color w:val="000000"/>
                      <w:kern w:val="0"/>
                      <w:sz w:val="21"/>
                      <w:szCs w:val="21"/>
                    </w:rPr>
                  </w:pPr>
                  <w:r>
                    <w:rPr>
                      <w:rFonts w:cs="宋体"/>
                      <w:snapToGrid w:val="0"/>
                      <w:color w:val="000000"/>
                      <w:spacing w:val="5"/>
                      <w:kern w:val="0"/>
                      <w:sz w:val="21"/>
                      <w:szCs w:val="21"/>
                    </w:rPr>
                    <w:t>达标</w:t>
                  </w:r>
                </w:p>
              </w:tc>
            </w:tr>
          </w:tbl>
          <w:p w14:paraId="49B2921C">
            <w:pPr>
              <w:widowControl/>
              <w:kinsoku w:val="0"/>
              <w:autoSpaceDE w:val="0"/>
              <w:autoSpaceDN w:val="0"/>
              <w:spacing w:before="120" w:beforeLines="50"/>
              <w:ind w:firstLine="0" w:firstLineChars="0"/>
              <w:jc w:val="center"/>
              <w:textAlignment w:val="baseline"/>
              <w:rPr>
                <w:rFonts w:cs="宋体"/>
                <w:snapToGrid w:val="0"/>
                <w:color w:val="000000"/>
                <w:spacing w:val="-2"/>
                <w:kern w:val="0"/>
              </w:rPr>
            </w:pPr>
            <w:r>
              <w:drawing>
                <wp:inline distT="0" distB="0" distL="114300" distR="114300">
                  <wp:extent cx="4763135" cy="2955925"/>
                  <wp:effectExtent l="0" t="0" r="18415" b="15875"/>
                  <wp:docPr id="5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
                          <pic:cNvPicPr>
                            <a:picLocks noChangeAspect="1"/>
                          </pic:cNvPicPr>
                        </pic:nvPicPr>
                        <pic:blipFill>
                          <a:blip r:embed="rId24"/>
                          <a:stretch>
                            <a:fillRect/>
                          </a:stretch>
                        </pic:blipFill>
                        <pic:spPr>
                          <a:xfrm>
                            <a:off x="0" y="0"/>
                            <a:ext cx="4763135" cy="2955925"/>
                          </a:xfrm>
                          <a:prstGeom prst="rect">
                            <a:avLst/>
                          </a:prstGeom>
                          <a:noFill/>
                          <a:ln>
                            <a:noFill/>
                          </a:ln>
                        </pic:spPr>
                      </pic:pic>
                    </a:graphicData>
                  </a:graphic>
                </wp:inline>
              </w:drawing>
            </w:r>
          </w:p>
          <w:p w14:paraId="5B2C00E8">
            <w:pPr>
              <w:widowControl/>
              <w:adjustRightInd w:val="0"/>
              <w:snapToGrid w:val="0"/>
              <w:spacing w:line="240" w:lineRule="auto"/>
              <w:ind w:firstLine="0" w:firstLineChars="0"/>
              <w:jc w:val="center"/>
              <w:rPr>
                <w:rFonts w:ascii="Calibri" w:hAnsi="Calibri"/>
                <w:b/>
                <w:color w:val="000000"/>
                <w:kern w:val="1"/>
                <w:sz w:val="21"/>
                <w:szCs w:val="21"/>
              </w:rPr>
            </w:pPr>
            <w:r>
              <w:rPr>
                <w:rFonts w:hint="eastAsia" w:ascii="Calibri" w:hAnsi="Calibri"/>
                <w:b/>
                <w:color w:val="000000"/>
                <w:kern w:val="1"/>
                <w:sz w:val="21"/>
                <w:szCs w:val="21"/>
              </w:rPr>
              <w:t>图3-2 引用监测点与本项目位置关系图</w:t>
            </w:r>
          </w:p>
          <w:p w14:paraId="18EBB76E">
            <w:pPr>
              <w:widowControl/>
              <w:kinsoku w:val="0"/>
              <w:autoSpaceDE w:val="0"/>
              <w:autoSpaceDN w:val="0"/>
              <w:ind w:firstLine="472"/>
              <w:jc w:val="both"/>
              <w:textAlignment w:val="baseline"/>
              <w:rPr>
                <w:rFonts w:cs="宋体"/>
                <w:snapToGrid w:val="0"/>
                <w:color w:val="000000"/>
                <w:spacing w:val="-2"/>
                <w:kern w:val="0"/>
              </w:rPr>
            </w:pPr>
            <w:r>
              <w:rPr>
                <w:rFonts w:cs="宋体"/>
                <w:snapToGrid w:val="0"/>
                <w:color w:val="000000"/>
                <w:spacing w:val="-2"/>
                <w:kern w:val="0"/>
              </w:rPr>
              <w:t>根据引用的监测</w:t>
            </w:r>
            <w:r>
              <w:rPr>
                <w:rFonts w:hint="eastAsia" w:cs="宋体"/>
                <w:snapToGrid w:val="0"/>
                <w:color w:val="000000"/>
                <w:spacing w:val="-2"/>
                <w:kern w:val="0"/>
              </w:rPr>
              <w:t>数据</w:t>
            </w:r>
            <w:r>
              <w:rPr>
                <w:rFonts w:cs="宋体"/>
                <w:snapToGrid w:val="0"/>
                <w:color w:val="000000"/>
                <w:spacing w:val="-2"/>
                <w:kern w:val="0"/>
              </w:rPr>
              <w:t>可知，非甲烷总烃满足《大气污染物综合排放标准详解》浓度限值要求，TSP满足《环境空气质量标准》（GB3095-2012）及其修改单（生态环境部2018年第29号）中二级标准要求，</w:t>
            </w:r>
            <w:r>
              <w:rPr>
                <w:rFonts w:hint="eastAsia" w:cs="宋体"/>
                <w:snapToGrid w:val="0"/>
                <w:color w:val="000000"/>
                <w:spacing w:val="-2"/>
                <w:kern w:val="0"/>
              </w:rPr>
              <w:t>臭气浓度可以满足《恶臭污染物排放标准》（GB14554-93）相关要求</w:t>
            </w:r>
            <w:r>
              <w:rPr>
                <w:rFonts w:cs="宋体"/>
                <w:snapToGrid w:val="0"/>
                <w:color w:val="000000"/>
                <w:spacing w:val="-2"/>
                <w:kern w:val="0"/>
              </w:rPr>
              <w:t>。因此</w:t>
            </w:r>
            <w:r>
              <w:rPr>
                <w:rFonts w:hint="eastAsia" w:cs="宋体"/>
                <w:snapToGrid w:val="0"/>
                <w:color w:val="000000"/>
                <w:spacing w:val="-2"/>
                <w:kern w:val="0"/>
              </w:rPr>
              <w:t>，</w:t>
            </w:r>
            <w:r>
              <w:rPr>
                <w:rFonts w:cs="宋体"/>
                <w:snapToGrid w:val="0"/>
                <w:color w:val="000000"/>
                <w:spacing w:val="-2"/>
                <w:kern w:val="0"/>
              </w:rPr>
              <w:t>项目</w:t>
            </w:r>
            <w:r>
              <w:rPr>
                <w:rFonts w:hint="eastAsia" w:cs="宋体"/>
                <w:snapToGrid w:val="0"/>
                <w:color w:val="000000"/>
                <w:spacing w:val="-2"/>
                <w:kern w:val="0"/>
              </w:rPr>
              <w:t>所在</w:t>
            </w:r>
            <w:r>
              <w:rPr>
                <w:rFonts w:cs="宋体"/>
                <w:snapToGrid w:val="0"/>
                <w:color w:val="000000"/>
                <w:spacing w:val="-2"/>
                <w:kern w:val="0"/>
              </w:rPr>
              <w:t>区域非甲烷总烃、TSP</w:t>
            </w:r>
            <w:r>
              <w:rPr>
                <w:rFonts w:hint="eastAsia" w:cs="宋体"/>
                <w:snapToGrid w:val="0"/>
                <w:color w:val="000000"/>
                <w:spacing w:val="-2"/>
                <w:kern w:val="0"/>
              </w:rPr>
              <w:t>及臭气浓度</w:t>
            </w:r>
            <w:r>
              <w:rPr>
                <w:rFonts w:cs="宋体"/>
                <w:snapToGrid w:val="0"/>
                <w:color w:val="000000"/>
                <w:spacing w:val="-2"/>
                <w:kern w:val="0"/>
              </w:rPr>
              <w:t>满足环境空气质量要求。</w:t>
            </w:r>
          </w:p>
          <w:p w14:paraId="1755741F">
            <w:pPr>
              <w:ind w:firstLine="482"/>
              <w:jc w:val="both"/>
              <w:rPr>
                <w:b/>
                <w:bCs/>
              </w:rPr>
            </w:pPr>
            <w:r>
              <w:rPr>
                <w:b/>
                <w:bCs/>
              </w:rPr>
              <w:t>2、水环境质量现状</w:t>
            </w:r>
          </w:p>
          <w:p w14:paraId="620AEAD8">
            <w:pPr>
              <w:pStyle w:val="101"/>
              <w:ind w:firstLine="480"/>
              <w:jc w:val="both"/>
              <w:rPr>
                <w:rFonts w:ascii="Times New Roman" w:hAnsi="Times New Roman" w:cs="宋体"/>
                <w:kern w:val="2"/>
                <w:sz w:val="24"/>
                <w:szCs w:val="24"/>
                <w:lang w:eastAsia="zh-CN"/>
              </w:rPr>
            </w:pPr>
            <w:r>
              <w:rPr>
                <w:rFonts w:hint="eastAsia" w:ascii="Times New Roman" w:hAnsi="Times New Roman" w:cs="宋体"/>
                <w:kern w:val="2"/>
                <w:sz w:val="24"/>
                <w:szCs w:val="24"/>
                <w:lang w:eastAsia="zh-CN"/>
              </w:rPr>
              <w:t>项目无生产废水外排，外排废水主要为员工生活污水，项目生活污水经三级化粪池预处理后通过市政污水管网排入园洲镇第五污水处理厂处理，尾水排入园洲中心排渠，经沙河汇入东江。根据《关于印发&lt;广东省地表水环境功能区划&gt;的通知》（粤环〔2011〕14号）规定，东江属于Ⅱ类水，沙河属于Ⅲ类水。根据《博罗县2023年水污染防治攻坚战工作方案》（博环攻坚办[2023]67号），本项目纳污水体园洲中心排洪渠属于V类水体，执行《地表水环境质量标准》（GB3838-2002）V类标准。</w:t>
            </w:r>
          </w:p>
          <w:p w14:paraId="1BF3FCC2">
            <w:pPr>
              <w:pStyle w:val="101"/>
              <w:ind w:firstLine="480"/>
              <w:jc w:val="both"/>
              <w:rPr>
                <w:rFonts w:ascii="Times New Roman" w:hAnsi="Times New Roman" w:cs="宋体"/>
                <w:kern w:val="2"/>
                <w:sz w:val="24"/>
                <w:szCs w:val="24"/>
                <w:lang w:eastAsia="zh-CN"/>
              </w:rPr>
            </w:pPr>
            <w:r>
              <w:rPr>
                <w:rFonts w:hint="eastAsia" w:ascii="Times New Roman" w:hAnsi="Times New Roman" w:cs="宋体"/>
                <w:kern w:val="2"/>
                <w:sz w:val="24"/>
                <w:szCs w:val="24"/>
                <w:lang w:eastAsia="zh-CN"/>
              </w:rPr>
              <w:t>为进一步了解受纳水体环境质量现状，本项目地表水环境现状数据引用《惠州市源茂环保科技发展有限公司改扩建项目环境影响报告书》报告中委托广东三正检测技术有限公司于2022年11月19日～2022年11月21日对园洲中心排渠进行监测的报告数据（报告编号：SZT221939），引用数据符合近3年监测数据的要求，因此引用数据具有可行性，具体监测结果见下表。</w:t>
            </w:r>
          </w:p>
          <w:p w14:paraId="3567C96E">
            <w:pPr>
              <w:widowControl/>
              <w:spacing w:line="240" w:lineRule="auto"/>
              <w:ind w:firstLine="0" w:firstLineChars="0"/>
              <w:jc w:val="center"/>
            </w:pPr>
            <w:r>
              <w:rPr>
                <w:rFonts w:hint="eastAsia" w:cs="宋体"/>
                <w:b/>
                <w:bCs/>
                <w:color w:val="000000"/>
                <w:kern w:val="0"/>
                <w:sz w:val="21"/>
                <w:lang w:bidi="ar"/>
              </w:rPr>
              <w:t>表</w:t>
            </w:r>
            <w:r>
              <w:rPr>
                <w:rFonts w:cs="宋体"/>
                <w:b/>
                <w:bCs/>
                <w:color w:val="000000"/>
                <w:kern w:val="0"/>
                <w:sz w:val="21"/>
                <w:lang w:bidi="ar"/>
              </w:rPr>
              <w:t xml:space="preserve">3-2 </w:t>
            </w:r>
            <w:r>
              <w:rPr>
                <w:rFonts w:hint="eastAsia" w:cs="宋体"/>
                <w:b/>
                <w:bCs/>
                <w:color w:val="000000"/>
                <w:kern w:val="0"/>
                <w:sz w:val="21"/>
                <w:lang w:bidi="ar"/>
              </w:rPr>
              <w:t>地表水监测断面详情一览表</w:t>
            </w:r>
          </w:p>
          <w:tbl>
            <w:tblPr>
              <w:tblStyle w:val="35"/>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0"/>
              <w:gridCol w:w="806"/>
              <w:gridCol w:w="642"/>
              <w:gridCol w:w="2710"/>
              <w:gridCol w:w="1784"/>
              <w:gridCol w:w="1649"/>
            </w:tblGrid>
            <w:tr w14:paraId="7A527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514" w:type="pct"/>
                  <w:vAlign w:val="center"/>
                </w:tcPr>
                <w:p w14:paraId="1308E6B8">
                  <w:pPr>
                    <w:pStyle w:val="101"/>
                    <w:spacing w:line="240" w:lineRule="auto"/>
                    <w:ind w:firstLine="0" w:firstLineChars="0"/>
                    <w:jc w:val="center"/>
                    <w:rPr>
                      <w:rFonts w:ascii="Times New Roman" w:hAnsi="Times New Roman" w:cs="宋体"/>
                      <w:b/>
                      <w:bCs/>
                      <w:kern w:val="2"/>
                      <w:sz w:val="21"/>
                      <w:szCs w:val="21"/>
                      <w:lang w:eastAsia="zh-CN"/>
                    </w:rPr>
                  </w:pPr>
                  <w:r>
                    <w:rPr>
                      <w:rFonts w:hint="eastAsia" w:ascii="Times New Roman" w:hAnsi="Times New Roman" w:cs="宋体"/>
                      <w:b/>
                      <w:bCs/>
                      <w:kern w:val="2"/>
                      <w:sz w:val="21"/>
                      <w:szCs w:val="21"/>
                      <w:lang w:eastAsia="zh-CN"/>
                    </w:rPr>
                    <w:t>监测断面编号</w:t>
                  </w:r>
                </w:p>
              </w:tc>
              <w:tc>
                <w:tcPr>
                  <w:tcW w:w="476" w:type="pct"/>
                  <w:vAlign w:val="center"/>
                </w:tcPr>
                <w:p w14:paraId="23701D5D">
                  <w:pPr>
                    <w:pStyle w:val="101"/>
                    <w:spacing w:line="240" w:lineRule="auto"/>
                    <w:ind w:firstLine="0" w:firstLineChars="0"/>
                    <w:jc w:val="center"/>
                    <w:rPr>
                      <w:rFonts w:ascii="Times New Roman" w:hAnsi="Times New Roman" w:cs="宋体"/>
                      <w:b/>
                      <w:bCs/>
                      <w:kern w:val="2"/>
                      <w:sz w:val="21"/>
                      <w:szCs w:val="21"/>
                      <w:lang w:eastAsia="zh-CN"/>
                    </w:rPr>
                  </w:pPr>
                  <w:r>
                    <w:rPr>
                      <w:rFonts w:hint="eastAsia" w:ascii="Times New Roman" w:hAnsi="Times New Roman" w:cs="宋体"/>
                      <w:b/>
                      <w:bCs/>
                      <w:kern w:val="2"/>
                      <w:sz w:val="21"/>
                      <w:szCs w:val="21"/>
                      <w:lang w:eastAsia="zh-CN"/>
                    </w:rPr>
                    <w:t>水体</w:t>
                  </w:r>
                </w:p>
              </w:tc>
              <w:tc>
                <w:tcPr>
                  <w:tcW w:w="379" w:type="pct"/>
                  <w:vAlign w:val="center"/>
                </w:tcPr>
                <w:p w14:paraId="12962B53">
                  <w:pPr>
                    <w:pStyle w:val="101"/>
                    <w:spacing w:line="240" w:lineRule="auto"/>
                    <w:ind w:firstLine="0" w:firstLineChars="0"/>
                    <w:jc w:val="center"/>
                    <w:rPr>
                      <w:rFonts w:ascii="Times New Roman" w:hAnsi="Times New Roman" w:cs="宋体"/>
                      <w:b/>
                      <w:bCs/>
                      <w:kern w:val="2"/>
                      <w:sz w:val="21"/>
                      <w:szCs w:val="21"/>
                      <w:lang w:eastAsia="zh-CN"/>
                    </w:rPr>
                  </w:pPr>
                  <w:r>
                    <w:rPr>
                      <w:rFonts w:hint="eastAsia" w:ascii="Times New Roman" w:hAnsi="Times New Roman" w:cs="宋体"/>
                      <w:b/>
                      <w:bCs/>
                      <w:kern w:val="2"/>
                      <w:sz w:val="21"/>
                      <w:szCs w:val="21"/>
                      <w:lang w:eastAsia="zh-CN"/>
                    </w:rPr>
                    <w:t>功能区</w:t>
                  </w:r>
                </w:p>
              </w:tc>
              <w:tc>
                <w:tcPr>
                  <w:tcW w:w="1601" w:type="pct"/>
                  <w:vAlign w:val="center"/>
                </w:tcPr>
                <w:p w14:paraId="2D93E394">
                  <w:pPr>
                    <w:pStyle w:val="101"/>
                    <w:spacing w:line="240" w:lineRule="auto"/>
                    <w:ind w:firstLine="0" w:firstLineChars="0"/>
                    <w:jc w:val="center"/>
                    <w:rPr>
                      <w:rFonts w:ascii="Times New Roman" w:hAnsi="Times New Roman" w:cs="宋体"/>
                      <w:b/>
                      <w:bCs/>
                      <w:kern w:val="2"/>
                      <w:sz w:val="21"/>
                      <w:szCs w:val="21"/>
                      <w:lang w:eastAsia="zh-CN"/>
                    </w:rPr>
                  </w:pPr>
                  <w:r>
                    <w:rPr>
                      <w:rFonts w:hint="eastAsia" w:ascii="Times New Roman" w:hAnsi="Times New Roman" w:cs="宋体"/>
                      <w:b/>
                      <w:bCs/>
                      <w:kern w:val="2"/>
                      <w:sz w:val="21"/>
                      <w:szCs w:val="21"/>
                      <w:lang w:eastAsia="zh-CN"/>
                    </w:rPr>
                    <w:t>监测断面位置</w:t>
                  </w:r>
                </w:p>
              </w:tc>
              <w:tc>
                <w:tcPr>
                  <w:tcW w:w="2028" w:type="pct"/>
                  <w:gridSpan w:val="2"/>
                  <w:vAlign w:val="center"/>
                </w:tcPr>
                <w:p w14:paraId="08329E3E">
                  <w:pPr>
                    <w:pStyle w:val="101"/>
                    <w:spacing w:line="240" w:lineRule="auto"/>
                    <w:ind w:firstLine="0" w:firstLineChars="0"/>
                    <w:jc w:val="center"/>
                    <w:rPr>
                      <w:rFonts w:ascii="Times New Roman" w:hAnsi="Times New Roman" w:cs="宋体"/>
                      <w:b/>
                      <w:bCs/>
                      <w:kern w:val="2"/>
                      <w:sz w:val="21"/>
                      <w:szCs w:val="21"/>
                      <w:lang w:eastAsia="zh-CN"/>
                    </w:rPr>
                  </w:pPr>
                  <w:r>
                    <w:rPr>
                      <w:rFonts w:hint="eastAsia" w:ascii="Times New Roman" w:hAnsi="Times New Roman" w:cs="宋体"/>
                      <w:b/>
                      <w:bCs/>
                      <w:kern w:val="2"/>
                      <w:sz w:val="21"/>
                      <w:szCs w:val="21"/>
                      <w:lang w:eastAsia="zh-CN"/>
                    </w:rPr>
                    <w:t>采样点经纬度</w:t>
                  </w:r>
                </w:p>
              </w:tc>
            </w:tr>
            <w:tr w14:paraId="1D8F7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514" w:type="pct"/>
                  <w:vAlign w:val="center"/>
                </w:tcPr>
                <w:p w14:paraId="35730F4A">
                  <w:pPr>
                    <w:pStyle w:val="101"/>
                    <w:spacing w:line="240" w:lineRule="auto"/>
                    <w:ind w:firstLine="0" w:firstLineChars="0"/>
                    <w:jc w:val="center"/>
                    <w:rPr>
                      <w:rFonts w:ascii="Times New Roman" w:hAnsi="Times New Roman" w:cs="宋体"/>
                      <w:kern w:val="2"/>
                      <w:sz w:val="21"/>
                      <w:szCs w:val="21"/>
                      <w:lang w:eastAsia="zh-CN"/>
                    </w:rPr>
                  </w:pPr>
                  <w:r>
                    <w:rPr>
                      <w:rFonts w:hint="eastAsia" w:ascii="Times New Roman" w:hAnsi="Times New Roman" w:cs="宋体"/>
                      <w:kern w:val="2"/>
                      <w:sz w:val="21"/>
                      <w:szCs w:val="21"/>
                      <w:lang w:eastAsia="zh-CN"/>
                    </w:rPr>
                    <w:t>W1</w:t>
                  </w:r>
                </w:p>
              </w:tc>
              <w:tc>
                <w:tcPr>
                  <w:tcW w:w="476" w:type="pct"/>
                  <w:vMerge w:val="restart"/>
                  <w:vAlign w:val="center"/>
                </w:tcPr>
                <w:p w14:paraId="370FAD29">
                  <w:pPr>
                    <w:pStyle w:val="101"/>
                    <w:spacing w:line="240" w:lineRule="auto"/>
                    <w:ind w:firstLine="0" w:firstLineChars="0"/>
                    <w:jc w:val="center"/>
                    <w:rPr>
                      <w:rFonts w:ascii="Times New Roman" w:hAnsi="Times New Roman" w:cs="宋体"/>
                      <w:kern w:val="2"/>
                      <w:sz w:val="21"/>
                      <w:szCs w:val="21"/>
                      <w:lang w:eastAsia="zh-CN"/>
                    </w:rPr>
                  </w:pPr>
                  <w:r>
                    <w:rPr>
                      <w:rFonts w:hint="eastAsia" w:ascii="Times New Roman" w:hAnsi="Times New Roman" w:cs="宋体"/>
                      <w:kern w:val="2"/>
                      <w:sz w:val="21"/>
                      <w:szCs w:val="21"/>
                      <w:lang w:eastAsia="zh-CN"/>
                    </w:rPr>
                    <w:t>园洲中心排渠</w:t>
                  </w:r>
                </w:p>
              </w:tc>
              <w:tc>
                <w:tcPr>
                  <w:tcW w:w="379" w:type="pct"/>
                  <w:vMerge w:val="restart"/>
                  <w:vAlign w:val="center"/>
                </w:tcPr>
                <w:p w14:paraId="2752A0C2">
                  <w:pPr>
                    <w:pStyle w:val="101"/>
                    <w:spacing w:line="240" w:lineRule="auto"/>
                    <w:ind w:firstLine="0" w:firstLineChars="0"/>
                    <w:jc w:val="center"/>
                    <w:rPr>
                      <w:rFonts w:ascii="Times New Roman" w:hAnsi="Times New Roman" w:cs="宋体"/>
                      <w:kern w:val="2"/>
                      <w:sz w:val="21"/>
                      <w:szCs w:val="21"/>
                      <w:lang w:eastAsia="zh-CN"/>
                    </w:rPr>
                  </w:pPr>
                  <w:r>
                    <w:rPr>
                      <w:rFonts w:hint="eastAsia" w:ascii="Times New Roman" w:hAnsi="Times New Roman" w:cs="宋体"/>
                      <w:kern w:val="2"/>
                      <w:sz w:val="21"/>
                      <w:szCs w:val="21"/>
                      <w:lang w:eastAsia="zh-CN"/>
                    </w:rPr>
                    <w:t>V类水体</w:t>
                  </w:r>
                </w:p>
              </w:tc>
              <w:tc>
                <w:tcPr>
                  <w:tcW w:w="1601" w:type="pct"/>
                  <w:vAlign w:val="center"/>
                </w:tcPr>
                <w:p w14:paraId="6D97C635">
                  <w:pPr>
                    <w:pStyle w:val="101"/>
                    <w:spacing w:line="240" w:lineRule="auto"/>
                    <w:ind w:firstLine="0" w:firstLineChars="0"/>
                    <w:jc w:val="center"/>
                    <w:rPr>
                      <w:rFonts w:ascii="Times New Roman" w:hAnsi="Times New Roman" w:cs="宋体"/>
                      <w:kern w:val="2"/>
                      <w:sz w:val="21"/>
                      <w:szCs w:val="21"/>
                      <w:lang w:eastAsia="zh-CN"/>
                    </w:rPr>
                  </w:pPr>
                  <w:r>
                    <w:rPr>
                      <w:rFonts w:hint="eastAsia" w:ascii="Times New Roman" w:hAnsi="Times New Roman" w:cs="宋体"/>
                      <w:kern w:val="2"/>
                      <w:sz w:val="21"/>
                      <w:szCs w:val="21"/>
                      <w:lang w:eastAsia="zh-CN"/>
                    </w:rPr>
                    <w:t>园洲镇第五污水处理厂排污口中心排渠上游500m</w:t>
                  </w:r>
                </w:p>
              </w:tc>
              <w:tc>
                <w:tcPr>
                  <w:tcW w:w="1054" w:type="pct"/>
                  <w:vAlign w:val="center"/>
                </w:tcPr>
                <w:p w14:paraId="4E2A6252">
                  <w:pPr>
                    <w:widowControl/>
                    <w:spacing w:line="240" w:lineRule="auto"/>
                    <w:ind w:firstLine="0" w:firstLineChars="0"/>
                    <w:jc w:val="center"/>
                    <w:rPr>
                      <w:rFonts w:cs="宋体"/>
                      <w:sz w:val="21"/>
                      <w:szCs w:val="21"/>
                    </w:rPr>
                  </w:pPr>
                  <w:r>
                    <w:rPr>
                      <w:rFonts w:cs="宋体"/>
                      <w:color w:val="000000"/>
                      <w:kern w:val="0"/>
                      <w:sz w:val="21"/>
                      <w:szCs w:val="20"/>
                      <w:lang w:bidi="ar"/>
                    </w:rPr>
                    <w:t>E:113°59′19.56″</w:t>
                  </w:r>
                </w:p>
              </w:tc>
              <w:tc>
                <w:tcPr>
                  <w:tcW w:w="974" w:type="pct"/>
                  <w:vAlign w:val="center"/>
                </w:tcPr>
                <w:p w14:paraId="4A489A8A">
                  <w:pPr>
                    <w:widowControl/>
                    <w:spacing w:line="240" w:lineRule="auto"/>
                    <w:ind w:firstLine="0" w:firstLineChars="0"/>
                    <w:jc w:val="center"/>
                    <w:rPr>
                      <w:rFonts w:cs="宋体"/>
                      <w:sz w:val="21"/>
                      <w:szCs w:val="21"/>
                    </w:rPr>
                  </w:pPr>
                  <w:r>
                    <w:rPr>
                      <w:rFonts w:cs="宋体"/>
                      <w:color w:val="000000"/>
                      <w:kern w:val="0"/>
                      <w:sz w:val="21"/>
                      <w:szCs w:val="20"/>
                      <w:lang w:bidi="ar"/>
                    </w:rPr>
                    <w:t>N:23°07′44.54″</w:t>
                  </w:r>
                </w:p>
              </w:tc>
            </w:tr>
            <w:tr w14:paraId="1E105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514" w:type="pct"/>
                  <w:vAlign w:val="center"/>
                </w:tcPr>
                <w:p w14:paraId="4A1328D9">
                  <w:pPr>
                    <w:pStyle w:val="101"/>
                    <w:spacing w:line="240" w:lineRule="auto"/>
                    <w:ind w:firstLine="0" w:firstLineChars="0"/>
                    <w:jc w:val="center"/>
                    <w:rPr>
                      <w:rFonts w:ascii="Times New Roman" w:hAnsi="Times New Roman" w:cs="宋体"/>
                      <w:kern w:val="2"/>
                      <w:sz w:val="21"/>
                      <w:szCs w:val="21"/>
                      <w:lang w:eastAsia="zh-CN"/>
                    </w:rPr>
                  </w:pPr>
                  <w:r>
                    <w:rPr>
                      <w:rFonts w:hint="eastAsia" w:ascii="Times New Roman" w:hAnsi="Times New Roman" w:cs="宋体"/>
                      <w:kern w:val="2"/>
                      <w:sz w:val="21"/>
                      <w:szCs w:val="21"/>
                      <w:lang w:eastAsia="zh-CN"/>
                    </w:rPr>
                    <w:t>W2</w:t>
                  </w:r>
                </w:p>
              </w:tc>
              <w:tc>
                <w:tcPr>
                  <w:tcW w:w="476" w:type="pct"/>
                  <w:vMerge w:val="continue"/>
                  <w:vAlign w:val="center"/>
                </w:tcPr>
                <w:p w14:paraId="41F8D8FF">
                  <w:pPr>
                    <w:pStyle w:val="101"/>
                    <w:spacing w:line="240" w:lineRule="auto"/>
                    <w:ind w:firstLine="0" w:firstLineChars="0"/>
                    <w:jc w:val="center"/>
                    <w:rPr>
                      <w:rFonts w:ascii="Times New Roman" w:hAnsi="Times New Roman" w:cs="宋体"/>
                      <w:kern w:val="2"/>
                      <w:sz w:val="21"/>
                      <w:szCs w:val="21"/>
                      <w:lang w:eastAsia="zh-CN"/>
                    </w:rPr>
                  </w:pPr>
                </w:p>
              </w:tc>
              <w:tc>
                <w:tcPr>
                  <w:tcW w:w="379" w:type="pct"/>
                  <w:vMerge w:val="continue"/>
                  <w:vAlign w:val="center"/>
                </w:tcPr>
                <w:p w14:paraId="0D8B45F9">
                  <w:pPr>
                    <w:pStyle w:val="101"/>
                    <w:spacing w:line="240" w:lineRule="auto"/>
                    <w:ind w:firstLine="0" w:firstLineChars="0"/>
                    <w:jc w:val="center"/>
                    <w:rPr>
                      <w:rFonts w:ascii="Times New Roman" w:hAnsi="Times New Roman" w:cs="宋体"/>
                      <w:kern w:val="2"/>
                      <w:sz w:val="21"/>
                      <w:szCs w:val="21"/>
                      <w:lang w:eastAsia="zh-CN"/>
                    </w:rPr>
                  </w:pPr>
                </w:p>
              </w:tc>
              <w:tc>
                <w:tcPr>
                  <w:tcW w:w="1601" w:type="pct"/>
                  <w:vAlign w:val="center"/>
                </w:tcPr>
                <w:p w14:paraId="35CA5C04">
                  <w:pPr>
                    <w:pStyle w:val="101"/>
                    <w:spacing w:line="240" w:lineRule="auto"/>
                    <w:ind w:firstLine="0" w:firstLineChars="0"/>
                    <w:jc w:val="center"/>
                    <w:rPr>
                      <w:rFonts w:ascii="Times New Roman" w:hAnsi="Times New Roman" w:cs="宋体"/>
                      <w:kern w:val="2"/>
                      <w:sz w:val="21"/>
                      <w:szCs w:val="21"/>
                      <w:lang w:eastAsia="zh-CN"/>
                    </w:rPr>
                  </w:pPr>
                  <w:r>
                    <w:rPr>
                      <w:rFonts w:hint="eastAsia" w:ascii="Times New Roman" w:hAnsi="Times New Roman" w:cs="宋体"/>
                      <w:kern w:val="2"/>
                      <w:sz w:val="21"/>
                      <w:szCs w:val="21"/>
                      <w:lang w:eastAsia="zh-CN"/>
                    </w:rPr>
                    <w:t>园洲镇第五污水处理厂排污口中心排渠下游500m</w:t>
                  </w:r>
                </w:p>
              </w:tc>
              <w:tc>
                <w:tcPr>
                  <w:tcW w:w="1054" w:type="pct"/>
                  <w:vAlign w:val="center"/>
                </w:tcPr>
                <w:p w14:paraId="5C4998D6">
                  <w:pPr>
                    <w:widowControl/>
                    <w:spacing w:line="240" w:lineRule="auto"/>
                    <w:ind w:firstLine="0" w:firstLineChars="0"/>
                    <w:jc w:val="center"/>
                    <w:rPr>
                      <w:rFonts w:cs="宋体"/>
                      <w:sz w:val="21"/>
                    </w:rPr>
                  </w:pPr>
                  <w:r>
                    <w:rPr>
                      <w:rFonts w:cs="宋体"/>
                      <w:color w:val="000000"/>
                      <w:kern w:val="0"/>
                      <w:sz w:val="21"/>
                      <w:szCs w:val="20"/>
                      <w:lang w:bidi="ar"/>
                    </w:rPr>
                    <w:t>E:113°57′44.15″</w:t>
                  </w:r>
                </w:p>
              </w:tc>
              <w:tc>
                <w:tcPr>
                  <w:tcW w:w="974" w:type="pct"/>
                  <w:vAlign w:val="center"/>
                </w:tcPr>
                <w:p w14:paraId="0D96F9CA">
                  <w:pPr>
                    <w:widowControl/>
                    <w:spacing w:line="240" w:lineRule="auto"/>
                    <w:ind w:firstLine="0" w:firstLineChars="0"/>
                    <w:jc w:val="center"/>
                    <w:rPr>
                      <w:rFonts w:cs="宋体"/>
                      <w:sz w:val="21"/>
                    </w:rPr>
                  </w:pPr>
                  <w:r>
                    <w:rPr>
                      <w:rFonts w:cs="宋体"/>
                      <w:color w:val="000000"/>
                      <w:kern w:val="0"/>
                      <w:sz w:val="21"/>
                      <w:szCs w:val="20"/>
                      <w:lang w:bidi="ar"/>
                    </w:rPr>
                    <w:t>N:23°07′56.27″</w:t>
                  </w:r>
                </w:p>
              </w:tc>
            </w:tr>
          </w:tbl>
          <w:p w14:paraId="00098741">
            <w:pPr>
              <w:widowControl/>
              <w:spacing w:line="240" w:lineRule="auto"/>
              <w:ind w:firstLine="0" w:firstLineChars="0"/>
              <w:jc w:val="center"/>
            </w:pPr>
            <w:r>
              <w:rPr>
                <w:rFonts w:hint="eastAsia" w:cs="宋体"/>
                <w:b/>
                <w:bCs/>
                <w:color w:val="000000"/>
                <w:kern w:val="0"/>
                <w:sz w:val="21"/>
                <w:lang w:bidi="ar"/>
              </w:rPr>
              <w:t>表</w:t>
            </w:r>
            <w:r>
              <w:rPr>
                <w:rFonts w:cs="宋体"/>
                <w:b/>
                <w:bCs/>
                <w:color w:val="000000"/>
                <w:kern w:val="0"/>
                <w:sz w:val="21"/>
                <w:lang w:bidi="ar"/>
              </w:rPr>
              <w:t>3-</w:t>
            </w:r>
            <w:r>
              <w:rPr>
                <w:rFonts w:hint="eastAsia" w:cs="宋体"/>
                <w:b/>
                <w:bCs/>
                <w:color w:val="000000"/>
                <w:kern w:val="0"/>
                <w:sz w:val="21"/>
                <w:lang w:bidi="ar"/>
              </w:rPr>
              <w:t>3</w:t>
            </w:r>
            <w:r>
              <w:rPr>
                <w:rFonts w:cs="宋体"/>
                <w:b/>
                <w:bCs/>
                <w:color w:val="000000"/>
                <w:kern w:val="0"/>
                <w:sz w:val="21"/>
                <w:lang w:bidi="ar"/>
              </w:rPr>
              <w:t xml:space="preserve"> 地表水水质现状监测结果（单位：mg/L ，pH 值为无量纲）</w:t>
            </w:r>
          </w:p>
          <w:p w14:paraId="51B7EDBA">
            <w:pPr>
              <w:widowControl/>
              <w:kinsoku w:val="0"/>
              <w:autoSpaceDE w:val="0"/>
              <w:autoSpaceDN w:val="0"/>
              <w:adjustRightInd w:val="0"/>
              <w:snapToGrid w:val="0"/>
              <w:spacing w:line="24" w:lineRule="auto"/>
              <w:ind w:firstLine="0" w:firstLineChars="0"/>
              <w:textAlignment w:val="baseline"/>
              <w:rPr>
                <w:rFonts w:ascii="Arial" w:hAnsi="Arial" w:eastAsia="Arial" w:cs="Arial"/>
                <w:snapToGrid w:val="0"/>
                <w:color w:val="000000"/>
                <w:kern w:val="0"/>
                <w:sz w:val="2"/>
                <w:szCs w:val="21"/>
              </w:rPr>
            </w:pPr>
          </w:p>
          <w:tbl>
            <w:tblPr>
              <w:tblStyle w:val="110"/>
              <w:tblW w:w="4997"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507"/>
              <w:gridCol w:w="1034"/>
              <w:gridCol w:w="699"/>
              <w:gridCol w:w="774"/>
              <w:gridCol w:w="774"/>
              <w:gridCol w:w="774"/>
              <w:gridCol w:w="774"/>
              <w:gridCol w:w="774"/>
              <w:gridCol w:w="774"/>
              <w:gridCol w:w="774"/>
              <w:gridCol w:w="806"/>
            </w:tblGrid>
            <w:tr w14:paraId="17508959">
              <w:tblPrEx>
                <w:tblCellMar>
                  <w:top w:w="0" w:type="dxa"/>
                  <w:left w:w="0" w:type="dxa"/>
                  <w:bottom w:w="0" w:type="dxa"/>
                  <w:right w:w="0" w:type="dxa"/>
                </w:tblCellMar>
              </w:tblPrEx>
              <w:trPr>
                <w:trHeight w:val="296" w:hRule="atLeast"/>
              </w:trPr>
              <w:tc>
                <w:tcPr>
                  <w:tcW w:w="300" w:type="pct"/>
                  <w:vMerge w:val="restart"/>
                  <w:tcBorders>
                    <w:bottom w:val="nil"/>
                  </w:tcBorders>
                  <w:vAlign w:val="center"/>
                </w:tcPr>
                <w:p w14:paraId="4C056BC0">
                  <w:pPr>
                    <w:widowControl/>
                    <w:kinsoku w:val="0"/>
                    <w:autoSpaceDE w:val="0"/>
                    <w:autoSpaceDN w:val="0"/>
                    <w:spacing w:line="240" w:lineRule="auto"/>
                    <w:ind w:firstLine="0" w:firstLineChars="0"/>
                    <w:jc w:val="center"/>
                    <w:textAlignment w:val="baseline"/>
                    <w:rPr>
                      <w:rFonts w:cs="宋体"/>
                      <w:b/>
                      <w:bCs/>
                      <w:snapToGrid w:val="0"/>
                      <w:color w:val="000000"/>
                      <w:kern w:val="0"/>
                      <w:sz w:val="21"/>
                      <w:szCs w:val="20"/>
                      <w:lang w:eastAsia="en-US"/>
                    </w:rPr>
                  </w:pPr>
                  <w:r>
                    <w:rPr>
                      <w:rFonts w:cs="宋体"/>
                      <w:b/>
                      <w:bCs/>
                      <w:snapToGrid w:val="0"/>
                      <w:color w:val="000000"/>
                      <w:spacing w:val="5"/>
                      <w:kern w:val="0"/>
                      <w:sz w:val="21"/>
                      <w:szCs w:val="20"/>
                      <w:lang w:eastAsia="en-US"/>
                    </w:rPr>
                    <w:t>采样</w:t>
                  </w:r>
                  <w:r>
                    <w:rPr>
                      <w:rFonts w:cs="宋体"/>
                      <w:b/>
                      <w:bCs/>
                      <w:snapToGrid w:val="0"/>
                      <w:color w:val="000000"/>
                      <w:spacing w:val="4"/>
                      <w:kern w:val="0"/>
                      <w:sz w:val="21"/>
                      <w:szCs w:val="20"/>
                      <w:lang w:eastAsia="en-US"/>
                    </w:rPr>
                    <w:t>位置</w:t>
                  </w:r>
                </w:p>
              </w:tc>
              <w:tc>
                <w:tcPr>
                  <w:tcW w:w="611" w:type="pct"/>
                  <w:vMerge w:val="restart"/>
                  <w:tcBorders>
                    <w:bottom w:val="nil"/>
                  </w:tcBorders>
                  <w:vAlign w:val="center"/>
                </w:tcPr>
                <w:p w14:paraId="3FDF3E5E">
                  <w:pPr>
                    <w:widowControl/>
                    <w:kinsoku w:val="0"/>
                    <w:autoSpaceDE w:val="0"/>
                    <w:autoSpaceDN w:val="0"/>
                    <w:spacing w:line="240" w:lineRule="auto"/>
                    <w:ind w:firstLine="0" w:firstLineChars="0"/>
                    <w:jc w:val="center"/>
                    <w:textAlignment w:val="baseline"/>
                    <w:rPr>
                      <w:rFonts w:cs="宋体"/>
                      <w:b/>
                      <w:bCs/>
                      <w:snapToGrid w:val="0"/>
                      <w:color w:val="000000"/>
                      <w:kern w:val="0"/>
                      <w:sz w:val="21"/>
                      <w:szCs w:val="20"/>
                      <w:lang w:eastAsia="en-US"/>
                    </w:rPr>
                  </w:pPr>
                  <w:r>
                    <w:rPr>
                      <w:rFonts w:cs="宋体"/>
                      <w:b/>
                      <w:bCs/>
                      <w:snapToGrid w:val="0"/>
                      <w:color w:val="000000"/>
                      <w:spacing w:val="7"/>
                      <w:kern w:val="0"/>
                      <w:sz w:val="21"/>
                      <w:szCs w:val="20"/>
                      <w:lang w:eastAsia="en-US"/>
                    </w:rPr>
                    <w:t>采样日期</w:t>
                  </w:r>
                </w:p>
              </w:tc>
              <w:tc>
                <w:tcPr>
                  <w:tcW w:w="4088" w:type="pct"/>
                  <w:gridSpan w:val="9"/>
                  <w:vAlign w:val="center"/>
                </w:tcPr>
                <w:p w14:paraId="737025EB">
                  <w:pPr>
                    <w:widowControl/>
                    <w:kinsoku w:val="0"/>
                    <w:autoSpaceDE w:val="0"/>
                    <w:autoSpaceDN w:val="0"/>
                    <w:spacing w:line="240" w:lineRule="auto"/>
                    <w:ind w:firstLine="0" w:firstLineChars="0"/>
                    <w:jc w:val="center"/>
                    <w:textAlignment w:val="baseline"/>
                    <w:rPr>
                      <w:rFonts w:cs="宋体"/>
                      <w:b/>
                      <w:bCs/>
                      <w:snapToGrid w:val="0"/>
                      <w:color w:val="000000"/>
                      <w:kern w:val="0"/>
                      <w:sz w:val="21"/>
                      <w:szCs w:val="20"/>
                    </w:rPr>
                  </w:pPr>
                  <w:r>
                    <w:rPr>
                      <w:rFonts w:cs="宋体"/>
                      <w:b/>
                      <w:bCs/>
                      <w:snapToGrid w:val="0"/>
                      <w:color w:val="000000"/>
                      <w:spacing w:val="9"/>
                      <w:kern w:val="0"/>
                      <w:position w:val="2"/>
                      <w:sz w:val="21"/>
                      <w:szCs w:val="20"/>
                    </w:rPr>
                    <w:t>检测项目及结果（单位：</w:t>
                  </w:r>
                  <w:r>
                    <w:rPr>
                      <w:rFonts w:cs="宋体"/>
                      <w:b/>
                      <w:bCs/>
                      <w:snapToGrid w:val="0"/>
                      <w:color w:val="000000"/>
                      <w:kern w:val="0"/>
                      <w:position w:val="2"/>
                      <w:sz w:val="21"/>
                      <w:szCs w:val="20"/>
                    </w:rPr>
                    <w:t>pH</w:t>
                  </w:r>
                  <w:r>
                    <w:rPr>
                      <w:rFonts w:cs="宋体"/>
                      <w:b/>
                      <w:bCs/>
                      <w:snapToGrid w:val="0"/>
                      <w:color w:val="000000"/>
                      <w:spacing w:val="9"/>
                      <w:kern w:val="0"/>
                      <w:position w:val="2"/>
                      <w:sz w:val="21"/>
                      <w:szCs w:val="20"/>
                    </w:rPr>
                    <w:t>值无量纲、水温℃、其他</w:t>
                  </w:r>
                  <w:r>
                    <w:rPr>
                      <w:rFonts w:cs="宋体"/>
                      <w:b/>
                      <w:bCs/>
                      <w:snapToGrid w:val="0"/>
                      <w:color w:val="000000"/>
                      <w:kern w:val="0"/>
                      <w:position w:val="2"/>
                      <w:sz w:val="21"/>
                      <w:szCs w:val="20"/>
                    </w:rPr>
                    <w:t>mg</w:t>
                  </w:r>
                  <w:r>
                    <w:rPr>
                      <w:rFonts w:cs="宋体"/>
                      <w:b/>
                      <w:bCs/>
                      <w:snapToGrid w:val="0"/>
                      <w:color w:val="000000"/>
                      <w:spacing w:val="9"/>
                      <w:kern w:val="0"/>
                      <w:position w:val="2"/>
                      <w:sz w:val="21"/>
                      <w:szCs w:val="20"/>
                    </w:rPr>
                    <w:t>/L）</w:t>
                  </w:r>
                </w:p>
              </w:tc>
            </w:tr>
            <w:tr w14:paraId="78DC56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 w:hRule="atLeast"/>
              </w:trPr>
              <w:tc>
                <w:tcPr>
                  <w:tcW w:w="300" w:type="pct"/>
                  <w:vMerge w:val="continue"/>
                  <w:tcBorders>
                    <w:top w:val="nil"/>
                  </w:tcBorders>
                  <w:vAlign w:val="center"/>
                </w:tcPr>
                <w:p w14:paraId="7FB1D6C3">
                  <w:pPr>
                    <w:widowControl/>
                    <w:kinsoku w:val="0"/>
                    <w:autoSpaceDE w:val="0"/>
                    <w:autoSpaceDN w:val="0"/>
                    <w:spacing w:line="240" w:lineRule="auto"/>
                    <w:ind w:firstLine="0" w:firstLineChars="0"/>
                    <w:jc w:val="center"/>
                    <w:textAlignment w:val="baseline"/>
                    <w:rPr>
                      <w:rFonts w:cs="宋体"/>
                      <w:b/>
                      <w:bCs/>
                      <w:snapToGrid w:val="0"/>
                      <w:color w:val="000000"/>
                      <w:kern w:val="0"/>
                      <w:sz w:val="21"/>
                      <w:szCs w:val="21"/>
                    </w:rPr>
                  </w:pPr>
                </w:p>
              </w:tc>
              <w:tc>
                <w:tcPr>
                  <w:tcW w:w="611" w:type="pct"/>
                  <w:vMerge w:val="continue"/>
                  <w:tcBorders>
                    <w:top w:val="nil"/>
                  </w:tcBorders>
                  <w:vAlign w:val="center"/>
                </w:tcPr>
                <w:p w14:paraId="0D6F0445">
                  <w:pPr>
                    <w:widowControl/>
                    <w:kinsoku w:val="0"/>
                    <w:autoSpaceDE w:val="0"/>
                    <w:autoSpaceDN w:val="0"/>
                    <w:spacing w:line="240" w:lineRule="auto"/>
                    <w:ind w:firstLine="0" w:firstLineChars="0"/>
                    <w:jc w:val="center"/>
                    <w:textAlignment w:val="baseline"/>
                    <w:rPr>
                      <w:rFonts w:cs="宋体"/>
                      <w:b/>
                      <w:bCs/>
                      <w:snapToGrid w:val="0"/>
                      <w:color w:val="000000"/>
                      <w:kern w:val="0"/>
                      <w:sz w:val="21"/>
                      <w:szCs w:val="21"/>
                    </w:rPr>
                  </w:pPr>
                </w:p>
              </w:tc>
              <w:tc>
                <w:tcPr>
                  <w:tcW w:w="413" w:type="pct"/>
                  <w:vAlign w:val="center"/>
                </w:tcPr>
                <w:p w14:paraId="3B79B4DC">
                  <w:pPr>
                    <w:widowControl/>
                    <w:kinsoku w:val="0"/>
                    <w:autoSpaceDE w:val="0"/>
                    <w:autoSpaceDN w:val="0"/>
                    <w:spacing w:line="240" w:lineRule="auto"/>
                    <w:ind w:firstLine="0" w:firstLineChars="0"/>
                    <w:jc w:val="center"/>
                    <w:textAlignment w:val="baseline"/>
                    <w:rPr>
                      <w:rFonts w:cs="宋体"/>
                      <w:b/>
                      <w:bCs/>
                      <w:snapToGrid w:val="0"/>
                      <w:color w:val="000000"/>
                      <w:kern w:val="0"/>
                      <w:sz w:val="21"/>
                      <w:szCs w:val="20"/>
                      <w:lang w:eastAsia="en-US"/>
                    </w:rPr>
                  </w:pPr>
                  <w:r>
                    <w:rPr>
                      <w:rFonts w:cs="宋体"/>
                      <w:b/>
                      <w:bCs/>
                      <w:snapToGrid w:val="0"/>
                      <w:color w:val="000000"/>
                      <w:spacing w:val="3"/>
                      <w:kern w:val="0"/>
                      <w:sz w:val="21"/>
                      <w:szCs w:val="20"/>
                      <w:lang w:eastAsia="en-US"/>
                    </w:rPr>
                    <w:t>水温</w:t>
                  </w:r>
                </w:p>
              </w:tc>
              <w:tc>
                <w:tcPr>
                  <w:tcW w:w="457" w:type="pct"/>
                  <w:vAlign w:val="center"/>
                </w:tcPr>
                <w:p w14:paraId="5F40395F">
                  <w:pPr>
                    <w:widowControl/>
                    <w:kinsoku w:val="0"/>
                    <w:autoSpaceDE w:val="0"/>
                    <w:autoSpaceDN w:val="0"/>
                    <w:spacing w:line="240" w:lineRule="auto"/>
                    <w:ind w:firstLine="0" w:firstLineChars="0"/>
                    <w:jc w:val="center"/>
                    <w:textAlignment w:val="baseline"/>
                    <w:rPr>
                      <w:rFonts w:cs="宋体"/>
                      <w:b/>
                      <w:bCs/>
                      <w:snapToGrid w:val="0"/>
                      <w:color w:val="000000"/>
                      <w:kern w:val="0"/>
                      <w:sz w:val="21"/>
                      <w:szCs w:val="20"/>
                      <w:lang w:eastAsia="en-US"/>
                    </w:rPr>
                  </w:pPr>
                  <w:r>
                    <w:rPr>
                      <w:rFonts w:cs="宋体"/>
                      <w:b/>
                      <w:bCs/>
                      <w:snapToGrid w:val="0"/>
                      <w:color w:val="000000"/>
                      <w:kern w:val="0"/>
                      <w:sz w:val="21"/>
                      <w:szCs w:val="20"/>
                      <w:lang w:eastAsia="en-US"/>
                    </w:rPr>
                    <w:t>pH</w:t>
                  </w:r>
                  <w:r>
                    <w:rPr>
                      <w:rFonts w:cs="宋体"/>
                      <w:b/>
                      <w:bCs/>
                      <w:snapToGrid w:val="0"/>
                      <w:color w:val="000000"/>
                      <w:spacing w:val="13"/>
                      <w:kern w:val="0"/>
                      <w:sz w:val="21"/>
                      <w:szCs w:val="20"/>
                      <w:lang w:eastAsia="en-US"/>
                    </w:rPr>
                    <w:t>值</w:t>
                  </w:r>
                </w:p>
              </w:tc>
              <w:tc>
                <w:tcPr>
                  <w:tcW w:w="457" w:type="pct"/>
                  <w:vAlign w:val="center"/>
                </w:tcPr>
                <w:p w14:paraId="484F0686">
                  <w:pPr>
                    <w:widowControl/>
                    <w:kinsoku w:val="0"/>
                    <w:autoSpaceDE w:val="0"/>
                    <w:autoSpaceDN w:val="0"/>
                    <w:spacing w:line="240" w:lineRule="auto"/>
                    <w:ind w:firstLine="0" w:firstLineChars="0"/>
                    <w:jc w:val="center"/>
                    <w:textAlignment w:val="baseline"/>
                    <w:rPr>
                      <w:rFonts w:cs="宋体"/>
                      <w:b/>
                      <w:bCs/>
                      <w:snapToGrid w:val="0"/>
                      <w:color w:val="000000"/>
                      <w:kern w:val="0"/>
                      <w:sz w:val="21"/>
                      <w:szCs w:val="20"/>
                      <w:lang w:eastAsia="en-US"/>
                    </w:rPr>
                  </w:pPr>
                  <w:r>
                    <w:rPr>
                      <w:rFonts w:cs="宋体"/>
                      <w:b/>
                      <w:bCs/>
                      <w:snapToGrid w:val="0"/>
                      <w:color w:val="000000"/>
                      <w:spacing w:val="6"/>
                      <w:kern w:val="0"/>
                      <w:sz w:val="21"/>
                      <w:szCs w:val="20"/>
                      <w:lang w:eastAsia="en-US"/>
                    </w:rPr>
                    <w:t>溶解氧</w:t>
                  </w:r>
                </w:p>
              </w:tc>
              <w:tc>
                <w:tcPr>
                  <w:tcW w:w="457" w:type="pct"/>
                  <w:vAlign w:val="center"/>
                </w:tcPr>
                <w:p w14:paraId="209FD1F5">
                  <w:pPr>
                    <w:widowControl/>
                    <w:kinsoku w:val="0"/>
                    <w:autoSpaceDE w:val="0"/>
                    <w:autoSpaceDN w:val="0"/>
                    <w:spacing w:line="240" w:lineRule="auto"/>
                    <w:ind w:firstLine="0" w:firstLineChars="0"/>
                    <w:jc w:val="center"/>
                    <w:textAlignment w:val="baseline"/>
                    <w:rPr>
                      <w:rFonts w:cs="宋体"/>
                      <w:b/>
                      <w:bCs/>
                      <w:snapToGrid w:val="0"/>
                      <w:color w:val="000000"/>
                      <w:kern w:val="0"/>
                      <w:sz w:val="21"/>
                      <w:szCs w:val="20"/>
                      <w:lang w:eastAsia="en-US"/>
                    </w:rPr>
                  </w:pPr>
                  <w:r>
                    <w:rPr>
                      <w:rFonts w:cs="宋体"/>
                      <w:b/>
                      <w:bCs/>
                      <w:snapToGrid w:val="0"/>
                      <w:color w:val="000000"/>
                      <w:spacing w:val="-3"/>
                      <w:kern w:val="0"/>
                      <w:sz w:val="21"/>
                      <w:szCs w:val="20"/>
                      <w:lang w:eastAsia="en-US"/>
                    </w:rPr>
                    <w:t>SS</w:t>
                  </w:r>
                </w:p>
              </w:tc>
              <w:tc>
                <w:tcPr>
                  <w:tcW w:w="457" w:type="pct"/>
                  <w:vAlign w:val="center"/>
                </w:tcPr>
                <w:p w14:paraId="2C46AABE">
                  <w:pPr>
                    <w:widowControl/>
                    <w:kinsoku w:val="0"/>
                    <w:autoSpaceDE w:val="0"/>
                    <w:autoSpaceDN w:val="0"/>
                    <w:spacing w:line="240" w:lineRule="auto"/>
                    <w:ind w:firstLine="0" w:firstLineChars="0"/>
                    <w:jc w:val="center"/>
                    <w:textAlignment w:val="baseline"/>
                    <w:rPr>
                      <w:rFonts w:cs="宋体"/>
                      <w:b/>
                      <w:bCs/>
                      <w:snapToGrid w:val="0"/>
                      <w:color w:val="000000"/>
                      <w:kern w:val="0"/>
                      <w:sz w:val="21"/>
                      <w:szCs w:val="20"/>
                    </w:rPr>
                  </w:pPr>
                  <w:r>
                    <w:rPr>
                      <w:rFonts w:cs="宋体"/>
                      <w:b/>
                      <w:bCs/>
                      <w:snapToGrid w:val="0"/>
                      <w:color w:val="000000"/>
                      <w:spacing w:val="3"/>
                      <w:kern w:val="0"/>
                      <w:sz w:val="21"/>
                      <w:szCs w:val="20"/>
                      <w:lang w:eastAsia="en-US"/>
                    </w:rPr>
                    <w:t>COD</w:t>
                  </w:r>
                  <w:r>
                    <w:rPr>
                      <w:rFonts w:hint="eastAsia" w:cs="宋体"/>
                      <w:b/>
                      <w:bCs/>
                      <w:snapToGrid w:val="0"/>
                      <w:color w:val="000000"/>
                      <w:spacing w:val="3"/>
                      <w:kern w:val="0"/>
                      <w:sz w:val="21"/>
                      <w:szCs w:val="20"/>
                      <w:vertAlign w:val="subscript"/>
                    </w:rPr>
                    <w:t>cr</w:t>
                  </w:r>
                </w:p>
              </w:tc>
              <w:tc>
                <w:tcPr>
                  <w:tcW w:w="457" w:type="pct"/>
                  <w:vAlign w:val="center"/>
                </w:tcPr>
                <w:p w14:paraId="6B6B6D10">
                  <w:pPr>
                    <w:widowControl/>
                    <w:kinsoku w:val="0"/>
                    <w:autoSpaceDE w:val="0"/>
                    <w:autoSpaceDN w:val="0"/>
                    <w:spacing w:line="240" w:lineRule="auto"/>
                    <w:ind w:firstLine="0" w:firstLineChars="0"/>
                    <w:jc w:val="center"/>
                    <w:textAlignment w:val="baseline"/>
                    <w:rPr>
                      <w:rFonts w:cs="宋体"/>
                      <w:b/>
                      <w:bCs/>
                      <w:snapToGrid w:val="0"/>
                      <w:color w:val="000000"/>
                      <w:kern w:val="0"/>
                      <w:sz w:val="21"/>
                      <w:szCs w:val="13"/>
                      <w:lang w:eastAsia="en-US"/>
                    </w:rPr>
                  </w:pPr>
                  <w:r>
                    <w:rPr>
                      <w:rFonts w:cs="宋体"/>
                      <w:b/>
                      <w:bCs/>
                      <w:snapToGrid w:val="0"/>
                      <w:color w:val="000000"/>
                      <w:spacing w:val="5"/>
                      <w:kern w:val="0"/>
                      <w:sz w:val="21"/>
                      <w:szCs w:val="20"/>
                      <w:lang w:eastAsia="en-US"/>
                    </w:rPr>
                    <w:t>BOD</w:t>
                  </w:r>
                  <w:r>
                    <w:rPr>
                      <w:rFonts w:cs="宋体"/>
                      <w:b/>
                      <w:bCs/>
                      <w:snapToGrid w:val="0"/>
                      <w:color w:val="000000"/>
                      <w:spacing w:val="5"/>
                      <w:kern w:val="0"/>
                      <w:position w:val="-1"/>
                      <w:sz w:val="21"/>
                      <w:szCs w:val="13"/>
                      <w:vertAlign w:val="subscript"/>
                      <w:lang w:eastAsia="en-US"/>
                    </w:rPr>
                    <w:t>5</w:t>
                  </w:r>
                </w:p>
              </w:tc>
              <w:tc>
                <w:tcPr>
                  <w:tcW w:w="457" w:type="pct"/>
                  <w:vAlign w:val="center"/>
                </w:tcPr>
                <w:p w14:paraId="278CA2F4">
                  <w:pPr>
                    <w:widowControl/>
                    <w:kinsoku w:val="0"/>
                    <w:autoSpaceDE w:val="0"/>
                    <w:autoSpaceDN w:val="0"/>
                    <w:spacing w:line="240" w:lineRule="auto"/>
                    <w:ind w:firstLine="0" w:firstLineChars="0"/>
                    <w:jc w:val="center"/>
                    <w:textAlignment w:val="baseline"/>
                    <w:rPr>
                      <w:rFonts w:cs="宋体"/>
                      <w:b/>
                      <w:bCs/>
                      <w:snapToGrid w:val="0"/>
                      <w:color w:val="000000"/>
                      <w:kern w:val="0"/>
                      <w:sz w:val="21"/>
                      <w:szCs w:val="20"/>
                      <w:lang w:eastAsia="en-US"/>
                    </w:rPr>
                  </w:pPr>
                  <w:r>
                    <w:rPr>
                      <w:rFonts w:cs="宋体"/>
                      <w:b/>
                      <w:bCs/>
                      <w:snapToGrid w:val="0"/>
                      <w:color w:val="000000"/>
                      <w:spacing w:val="4"/>
                      <w:kern w:val="0"/>
                      <w:sz w:val="21"/>
                      <w:szCs w:val="20"/>
                      <w:lang w:eastAsia="en-US"/>
                    </w:rPr>
                    <w:t>氨氮</w:t>
                  </w:r>
                </w:p>
              </w:tc>
              <w:tc>
                <w:tcPr>
                  <w:tcW w:w="457" w:type="pct"/>
                  <w:vAlign w:val="center"/>
                </w:tcPr>
                <w:p w14:paraId="2D4AC89F">
                  <w:pPr>
                    <w:widowControl/>
                    <w:kinsoku w:val="0"/>
                    <w:autoSpaceDE w:val="0"/>
                    <w:autoSpaceDN w:val="0"/>
                    <w:spacing w:line="240" w:lineRule="auto"/>
                    <w:ind w:firstLine="0" w:firstLineChars="0"/>
                    <w:jc w:val="center"/>
                    <w:textAlignment w:val="baseline"/>
                    <w:rPr>
                      <w:rFonts w:cs="宋体"/>
                      <w:b/>
                      <w:bCs/>
                      <w:snapToGrid w:val="0"/>
                      <w:color w:val="000000"/>
                      <w:kern w:val="0"/>
                      <w:sz w:val="21"/>
                      <w:szCs w:val="20"/>
                      <w:lang w:eastAsia="en-US"/>
                    </w:rPr>
                  </w:pPr>
                  <w:r>
                    <w:rPr>
                      <w:rFonts w:cs="宋体"/>
                      <w:b/>
                      <w:bCs/>
                      <w:snapToGrid w:val="0"/>
                      <w:color w:val="000000"/>
                      <w:spacing w:val="3"/>
                      <w:kern w:val="0"/>
                      <w:sz w:val="21"/>
                      <w:szCs w:val="20"/>
                      <w:lang w:eastAsia="en-US"/>
                    </w:rPr>
                    <w:t>总磷</w:t>
                  </w:r>
                </w:p>
              </w:tc>
              <w:tc>
                <w:tcPr>
                  <w:tcW w:w="470" w:type="pct"/>
                  <w:vAlign w:val="center"/>
                </w:tcPr>
                <w:p w14:paraId="2729B62D">
                  <w:pPr>
                    <w:widowControl/>
                    <w:kinsoku w:val="0"/>
                    <w:autoSpaceDE w:val="0"/>
                    <w:autoSpaceDN w:val="0"/>
                    <w:spacing w:line="240" w:lineRule="auto"/>
                    <w:ind w:firstLine="0" w:firstLineChars="0"/>
                    <w:jc w:val="center"/>
                    <w:textAlignment w:val="baseline"/>
                    <w:rPr>
                      <w:rFonts w:cs="宋体"/>
                      <w:b/>
                      <w:bCs/>
                      <w:snapToGrid w:val="0"/>
                      <w:color w:val="000000"/>
                      <w:kern w:val="0"/>
                      <w:sz w:val="21"/>
                      <w:szCs w:val="20"/>
                      <w:lang w:eastAsia="en-US"/>
                    </w:rPr>
                  </w:pPr>
                  <w:r>
                    <w:rPr>
                      <w:rFonts w:cs="宋体"/>
                      <w:b/>
                      <w:bCs/>
                      <w:snapToGrid w:val="0"/>
                      <w:color w:val="000000"/>
                      <w:spacing w:val="6"/>
                      <w:kern w:val="0"/>
                      <w:sz w:val="21"/>
                      <w:szCs w:val="20"/>
                      <w:lang w:eastAsia="en-US"/>
                    </w:rPr>
                    <w:t>石油类</w:t>
                  </w:r>
                </w:p>
              </w:tc>
            </w:tr>
            <w:tr w14:paraId="4D92FC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911" w:type="pct"/>
                  <w:gridSpan w:val="2"/>
                  <w:vAlign w:val="center"/>
                </w:tcPr>
                <w:p w14:paraId="1792CB50">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2"/>
                      <w:kern w:val="0"/>
                      <w:sz w:val="21"/>
                      <w:szCs w:val="20"/>
                      <w:lang w:eastAsia="en-US"/>
                    </w:rPr>
                    <w:t>Ⅴ类标准</w:t>
                  </w:r>
                </w:p>
              </w:tc>
              <w:tc>
                <w:tcPr>
                  <w:tcW w:w="413" w:type="pct"/>
                  <w:vAlign w:val="center"/>
                </w:tcPr>
                <w:p w14:paraId="3E4F7159">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2"/>
                      <w:kern w:val="0"/>
                      <w:position w:val="1"/>
                      <w:sz w:val="21"/>
                      <w:szCs w:val="20"/>
                      <w:lang w:eastAsia="en-US"/>
                    </w:rPr>
                    <w:t>/</w:t>
                  </w:r>
                </w:p>
              </w:tc>
              <w:tc>
                <w:tcPr>
                  <w:tcW w:w="457" w:type="pct"/>
                  <w:vAlign w:val="center"/>
                </w:tcPr>
                <w:p w14:paraId="42853706">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kern w:val="0"/>
                      <w:sz w:val="21"/>
                      <w:szCs w:val="20"/>
                      <w:lang w:eastAsia="en-US"/>
                    </w:rPr>
                    <w:t>6-9</w:t>
                  </w:r>
                </w:p>
              </w:tc>
              <w:tc>
                <w:tcPr>
                  <w:tcW w:w="457" w:type="pct"/>
                  <w:vAlign w:val="center"/>
                </w:tcPr>
                <w:p w14:paraId="66FE4FB9">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3"/>
                      <w:kern w:val="0"/>
                      <w:sz w:val="21"/>
                      <w:szCs w:val="20"/>
                      <w:lang w:eastAsia="en-US"/>
                    </w:rPr>
                    <w:t>≥2</w:t>
                  </w:r>
                </w:p>
              </w:tc>
              <w:tc>
                <w:tcPr>
                  <w:tcW w:w="457" w:type="pct"/>
                  <w:vAlign w:val="center"/>
                </w:tcPr>
                <w:p w14:paraId="489249B2">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2"/>
                      <w:kern w:val="0"/>
                      <w:position w:val="1"/>
                      <w:sz w:val="21"/>
                      <w:szCs w:val="20"/>
                      <w:lang w:eastAsia="en-US"/>
                    </w:rPr>
                    <w:t>/</w:t>
                  </w:r>
                </w:p>
              </w:tc>
              <w:tc>
                <w:tcPr>
                  <w:tcW w:w="457" w:type="pct"/>
                  <w:vAlign w:val="center"/>
                </w:tcPr>
                <w:p w14:paraId="363D6E20">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4"/>
                      <w:kern w:val="0"/>
                      <w:sz w:val="21"/>
                      <w:szCs w:val="20"/>
                      <w:lang w:eastAsia="en-US"/>
                    </w:rPr>
                    <w:t>≤40</w:t>
                  </w:r>
                </w:p>
              </w:tc>
              <w:tc>
                <w:tcPr>
                  <w:tcW w:w="457" w:type="pct"/>
                  <w:vAlign w:val="center"/>
                </w:tcPr>
                <w:p w14:paraId="69A42758">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4"/>
                      <w:kern w:val="0"/>
                      <w:sz w:val="21"/>
                      <w:szCs w:val="20"/>
                      <w:lang w:eastAsia="en-US"/>
                    </w:rPr>
                    <w:t>≤10</w:t>
                  </w:r>
                </w:p>
              </w:tc>
              <w:tc>
                <w:tcPr>
                  <w:tcW w:w="457" w:type="pct"/>
                  <w:vAlign w:val="center"/>
                </w:tcPr>
                <w:p w14:paraId="537D6137">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3"/>
                      <w:kern w:val="0"/>
                      <w:sz w:val="21"/>
                      <w:szCs w:val="20"/>
                      <w:lang w:eastAsia="en-US"/>
                    </w:rPr>
                    <w:t>≤2.0</w:t>
                  </w:r>
                </w:p>
              </w:tc>
              <w:tc>
                <w:tcPr>
                  <w:tcW w:w="457" w:type="pct"/>
                  <w:vAlign w:val="center"/>
                </w:tcPr>
                <w:p w14:paraId="43045211">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3"/>
                      <w:kern w:val="0"/>
                      <w:sz w:val="21"/>
                      <w:szCs w:val="20"/>
                      <w:lang w:eastAsia="en-US"/>
                    </w:rPr>
                    <w:t>≤0.4</w:t>
                  </w:r>
                </w:p>
              </w:tc>
              <w:tc>
                <w:tcPr>
                  <w:tcW w:w="470" w:type="pct"/>
                  <w:vAlign w:val="center"/>
                </w:tcPr>
                <w:p w14:paraId="5DB24C77">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3"/>
                      <w:kern w:val="0"/>
                      <w:sz w:val="21"/>
                      <w:szCs w:val="20"/>
                      <w:lang w:eastAsia="en-US"/>
                    </w:rPr>
                    <w:t>≤1.0</w:t>
                  </w:r>
                </w:p>
              </w:tc>
            </w:tr>
            <w:tr w14:paraId="158775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 w:hRule="atLeast"/>
              </w:trPr>
              <w:tc>
                <w:tcPr>
                  <w:tcW w:w="300" w:type="pct"/>
                  <w:vMerge w:val="restart"/>
                  <w:tcBorders>
                    <w:bottom w:val="nil"/>
                  </w:tcBorders>
                  <w:vAlign w:val="center"/>
                </w:tcPr>
                <w:p w14:paraId="732946C6">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4"/>
                      <w:kern w:val="0"/>
                      <w:sz w:val="21"/>
                      <w:szCs w:val="20"/>
                      <w:lang w:eastAsia="en-US"/>
                    </w:rPr>
                    <w:t>W1</w:t>
                  </w:r>
                </w:p>
              </w:tc>
              <w:tc>
                <w:tcPr>
                  <w:tcW w:w="611" w:type="pct"/>
                  <w:vAlign w:val="center"/>
                </w:tcPr>
                <w:p w14:paraId="5CE8AAB0">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1"/>
                      <w:kern w:val="0"/>
                      <w:sz w:val="21"/>
                      <w:szCs w:val="20"/>
                      <w:lang w:eastAsia="en-US"/>
                    </w:rPr>
                    <w:t>2022.11.19</w:t>
                  </w:r>
                </w:p>
              </w:tc>
              <w:tc>
                <w:tcPr>
                  <w:tcW w:w="413" w:type="pct"/>
                  <w:vAlign w:val="center"/>
                </w:tcPr>
                <w:p w14:paraId="38C9DABF">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3"/>
                      <w:kern w:val="0"/>
                      <w:sz w:val="21"/>
                      <w:szCs w:val="20"/>
                      <w:lang w:eastAsia="en-US"/>
                    </w:rPr>
                    <w:t>25.4</w:t>
                  </w:r>
                </w:p>
              </w:tc>
              <w:tc>
                <w:tcPr>
                  <w:tcW w:w="457" w:type="pct"/>
                  <w:vAlign w:val="center"/>
                </w:tcPr>
                <w:p w14:paraId="541FE62C">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1"/>
                      <w:kern w:val="0"/>
                      <w:sz w:val="21"/>
                      <w:szCs w:val="20"/>
                      <w:lang w:eastAsia="en-US"/>
                    </w:rPr>
                    <w:t>7.0</w:t>
                  </w:r>
                </w:p>
              </w:tc>
              <w:tc>
                <w:tcPr>
                  <w:tcW w:w="457" w:type="pct"/>
                  <w:vAlign w:val="center"/>
                </w:tcPr>
                <w:p w14:paraId="435CD4B6">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3"/>
                      <w:kern w:val="0"/>
                      <w:sz w:val="21"/>
                      <w:szCs w:val="20"/>
                      <w:lang w:eastAsia="en-US"/>
                    </w:rPr>
                    <w:t>4.8</w:t>
                  </w:r>
                </w:p>
              </w:tc>
              <w:tc>
                <w:tcPr>
                  <w:tcW w:w="457" w:type="pct"/>
                  <w:vAlign w:val="center"/>
                </w:tcPr>
                <w:p w14:paraId="34669BA1">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kern w:val="0"/>
                      <w:sz w:val="21"/>
                      <w:szCs w:val="20"/>
                      <w:lang w:eastAsia="en-US"/>
                    </w:rPr>
                    <w:t>7</w:t>
                  </w:r>
                </w:p>
              </w:tc>
              <w:tc>
                <w:tcPr>
                  <w:tcW w:w="457" w:type="pct"/>
                  <w:vAlign w:val="center"/>
                </w:tcPr>
                <w:p w14:paraId="605F3C1E">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2"/>
                      <w:kern w:val="0"/>
                      <w:sz w:val="21"/>
                      <w:szCs w:val="20"/>
                      <w:lang w:eastAsia="en-US"/>
                    </w:rPr>
                    <w:t>26</w:t>
                  </w:r>
                </w:p>
              </w:tc>
              <w:tc>
                <w:tcPr>
                  <w:tcW w:w="457" w:type="pct"/>
                  <w:vAlign w:val="center"/>
                </w:tcPr>
                <w:p w14:paraId="7BCDD70B">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1"/>
                      <w:kern w:val="0"/>
                      <w:sz w:val="21"/>
                      <w:szCs w:val="20"/>
                      <w:lang w:eastAsia="en-US"/>
                    </w:rPr>
                    <w:t>7.0</w:t>
                  </w:r>
                </w:p>
              </w:tc>
              <w:tc>
                <w:tcPr>
                  <w:tcW w:w="457" w:type="pct"/>
                  <w:vAlign w:val="center"/>
                </w:tcPr>
                <w:p w14:paraId="53A8D03D">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2"/>
                      <w:kern w:val="0"/>
                      <w:sz w:val="21"/>
                      <w:szCs w:val="20"/>
                      <w:lang w:eastAsia="en-US"/>
                    </w:rPr>
                    <w:t>1.72</w:t>
                  </w:r>
                </w:p>
              </w:tc>
              <w:tc>
                <w:tcPr>
                  <w:tcW w:w="457" w:type="pct"/>
                  <w:vAlign w:val="center"/>
                </w:tcPr>
                <w:p w14:paraId="5429AF4F">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2"/>
                      <w:kern w:val="0"/>
                      <w:sz w:val="21"/>
                      <w:szCs w:val="20"/>
                      <w:lang w:eastAsia="en-US"/>
                    </w:rPr>
                    <w:t>0.16</w:t>
                  </w:r>
                </w:p>
              </w:tc>
              <w:tc>
                <w:tcPr>
                  <w:tcW w:w="470" w:type="pct"/>
                  <w:vAlign w:val="center"/>
                </w:tcPr>
                <w:p w14:paraId="3999A538">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3"/>
                      <w:kern w:val="0"/>
                      <w:sz w:val="21"/>
                      <w:szCs w:val="20"/>
                      <w:lang w:eastAsia="en-US"/>
                    </w:rPr>
                    <w:t>0.01L</w:t>
                  </w:r>
                </w:p>
              </w:tc>
            </w:tr>
            <w:tr w14:paraId="13CB12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0" w:hRule="atLeast"/>
              </w:trPr>
              <w:tc>
                <w:tcPr>
                  <w:tcW w:w="300" w:type="pct"/>
                  <w:vMerge w:val="continue"/>
                  <w:tcBorders>
                    <w:top w:val="nil"/>
                    <w:bottom w:val="nil"/>
                  </w:tcBorders>
                  <w:vAlign w:val="center"/>
                </w:tcPr>
                <w:p w14:paraId="60359212">
                  <w:pPr>
                    <w:widowControl/>
                    <w:kinsoku w:val="0"/>
                    <w:autoSpaceDE w:val="0"/>
                    <w:autoSpaceDN w:val="0"/>
                    <w:spacing w:line="240" w:lineRule="auto"/>
                    <w:ind w:firstLine="0" w:firstLineChars="0"/>
                    <w:jc w:val="center"/>
                    <w:textAlignment w:val="baseline"/>
                    <w:rPr>
                      <w:rFonts w:cs="宋体"/>
                      <w:snapToGrid w:val="0"/>
                      <w:color w:val="000000"/>
                      <w:kern w:val="0"/>
                      <w:sz w:val="21"/>
                      <w:szCs w:val="21"/>
                      <w:lang w:eastAsia="en-US"/>
                    </w:rPr>
                  </w:pPr>
                </w:p>
              </w:tc>
              <w:tc>
                <w:tcPr>
                  <w:tcW w:w="611" w:type="pct"/>
                  <w:vAlign w:val="center"/>
                </w:tcPr>
                <w:p w14:paraId="6752636A">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1"/>
                      <w:kern w:val="0"/>
                      <w:sz w:val="21"/>
                      <w:szCs w:val="20"/>
                      <w:lang w:eastAsia="en-US"/>
                    </w:rPr>
                    <w:t>2022.11.20</w:t>
                  </w:r>
                </w:p>
              </w:tc>
              <w:tc>
                <w:tcPr>
                  <w:tcW w:w="413" w:type="pct"/>
                  <w:vAlign w:val="center"/>
                </w:tcPr>
                <w:p w14:paraId="6A706AE0">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2"/>
                      <w:kern w:val="0"/>
                      <w:sz w:val="21"/>
                      <w:szCs w:val="20"/>
                      <w:lang w:eastAsia="en-US"/>
                    </w:rPr>
                    <w:t>26.1</w:t>
                  </w:r>
                </w:p>
              </w:tc>
              <w:tc>
                <w:tcPr>
                  <w:tcW w:w="457" w:type="pct"/>
                  <w:vAlign w:val="center"/>
                </w:tcPr>
                <w:p w14:paraId="530B48F9">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kern w:val="0"/>
                      <w:sz w:val="21"/>
                      <w:szCs w:val="20"/>
                      <w:lang w:eastAsia="en-US"/>
                    </w:rPr>
                    <w:t>7.1</w:t>
                  </w:r>
                </w:p>
              </w:tc>
              <w:tc>
                <w:tcPr>
                  <w:tcW w:w="457" w:type="pct"/>
                  <w:vAlign w:val="center"/>
                </w:tcPr>
                <w:p w14:paraId="0F533614">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3"/>
                      <w:kern w:val="0"/>
                      <w:sz w:val="21"/>
                      <w:szCs w:val="20"/>
                      <w:lang w:eastAsia="en-US"/>
                    </w:rPr>
                    <w:t>4.5</w:t>
                  </w:r>
                </w:p>
              </w:tc>
              <w:tc>
                <w:tcPr>
                  <w:tcW w:w="457" w:type="pct"/>
                  <w:vAlign w:val="center"/>
                </w:tcPr>
                <w:p w14:paraId="7699AA28">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8"/>
                      <w:kern w:val="0"/>
                      <w:sz w:val="21"/>
                      <w:szCs w:val="20"/>
                      <w:lang w:eastAsia="en-US"/>
                    </w:rPr>
                    <w:t>10</w:t>
                  </w:r>
                </w:p>
              </w:tc>
              <w:tc>
                <w:tcPr>
                  <w:tcW w:w="457" w:type="pct"/>
                  <w:vAlign w:val="center"/>
                </w:tcPr>
                <w:p w14:paraId="337615DC">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2"/>
                      <w:kern w:val="0"/>
                      <w:sz w:val="21"/>
                      <w:szCs w:val="20"/>
                      <w:lang w:eastAsia="en-US"/>
                    </w:rPr>
                    <w:t>24</w:t>
                  </w:r>
                </w:p>
              </w:tc>
              <w:tc>
                <w:tcPr>
                  <w:tcW w:w="457" w:type="pct"/>
                  <w:vAlign w:val="center"/>
                </w:tcPr>
                <w:p w14:paraId="43AD9E5B">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1"/>
                      <w:kern w:val="0"/>
                      <w:sz w:val="21"/>
                      <w:szCs w:val="20"/>
                      <w:lang w:eastAsia="en-US"/>
                    </w:rPr>
                    <w:t>6.7</w:t>
                  </w:r>
                </w:p>
              </w:tc>
              <w:tc>
                <w:tcPr>
                  <w:tcW w:w="457" w:type="pct"/>
                  <w:vAlign w:val="center"/>
                </w:tcPr>
                <w:p w14:paraId="0FEAB4A9">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2"/>
                      <w:kern w:val="0"/>
                      <w:sz w:val="21"/>
                      <w:szCs w:val="20"/>
                      <w:lang w:eastAsia="en-US"/>
                    </w:rPr>
                    <w:t>1.37</w:t>
                  </w:r>
                </w:p>
              </w:tc>
              <w:tc>
                <w:tcPr>
                  <w:tcW w:w="457" w:type="pct"/>
                  <w:vAlign w:val="center"/>
                </w:tcPr>
                <w:p w14:paraId="24325375">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2"/>
                      <w:kern w:val="0"/>
                      <w:sz w:val="21"/>
                      <w:szCs w:val="20"/>
                      <w:lang w:eastAsia="en-US"/>
                    </w:rPr>
                    <w:t>0.18</w:t>
                  </w:r>
                </w:p>
              </w:tc>
              <w:tc>
                <w:tcPr>
                  <w:tcW w:w="470" w:type="pct"/>
                  <w:vAlign w:val="center"/>
                </w:tcPr>
                <w:p w14:paraId="4CB1143D">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3"/>
                      <w:kern w:val="0"/>
                      <w:sz w:val="21"/>
                      <w:szCs w:val="20"/>
                      <w:lang w:eastAsia="en-US"/>
                    </w:rPr>
                    <w:t>0.01L</w:t>
                  </w:r>
                </w:p>
              </w:tc>
            </w:tr>
            <w:tr w14:paraId="18CA1C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 w:hRule="atLeast"/>
              </w:trPr>
              <w:tc>
                <w:tcPr>
                  <w:tcW w:w="300" w:type="pct"/>
                  <w:vMerge w:val="continue"/>
                  <w:tcBorders>
                    <w:top w:val="nil"/>
                    <w:bottom w:val="nil"/>
                  </w:tcBorders>
                  <w:vAlign w:val="center"/>
                </w:tcPr>
                <w:p w14:paraId="6386B5C1">
                  <w:pPr>
                    <w:widowControl/>
                    <w:kinsoku w:val="0"/>
                    <w:autoSpaceDE w:val="0"/>
                    <w:autoSpaceDN w:val="0"/>
                    <w:spacing w:line="240" w:lineRule="auto"/>
                    <w:ind w:firstLine="0" w:firstLineChars="0"/>
                    <w:jc w:val="center"/>
                    <w:textAlignment w:val="baseline"/>
                    <w:rPr>
                      <w:rFonts w:cs="宋体"/>
                      <w:snapToGrid w:val="0"/>
                      <w:color w:val="000000"/>
                      <w:kern w:val="0"/>
                      <w:sz w:val="21"/>
                      <w:szCs w:val="21"/>
                      <w:lang w:eastAsia="en-US"/>
                    </w:rPr>
                  </w:pPr>
                </w:p>
              </w:tc>
              <w:tc>
                <w:tcPr>
                  <w:tcW w:w="611" w:type="pct"/>
                  <w:vAlign w:val="center"/>
                </w:tcPr>
                <w:p w14:paraId="7FD701D4">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1"/>
                      <w:kern w:val="0"/>
                      <w:sz w:val="21"/>
                      <w:szCs w:val="20"/>
                      <w:lang w:eastAsia="en-US"/>
                    </w:rPr>
                    <w:t>2022.11.21</w:t>
                  </w:r>
                </w:p>
              </w:tc>
              <w:tc>
                <w:tcPr>
                  <w:tcW w:w="413" w:type="pct"/>
                  <w:vAlign w:val="center"/>
                </w:tcPr>
                <w:p w14:paraId="63B76E37">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3"/>
                      <w:kern w:val="0"/>
                      <w:sz w:val="21"/>
                      <w:szCs w:val="20"/>
                      <w:lang w:eastAsia="en-US"/>
                    </w:rPr>
                    <w:t>26.2</w:t>
                  </w:r>
                </w:p>
              </w:tc>
              <w:tc>
                <w:tcPr>
                  <w:tcW w:w="457" w:type="pct"/>
                  <w:vAlign w:val="center"/>
                </w:tcPr>
                <w:p w14:paraId="3051157A">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kern w:val="0"/>
                      <w:sz w:val="21"/>
                      <w:szCs w:val="20"/>
                      <w:lang w:eastAsia="en-US"/>
                    </w:rPr>
                    <w:t>7.1</w:t>
                  </w:r>
                </w:p>
              </w:tc>
              <w:tc>
                <w:tcPr>
                  <w:tcW w:w="457" w:type="pct"/>
                  <w:vAlign w:val="center"/>
                </w:tcPr>
                <w:p w14:paraId="5088BCE7">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3"/>
                      <w:kern w:val="0"/>
                      <w:sz w:val="21"/>
                      <w:szCs w:val="20"/>
                      <w:lang w:eastAsia="en-US"/>
                    </w:rPr>
                    <w:t>4.2</w:t>
                  </w:r>
                </w:p>
              </w:tc>
              <w:tc>
                <w:tcPr>
                  <w:tcW w:w="457" w:type="pct"/>
                  <w:vAlign w:val="center"/>
                </w:tcPr>
                <w:p w14:paraId="30705664">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kern w:val="0"/>
                      <w:sz w:val="21"/>
                      <w:szCs w:val="20"/>
                      <w:lang w:eastAsia="en-US"/>
                    </w:rPr>
                    <w:t>8</w:t>
                  </w:r>
                </w:p>
              </w:tc>
              <w:tc>
                <w:tcPr>
                  <w:tcW w:w="457" w:type="pct"/>
                  <w:vAlign w:val="center"/>
                </w:tcPr>
                <w:p w14:paraId="1721AA23">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2"/>
                      <w:kern w:val="0"/>
                      <w:sz w:val="21"/>
                      <w:szCs w:val="20"/>
                      <w:lang w:eastAsia="en-US"/>
                    </w:rPr>
                    <w:t>28</w:t>
                  </w:r>
                </w:p>
              </w:tc>
              <w:tc>
                <w:tcPr>
                  <w:tcW w:w="457" w:type="pct"/>
                  <w:vAlign w:val="center"/>
                </w:tcPr>
                <w:p w14:paraId="6D0E4FB1">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1"/>
                      <w:kern w:val="0"/>
                      <w:sz w:val="21"/>
                      <w:szCs w:val="20"/>
                      <w:lang w:eastAsia="en-US"/>
                    </w:rPr>
                    <w:t>7.7</w:t>
                  </w:r>
                </w:p>
              </w:tc>
              <w:tc>
                <w:tcPr>
                  <w:tcW w:w="457" w:type="pct"/>
                  <w:vAlign w:val="center"/>
                </w:tcPr>
                <w:p w14:paraId="476BB539">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2"/>
                      <w:kern w:val="0"/>
                      <w:sz w:val="21"/>
                      <w:szCs w:val="20"/>
                      <w:lang w:eastAsia="en-US"/>
                    </w:rPr>
                    <w:t>1.34</w:t>
                  </w:r>
                </w:p>
              </w:tc>
              <w:tc>
                <w:tcPr>
                  <w:tcW w:w="457" w:type="pct"/>
                  <w:vAlign w:val="center"/>
                </w:tcPr>
                <w:p w14:paraId="45648BA4">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2"/>
                      <w:kern w:val="0"/>
                      <w:sz w:val="21"/>
                      <w:szCs w:val="20"/>
                      <w:lang w:eastAsia="en-US"/>
                    </w:rPr>
                    <w:t>0.20</w:t>
                  </w:r>
                </w:p>
              </w:tc>
              <w:tc>
                <w:tcPr>
                  <w:tcW w:w="470" w:type="pct"/>
                  <w:vAlign w:val="center"/>
                </w:tcPr>
                <w:p w14:paraId="4D3FDA61">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3"/>
                      <w:kern w:val="0"/>
                      <w:sz w:val="21"/>
                      <w:szCs w:val="20"/>
                      <w:lang w:eastAsia="en-US"/>
                    </w:rPr>
                    <w:t>0.01L</w:t>
                  </w:r>
                </w:p>
              </w:tc>
            </w:tr>
            <w:tr w14:paraId="1BE4A6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 w:hRule="atLeast"/>
              </w:trPr>
              <w:tc>
                <w:tcPr>
                  <w:tcW w:w="300" w:type="pct"/>
                  <w:vMerge w:val="continue"/>
                  <w:tcBorders>
                    <w:top w:val="nil"/>
                    <w:bottom w:val="nil"/>
                  </w:tcBorders>
                  <w:vAlign w:val="center"/>
                </w:tcPr>
                <w:p w14:paraId="676A8885">
                  <w:pPr>
                    <w:widowControl/>
                    <w:kinsoku w:val="0"/>
                    <w:autoSpaceDE w:val="0"/>
                    <w:autoSpaceDN w:val="0"/>
                    <w:spacing w:line="240" w:lineRule="auto"/>
                    <w:ind w:firstLine="0" w:firstLineChars="0"/>
                    <w:jc w:val="center"/>
                    <w:textAlignment w:val="baseline"/>
                    <w:rPr>
                      <w:rFonts w:cs="宋体"/>
                      <w:snapToGrid w:val="0"/>
                      <w:color w:val="000000"/>
                      <w:kern w:val="0"/>
                      <w:sz w:val="21"/>
                      <w:szCs w:val="21"/>
                      <w:lang w:eastAsia="en-US"/>
                    </w:rPr>
                  </w:pPr>
                </w:p>
              </w:tc>
              <w:tc>
                <w:tcPr>
                  <w:tcW w:w="611" w:type="pct"/>
                  <w:vAlign w:val="center"/>
                </w:tcPr>
                <w:p w14:paraId="02C4358A">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7"/>
                      <w:kern w:val="0"/>
                      <w:sz w:val="21"/>
                      <w:szCs w:val="20"/>
                      <w:lang w:eastAsia="en-US"/>
                    </w:rPr>
                    <w:t>平均值</w:t>
                  </w:r>
                </w:p>
              </w:tc>
              <w:tc>
                <w:tcPr>
                  <w:tcW w:w="413" w:type="pct"/>
                  <w:vAlign w:val="center"/>
                </w:tcPr>
                <w:p w14:paraId="16FCB2EA">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3"/>
                      <w:kern w:val="0"/>
                      <w:sz w:val="21"/>
                      <w:szCs w:val="20"/>
                      <w:lang w:eastAsia="en-US"/>
                    </w:rPr>
                    <w:t>25.9</w:t>
                  </w:r>
                </w:p>
              </w:tc>
              <w:tc>
                <w:tcPr>
                  <w:tcW w:w="457" w:type="pct"/>
                  <w:vAlign w:val="center"/>
                </w:tcPr>
                <w:p w14:paraId="786777E4">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2"/>
                      <w:kern w:val="0"/>
                      <w:sz w:val="21"/>
                      <w:szCs w:val="20"/>
                      <w:lang w:eastAsia="en-US"/>
                    </w:rPr>
                    <w:t>7.07</w:t>
                  </w:r>
                </w:p>
              </w:tc>
              <w:tc>
                <w:tcPr>
                  <w:tcW w:w="457" w:type="pct"/>
                  <w:vAlign w:val="center"/>
                </w:tcPr>
                <w:p w14:paraId="67F5E7FA">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3"/>
                      <w:kern w:val="0"/>
                      <w:sz w:val="21"/>
                      <w:szCs w:val="20"/>
                      <w:lang w:eastAsia="en-US"/>
                    </w:rPr>
                    <w:t>4.50</w:t>
                  </w:r>
                </w:p>
              </w:tc>
              <w:tc>
                <w:tcPr>
                  <w:tcW w:w="457" w:type="pct"/>
                  <w:vAlign w:val="center"/>
                </w:tcPr>
                <w:p w14:paraId="4147AC37">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1"/>
                      <w:kern w:val="0"/>
                      <w:sz w:val="21"/>
                      <w:szCs w:val="20"/>
                      <w:lang w:eastAsia="en-US"/>
                    </w:rPr>
                    <w:t>8.33</w:t>
                  </w:r>
                </w:p>
              </w:tc>
              <w:tc>
                <w:tcPr>
                  <w:tcW w:w="457" w:type="pct"/>
                  <w:vAlign w:val="center"/>
                </w:tcPr>
                <w:p w14:paraId="08D9695C">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2"/>
                      <w:kern w:val="0"/>
                      <w:sz w:val="21"/>
                      <w:szCs w:val="20"/>
                      <w:lang w:eastAsia="en-US"/>
                    </w:rPr>
                    <w:t>26</w:t>
                  </w:r>
                </w:p>
              </w:tc>
              <w:tc>
                <w:tcPr>
                  <w:tcW w:w="457" w:type="pct"/>
                  <w:vAlign w:val="center"/>
                </w:tcPr>
                <w:p w14:paraId="5F9CF064">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2"/>
                      <w:kern w:val="0"/>
                      <w:sz w:val="21"/>
                      <w:szCs w:val="20"/>
                      <w:lang w:eastAsia="en-US"/>
                    </w:rPr>
                    <w:t>7.13</w:t>
                  </w:r>
                </w:p>
              </w:tc>
              <w:tc>
                <w:tcPr>
                  <w:tcW w:w="457" w:type="pct"/>
                  <w:vAlign w:val="center"/>
                </w:tcPr>
                <w:p w14:paraId="41A66184">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2"/>
                      <w:kern w:val="0"/>
                      <w:sz w:val="21"/>
                      <w:szCs w:val="20"/>
                      <w:lang w:eastAsia="en-US"/>
                    </w:rPr>
                    <w:t>1.48</w:t>
                  </w:r>
                </w:p>
              </w:tc>
              <w:tc>
                <w:tcPr>
                  <w:tcW w:w="457" w:type="pct"/>
                  <w:vAlign w:val="center"/>
                </w:tcPr>
                <w:p w14:paraId="152FF81D">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2"/>
                      <w:kern w:val="0"/>
                      <w:sz w:val="21"/>
                      <w:szCs w:val="20"/>
                      <w:lang w:eastAsia="en-US"/>
                    </w:rPr>
                    <w:t>0.18</w:t>
                  </w:r>
                </w:p>
              </w:tc>
              <w:tc>
                <w:tcPr>
                  <w:tcW w:w="470" w:type="pct"/>
                  <w:vAlign w:val="center"/>
                </w:tcPr>
                <w:p w14:paraId="4364E6EE">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7"/>
                      <w:kern w:val="0"/>
                      <w:sz w:val="21"/>
                      <w:szCs w:val="20"/>
                      <w:lang w:eastAsia="en-US"/>
                    </w:rPr>
                    <w:t>ND</w:t>
                  </w:r>
                </w:p>
              </w:tc>
            </w:tr>
            <w:tr w14:paraId="6F2680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300" w:type="pct"/>
                  <w:vMerge w:val="continue"/>
                  <w:tcBorders>
                    <w:top w:val="nil"/>
                    <w:bottom w:val="nil"/>
                  </w:tcBorders>
                  <w:vAlign w:val="center"/>
                </w:tcPr>
                <w:p w14:paraId="221F2CA1">
                  <w:pPr>
                    <w:widowControl/>
                    <w:kinsoku w:val="0"/>
                    <w:autoSpaceDE w:val="0"/>
                    <w:autoSpaceDN w:val="0"/>
                    <w:spacing w:line="240" w:lineRule="auto"/>
                    <w:ind w:firstLine="0" w:firstLineChars="0"/>
                    <w:jc w:val="center"/>
                    <w:textAlignment w:val="baseline"/>
                    <w:rPr>
                      <w:rFonts w:cs="宋体"/>
                      <w:snapToGrid w:val="0"/>
                      <w:color w:val="000000"/>
                      <w:kern w:val="0"/>
                      <w:sz w:val="21"/>
                      <w:szCs w:val="21"/>
                      <w:lang w:eastAsia="en-US"/>
                    </w:rPr>
                  </w:pPr>
                </w:p>
              </w:tc>
              <w:tc>
                <w:tcPr>
                  <w:tcW w:w="611" w:type="pct"/>
                  <w:vAlign w:val="center"/>
                </w:tcPr>
                <w:p w14:paraId="19D3202D">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7"/>
                      <w:kern w:val="0"/>
                      <w:sz w:val="21"/>
                      <w:szCs w:val="20"/>
                      <w:lang w:eastAsia="en-US"/>
                    </w:rPr>
                    <w:t>标准指数</w:t>
                  </w:r>
                </w:p>
              </w:tc>
              <w:tc>
                <w:tcPr>
                  <w:tcW w:w="413" w:type="pct"/>
                  <w:vAlign w:val="center"/>
                </w:tcPr>
                <w:p w14:paraId="72B1B7D1">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2"/>
                      <w:kern w:val="0"/>
                      <w:position w:val="1"/>
                      <w:sz w:val="21"/>
                      <w:szCs w:val="20"/>
                      <w:lang w:eastAsia="en-US"/>
                    </w:rPr>
                    <w:t>/</w:t>
                  </w:r>
                </w:p>
              </w:tc>
              <w:tc>
                <w:tcPr>
                  <w:tcW w:w="457" w:type="pct"/>
                  <w:vAlign w:val="center"/>
                </w:tcPr>
                <w:p w14:paraId="7A276F7D">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2"/>
                      <w:kern w:val="0"/>
                      <w:sz w:val="21"/>
                      <w:szCs w:val="20"/>
                      <w:lang w:eastAsia="en-US"/>
                    </w:rPr>
                    <w:t>0.03</w:t>
                  </w:r>
                </w:p>
              </w:tc>
              <w:tc>
                <w:tcPr>
                  <w:tcW w:w="457" w:type="pct"/>
                  <w:vAlign w:val="center"/>
                </w:tcPr>
                <w:p w14:paraId="406B33DB">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3"/>
                      <w:kern w:val="0"/>
                      <w:sz w:val="21"/>
                      <w:szCs w:val="20"/>
                      <w:lang w:eastAsia="en-US"/>
                    </w:rPr>
                    <w:t>0.044</w:t>
                  </w:r>
                </w:p>
              </w:tc>
              <w:tc>
                <w:tcPr>
                  <w:tcW w:w="457" w:type="pct"/>
                  <w:vAlign w:val="center"/>
                </w:tcPr>
                <w:p w14:paraId="3249C69F">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2"/>
                      <w:kern w:val="0"/>
                      <w:position w:val="1"/>
                      <w:sz w:val="21"/>
                      <w:szCs w:val="20"/>
                      <w:lang w:eastAsia="en-US"/>
                    </w:rPr>
                    <w:t>/</w:t>
                  </w:r>
                </w:p>
              </w:tc>
              <w:tc>
                <w:tcPr>
                  <w:tcW w:w="457" w:type="pct"/>
                  <w:vAlign w:val="center"/>
                </w:tcPr>
                <w:p w14:paraId="51C64257">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2"/>
                      <w:kern w:val="0"/>
                      <w:sz w:val="21"/>
                      <w:szCs w:val="20"/>
                      <w:lang w:eastAsia="en-US"/>
                    </w:rPr>
                    <w:t>0.65</w:t>
                  </w:r>
                </w:p>
              </w:tc>
              <w:tc>
                <w:tcPr>
                  <w:tcW w:w="457" w:type="pct"/>
                  <w:vAlign w:val="center"/>
                </w:tcPr>
                <w:p w14:paraId="41F02EEB">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2"/>
                      <w:kern w:val="0"/>
                      <w:sz w:val="21"/>
                      <w:szCs w:val="20"/>
                      <w:lang w:eastAsia="en-US"/>
                    </w:rPr>
                    <w:t>0.71</w:t>
                  </w:r>
                </w:p>
              </w:tc>
              <w:tc>
                <w:tcPr>
                  <w:tcW w:w="457" w:type="pct"/>
                  <w:vAlign w:val="center"/>
                </w:tcPr>
                <w:p w14:paraId="7B7187C0">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2"/>
                      <w:kern w:val="0"/>
                      <w:sz w:val="21"/>
                      <w:szCs w:val="20"/>
                      <w:lang w:eastAsia="en-US"/>
                    </w:rPr>
                    <w:t>0.74</w:t>
                  </w:r>
                </w:p>
              </w:tc>
              <w:tc>
                <w:tcPr>
                  <w:tcW w:w="457" w:type="pct"/>
                  <w:vAlign w:val="center"/>
                </w:tcPr>
                <w:p w14:paraId="207000FF">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2"/>
                      <w:kern w:val="0"/>
                      <w:sz w:val="21"/>
                      <w:szCs w:val="20"/>
                      <w:lang w:eastAsia="en-US"/>
                    </w:rPr>
                    <w:t>0.45</w:t>
                  </w:r>
                </w:p>
              </w:tc>
              <w:tc>
                <w:tcPr>
                  <w:tcW w:w="470" w:type="pct"/>
                  <w:vAlign w:val="center"/>
                </w:tcPr>
                <w:p w14:paraId="5B0938D8">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kern w:val="0"/>
                      <w:sz w:val="21"/>
                      <w:szCs w:val="20"/>
                      <w:lang w:eastAsia="en-US"/>
                    </w:rPr>
                    <w:t>0</w:t>
                  </w:r>
                </w:p>
              </w:tc>
            </w:tr>
            <w:tr w14:paraId="3648106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 w:hRule="atLeast"/>
              </w:trPr>
              <w:tc>
                <w:tcPr>
                  <w:tcW w:w="300" w:type="pct"/>
                  <w:vMerge w:val="continue"/>
                  <w:tcBorders>
                    <w:top w:val="nil"/>
                    <w:bottom w:val="nil"/>
                  </w:tcBorders>
                  <w:vAlign w:val="center"/>
                </w:tcPr>
                <w:p w14:paraId="48C721C2">
                  <w:pPr>
                    <w:widowControl/>
                    <w:kinsoku w:val="0"/>
                    <w:autoSpaceDE w:val="0"/>
                    <w:autoSpaceDN w:val="0"/>
                    <w:spacing w:line="240" w:lineRule="auto"/>
                    <w:ind w:firstLine="0" w:firstLineChars="0"/>
                    <w:jc w:val="center"/>
                    <w:textAlignment w:val="baseline"/>
                    <w:rPr>
                      <w:rFonts w:cs="宋体"/>
                      <w:snapToGrid w:val="0"/>
                      <w:color w:val="000000"/>
                      <w:kern w:val="0"/>
                      <w:sz w:val="21"/>
                      <w:szCs w:val="21"/>
                      <w:lang w:eastAsia="en-US"/>
                    </w:rPr>
                  </w:pPr>
                </w:p>
              </w:tc>
              <w:tc>
                <w:tcPr>
                  <w:tcW w:w="611" w:type="pct"/>
                  <w:vAlign w:val="center"/>
                </w:tcPr>
                <w:p w14:paraId="390F0CB1">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7"/>
                      <w:kern w:val="0"/>
                      <w:sz w:val="21"/>
                      <w:szCs w:val="20"/>
                      <w:lang w:eastAsia="en-US"/>
                    </w:rPr>
                    <w:t>超标倍数</w:t>
                  </w:r>
                </w:p>
              </w:tc>
              <w:tc>
                <w:tcPr>
                  <w:tcW w:w="413" w:type="pct"/>
                  <w:vAlign w:val="center"/>
                </w:tcPr>
                <w:p w14:paraId="4D7813F9">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2"/>
                      <w:kern w:val="0"/>
                      <w:position w:val="1"/>
                      <w:sz w:val="21"/>
                      <w:szCs w:val="20"/>
                      <w:lang w:eastAsia="en-US"/>
                    </w:rPr>
                    <w:t>/</w:t>
                  </w:r>
                </w:p>
              </w:tc>
              <w:tc>
                <w:tcPr>
                  <w:tcW w:w="457" w:type="pct"/>
                  <w:vAlign w:val="center"/>
                </w:tcPr>
                <w:p w14:paraId="1344A2AE">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kern w:val="0"/>
                      <w:sz w:val="21"/>
                      <w:szCs w:val="20"/>
                      <w:lang w:eastAsia="en-US"/>
                    </w:rPr>
                    <w:t>0</w:t>
                  </w:r>
                </w:p>
              </w:tc>
              <w:tc>
                <w:tcPr>
                  <w:tcW w:w="457" w:type="pct"/>
                  <w:vAlign w:val="center"/>
                </w:tcPr>
                <w:p w14:paraId="74D8E972">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kern w:val="0"/>
                      <w:sz w:val="21"/>
                      <w:szCs w:val="20"/>
                      <w:lang w:eastAsia="en-US"/>
                    </w:rPr>
                    <w:t>0</w:t>
                  </w:r>
                </w:p>
              </w:tc>
              <w:tc>
                <w:tcPr>
                  <w:tcW w:w="457" w:type="pct"/>
                  <w:vAlign w:val="center"/>
                </w:tcPr>
                <w:p w14:paraId="3A4B286B">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2"/>
                      <w:kern w:val="0"/>
                      <w:position w:val="1"/>
                      <w:sz w:val="21"/>
                      <w:szCs w:val="20"/>
                      <w:lang w:eastAsia="en-US"/>
                    </w:rPr>
                    <w:t>/</w:t>
                  </w:r>
                </w:p>
              </w:tc>
              <w:tc>
                <w:tcPr>
                  <w:tcW w:w="457" w:type="pct"/>
                  <w:vAlign w:val="center"/>
                </w:tcPr>
                <w:p w14:paraId="06279C60">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kern w:val="0"/>
                      <w:sz w:val="21"/>
                      <w:szCs w:val="20"/>
                      <w:lang w:eastAsia="en-US"/>
                    </w:rPr>
                    <w:t>0</w:t>
                  </w:r>
                </w:p>
              </w:tc>
              <w:tc>
                <w:tcPr>
                  <w:tcW w:w="457" w:type="pct"/>
                  <w:vAlign w:val="center"/>
                </w:tcPr>
                <w:p w14:paraId="4C408840">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kern w:val="0"/>
                      <w:sz w:val="21"/>
                      <w:szCs w:val="20"/>
                      <w:lang w:eastAsia="en-US"/>
                    </w:rPr>
                    <w:t>0</w:t>
                  </w:r>
                </w:p>
              </w:tc>
              <w:tc>
                <w:tcPr>
                  <w:tcW w:w="457" w:type="pct"/>
                  <w:vAlign w:val="center"/>
                </w:tcPr>
                <w:p w14:paraId="07561772">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kern w:val="0"/>
                      <w:sz w:val="21"/>
                      <w:szCs w:val="20"/>
                      <w:lang w:eastAsia="en-US"/>
                    </w:rPr>
                    <w:t>0</w:t>
                  </w:r>
                </w:p>
              </w:tc>
              <w:tc>
                <w:tcPr>
                  <w:tcW w:w="457" w:type="pct"/>
                  <w:vAlign w:val="center"/>
                </w:tcPr>
                <w:p w14:paraId="0156B0BA">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kern w:val="0"/>
                      <w:sz w:val="21"/>
                      <w:szCs w:val="20"/>
                      <w:lang w:eastAsia="en-US"/>
                    </w:rPr>
                    <w:t>0</w:t>
                  </w:r>
                </w:p>
              </w:tc>
              <w:tc>
                <w:tcPr>
                  <w:tcW w:w="470" w:type="pct"/>
                  <w:vAlign w:val="center"/>
                </w:tcPr>
                <w:p w14:paraId="3D824515">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kern w:val="0"/>
                      <w:sz w:val="21"/>
                      <w:szCs w:val="20"/>
                      <w:lang w:eastAsia="en-US"/>
                    </w:rPr>
                    <w:t>0</w:t>
                  </w:r>
                </w:p>
              </w:tc>
            </w:tr>
            <w:tr w14:paraId="1A4253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 w:hRule="atLeast"/>
              </w:trPr>
              <w:tc>
                <w:tcPr>
                  <w:tcW w:w="300" w:type="pct"/>
                  <w:vMerge w:val="continue"/>
                  <w:tcBorders>
                    <w:top w:val="nil"/>
                  </w:tcBorders>
                  <w:vAlign w:val="center"/>
                </w:tcPr>
                <w:p w14:paraId="4BBCE3FF">
                  <w:pPr>
                    <w:widowControl/>
                    <w:kinsoku w:val="0"/>
                    <w:autoSpaceDE w:val="0"/>
                    <w:autoSpaceDN w:val="0"/>
                    <w:spacing w:line="240" w:lineRule="auto"/>
                    <w:ind w:firstLine="0" w:firstLineChars="0"/>
                    <w:jc w:val="center"/>
                    <w:textAlignment w:val="baseline"/>
                    <w:rPr>
                      <w:rFonts w:cs="宋体"/>
                      <w:snapToGrid w:val="0"/>
                      <w:color w:val="000000"/>
                      <w:kern w:val="0"/>
                      <w:sz w:val="21"/>
                      <w:szCs w:val="21"/>
                      <w:lang w:eastAsia="en-US"/>
                    </w:rPr>
                  </w:pPr>
                </w:p>
              </w:tc>
              <w:tc>
                <w:tcPr>
                  <w:tcW w:w="611" w:type="pct"/>
                  <w:vAlign w:val="center"/>
                </w:tcPr>
                <w:p w14:paraId="7749DB91">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6"/>
                      <w:kern w:val="0"/>
                      <w:sz w:val="21"/>
                      <w:szCs w:val="20"/>
                      <w:lang w:eastAsia="en-US"/>
                    </w:rPr>
                    <w:t>是否达标</w:t>
                  </w:r>
                </w:p>
              </w:tc>
              <w:tc>
                <w:tcPr>
                  <w:tcW w:w="413" w:type="pct"/>
                  <w:vAlign w:val="center"/>
                </w:tcPr>
                <w:p w14:paraId="6BCCCA61">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kern w:val="0"/>
                      <w:sz w:val="21"/>
                      <w:szCs w:val="20"/>
                      <w:lang w:eastAsia="en-US"/>
                    </w:rPr>
                    <w:t>是</w:t>
                  </w:r>
                </w:p>
              </w:tc>
              <w:tc>
                <w:tcPr>
                  <w:tcW w:w="457" w:type="pct"/>
                  <w:vAlign w:val="center"/>
                </w:tcPr>
                <w:p w14:paraId="7BCFF94D">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kern w:val="0"/>
                      <w:sz w:val="21"/>
                      <w:szCs w:val="20"/>
                      <w:lang w:eastAsia="en-US"/>
                    </w:rPr>
                    <w:t>是</w:t>
                  </w:r>
                </w:p>
              </w:tc>
              <w:tc>
                <w:tcPr>
                  <w:tcW w:w="457" w:type="pct"/>
                  <w:vAlign w:val="center"/>
                </w:tcPr>
                <w:p w14:paraId="39421A36">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kern w:val="0"/>
                      <w:sz w:val="21"/>
                      <w:szCs w:val="20"/>
                      <w:lang w:eastAsia="en-US"/>
                    </w:rPr>
                    <w:t>是</w:t>
                  </w:r>
                </w:p>
              </w:tc>
              <w:tc>
                <w:tcPr>
                  <w:tcW w:w="457" w:type="pct"/>
                  <w:vAlign w:val="center"/>
                </w:tcPr>
                <w:p w14:paraId="702DC8FD">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kern w:val="0"/>
                      <w:sz w:val="21"/>
                      <w:szCs w:val="20"/>
                      <w:lang w:eastAsia="en-US"/>
                    </w:rPr>
                    <w:t>是</w:t>
                  </w:r>
                </w:p>
              </w:tc>
              <w:tc>
                <w:tcPr>
                  <w:tcW w:w="457" w:type="pct"/>
                  <w:vAlign w:val="center"/>
                </w:tcPr>
                <w:p w14:paraId="01D00E3C">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kern w:val="0"/>
                      <w:sz w:val="21"/>
                      <w:szCs w:val="20"/>
                      <w:lang w:eastAsia="en-US"/>
                    </w:rPr>
                    <w:t>是</w:t>
                  </w:r>
                </w:p>
              </w:tc>
              <w:tc>
                <w:tcPr>
                  <w:tcW w:w="457" w:type="pct"/>
                  <w:vAlign w:val="center"/>
                </w:tcPr>
                <w:p w14:paraId="7B0858E3">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kern w:val="0"/>
                      <w:sz w:val="21"/>
                      <w:szCs w:val="20"/>
                      <w:lang w:eastAsia="en-US"/>
                    </w:rPr>
                    <w:t>是</w:t>
                  </w:r>
                </w:p>
              </w:tc>
              <w:tc>
                <w:tcPr>
                  <w:tcW w:w="457" w:type="pct"/>
                  <w:vAlign w:val="center"/>
                </w:tcPr>
                <w:p w14:paraId="1FF0AEA0">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kern w:val="0"/>
                      <w:sz w:val="21"/>
                      <w:szCs w:val="20"/>
                      <w:lang w:eastAsia="en-US"/>
                    </w:rPr>
                    <w:t>是</w:t>
                  </w:r>
                </w:p>
              </w:tc>
              <w:tc>
                <w:tcPr>
                  <w:tcW w:w="457" w:type="pct"/>
                  <w:vAlign w:val="center"/>
                </w:tcPr>
                <w:p w14:paraId="541AB7D7">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kern w:val="0"/>
                      <w:sz w:val="21"/>
                      <w:szCs w:val="20"/>
                      <w:lang w:eastAsia="en-US"/>
                    </w:rPr>
                    <w:t>是</w:t>
                  </w:r>
                </w:p>
              </w:tc>
              <w:tc>
                <w:tcPr>
                  <w:tcW w:w="470" w:type="pct"/>
                  <w:vAlign w:val="center"/>
                </w:tcPr>
                <w:p w14:paraId="6FFC162D">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kern w:val="0"/>
                      <w:sz w:val="21"/>
                      <w:szCs w:val="20"/>
                      <w:lang w:eastAsia="en-US"/>
                    </w:rPr>
                    <w:t>是</w:t>
                  </w:r>
                </w:p>
              </w:tc>
            </w:tr>
            <w:tr w14:paraId="36BAC4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 w:hRule="atLeast"/>
              </w:trPr>
              <w:tc>
                <w:tcPr>
                  <w:tcW w:w="300" w:type="pct"/>
                  <w:vMerge w:val="restart"/>
                  <w:tcBorders>
                    <w:bottom w:val="nil"/>
                  </w:tcBorders>
                  <w:vAlign w:val="center"/>
                </w:tcPr>
                <w:p w14:paraId="2F55798B">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4"/>
                      <w:kern w:val="0"/>
                      <w:sz w:val="21"/>
                      <w:szCs w:val="20"/>
                      <w:lang w:eastAsia="en-US"/>
                    </w:rPr>
                    <w:t>W2</w:t>
                  </w:r>
                </w:p>
              </w:tc>
              <w:tc>
                <w:tcPr>
                  <w:tcW w:w="611" w:type="pct"/>
                  <w:vAlign w:val="center"/>
                </w:tcPr>
                <w:p w14:paraId="2FD8F8A0">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1"/>
                      <w:kern w:val="0"/>
                      <w:sz w:val="21"/>
                      <w:szCs w:val="20"/>
                      <w:lang w:eastAsia="en-US"/>
                    </w:rPr>
                    <w:t>2022.11.19</w:t>
                  </w:r>
                </w:p>
              </w:tc>
              <w:tc>
                <w:tcPr>
                  <w:tcW w:w="413" w:type="pct"/>
                  <w:vAlign w:val="center"/>
                </w:tcPr>
                <w:p w14:paraId="318D84C6">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3"/>
                      <w:kern w:val="0"/>
                      <w:sz w:val="21"/>
                      <w:szCs w:val="20"/>
                      <w:lang w:eastAsia="en-US"/>
                    </w:rPr>
                    <w:t>25.4</w:t>
                  </w:r>
                </w:p>
              </w:tc>
              <w:tc>
                <w:tcPr>
                  <w:tcW w:w="457" w:type="pct"/>
                  <w:vAlign w:val="center"/>
                </w:tcPr>
                <w:p w14:paraId="45865DAB">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1"/>
                      <w:kern w:val="0"/>
                      <w:sz w:val="21"/>
                      <w:szCs w:val="20"/>
                      <w:lang w:eastAsia="en-US"/>
                    </w:rPr>
                    <w:t>7.0</w:t>
                  </w:r>
                </w:p>
              </w:tc>
              <w:tc>
                <w:tcPr>
                  <w:tcW w:w="457" w:type="pct"/>
                  <w:vAlign w:val="center"/>
                </w:tcPr>
                <w:p w14:paraId="1545DF17">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3"/>
                      <w:kern w:val="0"/>
                      <w:sz w:val="21"/>
                      <w:szCs w:val="20"/>
                      <w:lang w:eastAsia="en-US"/>
                    </w:rPr>
                    <w:t>4.6</w:t>
                  </w:r>
                </w:p>
              </w:tc>
              <w:tc>
                <w:tcPr>
                  <w:tcW w:w="457" w:type="pct"/>
                  <w:vAlign w:val="center"/>
                </w:tcPr>
                <w:p w14:paraId="7E9CAF4A">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kern w:val="0"/>
                      <w:sz w:val="21"/>
                      <w:szCs w:val="20"/>
                      <w:lang w:eastAsia="en-US"/>
                    </w:rPr>
                    <w:t>8</w:t>
                  </w:r>
                </w:p>
              </w:tc>
              <w:tc>
                <w:tcPr>
                  <w:tcW w:w="457" w:type="pct"/>
                  <w:vAlign w:val="center"/>
                </w:tcPr>
                <w:p w14:paraId="3B0B5C48">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kern w:val="0"/>
                      <w:sz w:val="21"/>
                      <w:szCs w:val="20"/>
                      <w:lang w:eastAsia="en-US"/>
                    </w:rPr>
                    <w:t>32</w:t>
                  </w:r>
                </w:p>
              </w:tc>
              <w:tc>
                <w:tcPr>
                  <w:tcW w:w="457" w:type="pct"/>
                  <w:vAlign w:val="center"/>
                </w:tcPr>
                <w:p w14:paraId="34BE9F57">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1"/>
                      <w:kern w:val="0"/>
                      <w:sz w:val="21"/>
                      <w:szCs w:val="20"/>
                      <w:lang w:eastAsia="en-US"/>
                    </w:rPr>
                    <w:t>7.8</w:t>
                  </w:r>
                </w:p>
              </w:tc>
              <w:tc>
                <w:tcPr>
                  <w:tcW w:w="457" w:type="pct"/>
                  <w:vAlign w:val="center"/>
                </w:tcPr>
                <w:p w14:paraId="2D006418">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2"/>
                      <w:kern w:val="0"/>
                      <w:sz w:val="21"/>
                      <w:szCs w:val="20"/>
                      <w:lang w:eastAsia="en-US"/>
                    </w:rPr>
                    <w:t>1.81</w:t>
                  </w:r>
                </w:p>
              </w:tc>
              <w:tc>
                <w:tcPr>
                  <w:tcW w:w="457" w:type="pct"/>
                  <w:vAlign w:val="center"/>
                </w:tcPr>
                <w:p w14:paraId="0BBFDDAB">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2"/>
                      <w:kern w:val="0"/>
                      <w:sz w:val="21"/>
                      <w:szCs w:val="20"/>
                      <w:lang w:eastAsia="en-US"/>
                    </w:rPr>
                    <w:t>0.27</w:t>
                  </w:r>
                </w:p>
              </w:tc>
              <w:tc>
                <w:tcPr>
                  <w:tcW w:w="470" w:type="pct"/>
                  <w:vAlign w:val="center"/>
                </w:tcPr>
                <w:p w14:paraId="2F3C3AA6">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3"/>
                      <w:kern w:val="0"/>
                      <w:sz w:val="21"/>
                      <w:szCs w:val="20"/>
                      <w:lang w:eastAsia="en-US"/>
                    </w:rPr>
                    <w:t>0.01L</w:t>
                  </w:r>
                </w:p>
              </w:tc>
            </w:tr>
            <w:tr w14:paraId="2A8E42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0" w:hRule="atLeast"/>
              </w:trPr>
              <w:tc>
                <w:tcPr>
                  <w:tcW w:w="300" w:type="pct"/>
                  <w:vMerge w:val="continue"/>
                  <w:tcBorders>
                    <w:top w:val="nil"/>
                    <w:bottom w:val="nil"/>
                  </w:tcBorders>
                  <w:vAlign w:val="center"/>
                </w:tcPr>
                <w:p w14:paraId="0A163B93">
                  <w:pPr>
                    <w:widowControl/>
                    <w:kinsoku w:val="0"/>
                    <w:autoSpaceDE w:val="0"/>
                    <w:autoSpaceDN w:val="0"/>
                    <w:spacing w:line="240" w:lineRule="auto"/>
                    <w:ind w:firstLine="0" w:firstLineChars="0"/>
                    <w:jc w:val="center"/>
                    <w:textAlignment w:val="baseline"/>
                    <w:rPr>
                      <w:rFonts w:cs="宋体"/>
                      <w:snapToGrid w:val="0"/>
                      <w:color w:val="000000"/>
                      <w:kern w:val="0"/>
                      <w:sz w:val="21"/>
                      <w:szCs w:val="21"/>
                      <w:lang w:eastAsia="en-US"/>
                    </w:rPr>
                  </w:pPr>
                </w:p>
              </w:tc>
              <w:tc>
                <w:tcPr>
                  <w:tcW w:w="611" w:type="pct"/>
                  <w:vAlign w:val="center"/>
                </w:tcPr>
                <w:p w14:paraId="725141FC">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1"/>
                      <w:kern w:val="0"/>
                      <w:sz w:val="21"/>
                      <w:szCs w:val="20"/>
                      <w:lang w:eastAsia="en-US"/>
                    </w:rPr>
                    <w:t>2022.11.20</w:t>
                  </w:r>
                </w:p>
              </w:tc>
              <w:tc>
                <w:tcPr>
                  <w:tcW w:w="413" w:type="pct"/>
                  <w:vAlign w:val="center"/>
                </w:tcPr>
                <w:p w14:paraId="565F09DC">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2"/>
                      <w:kern w:val="0"/>
                      <w:sz w:val="21"/>
                      <w:szCs w:val="20"/>
                      <w:lang w:eastAsia="en-US"/>
                    </w:rPr>
                    <w:t>26.1</w:t>
                  </w:r>
                </w:p>
              </w:tc>
              <w:tc>
                <w:tcPr>
                  <w:tcW w:w="457" w:type="pct"/>
                  <w:vAlign w:val="center"/>
                </w:tcPr>
                <w:p w14:paraId="4BD93FEC">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kern w:val="0"/>
                      <w:sz w:val="21"/>
                      <w:szCs w:val="20"/>
                      <w:lang w:eastAsia="en-US"/>
                    </w:rPr>
                    <w:t>7.1</w:t>
                  </w:r>
                </w:p>
              </w:tc>
              <w:tc>
                <w:tcPr>
                  <w:tcW w:w="457" w:type="pct"/>
                  <w:vAlign w:val="center"/>
                </w:tcPr>
                <w:p w14:paraId="5457BB4F">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3"/>
                      <w:kern w:val="0"/>
                      <w:sz w:val="21"/>
                      <w:szCs w:val="20"/>
                      <w:lang w:eastAsia="en-US"/>
                    </w:rPr>
                    <w:t>4.7</w:t>
                  </w:r>
                </w:p>
              </w:tc>
              <w:tc>
                <w:tcPr>
                  <w:tcW w:w="457" w:type="pct"/>
                  <w:vAlign w:val="center"/>
                </w:tcPr>
                <w:p w14:paraId="72B24425">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8"/>
                      <w:kern w:val="0"/>
                      <w:sz w:val="21"/>
                      <w:szCs w:val="20"/>
                      <w:lang w:eastAsia="en-US"/>
                    </w:rPr>
                    <w:t>12</w:t>
                  </w:r>
                </w:p>
              </w:tc>
              <w:tc>
                <w:tcPr>
                  <w:tcW w:w="457" w:type="pct"/>
                  <w:vAlign w:val="center"/>
                </w:tcPr>
                <w:p w14:paraId="16ED35AF">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2"/>
                      <w:kern w:val="0"/>
                      <w:sz w:val="21"/>
                      <w:szCs w:val="20"/>
                      <w:lang w:eastAsia="en-US"/>
                    </w:rPr>
                    <w:t>29</w:t>
                  </w:r>
                </w:p>
              </w:tc>
              <w:tc>
                <w:tcPr>
                  <w:tcW w:w="457" w:type="pct"/>
                  <w:vAlign w:val="center"/>
                </w:tcPr>
                <w:p w14:paraId="16273B5D">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2"/>
                      <w:kern w:val="0"/>
                      <w:sz w:val="21"/>
                      <w:szCs w:val="20"/>
                      <w:lang w:eastAsia="en-US"/>
                    </w:rPr>
                    <w:t>8.1</w:t>
                  </w:r>
                </w:p>
              </w:tc>
              <w:tc>
                <w:tcPr>
                  <w:tcW w:w="457" w:type="pct"/>
                  <w:vAlign w:val="center"/>
                </w:tcPr>
                <w:p w14:paraId="75D53FE6">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2"/>
                      <w:kern w:val="0"/>
                      <w:sz w:val="21"/>
                      <w:szCs w:val="20"/>
                      <w:lang w:eastAsia="en-US"/>
                    </w:rPr>
                    <w:t>1.72</w:t>
                  </w:r>
                </w:p>
              </w:tc>
              <w:tc>
                <w:tcPr>
                  <w:tcW w:w="457" w:type="pct"/>
                  <w:vAlign w:val="center"/>
                </w:tcPr>
                <w:p w14:paraId="590BF42B">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2"/>
                      <w:kern w:val="0"/>
                      <w:sz w:val="21"/>
                      <w:szCs w:val="20"/>
                      <w:lang w:eastAsia="en-US"/>
                    </w:rPr>
                    <w:t>0.22</w:t>
                  </w:r>
                </w:p>
              </w:tc>
              <w:tc>
                <w:tcPr>
                  <w:tcW w:w="470" w:type="pct"/>
                  <w:vAlign w:val="center"/>
                </w:tcPr>
                <w:p w14:paraId="6D32C9FE">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3"/>
                      <w:kern w:val="0"/>
                      <w:sz w:val="21"/>
                      <w:szCs w:val="20"/>
                      <w:lang w:eastAsia="en-US"/>
                    </w:rPr>
                    <w:t>0.01L</w:t>
                  </w:r>
                </w:p>
              </w:tc>
            </w:tr>
            <w:tr w14:paraId="0CFA8A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 w:hRule="atLeast"/>
              </w:trPr>
              <w:tc>
                <w:tcPr>
                  <w:tcW w:w="300" w:type="pct"/>
                  <w:vMerge w:val="continue"/>
                  <w:tcBorders>
                    <w:top w:val="nil"/>
                    <w:bottom w:val="nil"/>
                  </w:tcBorders>
                  <w:vAlign w:val="center"/>
                </w:tcPr>
                <w:p w14:paraId="11F72B07">
                  <w:pPr>
                    <w:widowControl/>
                    <w:kinsoku w:val="0"/>
                    <w:autoSpaceDE w:val="0"/>
                    <w:autoSpaceDN w:val="0"/>
                    <w:spacing w:line="240" w:lineRule="auto"/>
                    <w:ind w:firstLine="0" w:firstLineChars="0"/>
                    <w:jc w:val="center"/>
                    <w:textAlignment w:val="baseline"/>
                    <w:rPr>
                      <w:rFonts w:cs="宋体"/>
                      <w:snapToGrid w:val="0"/>
                      <w:color w:val="000000"/>
                      <w:kern w:val="0"/>
                      <w:sz w:val="21"/>
                      <w:szCs w:val="21"/>
                      <w:lang w:eastAsia="en-US"/>
                    </w:rPr>
                  </w:pPr>
                </w:p>
              </w:tc>
              <w:tc>
                <w:tcPr>
                  <w:tcW w:w="611" w:type="pct"/>
                  <w:vAlign w:val="center"/>
                </w:tcPr>
                <w:p w14:paraId="408744A5">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1"/>
                      <w:kern w:val="0"/>
                      <w:sz w:val="21"/>
                      <w:szCs w:val="20"/>
                      <w:lang w:eastAsia="en-US"/>
                    </w:rPr>
                    <w:t>2022.11.21</w:t>
                  </w:r>
                </w:p>
              </w:tc>
              <w:tc>
                <w:tcPr>
                  <w:tcW w:w="413" w:type="pct"/>
                  <w:vAlign w:val="center"/>
                </w:tcPr>
                <w:p w14:paraId="25FA7381">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3"/>
                      <w:kern w:val="0"/>
                      <w:sz w:val="21"/>
                      <w:szCs w:val="20"/>
                      <w:lang w:eastAsia="en-US"/>
                    </w:rPr>
                    <w:t>26.2</w:t>
                  </w:r>
                </w:p>
              </w:tc>
              <w:tc>
                <w:tcPr>
                  <w:tcW w:w="457" w:type="pct"/>
                  <w:vAlign w:val="center"/>
                </w:tcPr>
                <w:p w14:paraId="0069CD0C">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kern w:val="0"/>
                      <w:sz w:val="21"/>
                      <w:szCs w:val="20"/>
                      <w:lang w:eastAsia="en-US"/>
                    </w:rPr>
                    <w:t>7.1</w:t>
                  </w:r>
                </w:p>
              </w:tc>
              <w:tc>
                <w:tcPr>
                  <w:tcW w:w="457" w:type="pct"/>
                  <w:vAlign w:val="center"/>
                </w:tcPr>
                <w:p w14:paraId="344DE0F8">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3"/>
                      <w:kern w:val="0"/>
                      <w:sz w:val="21"/>
                      <w:szCs w:val="20"/>
                      <w:lang w:eastAsia="en-US"/>
                    </w:rPr>
                    <w:t>4.3</w:t>
                  </w:r>
                </w:p>
              </w:tc>
              <w:tc>
                <w:tcPr>
                  <w:tcW w:w="457" w:type="pct"/>
                  <w:vAlign w:val="center"/>
                </w:tcPr>
                <w:p w14:paraId="24B94D95">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kern w:val="0"/>
                      <w:sz w:val="21"/>
                      <w:szCs w:val="20"/>
                      <w:lang w:eastAsia="en-US"/>
                    </w:rPr>
                    <w:t>9</w:t>
                  </w:r>
                </w:p>
              </w:tc>
              <w:tc>
                <w:tcPr>
                  <w:tcW w:w="457" w:type="pct"/>
                  <w:vAlign w:val="center"/>
                </w:tcPr>
                <w:p w14:paraId="23D583FA">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kern w:val="0"/>
                      <w:sz w:val="21"/>
                      <w:szCs w:val="20"/>
                      <w:lang w:eastAsia="en-US"/>
                    </w:rPr>
                    <w:t>34</w:t>
                  </w:r>
                </w:p>
              </w:tc>
              <w:tc>
                <w:tcPr>
                  <w:tcW w:w="457" w:type="pct"/>
                  <w:vAlign w:val="center"/>
                </w:tcPr>
                <w:p w14:paraId="3B349C84">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kern w:val="0"/>
                      <w:sz w:val="21"/>
                      <w:szCs w:val="20"/>
                      <w:lang w:eastAsia="en-US"/>
                    </w:rPr>
                    <w:t>8.4</w:t>
                  </w:r>
                </w:p>
              </w:tc>
              <w:tc>
                <w:tcPr>
                  <w:tcW w:w="457" w:type="pct"/>
                  <w:vAlign w:val="center"/>
                </w:tcPr>
                <w:p w14:paraId="5607F7E9">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2"/>
                      <w:kern w:val="0"/>
                      <w:sz w:val="21"/>
                      <w:szCs w:val="20"/>
                      <w:lang w:eastAsia="en-US"/>
                    </w:rPr>
                    <w:t>1.52</w:t>
                  </w:r>
                </w:p>
              </w:tc>
              <w:tc>
                <w:tcPr>
                  <w:tcW w:w="457" w:type="pct"/>
                  <w:vAlign w:val="center"/>
                </w:tcPr>
                <w:p w14:paraId="22CA6600">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2"/>
                      <w:kern w:val="0"/>
                      <w:sz w:val="21"/>
                      <w:szCs w:val="20"/>
                      <w:lang w:eastAsia="en-US"/>
                    </w:rPr>
                    <w:t>0.24</w:t>
                  </w:r>
                </w:p>
              </w:tc>
              <w:tc>
                <w:tcPr>
                  <w:tcW w:w="470" w:type="pct"/>
                  <w:vAlign w:val="center"/>
                </w:tcPr>
                <w:p w14:paraId="692B65E4">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3"/>
                      <w:kern w:val="0"/>
                      <w:sz w:val="21"/>
                      <w:szCs w:val="20"/>
                      <w:lang w:eastAsia="en-US"/>
                    </w:rPr>
                    <w:t>0.01L</w:t>
                  </w:r>
                </w:p>
              </w:tc>
            </w:tr>
            <w:tr w14:paraId="50233C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0" w:hRule="atLeast"/>
              </w:trPr>
              <w:tc>
                <w:tcPr>
                  <w:tcW w:w="300" w:type="pct"/>
                  <w:vMerge w:val="continue"/>
                  <w:tcBorders>
                    <w:top w:val="nil"/>
                    <w:bottom w:val="nil"/>
                  </w:tcBorders>
                  <w:vAlign w:val="center"/>
                </w:tcPr>
                <w:p w14:paraId="2BD7226E">
                  <w:pPr>
                    <w:widowControl/>
                    <w:kinsoku w:val="0"/>
                    <w:autoSpaceDE w:val="0"/>
                    <w:autoSpaceDN w:val="0"/>
                    <w:spacing w:line="240" w:lineRule="auto"/>
                    <w:ind w:firstLine="0" w:firstLineChars="0"/>
                    <w:jc w:val="center"/>
                    <w:textAlignment w:val="baseline"/>
                    <w:rPr>
                      <w:rFonts w:cs="宋体"/>
                      <w:snapToGrid w:val="0"/>
                      <w:color w:val="000000"/>
                      <w:kern w:val="0"/>
                      <w:sz w:val="21"/>
                      <w:szCs w:val="21"/>
                      <w:lang w:eastAsia="en-US"/>
                    </w:rPr>
                  </w:pPr>
                </w:p>
              </w:tc>
              <w:tc>
                <w:tcPr>
                  <w:tcW w:w="611" w:type="pct"/>
                  <w:vAlign w:val="center"/>
                </w:tcPr>
                <w:p w14:paraId="0F0E2ADF">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7"/>
                      <w:kern w:val="0"/>
                      <w:sz w:val="21"/>
                      <w:szCs w:val="20"/>
                      <w:lang w:eastAsia="en-US"/>
                    </w:rPr>
                    <w:t>平均值</w:t>
                  </w:r>
                </w:p>
              </w:tc>
              <w:tc>
                <w:tcPr>
                  <w:tcW w:w="413" w:type="pct"/>
                  <w:vAlign w:val="center"/>
                </w:tcPr>
                <w:p w14:paraId="6AF8114E">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3"/>
                      <w:kern w:val="0"/>
                      <w:sz w:val="21"/>
                      <w:szCs w:val="20"/>
                      <w:lang w:eastAsia="en-US"/>
                    </w:rPr>
                    <w:t>25.9</w:t>
                  </w:r>
                </w:p>
              </w:tc>
              <w:tc>
                <w:tcPr>
                  <w:tcW w:w="457" w:type="pct"/>
                  <w:vAlign w:val="center"/>
                </w:tcPr>
                <w:p w14:paraId="09BEC559">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2"/>
                      <w:kern w:val="0"/>
                      <w:sz w:val="21"/>
                      <w:szCs w:val="20"/>
                      <w:lang w:eastAsia="en-US"/>
                    </w:rPr>
                    <w:t>7.07</w:t>
                  </w:r>
                </w:p>
              </w:tc>
              <w:tc>
                <w:tcPr>
                  <w:tcW w:w="457" w:type="pct"/>
                  <w:vAlign w:val="center"/>
                </w:tcPr>
                <w:p w14:paraId="651D8E8F">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3"/>
                      <w:kern w:val="0"/>
                      <w:sz w:val="21"/>
                      <w:szCs w:val="20"/>
                      <w:lang w:eastAsia="en-US"/>
                    </w:rPr>
                    <w:t>4.53</w:t>
                  </w:r>
                </w:p>
              </w:tc>
              <w:tc>
                <w:tcPr>
                  <w:tcW w:w="457" w:type="pct"/>
                  <w:vAlign w:val="center"/>
                </w:tcPr>
                <w:p w14:paraId="3BEFE48A">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2"/>
                      <w:kern w:val="0"/>
                      <w:sz w:val="21"/>
                      <w:szCs w:val="20"/>
                      <w:lang w:eastAsia="en-US"/>
                    </w:rPr>
                    <w:t>9.67</w:t>
                  </w:r>
                </w:p>
              </w:tc>
              <w:tc>
                <w:tcPr>
                  <w:tcW w:w="457" w:type="pct"/>
                  <w:vAlign w:val="center"/>
                </w:tcPr>
                <w:p w14:paraId="6483C3C8">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3"/>
                      <w:kern w:val="0"/>
                      <w:sz w:val="21"/>
                      <w:szCs w:val="20"/>
                      <w:lang w:eastAsia="en-US"/>
                    </w:rPr>
                    <w:t>31.67</w:t>
                  </w:r>
                </w:p>
              </w:tc>
              <w:tc>
                <w:tcPr>
                  <w:tcW w:w="457" w:type="pct"/>
                  <w:vAlign w:val="center"/>
                </w:tcPr>
                <w:p w14:paraId="3CB721B9">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2"/>
                      <w:kern w:val="0"/>
                      <w:sz w:val="21"/>
                      <w:szCs w:val="20"/>
                      <w:lang w:eastAsia="en-US"/>
                    </w:rPr>
                    <w:t>8.1</w:t>
                  </w:r>
                </w:p>
              </w:tc>
              <w:tc>
                <w:tcPr>
                  <w:tcW w:w="457" w:type="pct"/>
                  <w:vAlign w:val="center"/>
                </w:tcPr>
                <w:p w14:paraId="66F63DB0">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2"/>
                      <w:kern w:val="0"/>
                      <w:sz w:val="21"/>
                      <w:szCs w:val="20"/>
                      <w:lang w:eastAsia="en-US"/>
                    </w:rPr>
                    <w:t>1.68</w:t>
                  </w:r>
                </w:p>
              </w:tc>
              <w:tc>
                <w:tcPr>
                  <w:tcW w:w="457" w:type="pct"/>
                  <w:vAlign w:val="center"/>
                </w:tcPr>
                <w:p w14:paraId="61D33957">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2"/>
                      <w:kern w:val="0"/>
                      <w:sz w:val="21"/>
                      <w:szCs w:val="20"/>
                      <w:lang w:eastAsia="en-US"/>
                    </w:rPr>
                    <w:t>0.24</w:t>
                  </w:r>
                </w:p>
              </w:tc>
              <w:tc>
                <w:tcPr>
                  <w:tcW w:w="470" w:type="pct"/>
                  <w:vAlign w:val="center"/>
                </w:tcPr>
                <w:p w14:paraId="741008BD">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7"/>
                      <w:kern w:val="0"/>
                      <w:sz w:val="21"/>
                      <w:szCs w:val="20"/>
                      <w:lang w:eastAsia="en-US"/>
                    </w:rPr>
                    <w:t>ND</w:t>
                  </w:r>
                </w:p>
              </w:tc>
            </w:tr>
            <w:tr w14:paraId="4DDCAE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 w:hRule="atLeast"/>
              </w:trPr>
              <w:tc>
                <w:tcPr>
                  <w:tcW w:w="300" w:type="pct"/>
                  <w:vMerge w:val="continue"/>
                  <w:tcBorders>
                    <w:top w:val="nil"/>
                    <w:bottom w:val="nil"/>
                  </w:tcBorders>
                  <w:vAlign w:val="center"/>
                </w:tcPr>
                <w:p w14:paraId="725A968E">
                  <w:pPr>
                    <w:widowControl/>
                    <w:kinsoku w:val="0"/>
                    <w:autoSpaceDE w:val="0"/>
                    <w:autoSpaceDN w:val="0"/>
                    <w:spacing w:line="240" w:lineRule="auto"/>
                    <w:ind w:firstLine="0" w:firstLineChars="0"/>
                    <w:jc w:val="center"/>
                    <w:textAlignment w:val="baseline"/>
                    <w:rPr>
                      <w:rFonts w:cs="宋体"/>
                      <w:snapToGrid w:val="0"/>
                      <w:color w:val="000000"/>
                      <w:kern w:val="0"/>
                      <w:sz w:val="21"/>
                      <w:szCs w:val="21"/>
                      <w:lang w:eastAsia="en-US"/>
                    </w:rPr>
                  </w:pPr>
                </w:p>
              </w:tc>
              <w:tc>
                <w:tcPr>
                  <w:tcW w:w="611" w:type="pct"/>
                  <w:vAlign w:val="center"/>
                </w:tcPr>
                <w:p w14:paraId="1E91CC83">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7"/>
                      <w:kern w:val="0"/>
                      <w:sz w:val="21"/>
                      <w:szCs w:val="20"/>
                      <w:lang w:eastAsia="en-US"/>
                    </w:rPr>
                    <w:t>标准指数</w:t>
                  </w:r>
                </w:p>
              </w:tc>
              <w:tc>
                <w:tcPr>
                  <w:tcW w:w="413" w:type="pct"/>
                  <w:vAlign w:val="center"/>
                </w:tcPr>
                <w:p w14:paraId="05267625">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2"/>
                      <w:kern w:val="0"/>
                      <w:position w:val="1"/>
                      <w:sz w:val="21"/>
                      <w:szCs w:val="20"/>
                      <w:lang w:eastAsia="en-US"/>
                    </w:rPr>
                    <w:t>/</w:t>
                  </w:r>
                </w:p>
              </w:tc>
              <w:tc>
                <w:tcPr>
                  <w:tcW w:w="457" w:type="pct"/>
                  <w:vAlign w:val="center"/>
                </w:tcPr>
                <w:p w14:paraId="120B3940">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2"/>
                      <w:kern w:val="0"/>
                      <w:sz w:val="21"/>
                      <w:szCs w:val="20"/>
                      <w:lang w:eastAsia="en-US"/>
                    </w:rPr>
                    <w:t>0.03</w:t>
                  </w:r>
                </w:p>
              </w:tc>
              <w:tc>
                <w:tcPr>
                  <w:tcW w:w="457" w:type="pct"/>
                  <w:vAlign w:val="center"/>
                </w:tcPr>
                <w:p w14:paraId="79968ACC">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2"/>
                      <w:kern w:val="0"/>
                      <w:sz w:val="21"/>
                      <w:szCs w:val="20"/>
                      <w:lang w:eastAsia="en-US"/>
                    </w:rPr>
                    <w:t>0.44</w:t>
                  </w:r>
                </w:p>
              </w:tc>
              <w:tc>
                <w:tcPr>
                  <w:tcW w:w="457" w:type="pct"/>
                  <w:vAlign w:val="center"/>
                </w:tcPr>
                <w:p w14:paraId="2544EF86">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2"/>
                      <w:kern w:val="0"/>
                      <w:position w:val="1"/>
                      <w:sz w:val="21"/>
                      <w:szCs w:val="20"/>
                      <w:lang w:eastAsia="en-US"/>
                    </w:rPr>
                    <w:t>/</w:t>
                  </w:r>
                </w:p>
              </w:tc>
              <w:tc>
                <w:tcPr>
                  <w:tcW w:w="457" w:type="pct"/>
                  <w:vAlign w:val="center"/>
                </w:tcPr>
                <w:p w14:paraId="59981D6B">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2"/>
                      <w:kern w:val="0"/>
                      <w:sz w:val="21"/>
                      <w:szCs w:val="20"/>
                      <w:lang w:eastAsia="en-US"/>
                    </w:rPr>
                    <w:t>0.79</w:t>
                  </w:r>
                </w:p>
              </w:tc>
              <w:tc>
                <w:tcPr>
                  <w:tcW w:w="457" w:type="pct"/>
                  <w:vAlign w:val="center"/>
                </w:tcPr>
                <w:p w14:paraId="1CFD0F25">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2"/>
                      <w:kern w:val="0"/>
                      <w:sz w:val="21"/>
                      <w:szCs w:val="20"/>
                      <w:lang w:eastAsia="en-US"/>
                    </w:rPr>
                    <w:t>0.81</w:t>
                  </w:r>
                </w:p>
              </w:tc>
              <w:tc>
                <w:tcPr>
                  <w:tcW w:w="457" w:type="pct"/>
                  <w:vAlign w:val="center"/>
                </w:tcPr>
                <w:p w14:paraId="52E79CE7">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2"/>
                      <w:kern w:val="0"/>
                      <w:sz w:val="21"/>
                      <w:szCs w:val="20"/>
                      <w:lang w:eastAsia="en-US"/>
                    </w:rPr>
                    <w:t>0.84</w:t>
                  </w:r>
                </w:p>
              </w:tc>
              <w:tc>
                <w:tcPr>
                  <w:tcW w:w="457" w:type="pct"/>
                  <w:vAlign w:val="center"/>
                </w:tcPr>
                <w:p w14:paraId="1A140C6F">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2"/>
                      <w:kern w:val="0"/>
                      <w:sz w:val="21"/>
                      <w:szCs w:val="20"/>
                      <w:lang w:eastAsia="en-US"/>
                    </w:rPr>
                    <w:t>0.61</w:t>
                  </w:r>
                </w:p>
              </w:tc>
              <w:tc>
                <w:tcPr>
                  <w:tcW w:w="470" w:type="pct"/>
                  <w:vAlign w:val="center"/>
                </w:tcPr>
                <w:p w14:paraId="6959DBBA">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kern w:val="0"/>
                      <w:sz w:val="21"/>
                      <w:szCs w:val="20"/>
                      <w:lang w:eastAsia="en-US"/>
                    </w:rPr>
                    <w:t>0</w:t>
                  </w:r>
                </w:p>
              </w:tc>
            </w:tr>
            <w:tr w14:paraId="592E0B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2" w:hRule="atLeast"/>
              </w:trPr>
              <w:tc>
                <w:tcPr>
                  <w:tcW w:w="300" w:type="pct"/>
                  <w:vMerge w:val="continue"/>
                  <w:tcBorders>
                    <w:top w:val="nil"/>
                    <w:bottom w:val="nil"/>
                  </w:tcBorders>
                  <w:vAlign w:val="center"/>
                </w:tcPr>
                <w:p w14:paraId="7B45A948">
                  <w:pPr>
                    <w:widowControl/>
                    <w:kinsoku w:val="0"/>
                    <w:autoSpaceDE w:val="0"/>
                    <w:autoSpaceDN w:val="0"/>
                    <w:spacing w:line="240" w:lineRule="auto"/>
                    <w:ind w:firstLine="0" w:firstLineChars="0"/>
                    <w:jc w:val="center"/>
                    <w:textAlignment w:val="baseline"/>
                    <w:rPr>
                      <w:rFonts w:cs="宋体"/>
                      <w:snapToGrid w:val="0"/>
                      <w:color w:val="000000"/>
                      <w:kern w:val="0"/>
                      <w:sz w:val="21"/>
                      <w:szCs w:val="21"/>
                      <w:lang w:eastAsia="en-US"/>
                    </w:rPr>
                  </w:pPr>
                </w:p>
              </w:tc>
              <w:tc>
                <w:tcPr>
                  <w:tcW w:w="611" w:type="pct"/>
                  <w:vAlign w:val="center"/>
                </w:tcPr>
                <w:p w14:paraId="3E74370D">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7"/>
                      <w:kern w:val="0"/>
                      <w:sz w:val="21"/>
                      <w:szCs w:val="20"/>
                      <w:lang w:eastAsia="en-US"/>
                    </w:rPr>
                    <w:t>超标倍数</w:t>
                  </w:r>
                </w:p>
              </w:tc>
              <w:tc>
                <w:tcPr>
                  <w:tcW w:w="413" w:type="pct"/>
                  <w:vAlign w:val="center"/>
                </w:tcPr>
                <w:p w14:paraId="1AD14D85">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2"/>
                      <w:kern w:val="0"/>
                      <w:position w:val="1"/>
                      <w:sz w:val="21"/>
                      <w:szCs w:val="20"/>
                      <w:lang w:eastAsia="en-US"/>
                    </w:rPr>
                    <w:t>/</w:t>
                  </w:r>
                </w:p>
              </w:tc>
              <w:tc>
                <w:tcPr>
                  <w:tcW w:w="457" w:type="pct"/>
                  <w:vAlign w:val="center"/>
                </w:tcPr>
                <w:p w14:paraId="0A5215F4">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kern w:val="0"/>
                      <w:sz w:val="21"/>
                      <w:szCs w:val="20"/>
                      <w:lang w:eastAsia="en-US"/>
                    </w:rPr>
                    <w:t>0</w:t>
                  </w:r>
                </w:p>
              </w:tc>
              <w:tc>
                <w:tcPr>
                  <w:tcW w:w="457" w:type="pct"/>
                  <w:vAlign w:val="center"/>
                </w:tcPr>
                <w:p w14:paraId="7537FC23">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kern w:val="0"/>
                      <w:sz w:val="21"/>
                      <w:szCs w:val="20"/>
                      <w:lang w:eastAsia="en-US"/>
                    </w:rPr>
                    <w:t>0</w:t>
                  </w:r>
                </w:p>
              </w:tc>
              <w:tc>
                <w:tcPr>
                  <w:tcW w:w="457" w:type="pct"/>
                  <w:vAlign w:val="center"/>
                </w:tcPr>
                <w:p w14:paraId="10441FA3">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2"/>
                      <w:kern w:val="0"/>
                      <w:position w:val="1"/>
                      <w:sz w:val="21"/>
                      <w:szCs w:val="20"/>
                      <w:lang w:eastAsia="en-US"/>
                    </w:rPr>
                    <w:t>/</w:t>
                  </w:r>
                </w:p>
              </w:tc>
              <w:tc>
                <w:tcPr>
                  <w:tcW w:w="457" w:type="pct"/>
                  <w:vAlign w:val="center"/>
                </w:tcPr>
                <w:p w14:paraId="6A442AD6">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kern w:val="0"/>
                      <w:sz w:val="21"/>
                      <w:szCs w:val="20"/>
                      <w:lang w:eastAsia="en-US"/>
                    </w:rPr>
                    <w:t>0</w:t>
                  </w:r>
                </w:p>
              </w:tc>
              <w:tc>
                <w:tcPr>
                  <w:tcW w:w="457" w:type="pct"/>
                  <w:vAlign w:val="center"/>
                </w:tcPr>
                <w:p w14:paraId="641D1BD6">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kern w:val="0"/>
                      <w:sz w:val="21"/>
                      <w:szCs w:val="20"/>
                      <w:lang w:eastAsia="en-US"/>
                    </w:rPr>
                    <w:t>0</w:t>
                  </w:r>
                </w:p>
              </w:tc>
              <w:tc>
                <w:tcPr>
                  <w:tcW w:w="457" w:type="pct"/>
                  <w:vAlign w:val="center"/>
                </w:tcPr>
                <w:p w14:paraId="7EF8588D">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kern w:val="0"/>
                      <w:sz w:val="21"/>
                      <w:szCs w:val="20"/>
                      <w:lang w:eastAsia="en-US"/>
                    </w:rPr>
                    <w:t>0</w:t>
                  </w:r>
                </w:p>
              </w:tc>
              <w:tc>
                <w:tcPr>
                  <w:tcW w:w="457" w:type="pct"/>
                  <w:vAlign w:val="center"/>
                </w:tcPr>
                <w:p w14:paraId="29C345A7">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kern w:val="0"/>
                      <w:sz w:val="21"/>
                      <w:szCs w:val="20"/>
                      <w:lang w:eastAsia="en-US"/>
                    </w:rPr>
                    <w:t>0</w:t>
                  </w:r>
                </w:p>
              </w:tc>
              <w:tc>
                <w:tcPr>
                  <w:tcW w:w="470" w:type="pct"/>
                  <w:vAlign w:val="center"/>
                </w:tcPr>
                <w:p w14:paraId="74380EC8">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kern w:val="0"/>
                      <w:sz w:val="21"/>
                      <w:szCs w:val="20"/>
                      <w:lang w:eastAsia="en-US"/>
                    </w:rPr>
                    <w:t>0</w:t>
                  </w:r>
                </w:p>
              </w:tc>
            </w:tr>
            <w:tr w14:paraId="4841EE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 w:hRule="atLeast"/>
              </w:trPr>
              <w:tc>
                <w:tcPr>
                  <w:tcW w:w="300" w:type="pct"/>
                  <w:vMerge w:val="continue"/>
                  <w:tcBorders>
                    <w:top w:val="nil"/>
                  </w:tcBorders>
                  <w:vAlign w:val="center"/>
                </w:tcPr>
                <w:p w14:paraId="2A5A9280">
                  <w:pPr>
                    <w:widowControl/>
                    <w:kinsoku w:val="0"/>
                    <w:autoSpaceDE w:val="0"/>
                    <w:autoSpaceDN w:val="0"/>
                    <w:spacing w:line="240" w:lineRule="auto"/>
                    <w:ind w:firstLine="0" w:firstLineChars="0"/>
                    <w:jc w:val="center"/>
                    <w:textAlignment w:val="baseline"/>
                    <w:rPr>
                      <w:rFonts w:cs="宋体"/>
                      <w:snapToGrid w:val="0"/>
                      <w:color w:val="000000"/>
                      <w:kern w:val="0"/>
                      <w:sz w:val="21"/>
                      <w:szCs w:val="21"/>
                      <w:lang w:eastAsia="en-US"/>
                    </w:rPr>
                  </w:pPr>
                </w:p>
              </w:tc>
              <w:tc>
                <w:tcPr>
                  <w:tcW w:w="611" w:type="pct"/>
                  <w:vAlign w:val="center"/>
                </w:tcPr>
                <w:p w14:paraId="199A3B8C">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6"/>
                      <w:kern w:val="0"/>
                      <w:sz w:val="21"/>
                      <w:szCs w:val="20"/>
                      <w:lang w:eastAsia="en-US"/>
                    </w:rPr>
                    <w:t>是否达标</w:t>
                  </w:r>
                </w:p>
              </w:tc>
              <w:tc>
                <w:tcPr>
                  <w:tcW w:w="413" w:type="pct"/>
                  <w:vAlign w:val="center"/>
                </w:tcPr>
                <w:p w14:paraId="6D7A3341">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kern w:val="0"/>
                      <w:sz w:val="21"/>
                      <w:szCs w:val="20"/>
                      <w:lang w:eastAsia="en-US"/>
                    </w:rPr>
                    <w:t>是</w:t>
                  </w:r>
                </w:p>
              </w:tc>
              <w:tc>
                <w:tcPr>
                  <w:tcW w:w="457" w:type="pct"/>
                  <w:vAlign w:val="center"/>
                </w:tcPr>
                <w:p w14:paraId="30E182BF">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kern w:val="0"/>
                      <w:sz w:val="21"/>
                      <w:szCs w:val="20"/>
                      <w:lang w:eastAsia="en-US"/>
                    </w:rPr>
                    <w:t>是</w:t>
                  </w:r>
                </w:p>
              </w:tc>
              <w:tc>
                <w:tcPr>
                  <w:tcW w:w="457" w:type="pct"/>
                  <w:vAlign w:val="center"/>
                </w:tcPr>
                <w:p w14:paraId="3C447BB8">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kern w:val="0"/>
                      <w:sz w:val="21"/>
                      <w:szCs w:val="20"/>
                      <w:lang w:eastAsia="en-US"/>
                    </w:rPr>
                    <w:t>是</w:t>
                  </w:r>
                </w:p>
              </w:tc>
              <w:tc>
                <w:tcPr>
                  <w:tcW w:w="457" w:type="pct"/>
                  <w:vAlign w:val="center"/>
                </w:tcPr>
                <w:p w14:paraId="04CAA532">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kern w:val="0"/>
                      <w:sz w:val="21"/>
                      <w:szCs w:val="20"/>
                      <w:lang w:eastAsia="en-US"/>
                    </w:rPr>
                    <w:t>是</w:t>
                  </w:r>
                </w:p>
              </w:tc>
              <w:tc>
                <w:tcPr>
                  <w:tcW w:w="457" w:type="pct"/>
                  <w:vAlign w:val="center"/>
                </w:tcPr>
                <w:p w14:paraId="3245782C">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kern w:val="0"/>
                      <w:sz w:val="21"/>
                      <w:szCs w:val="20"/>
                      <w:lang w:eastAsia="en-US"/>
                    </w:rPr>
                    <w:t>是</w:t>
                  </w:r>
                </w:p>
              </w:tc>
              <w:tc>
                <w:tcPr>
                  <w:tcW w:w="457" w:type="pct"/>
                  <w:vAlign w:val="center"/>
                </w:tcPr>
                <w:p w14:paraId="116D18AF">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kern w:val="0"/>
                      <w:sz w:val="21"/>
                      <w:szCs w:val="20"/>
                      <w:lang w:eastAsia="en-US"/>
                    </w:rPr>
                    <w:t>是</w:t>
                  </w:r>
                </w:p>
              </w:tc>
              <w:tc>
                <w:tcPr>
                  <w:tcW w:w="457" w:type="pct"/>
                  <w:vAlign w:val="center"/>
                </w:tcPr>
                <w:p w14:paraId="0D789666">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kern w:val="0"/>
                      <w:sz w:val="21"/>
                      <w:szCs w:val="20"/>
                      <w:lang w:eastAsia="en-US"/>
                    </w:rPr>
                    <w:t>是</w:t>
                  </w:r>
                </w:p>
              </w:tc>
              <w:tc>
                <w:tcPr>
                  <w:tcW w:w="457" w:type="pct"/>
                  <w:vAlign w:val="center"/>
                </w:tcPr>
                <w:p w14:paraId="0E1A30FC">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kern w:val="0"/>
                      <w:sz w:val="21"/>
                      <w:szCs w:val="20"/>
                      <w:lang w:eastAsia="en-US"/>
                    </w:rPr>
                    <w:t>是</w:t>
                  </w:r>
                </w:p>
              </w:tc>
              <w:tc>
                <w:tcPr>
                  <w:tcW w:w="470" w:type="pct"/>
                  <w:vAlign w:val="center"/>
                </w:tcPr>
                <w:p w14:paraId="192EBE98">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kern w:val="0"/>
                      <w:sz w:val="21"/>
                      <w:szCs w:val="20"/>
                      <w:lang w:eastAsia="en-US"/>
                    </w:rPr>
                    <w:t>是</w:t>
                  </w:r>
                </w:p>
              </w:tc>
            </w:tr>
          </w:tbl>
          <w:p w14:paraId="46FD414B">
            <w:pPr>
              <w:widowControl/>
              <w:kinsoku w:val="0"/>
              <w:autoSpaceDE w:val="0"/>
              <w:autoSpaceDN w:val="0"/>
              <w:spacing w:before="48" w:beforeLines="20" w:line="240" w:lineRule="auto"/>
              <w:ind w:firstLine="0" w:firstLineChars="0"/>
              <w:jc w:val="center"/>
              <w:textAlignment w:val="baseline"/>
            </w:pPr>
            <w:r>
              <w:drawing>
                <wp:anchor distT="0" distB="0" distL="114300" distR="114300" simplePos="0" relativeHeight="251676672" behindDoc="0" locked="0" layoutInCell="1" allowOverlap="1">
                  <wp:simplePos x="0" y="0"/>
                  <wp:positionH relativeFrom="column">
                    <wp:posOffset>4261485</wp:posOffset>
                  </wp:positionH>
                  <wp:positionV relativeFrom="paragraph">
                    <wp:posOffset>47625</wp:posOffset>
                  </wp:positionV>
                  <wp:extent cx="678815" cy="659765"/>
                  <wp:effectExtent l="0" t="0" r="6985" b="6985"/>
                  <wp:wrapNone/>
                  <wp:docPr id="120"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65"/>
                          <pic:cNvPicPr>
                            <a:picLocks noChangeAspect="1"/>
                          </pic:cNvPicPr>
                        </pic:nvPicPr>
                        <pic:blipFill>
                          <a:blip r:embed="rId25"/>
                          <a:stretch>
                            <a:fillRect/>
                          </a:stretch>
                        </pic:blipFill>
                        <pic:spPr>
                          <a:xfrm>
                            <a:off x="0" y="0"/>
                            <a:ext cx="678815" cy="659765"/>
                          </a:xfrm>
                          <a:prstGeom prst="rect">
                            <a:avLst/>
                          </a:prstGeom>
                          <a:noFill/>
                          <a:ln>
                            <a:noFill/>
                          </a:ln>
                        </pic:spPr>
                      </pic:pic>
                    </a:graphicData>
                  </a:graphic>
                </wp:anchor>
              </w:drawing>
            </w:r>
            <w:r>
              <mc:AlternateContent>
                <mc:Choice Requires="wps">
                  <w:drawing>
                    <wp:anchor distT="0" distB="0" distL="114300" distR="114300" simplePos="0" relativeHeight="251684864" behindDoc="0" locked="0" layoutInCell="1" allowOverlap="1">
                      <wp:simplePos x="0" y="0"/>
                      <wp:positionH relativeFrom="column">
                        <wp:posOffset>2360930</wp:posOffset>
                      </wp:positionH>
                      <wp:positionV relativeFrom="paragraph">
                        <wp:posOffset>1449070</wp:posOffset>
                      </wp:positionV>
                      <wp:extent cx="883920" cy="232410"/>
                      <wp:effectExtent l="0" t="0" r="0" b="0"/>
                      <wp:wrapNone/>
                      <wp:docPr id="156" name="文本框 156"/>
                      <wp:cNvGraphicFramePr/>
                      <a:graphic xmlns:a="http://schemas.openxmlformats.org/drawingml/2006/main">
                        <a:graphicData uri="http://schemas.microsoft.com/office/word/2010/wordprocessingShape">
                          <wps:wsp>
                            <wps:cNvSpPr txBox="1"/>
                            <wps:spPr>
                              <a:xfrm>
                                <a:off x="0" y="0"/>
                                <a:ext cx="883920" cy="232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5C40EF">
                                  <w:pPr>
                                    <w:ind w:firstLine="0" w:firstLineChars="0"/>
                                    <w:rPr>
                                      <w:color w:val="FFC000"/>
                                      <w:sz w:val="18"/>
                                      <w:szCs w:val="18"/>
                                    </w:rPr>
                                  </w:pPr>
                                  <w:r>
                                    <w:rPr>
                                      <w:rFonts w:hint="eastAsia"/>
                                      <w:color w:val="FFC000"/>
                                      <w:sz w:val="18"/>
                                      <w:szCs w:val="18"/>
                                    </w:rPr>
                                    <w:t>园洲中心排渠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85.9pt;margin-top:114.1pt;height:18.3pt;width:69.6pt;z-index:251684864;mso-width-relative:page;mso-height-relative:page;" filled="f" stroked="f" coordsize="21600,21600" o:gfxdata="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NzyOfLbAAAACwEAAA8AAAAAAAAAAQAg&#10;AAAAIgAAAGRycy9kb3ducmV2LnhtbFBLAQIUABQAAAAIAIdO4kDPjqC4RAIAAHcEAAAOAAAAAAAA&#10;AAEAIAAAACoBAABkcnMvZTJvRG9jLnhtbFBLBQYAAAAABgAGAFkBAADgBQAAAAA=&#10;">
                      <v:fill on="f" focussize="0,0"/>
                      <v:stroke on="f" weight="0.5pt"/>
                      <v:imagedata o:title=""/>
                      <o:lock v:ext="edit" aspectratio="f"/>
                      <v:textbox>
                        <w:txbxContent>
                          <w:p w14:paraId="5D5C40EF">
                            <w:pPr>
                              <w:ind w:firstLine="0" w:firstLineChars="0"/>
                              <w:rPr>
                                <w:color w:val="FFC000"/>
                                <w:sz w:val="18"/>
                                <w:szCs w:val="18"/>
                              </w:rPr>
                            </w:pPr>
                            <w:r>
                              <w:rPr>
                                <w:rFonts w:hint="eastAsia"/>
                                <w:color w:val="FFC000"/>
                                <w:sz w:val="18"/>
                                <w:szCs w:val="18"/>
                              </w:rPr>
                              <w:t>园洲中心排渠</w:t>
                            </w:r>
                          </w:p>
                        </w:txbxContent>
                      </v:textbox>
                    </v:shape>
                  </w:pict>
                </mc:Fallback>
              </mc:AlternateContent>
            </w:r>
            <w:r>
              <mc:AlternateContent>
                <mc:Choice Requires="wps">
                  <w:drawing>
                    <wp:anchor distT="0" distB="0" distL="114300" distR="114300" simplePos="0" relativeHeight="251683840" behindDoc="0" locked="0" layoutInCell="1" allowOverlap="1">
                      <wp:simplePos x="0" y="0"/>
                      <wp:positionH relativeFrom="column">
                        <wp:posOffset>2668905</wp:posOffset>
                      </wp:positionH>
                      <wp:positionV relativeFrom="paragraph">
                        <wp:posOffset>1390015</wp:posOffset>
                      </wp:positionV>
                      <wp:extent cx="393700" cy="6350"/>
                      <wp:effectExtent l="0" t="52705" r="6350" b="55245"/>
                      <wp:wrapNone/>
                      <wp:docPr id="155" name="直接箭头连接符 155"/>
                      <wp:cNvGraphicFramePr/>
                      <a:graphic xmlns:a="http://schemas.openxmlformats.org/drawingml/2006/main">
                        <a:graphicData uri="http://schemas.microsoft.com/office/word/2010/wordprocessingShape">
                          <wps:wsp>
                            <wps:cNvCnPr/>
                            <wps:spPr>
                              <a:xfrm flipH="1" flipV="1">
                                <a:off x="0" y="0"/>
                                <a:ext cx="393700" cy="6350"/>
                              </a:xfrm>
                              <a:prstGeom prst="straightConnector1">
                                <a:avLst/>
                              </a:prstGeom>
                              <a:noFill/>
                              <a:ln w="19050" cap="flat" cmpd="sng" algn="ctr">
                                <a:solidFill>
                                  <a:sysClr val="window" lastClr="FFFFFF"/>
                                </a:solidFill>
                                <a:prstDash val="solid"/>
                                <a:tailEnd type="arrow"/>
                              </a:ln>
                              <a:effectLst/>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 y;margin-left:210.15pt;margin-top:109.45pt;height:0.5pt;width:31pt;z-index:251683840;mso-width-relative:page;mso-height-relative:page;" filled="f" stroked="t" coordsize="21600,21600" o:gfxdata="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Arg0py2AAAAAsBAAAP&#10;AAAAAAAAAAEAIAAAACIAAABkcnMvZG93bnJldi54bWxQSwECFAAUAAAACACHTuJAwnid8RgCAAAA&#10;BAAADgAAAAAAAAABACAAAAAnAQAAZHJzL2Uyb0RvYy54bWxQSwUGAAAAAAYABgBZAQAAsQUAAAAA&#10;">
                      <v:fill on="f" focussize="0,0"/>
                      <v:stroke weight="1.5pt" color="#FFFFFF [3204]" joinstyle="round" endarrow="open"/>
                      <v:imagedata o:title=""/>
                      <o:lock v:ext="edit" aspectratio="f"/>
                    </v:shape>
                  </w:pict>
                </mc:Fallback>
              </mc:AlternateContent>
            </w:r>
            <w:r>
              <mc:AlternateContent>
                <mc:Choice Requires="wps">
                  <w:drawing>
                    <wp:anchor distT="0" distB="0" distL="114300" distR="114300" simplePos="0" relativeHeight="251679744" behindDoc="0" locked="0" layoutInCell="1" allowOverlap="1">
                      <wp:simplePos x="0" y="0"/>
                      <wp:positionH relativeFrom="column">
                        <wp:posOffset>2205355</wp:posOffset>
                      </wp:positionH>
                      <wp:positionV relativeFrom="paragraph">
                        <wp:posOffset>1210945</wp:posOffset>
                      </wp:positionV>
                      <wp:extent cx="0" cy="241300"/>
                      <wp:effectExtent l="50800" t="0" r="63500" b="6350"/>
                      <wp:wrapNone/>
                      <wp:docPr id="151" name="直接箭头连接符 151"/>
                      <wp:cNvGraphicFramePr/>
                      <a:graphic xmlns:a="http://schemas.openxmlformats.org/drawingml/2006/main">
                        <a:graphicData uri="http://schemas.microsoft.com/office/word/2010/wordprocessingShape">
                          <wps:wsp>
                            <wps:cNvCnPr/>
                            <wps:spPr>
                              <a:xfrm>
                                <a:off x="0" y="0"/>
                                <a:ext cx="0" cy="241300"/>
                              </a:xfrm>
                              <a:prstGeom prst="straightConnector1">
                                <a:avLst/>
                              </a:prstGeom>
                              <a:noFill/>
                              <a:ln w="12700" cap="flat" cmpd="sng" algn="ctr">
                                <a:solidFill>
                                  <a:srgbClr val="FFFF00"/>
                                </a:solidFill>
                                <a:prstDash val="solid"/>
                                <a:headEnd type="arrow"/>
                                <a:tailEnd type="arrow"/>
                              </a:ln>
                              <a:effectLst/>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73.65pt;margin-top:95.35pt;height:19pt;width:0pt;z-index:251679744;mso-width-relative:page;mso-height-relative:page;" filled="f" stroked="t" coordsize="21600,21600" o:gfxdata="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tyvDDNcAAAALAQAADwAAAAAAAAABACAAAAAiAAAAZHJzL2Rv&#10;d25yZXYueG1sUEsBAhQAFAAAAAgAh07iQLz/yMYCAgAA8gMAAA4AAAAAAAAAAQAgAAAAJgEAAGRy&#10;cy9lMm9Eb2MueG1sUEsFBgAAAAAGAAYAWQEAAJoFAAAAAA==&#10;">
                      <v:fill on="f" focussize="0,0"/>
                      <v:stroke weight="1pt" color="#FFFF00 [3204]" joinstyle="round" startarrow="open" endarrow="open"/>
                      <v:imagedata o:title=""/>
                      <o:lock v:ext="edit" aspectratio="f"/>
                    </v:shape>
                  </w:pict>
                </mc:Fallback>
              </mc:AlternateContent>
            </w:r>
            <w:r>
              <mc:AlternateContent>
                <mc:Choice Requires="wps">
                  <w:drawing>
                    <wp:anchor distT="0" distB="0" distL="114300" distR="114300" simplePos="0" relativeHeight="251681792" behindDoc="0" locked="0" layoutInCell="1" allowOverlap="1">
                      <wp:simplePos x="0" y="0"/>
                      <wp:positionH relativeFrom="column">
                        <wp:posOffset>3278505</wp:posOffset>
                      </wp:positionH>
                      <wp:positionV relativeFrom="paragraph">
                        <wp:posOffset>1424305</wp:posOffset>
                      </wp:positionV>
                      <wp:extent cx="99695" cy="193040"/>
                      <wp:effectExtent l="5080" t="0" r="9525" b="16510"/>
                      <wp:wrapNone/>
                      <wp:docPr id="153" name="直接箭头连接符 153"/>
                      <wp:cNvGraphicFramePr/>
                      <a:graphic xmlns:a="http://schemas.openxmlformats.org/drawingml/2006/main">
                        <a:graphicData uri="http://schemas.microsoft.com/office/word/2010/wordprocessingShape">
                          <wps:wsp>
                            <wps:cNvCnPr/>
                            <wps:spPr>
                              <a:xfrm flipH="1">
                                <a:off x="0" y="0"/>
                                <a:ext cx="99695" cy="193040"/>
                              </a:xfrm>
                              <a:prstGeom prst="straightConnector1">
                                <a:avLst/>
                              </a:prstGeom>
                              <a:noFill/>
                              <a:ln w="12700" cap="flat" cmpd="sng" algn="ctr">
                                <a:solidFill>
                                  <a:srgbClr val="FFFF00"/>
                                </a:solidFill>
                                <a:prstDash val="solid"/>
                                <a:headEnd type="arrow"/>
                                <a:tailEnd type="arrow"/>
                              </a:ln>
                              <a:effectLst/>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flip:x;margin-left:258.15pt;margin-top:112.15pt;height:15.2pt;width:7.85pt;z-index:251681792;mso-width-relative:page;mso-height-relative:page;" filled="f" stroked="t" coordsize="21600,21600" o:gfxdata="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Ykpyt9sAAAALAQAADwAA&#10;AAAAAAABACAAAAAiAAAAZHJzL2Rvd25yZXYueG1sUEsBAhQAFAAAAAgAh07iQFTCblwTAgAAAAQA&#10;AA4AAAAAAAAAAQAgAAAAKgEAAGRycy9lMm9Eb2MueG1sUEsFBgAAAAAGAAYAWQEAAK8FAAAAAA==&#10;">
                      <v:fill on="f" focussize="0,0"/>
                      <v:stroke weight="1pt" color="#FFFF00 [3204]" joinstyle="round" startarrow="open" endarrow="open"/>
                      <v:imagedata o:title=""/>
                      <o:lock v:ext="edit" aspectratio="f"/>
                    </v:shape>
                  </w:pict>
                </mc:Fallback>
              </mc:AlternateContent>
            </w:r>
            <w:r>
              <mc:AlternateContent>
                <mc:Choice Requires="wps">
                  <w:drawing>
                    <wp:anchor distT="0" distB="0" distL="114300" distR="114300" simplePos="0" relativeHeight="251682816" behindDoc="0" locked="0" layoutInCell="1" allowOverlap="1">
                      <wp:simplePos x="0" y="0"/>
                      <wp:positionH relativeFrom="column">
                        <wp:posOffset>3452495</wp:posOffset>
                      </wp:positionH>
                      <wp:positionV relativeFrom="paragraph">
                        <wp:posOffset>1454785</wp:posOffset>
                      </wp:positionV>
                      <wp:extent cx="354330" cy="207010"/>
                      <wp:effectExtent l="4445" t="4445" r="22225" b="17145"/>
                      <wp:wrapNone/>
                      <wp:docPr id="154" name="文本框 154"/>
                      <wp:cNvGraphicFramePr/>
                      <a:graphic xmlns:a="http://schemas.openxmlformats.org/drawingml/2006/main">
                        <a:graphicData uri="http://schemas.microsoft.com/office/word/2010/wordprocessingShape">
                          <wps:wsp>
                            <wps:cNvSpPr txBox="1"/>
                            <wps:spPr>
                              <a:xfrm>
                                <a:off x="0" y="0"/>
                                <a:ext cx="354330" cy="20701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E11169A">
                                  <w:pPr>
                                    <w:ind w:firstLine="0" w:firstLineChars="0"/>
                                    <w:rPr>
                                      <w:sz w:val="18"/>
                                      <w:szCs w:val="18"/>
                                    </w:rPr>
                                  </w:pPr>
                                  <w:r>
                                    <w:rPr>
                                      <w:rFonts w:hint="eastAsia"/>
                                      <w:sz w:val="18"/>
                                      <w:szCs w:val="18"/>
                                    </w:rPr>
                                    <w:t>W2</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71.85pt;margin-top:114.55pt;height:16.3pt;width:27.9pt;z-index:251682816;mso-width-relative:page;mso-height-relative:page;" fillcolor="#FFFFFF [3201]" filled="t" stroked="t" coordsize="21600,21600" o:gfxdata="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DG&#10;voLo2AAAAAsBAAAPAAAAAAAAAAEAIAAAACIAAABkcnMvZG93bnJldi54bWxQSwECFAAUAAAACACH&#10;TuJAB6EmjF0CAADIBAAADgAAAAAAAAABACAAAAAnAQAAZHJzL2Uyb0RvYy54bWxQSwUGAAAAAAYA&#10;BgBZAQAA9gUAAAAA&#10;">
                      <v:fill on="t" focussize="0,0"/>
                      <v:stroke weight="0.5pt" color="#000000 [3204]" joinstyle="round"/>
                      <v:imagedata o:title=""/>
                      <o:lock v:ext="edit" aspectratio="f"/>
                      <v:textbox>
                        <w:txbxContent>
                          <w:p w14:paraId="0E11169A">
                            <w:pPr>
                              <w:ind w:firstLine="0" w:firstLineChars="0"/>
                              <w:rPr>
                                <w:sz w:val="18"/>
                                <w:szCs w:val="18"/>
                              </w:rPr>
                            </w:pPr>
                            <w:r>
                              <w:rPr>
                                <w:rFonts w:hint="eastAsia"/>
                                <w:sz w:val="18"/>
                                <w:szCs w:val="18"/>
                              </w:rPr>
                              <w:t>W2</w:t>
                            </w:r>
                          </w:p>
                        </w:txbxContent>
                      </v:textbox>
                    </v:shape>
                  </w:pict>
                </mc:Fallback>
              </mc:AlternateContent>
            </w:r>
            <w:r>
              <mc:AlternateContent>
                <mc:Choice Requires="wps">
                  <w:drawing>
                    <wp:anchor distT="0" distB="0" distL="114300" distR="114300" simplePos="0" relativeHeight="251677696" behindDoc="0" locked="0" layoutInCell="1" allowOverlap="1">
                      <wp:simplePos x="0" y="0"/>
                      <wp:positionH relativeFrom="column">
                        <wp:posOffset>3188970</wp:posOffset>
                      </wp:positionH>
                      <wp:positionV relativeFrom="paragraph">
                        <wp:posOffset>1306195</wp:posOffset>
                      </wp:positionV>
                      <wp:extent cx="75565" cy="75565"/>
                      <wp:effectExtent l="12700" t="12700" r="26035" b="26035"/>
                      <wp:wrapNone/>
                      <wp:docPr id="148" name="五角星 148"/>
                      <wp:cNvGraphicFramePr/>
                      <a:graphic xmlns:a="http://schemas.openxmlformats.org/drawingml/2006/main">
                        <a:graphicData uri="http://schemas.microsoft.com/office/word/2010/wordprocessingShape">
                          <wps:wsp>
                            <wps:cNvSpPr/>
                            <wps:spPr>
                              <a:xfrm>
                                <a:off x="0" y="0"/>
                                <a:ext cx="75565" cy="75565"/>
                              </a:xfrm>
                              <a:prstGeom prst="star5">
                                <a:avLst/>
                              </a:prstGeom>
                              <a:solidFill>
                                <a:srgbClr val="4F81BD"/>
                              </a:solidFill>
                              <a:ln w="25400" cap="flat" cmpd="sng" algn="ctr">
                                <a:solidFill>
                                  <a:srgbClr val="C00000"/>
                                </a:solidFill>
                                <a:prstDash val="solid"/>
                              </a:ln>
                              <a:effectLst/>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251.1pt;margin-top:102.85pt;height:5.95pt;width:5.95pt;z-index:251677696;v-text-anchor:middle;mso-width-relative:page;mso-height-relative:page;" fillcolor="#4F81BD" filled="t" stroked="t" coordsize="75565,75565" o:gfxdata="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BqQXyd2AAAAAsBAAAPAAAAAAAAAAEAIAAAACIAAABkcnMvZG93&#10;bnJldi54bWxQSwECFAAUAAAACACHTuJA0s5It3ICAADwBAAADgAAAAAAAAABACAAAAAnAQAAZHJz&#10;L2Uyb0RvYy54bWxQSwUGAAAAAAYABgBZAQAACwYAAAAA&#10;" path="m0,28863l28863,28863,37782,0,46701,28863,75564,28863,52213,46701,61133,75564,37782,57726,14431,75564,23351,46701xe">
                      <v:path o:connectlocs="37782,0;0,28863;14431,75564;61133,75564;75564,28863" o:connectangles="247,164,82,82,0"/>
                      <v:fill on="t" focussize="0,0"/>
                      <v:stroke weight="2pt" color="#C00000 [2404]" joinstyle="round"/>
                      <v:imagedata o:title=""/>
                      <o:lock v:ext="edit" aspectratio="f"/>
                    </v:shape>
                  </w:pict>
                </mc:Fallback>
              </mc:AlternateContent>
            </w:r>
            <w:r>
              <mc:AlternateContent>
                <mc:Choice Requires="wps">
                  <w:drawing>
                    <wp:anchor distT="0" distB="0" distL="114300" distR="114300" simplePos="0" relativeHeight="251678720" behindDoc="0" locked="0" layoutInCell="1" allowOverlap="1">
                      <wp:simplePos x="0" y="0"/>
                      <wp:positionH relativeFrom="column">
                        <wp:posOffset>2997835</wp:posOffset>
                      </wp:positionH>
                      <wp:positionV relativeFrom="paragraph">
                        <wp:posOffset>1321435</wp:posOffset>
                      </wp:positionV>
                      <wp:extent cx="492760" cy="304800"/>
                      <wp:effectExtent l="5080" t="8255" r="16510" b="10795"/>
                      <wp:wrapNone/>
                      <wp:docPr id="125" name="直接连接符 125"/>
                      <wp:cNvGraphicFramePr/>
                      <a:graphic xmlns:a="http://schemas.openxmlformats.org/drawingml/2006/main">
                        <a:graphicData uri="http://schemas.microsoft.com/office/word/2010/wordprocessingShape">
                          <wps:wsp>
                            <wps:cNvCnPr/>
                            <wps:spPr>
                              <a:xfrm>
                                <a:off x="0" y="0"/>
                                <a:ext cx="492760" cy="304800"/>
                              </a:xfrm>
                              <a:prstGeom prst="line">
                                <a:avLst/>
                              </a:prstGeom>
                              <a:noFill/>
                              <a:ln w="19050" cap="flat" cmpd="sng" algn="ctr">
                                <a:solidFill>
                                  <a:srgbClr val="4F81BD"/>
                                </a:solidFill>
                                <a:prstDash val="solid"/>
                              </a:ln>
                              <a:effectLst/>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236.05pt;margin-top:104.05pt;height:24pt;width:38.8pt;z-index:251678720;mso-width-relative:page;mso-height-relative:page;" filled="f" stroked="t" coordsize="21600,21600" o:gfxdata="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wWHmNtwAAAALAQAADwAAAAAAAAABACAAAAAiAAAAZHJzL2Rvd25yZXYueG1sUEsBAhQAFAAAAAgA&#10;h07iQI8OG/ToAQAAsQMAAA4AAAAAAAAAAQAgAAAAKwEAAGRycy9lMm9Eb2MueG1sUEsFBgAAAAAG&#10;AAYAWQEAAIUFAAAAAA==&#10;">
                      <v:fill on="f" focussize="0,0"/>
                      <v:stroke weight="1.5pt" color="#4F81BD [3204]" joinstyle="round"/>
                      <v:imagedata o:title=""/>
                      <o:lock v:ext="edit" aspectratio="f"/>
                    </v:line>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2028190</wp:posOffset>
                      </wp:positionH>
                      <wp:positionV relativeFrom="paragraph">
                        <wp:posOffset>1330960</wp:posOffset>
                      </wp:positionV>
                      <wp:extent cx="963295" cy="5715"/>
                      <wp:effectExtent l="0" t="0" r="0" b="0"/>
                      <wp:wrapNone/>
                      <wp:docPr id="119" name="直接连接符 119"/>
                      <wp:cNvGraphicFramePr/>
                      <a:graphic xmlns:a="http://schemas.openxmlformats.org/drawingml/2006/main">
                        <a:graphicData uri="http://schemas.microsoft.com/office/word/2010/wordprocessingShape">
                          <wps:wsp>
                            <wps:cNvCnPr/>
                            <wps:spPr>
                              <a:xfrm flipV="1">
                                <a:off x="0" y="0"/>
                                <a:ext cx="963295" cy="5715"/>
                              </a:xfrm>
                              <a:prstGeom prst="line">
                                <a:avLst/>
                              </a:prstGeom>
                              <a:noFill/>
                              <a:ln w="19050" cap="flat" cmpd="sng" algn="ctr">
                                <a:solidFill>
                                  <a:srgbClr val="4F81BD"/>
                                </a:solidFill>
                                <a:prstDash val="solid"/>
                              </a:ln>
                              <a:effectLst/>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flip:y;margin-left:159.7pt;margin-top:104.8pt;height:0.45pt;width:75.85pt;z-index:251675648;mso-width-relative:page;mso-height-relative:page;" filled="f" stroked="t" coordsize="21600,21600" o:gfxdata="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i6S+q9sAAAALAQAADwAAAAAAAAABACAAAAAiAAAAZHJzL2Rvd25yZXYueG1sUEsBAhQAFAAA&#10;AAgAh07iQM4xpijsAQAAuQMAAA4AAAAAAAAAAQAgAAAAKgEAAGRycy9lMm9Eb2MueG1sUEsFBgAA&#10;AAAGAAYAWQEAAIgFAAAAAA==&#10;">
                      <v:fill on="f" focussize="0,0"/>
                      <v:stroke weight="1.5pt" color="#4F81BD [3204]" joinstyle="round"/>
                      <v:imagedata o:title=""/>
                      <o:lock v:ext="edit" aspectratio="f"/>
                    </v:line>
                  </w:pict>
                </mc:Fallback>
              </mc:AlternateContent>
            </w:r>
            <w:r>
              <mc:AlternateContent>
                <mc:Choice Requires="wps">
                  <w:drawing>
                    <wp:anchor distT="0" distB="0" distL="114300" distR="114300" simplePos="0" relativeHeight="251680768" behindDoc="0" locked="0" layoutInCell="1" allowOverlap="1">
                      <wp:simplePos x="0" y="0"/>
                      <wp:positionH relativeFrom="column">
                        <wp:posOffset>1991995</wp:posOffset>
                      </wp:positionH>
                      <wp:positionV relativeFrom="paragraph">
                        <wp:posOffset>1483995</wp:posOffset>
                      </wp:positionV>
                      <wp:extent cx="369570" cy="204470"/>
                      <wp:effectExtent l="4445" t="4445" r="6985" b="19685"/>
                      <wp:wrapNone/>
                      <wp:docPr id="152" name="文本框 152"/>
                      <wp:cNvGraphicFramePr/>
                      <a:graphic xmlns:a="http://schemas.openxmlformats.org/drawingml/2006/main">
                        <a:graphicData uri="http://schemas.microsoft.com/office/word/2010/wordprocessingShape">
                          <wps:wsp>
                            <wps:cNvSpPr txBox="1"/>
                            <wps:spPr>
                              <a:xfrm>
                                <a:off x="0" y="0"/>
                                <a:ext cx="369570" cy="20447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7679E1D">
                                  <w:pPr>
                                    <w:ind w:firstLine="0" w:firstLineChars="0"/>
                                    <w:rPr>
                                      <w:sz w:val="18"/>
                                      <w:szCs w:val="18"/>
                                    </w:rPr>
                                  </w:pPr>
                                  <w:r>
                                    <w:rPr>
                                      <w:rFonts w:hint="eastAsia"/>
                                      <w:sz w:val="18"/>
                                      <w:szCs w:val="18"/>
                                    </w:rPr>
                                    <w:t>W1</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6.85pt;margin-top:116.85pt;height:16.1pt;width:29.1pt;z-index:251680768;mso-width-relative:page;mso-height-relative:page;" fillcolor="#FFFFFF [3201]" filled="t" stroked="t" coordsize="21600,21600" o:gfxdata="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3n/c09cAAAALAQAADwAAAAAAAAABACAAAAAiAAAAZHJzL2Rvd25yZXYueG1sUEsBAhQAFAAAAAgA&#10;h07iQF7HxPpfAgAAyAQAAA4AAAAAAAAAAQAgAAAAJgEAAGRycy9lMm9Eb2MueG1sUEsFBgAAAAAG&#10;AAYAWQEAAPcFAAAAAA==&#10;">
                      <v:fill on="t" focussize="0,0"/>
                      <v:stroke weight="0.5pt" color="#000000 [3204]" joinstyle="round"/>
                      <v:imagedata o:title=""/>
                      <o:lock v:ext="edit" aspectratio="f"/>
                      <v:textbox>
                        <w:txbxContent>
                          <w:p w14:paraId="17679E1D">
                            <w:pPr>
                              <w:ind w:firstLine="0" w:firstLineChars="0"/>
                              <w:rPr>
                                <w:sz w:val="18"/>
                                <w:szCs w:val="18"/>
                              </w:rPr>
                            </w:pPr>
                            <w:r>
                              <w:rPr>
                                <w:rFonts w:hint="eastAsia"/>
                                <w:sz w:val="18"/>
                                <w:szCs w:val="18"/>
                              </w:rPr>
                              <w:t>W1</w:t>
                            </w:r>
                          </w:p>
                        </w:txbxContent>
                      </v:textbox>
                    </v:shape>
                  </w:pict>
                </mc:Fallback>
              </mc:AlternateContent>
            </w:r>
            <w:r>
              <w:drawing>
                <wp:inline distT="0" distB="0" distL="114300" distR="114300">
                  <wp:extent cx="4545965" cy="3564255"/>
                  <wp:effectExtent l="0" t="0" r="6985" b="17145"/>
                  <wp:docPr id="1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
                          <pic:cNvPicPr>
                            <a:picLocks noChangeAspect="1"/>
                          </pic:cNvPicPr>
                        </pic:nvPicPr>
                        <pic:blipFill>
                          <a:blip r:embed="rId26"/>
                          <a:stretch>
                            <a:fillRect/>
                          </a:stretch>
                        </pic:blipFill>
                        <pic:spPr>
                          <a:xfrm>
                            <a:off x="0" y="0"/>
                            <a:ext cx="4545965" cy="3564255"/>
                          </a:xfrm>
                          <a:prstGeom prst="rect">
                            <a:avLst/>
                          </a:prstGeom>
                          <a:noFill/>
                          <a:ln>
                            <a:noFill/>
                          </a:ln>
                        </pic:spPr>
                      </pic:pic>
                    </a:graphicData>
                  </a:graphic>
                </wp:inline>
              </w:drawing>
            </w:r>
          </w:p>
          <w:p w14:paraId="2B23DF00">
            <w:pPr>
              <w:widowControl/>
              <w:kinsoku w:val="0"/>
              <w:autoSpaceDE w:val="0"/>
              <w:autoSpaceDN w:val="0"/>
              <w:spacing w:line="240" w:lineRule="auto"/>
              <w:ind w:firstLine="0" w:firstLineChars="0"/>
              <w:jc w:val="center"/>
              <w:textAlignment w:val="baseline"/>
              <w:rPr>
                <w:rFonts w:cs="宋体"/>
                <w:b/>
                <w:bCs/>
                <w:sz w:val="21"/>
                <w:szCs w:val="21"/>
              </w:rPr>
            </w:pPr>
            <w:r>
              <w:rPr>
                <w:rFonts w:hint="eastAsia" w:cs="宋体"/>
                <w:b/>
                <w:bCs/>
                <w:sz w:val="21"/>
                <w:szCs w:val="21"/>
              </w:rPr>
              <w:t>图3-3 引用的地表水监测断面图</w:t>
            </w:r>
          </w:p>
          <w:p w14:paraId="7AC4B557">
            <w:pPr>
              <w:widowControl/>
              <w:kinsoku w:val="0"/>
              <w:autoSpaceDE w:val="0"/>
              <w:autoSpaceDN w:val="0"/>
              <w:ind w:firstLine="480"/>
              <w:jc w:val="both"/>
              <w:textAlignment w:val="baseline"/>
              <w:rPr>
                <w:rFonts w:cs="宋体"/>
              </w:rPr>
            </w:pPr>
            <w:r>
              <w:rPr>
                <w:rFonts w:hint="eastAsia" w:cs="宋体"/>
              </w:rPr>
              <w:t>由上表监测结果可知，园洲中心排渠监测数据均达到《地表水环境质量标准》（GB3838-2002）V类标准。因此，项目所在区域地表水环境质量现状良好。</w:t>
            </w:r>
          </w:p>
          <w:p w14:paraId="5F909B62">
            <w:pPr>
              <w:pStyle w:val="42"/>
              <w:adjustRightInd/>
              <w:snapToGrid/>
              <w:ind w:firstLine="480"/>
              <w:jc w:val="both"/>
              <w:rPr>
                <w:rFonts w:ascii="Times New Roman"/>
                <w:b/>
                <w:bCs/>
              </w:rPr>
            </w:pPr>
            <w:r>
              <w:rPr>
                <w:rFonts w:ascii="Times New Roman"/>
                <w:color w:val="FF0000"/>
              </w:rPr>
              <w:t xml:space="preserve"> </w:t>
            </w:r>
            <w:r>
              <w:rPr>
                <w:rFonts w:ascii="Times New Roman"/>
                <w:b/>
                <w:bCs/>
              </w:rPr>
              <w:t>3、声环境质量现状</w:t>
            </w:r>
          </w:p>
          <w:p w14:paraId="78D64749">
            <w:pPr>
              <w:ind w:firstLine="480"/>
              <w:jc w:val="both"/>
            </w:pPr>
            <w:r>
              <w:rPr>
                <w:rFonts w:cs="宋体"/>
              </w:rPr>
              <w:t>本项目</w:t>
            </w:r>
            <w:r>
              <w:rPr>
                <w:rFonts w:hint="eastAsia" w:cs="宋体"/>
              </w:rPr>
              <w:t>厂界外</w:t>
            </w:r>
            <w:r>
              <w:rPr>
                <w:rFonts w:cs="宋体"/>
              </w:rPr>
              <w:t>周边50m范围内无声环境</w:t>
            </w:r>
            <w:r>
              <w:rPr>
                <w:rFonts w:hint="eastAsia" w:cs="宋体"/>
              </w:rPr>
              <w:t>保护目标</w:t>
            </w:r>
            <w:r>
              <w:rPr>
                <w:rFonts w:cs="宋体"/>
              </w:rPr>
              <w:t>，根据建设项目环境影响报告表编制技术指南 （污染影响类）（试行），</w:t>
            </w:r>
            <w:r>
              <w:rPr>
                <w:rFonts w:hint="eastAsia" w:cs="宋体"/>
              </w:rPr>
              <w:t>无需</w:t>
            </w:r>
            <w:r>
              <w:rPr>
                <w:rFonts w:cs="宋体"/>
              </w:rPr>
              <w:t>进行声环</w:t>
            </w:r>
            <w:r>
              <w:t>境</w:t>
            </w:r>
            <w:r>
              <w:rPr>
                <w:rFonts w:hint="eastAsia"/>
              </w:rPr>
              <w:t>质量</w:t>
            </w:r>
            <w:r>
              <w:t>现状监测。</w:t>
            </w:r>
          </w:p>
          <w:p w14:paraId="38ABE870">
            <w:pPr>
              <w:ind w:firstLine="482"/>
              <w:jc w:val="both"/>
              <w:rPr>
                <w:b/>
                <w:bCs/>
              </w:rPr>
            </w:pPr>
            <w:r>
              <w:rPr>
                <w:b/>
                <w:bCs/>
              </w:rPr>
              <w:t>4、生态环境质量现状</w:t>
            </w:r>
          </w:p>
          <w:p w14:paraId="2D1DC53C">
            <w:pPr>
              <w:ind w:firstLine="480"/>
              <w:jc w:val="both"/>
            </w:pPr>
            <w:r>
              <w:t>项目</w:t>
            </w:r>
            <w:r>
              <w:rPr>
                <w:rFonts w:hint="eastAsia"/>
              </w:rPr>
              <w:t>租赁现有厂房，项目</w:t>
            </w:r>
            <w:r>
              <w:t>用地范围内</w:t>
            </w:r>
            <w:r>
              <w:rPr>
                <w:rFonts w:hint="eastAsia"/>
              </w:rPr>
              <w:t>无</w:t>
            </w:r>
            <w:r>
              <w:t>生态环境保护目标，</w:t>
            </w:r>
            <w:r>
              <w:rPr>
                <w:rFonts w:hint="eastAsia"/>
              </w:rPr>
              <w:t>无需</w:t>
            </w:r>
            <w:r>
              <w:t>进行生态</w:t>
            </w:r>
            <w:r>
              <w:rPr>
                <w:rFonts w:hint="eastAsia"/>
              </w:rPr>
              <w:t>环境</w:t>
            </w:r>
            <w:r>
              <w:t>现状调查。</w:t>
            </w:r>
          </w:p>
          <w:p w14:paraId="03CCDA3D">
            <w:pPr>
              <w:ind w:firstLine="482"/>
              <w:jc w:val="both"/>
              <w:rPr>
                <w:b/>
                <w:bCs/>
              </w:rPr>
            </w:pPr>
            <w:r>
              <w:rPr>
                <w:b/>
                <w:bCs/>
              </w:rPr>
              <w:t>5、电磁辐射环境质量现状</w:t>
            </w:r>
          </w:p>
          <w:p w14:paraId="611744CA">
            <w:pPr>
              <w:ind w:firstLine="480"/>
              <w:jc w:val="both"/>
            </w:pPr>
            <w:r>
              <w:t>本项目不属于新建或改建、扩建广播电台、差转台、电视塔台、卫星地球上行站、雷达等电磁辐射类项目，</w:t>
            </w:r>
            <w:r>
              <w:rPr>
                <w:rFonts w:hint="eastAsia"/>
              </w:rPr>
              <w:t>无</w:t>
            </w:r>
            <w:r>
              <w:t>需</w:t>
            </w:r>
            <w:r>
              <w:rPr>
                <w:rFonts w:hint="eastAsia"/>
              </w:rPr>
              <w:t>开展</w:t>
            </w:r>
            <w:r>
              <w:t>电磁辐射现状监测与评价。</w:t>
            </w:r>
          </w:p>
          <w:p w14:paraId="3DC1434B">
            <w:pPr>
              <w:ind w:firstLine="482"/>
              <w:jc w:val="both"/>
              <w:rPr>
                <w:b/>
                <w:bCs/>
              </w:rPr>
            </w:pPr>
            <w:r>
              <w:rPr>
                <w:b/>
                <w:bCs/>
              </w:rPr>
              <w:t>6、土壤、</w:t>
            </w:r>
            <w:r>
              <w:rPr>
                <w:b/>
              </w:rPr>
              <w:t>地下水</w:t>
            </w:r>
            <w:r>
              <w:rPr>
                <w:b/>
                <w:bCs/>
              </w:rPr>
              <w:t>环境质量现状</w:t>
            </w:r>
          </w:p>
          <w:p w14:paraId="27BBD51D">
            <w:pPr>
              <w:ind w:firstLine="480"/>
              <w:jc w:val="both"/>
              <w:rPr>
                <w:kern w:val="0"/>
                <w:szCs w:val="21"/>
              </w:rPr>
            </w:pPr>
            <w:r>
              <w:t>项目</w:t>
            </w:r>
            <w:r>
              <w:rPr>
                <w:rFonts w:hint="eastAsia"/>
              </w:rPr>
              <w:t>厂区地面</w:t>
            </w:r>
            <w:r>
              <w:t>均</w:t>
            </w:r>
            <w:r>
              <w:rPr>
                <w:rFonts w:hint="eastAsia"/>
              </w:rPr>
              <w:t>已</w:t>
            </w:r>
            <w:r>
              <w:t>硬底化，且物料存放区域</w:t>
            </w:r>
            <w:r>
              <w:rPr>
                <w:rFonts w:hint="eastAsia"/>
              </w:rPr>
              <w:t>、危废暂存区等</w:t>
            </w:r>
            <w:r>
              <w:t>均</w:t>
            </w:r>
            <w:r>
              <w:rPr>
                <w:rFonts w:hint="eastAsia"/>
              </w:rPr>
              <w:t>做好了防腐防渗措施</w:t>
            </w:r>
            <w:r>
              <w:t>，因此不存在土壤、地下水污染途径，</w:t>
            </w:r>
            <w:r>
              <w:rPr>
                <w:rFonts w:hint="eastAsia"/>
              </w:rPr>
              <w:t>无需</w:t>
            </w:r>
            <w:r>
              <w:t>进行土壤、地下水环境质量现状监测。</w:t>
            </w:r>
          </w:p>
        </w:tc>
      </w:tr>
      <w:tr w14:paraId="62F56F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33" w:hRule="atLeast"/>
          <w:jc w:val="center"/>
        </w:trPr>
        <w:tc>
          <w:tcPr>
            <w:tcW w:w="299" w:type="pct"/>
            <w:vAlign w:val="center"/>
          </w:tcPr>
          <w:p w14:paraId="040E5C38">
            <w:pPr>
              <w:adjustRightInd w:val="0"/>
              <w:snapToGrid w:val="0"/>
              <w:spacing w:line="240" w:lineRule="auto"/>
              <w:ind w:firstLine="0" w:firstLineChars="0"/>
              <w:jc w:val="center"/>
              <w:rPr>
                <w:kern w:val="0"/>
              </w:rPr>
            </w:pPr>
            <w:r>
              <w:rPr>
                <w:kern w:val="0"/>
              </w:rPr>
              <w:t>环境</w:t>
            </w:r>
          </w:p>
          <w:p w14:paraId="64E026EA">
            <w:pPr>
              <w:adjustRightInd w:val="0"/>
              <w:snapToGrid w:val="0"/>
              <w:spacing w:line="240" w:lineRule="auto"/>
              <w:ind w:firstLine="0" w:firstLineChars="0"/>
              <w:jc w:val="center"/>
              <w:rPr>
                <w:kern w:val="0"/>
              </w:rPr>
            </w:pPr>
            <w:r>
              <w:rPr>
                <w:kern w:val="0"/>
              </w:rPr>
              <w:t>保护</w:t>
            </w:r>
          </w:p>
          <w:p w14:paraId="1FE3FC6E">
            <w:pPr>
              <w:adjustRightInd w:val="0"/>
              <w:snapToGrid w:val="0"/>
              <w:spacing w:line="240" w:lineRule="auto"/>
              <w:ind w:firstLine="0" w:firstLineChars="0"/>
              <w:jc w:val="center"/>
              <w:rPr>
                <w:kern w:val="0"/>
              </w:rPr>
            </w:pPr>
            <w:r>
              <w:rPr>
                <w:kern w:val="0"/>
              </w:rPr>
              <w:t>目标</w:t>
            </w:r>
          </w:p>
        </w:tc>
        <w:tc>
          <w:tcPr>
            <w:tcW w:w="4700" w:type="pct"/>
            <w:vAlign w:val="center"/>
          </w:tcPr>
          <w:p w14:paraId="160910F4">
            <w:pPr>
              <w:ind w:firstLine="482"/>
              <w:rPr>
                <w:b/>
              </w:rPr>
            </w:pPr>
            <w:r>
              <w:rPr>
                <w:b/>
              </w:rPr>
              <w:t>1、环境空气保护目标</w:t>
            </w:r>
          </w:p>
          <w:p w14:paraId="40518D52">
            <w:pPr>
              <w:ind w:firstLine="480"/>
            </w:pPr>
            <w:r>
              <w:t>项目厂界外500米范围内</w:t>
            </w:r>
            <w:r>
              <w:rPr>
                <w:rFonts w:hint="eastAsia"/>
              </w:rPr>
              <w:t>无</w:t>
            </w:r>
            <w:r>
              <w:t>自然保护区、风景名胜区、居住区、文化区和农村地区中人群较集中的区域等</w:t>
            </w:r>
            <w:r>
              <w:rPr>
                <w:rFonts w:hint="eastAsia"/>
              </w:rPr>
              <w:t>大气环境</w:t>
            </w:r>
            <w:r>
              <w:t>保护目标。</w:t>
            </w:r>
          </w:p>
          <w:p w14:paraId="57AE8FF1">
            <w:pPr>
              <w:spacing w:before="120" w:beforeLines="50"/>
              <w:ind w:firstLine="482"/>
              <w:rPr>
                <w:b/>
              </w:rPr>
            </w:pPr>
            <w:r>
              <w:rPr>
                <w:b/>
              </w:rPr>
              <w:t>2、声环境保护目标</w:t>
            </w:r>
          </w:p>
          <w:p w14:paraId="0B484490">
            <w:pPr>
              <w:ind w:firstLine="480"/>
            </w:pPr>
            <w:r>
              <w:t>项目厂界外50米范围内无声环境保护目标。</w:t>
            </w:r>
          </w:p>
          <w:p w14:paraId="5332FA9A">
            <w:pPr>
              <w:ind w:firstLine="482"/>
              <w:rPr>
                <w:b/>
                <w:bCs/>
              </w:rPr>
            </w:pPr>
            <w:r>
              <w:rPr>
                <w:b/>
                <w:bCs/>
              </w:rPr>
              <w:t>3、地下水保护目标</w:t>
            </w:r>
          </w:p>
          <w:p w14:paraId="36349D63">
            <w:pPr>
              <w:ind w:firstLine="480"/>
            </w:pPr>
            <w:r>
              <w:t>项目厂界外500米范围内无地下水集中式饮用水水源和热水、矿泉水、温泉等特殊地下水资源。</w:t>
            </w:r>
          </w:p>
          <w:p w14:paraId="4C966805">
            <w:pPr>
              <w:ind w:firstLine="482"/>
              <w:rPr>
                <w:b/>
              </w:rPr>
            </w:pPr>
            <w:r>
              <w:rPr>
                <w:b/>
              </w:rPr>
              <w:t>4、生态环境保护目标</w:t>
            </w:r>
          </w:p>
          <w:p w14:paraId="4062F494">
            <w:pPr>
              <w:ind w:firstLine="480"/>
            </w:pPr>
            <w:r>
              <w:rPr>
                <w:rFonts w:hint="eastAsia"/>
              </w:rPr>
              <w:t>项目租赁厂房，</w:t>
            </w:r>
            <w:r>
              <w:t>用地范围内无生态环境保护目标。</w:t>
            </w:r>
          </w:p>
        </w:tc>
      </w:tr>
      <w:tr w14:paraId="030D5E8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99" w:type="pct"/>
            <w:tcMar>
              <w:left w:w="28" w:type="dxa"/>
              <w:right w:w="28" w:type="dxa"/>
            </w:tcMar>
            <w:vAlign w:val="center"/>
          </w:tcPr>
          <w:p w14:paraId="042DA4B9">
            <w:pPr>
              <w:adjustRightInd w:val="0"/>
              <w:snapToGrid w:val="0"/>
              <w:spacing w:line="240" w:lineRule="auto"/>
              <w:ind w:firstLine="0" w:firstLineChars="0"/>
              <w:jc w:val="center"/>
              <w:rPr>
                <w:kern w:val="0"/>
              </w:rPr>
            </w:pPr>
            <w:r>
              <w:rPr>
                <w:kern w:val="0"/>
              </w:rPr>
              <w:t>污</w:t>
            </w:r>
          </w:p>
          <w:p w14:paraId="61F8A5E8">
            <w:pPr>
              <w:adjustRightInd w:val="0"/>
              <w:snapToGrid w:val="0"/>
              <w:spacing w:line="240" w:lineRule="auto"/>
              <w:ind w:firstLine="0" w:firstLineChars="0"/>
              <w:jc w:val="center"/>
              <w:rPr>
                <w:kern w:val="0"/>
              </w:rPr>
            </w:pPr>
            <w:r>
              <w:rPr>
                <w:kern w:val="0"/>
              </w:rPr>
              <w:t>染</w:t>
            </w:r>
          </w:p>
          <w:p w14:paraId="07C59EAA">
            <w:pPr>
              <w:adjustRightInd w:val="0"/>
              <w:snapToGrid w:val="0"/>
              <w:spacing w:line="240" w:lineRule="auto"/>
              <w:ind w:firstLine="0" w:firstLineChars="0"/>
              <w:jc w:val="center"/>
              <w:rPr>
                <w:kern w:val="0"/>
              </w:rPr>
            </w:pPr>
            <w:r>
              <w:rPr>
                <w:kern w:val="0"/>
              </w:rPr>
              <w:t>物</w:t>
            </w:r>
          </w:p>
          <w:p w14:paraId="46303846">
            <w:pPr>
              <w:adjustRightInd w:val="0"/>
              <w:snapToGrid w:val="0"/>
              <w:spacing w:line="240" w:lineRule="auto"/>
              <w:ind w:firstLine="0" w:firstLineChars="0"/>
              <w:jc w:val="center"/>
              <w:rPr>
                <w:kern w:val="0"/>
              </w:rPr>
            </w:pPr>
            <w:r>
              <w:rPr>
                <w:kern w:val="0"/>
              </w:rPr>
              <w:t>排</w:t>
            </w:r>
          </w:p>
          <w:p w14:paraId="37507FE3">
            <w:pPr>
              <w:adjustRightInd w:val="0"/>
              <w:snapToGrid w:val="0"/>
              <w:spacing w:line="240" w:lineRule="auto"/>
              <w:ind w:firstLine="0" w:firstLineChars="0"/>
              <w:jc w:val="center"/>
              <w:rPr>
                <w:kern w:val="0"/>
              </w:rPr>
            </w:pPr>
            <w:r>
              <w:rPr>
                <w:kern w:val="0"/>
              </w:rPr>
              <w:t>放</w:t>
            </w:r>
          </w:p>
          <w:p w14:paraId="50812FBB">
            <w:pPr>
              <w:adjustRightInd w:val="0"/>
              <w:snapToGrid w:val="0"/>
              <w:spacing w:line="240" w:lineRule="auto"/>
              <w:ind w:firstLine="0" w:firstLineChars="0"/>
              <w:jc w:val="center"/>
              <w:rPr>
                <w:kern w:val="0"/>
              </w:rPr>
            </w:pPr>
            <w:r>
              <w:rPr>
                <w:kern w:val="0"/>
              </w:rPr>
              <w:t>控</w:t>
            </w:r>
          </w:p>
          <w:p w14:paraId="39FBD69A">
            <w:pPr>
              <w:adjustRightInd w:val="0"/>
              <w:snapToGrid w:val="0"/>
              <w:spacing w:line="240" w:lineRule="auto"/>
              <w:ind w:firstLine="0" w:firstLineChars="0"/>
              <w:jc w:val="center"/>
              <w:rPr>
                <w:kern w:val="0"/>
              </w:rPr>
            </w:pPr>
            <w:r>
              <w:rPr>
                <w:kern w:val="0"/>
              </w:rPr>
              <w:t>制</w:t>
            </w:r>
          </w:p>
          <w:p w14:paraId="3FF66B93">
            <w:pPr>
              <w:adjustRightInd w:val="0"/>
              <w:snapToGrid w:val="0"/>
              <w:spacing w:line="240" w:lineRule="auto"/>
              <w:ind w:firstLine="0" w:firstLineChars="0"/>
              <w:jc w:val="center"/>
              <w:rPr>
                <w:kern w:val="0"/>
              </w:rPr>
            </w:pPr>
            <w:r>
              <w:rPr>
                <w:kern w:val="0"/>
              </w:rPr>
              <w:t>标</w:t>
            </w:r>
          </w:p>
          <w:p w14:paraId="0F6F45BC">
            <w:pPr>
              <w:adjustRightInd w:val="0"/>
              <w:snapToGrid w:val="0"/>
              <w:spacing w:line="240" w:lineRule="auto"/>
              <w:ind w:firstLine="0" w:firstLineChars="0"/>
              <w:jc w:val="center"/>
              <w:rPr>
                <w:kern w:val="0"/>
              </w:rPr>
            </w:pPr>
            <w:r>
              <w:rPr>
                <w:kern w:val="0"/>
              </w:rPr>
              <w:t>准</w:t>
            </w:r>
          </w:p>
        </w:tc>
        <w:tc>
          <w:tcPr>
            <w:tcW w:w="4700" w:type="pct"/>
            <w:vAlign w:val="center"/>
          </w:tcPr>
          <w:p w14:paraId="496525BF">
            <w:pPr>
              <w:pStyle w:val="105"/>
              <w:spacing w:before="120" w:beforeLines="50"/>
              <w:ind w:firstLine="482"/>
              <w:rPr>
                <w:b/>
                <w:bCs/>
              </w:rPr>
            </w:pPr>
            <w:r>
              <w:rPr>
                <w:b/>
                <w:bCs/>
              </w:rPr>
              <w:t>1、水污染物排放标准</w:t>
            </w:r>
          </w:p>
          <w:p w14:paraId="05544485">
            <w:pPr>
              <w:pStyle w:val="42"/>
              <w:adjustRightInd/>
              <w:snapToGrid/>
              <w:ind w:firstLine="480"/>
              <w:jc w:val="both"/>
              <w:rPr>
                <w:rFonts w:ascii="Times New Roman"/>
              </w:rPr>
            </w:pPr>
            <w:r>
              <w:rPr>
                <w:rFonts w:hint="eastAsia" w:ascii="Times New Roman"/>
              </w:rPr>
              <w:t>项目无生产废水排放，直接冷却水经“混凝沉淀+压滤+保安过滤”处理后达到</w:t>
            </w:r>
            <w:bookmarkStart w:id="216" w:name="OLE_LINK134"/>
            <w:r>
              <w:rPr>
                <w:rFonts w:hint="eastAsia" w:ascii="Times New Roman"/>
              </w:rPr>
              <w:t>《城市污水再生利用 工业用水水质》（GB/T19923-2024）</w:t>
            </w:r>
            <w:bookmarkEnd w:id="216"/>
            <w:r>
              <w:rPr>
                <w:rFonts w:hint="eastAsia" w:ascii="Times New Roman"/>
              </w:rPr>
              <w:t>中间冷开式循环冷却水补充水、锅炉补给水、工艺用水、产品用水标准后回用于直接冷却工序，具体数据见下表。</w:t>
            </w:r>
          </w:p>
          <w:p w14:paraId="41ED65F4">
            <w:pPr>
              <w:spacing w:line="240" w:lineRule="auto"/>
              <w:ind w:firstLine="0" w:firstLineChars="0"/>
              <w:jc w:val="center"/>
            </w:pPr>
            <w:r>
              <w:rPr>
                <w:rStyle w:val="52"/>
              </w:rPr>
              <w:t>表3-</w:t>
            </w:r>
            <w:r>
              <w:rPr>
                <w:rStyle w:val="52"/>
                <w:rFonts w:hint="eastAsia"/>
              </w:rPr>
              <w:t>4</w:t>
            </w:r>
            <w:r>
              <w:rPr>
                <w:rStyle w:val="52"/>
              </w:rPr>
              <w:t xml:space="preserve"> </w:t>
            </w:r>
            <w:r>
              <w:rPr>
                <w:rStyle w:val="52"/>
                <w:rFonts w:hint="eastAsia"/>
              </w:rPr>
              <w:t>项目冷却用水回用标准</w:t>
            </w:r>
            <w:r>
              <w:rPr>
                <w:rStyle w:val="52"/>
              </w:rPr>
              <w:t xml:space="preserve"> </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0" w:type="dxa"/>
                <w:bottom w:w="0" w:type="dxa"/>
                <w:right w:w="0" w:type="dxa"/>
              </w:tblCellMar>
            </w:tblPr>
            <w:tblGrid>
              <w:gridCol w:w="3497"/>
              <w:gridCol w:w="1241"/>
              <w:gridCol w:w="1241"/>
              <w:gridCol w:w="1241"/>
              <w:gridCol w:w="1241"/>
            </w:tblGrid>
            <w:tr w14:paraId="2BAEEE2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545" w:hRule="atLeast"/>
                <w:jc w:val="center"/>
              </w:trPr>
              <w:tc>
                <w:tcPr>
                  <w:tcW w:w="2066" w:type="pct"/>
                  <w:vAlign w:val="center"/>
                </w:tcPr>
                <w:p w14:paraId="4B4C97C3">
                  <w:pPr>
                    <w:pStyle w:val="8"/>
                    <w:rPr>
                      <w:b/>
                      <w:bCs/>
                    </w:rPr>
                  </w:pPr>
                  <w:r>
                    <w:rPr>
                      <w:rFonts w:hint="eastAsia"/>
                      <w:b/>
                      <w:bCs/>
                    </w:rPr>
                    <w:t>项目</w:t>
                  </w:r>
                </w:p>
              </w:tc>
              <w:tc>
                <w:tcPr>
                  <w:tcW w:w="733" w:type="pct"/>
                  <w:vAlign w:val="center"/>
                </w:tcPr>
                <w:p w14:paraId="6B1C74A7">
                  <w:pPr>
                    <w:pStyle w:val="8"/>
                    <w:rPr>
                      <w:b/>
                      <w:bCs/>
                    </w:rPr>
                  </w:pPr>
                  <w:r>
                    <w:rPr>
                      <w:b/>
                      <w:bCs/>
                    </w:rPr>
                    <w:t>BOD</w:t>
                  </w:r>
                  <w:r>
                    <w:rPr>
                      <w:b/>
                      <w:bCs/>
                      <w:vertAlign w:val="subscript"/>
                    </w:rPr>
                    <w:t>5</w:t>
                  </w:r>
                </w:p>
              </w:tc>
              <w:tc>
                <w:tcPr>
                  <w:tcW w:w="733" w:type="pct"/>
                  <w:vAlign w:val="center"/>
                </w:tcPr>
                <w:p w14:paraId="2CB10688">
                  <w:pPr>
                    <w:pStyle w:val="8"/>
                    <w:rPr>
                      <w:b/>
                      <w:bCs/>
                    </w:rPr>
                  </w:pPr>
                  <w:r>
                    <w:rPr>
                      <w:rFonts w:hint="eastAsia"/>
                      <w:b/>
                      <w:bCs/>
                    </w:rPr>
                    <w:t>SS</w:t>
                  </w:r>
                </w:p>
              </w:tc>
              <w:tc>
                <w:tcPr>
                  <w:tcW w:w="733" w:type="pct"/>
                  <w:vAlign w:val="center"/>
                </w:tcPr>
                <w:p w14:paraId="79DB5149">
                  <w:pPr>
                    <w:pStyle w:val="8"/>
                    <w:rPr>
                      <w:b/>
                      <w:bCs/>
                    </w:rPr>
                  </w:pPr>
                  <w:r>
                    <w:rPr>
                      <w:rFonts w:hint="eastAsia"/>
                      <w:b/>
                      <w:bCs/>
                    </w:rPr>
                    <w:t>色度</w:t>
                  </w:r>
                </w:p>
              </w:tc>
              <w:tc>
                <w:tcPr>
                  <w:tcW w:w="733" w:type="pct"/>
                  <w:vAlign w:val="center"/>
                </w:tcPr>
                <w:p w14:paraId="0D9188DC">
                  <w:pPr>
                    <w:pStyle w:val="8"/>
                    <w:rPr>
                      <w:b/>
                      <w:bCs/>
                    </w:rPr>
                  </w:pPr>
                  <w:r>
                    <w:rPr>
                      <w:rFonts w:hint="eastAsia"/>
                      <w:b/>
                      <w:bCs/>
                    </w:rPr>
                    <w:t>pH</w:t>
                  </w:r>
                </w:p>
              </w:tc>
            </w:tr>
            <w:tr w14:paraId="55577F7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066" w:type="pct"/>
                  <w:vAlign w:val="center"/>
                </w:tcPr>
                <w:p w14:paraId="79692CBE">
                  <w:pPr>
                    <w:pStyle w:val="8"/>
                  </w:pPr>
                  <w:r>
                    <w:rPr>
                      <w:rFonts w:hint="eastAsia"/>
                    </w:rPr>
                    <w:t>《城市污水再生利用 工业用水水质》（GB/T19923-2024）</w:t>
                  </w:r>
                </w:p>
              </w:tc>
              <w:tc>
                <w:tcPr>
                  <w:tcW w:w="733" w:type="pct"/>
                  <w:vAlign w:val="center"/>
                </w:tcPr>
                <w:p w14:paraId="72191675">
                  <w:pPr>
                    <w:pStyle w:val="8"/>
                  </w:pPr>
                  <w:r>
                    <w:rPr>
                      <w:rFonts w:hint="eastAsia"/>
                    </w:rPr>
                    <w:t>10mg/L</w:t>
                  </w:r>
                </w:p>
              </w:tc>
              <w:tc>
                <w:tcPr>
                  <w:tcW w:w="733" w:type="pct"/>
                  <w:vAlign w:val="center"/>
                </w:tcPr>
                <w:p w14:paraId="6814FEE4">
                  <w:pPr>
                    <w:pStyle w:val="8"/>
                  </w:pPr>
                  <w:r>
                    <w:rPr>
                      <w:rFonts w:hint="eastAsia"/>
                    </w:rPr>
                    <w:t>/</w:t>
                  </w:r>
                </w:p>
              </w:tc>
              <w:tc>
                <w:tcPr>
                  <w:tcW w:w="733" w:type="pct"/>
                  <w:vAlign w:val="center"/>
                </w:tcPr>
                <w:p w14:paraId="5E0E08B1">
                  <w:pPr>
                    <w:pStyle w:val="8"/>
                  </w:pPr>
                  <w:r>
                    <w:rPr>
                      <w:rFonts w:hint="eastAsia"/>
                    </w:rPr>
                    <w:t>20度</w:t>
                  </w:r>
                </w:p>
              </w:tc>
              <w:tc>
                <w:tcPr>
                  <w:tcW w:w="733" w:type="pct"/>
                  <w:vAlign w:val="center"/>
                </w:tcPr>
                <w:p w14:paraId="1EFB5AD3">
                  <w:pPr>
                    <w:pStyle w:val="8"/>
                  </w:pPr>
                  <w:r>
                    <w:rPr>
                      <w:rFonts w:hint="eastAsia"/>
                    </w:rPr>
                    <w:t>6.0-9.0</w:t>
                  </w:r>
                </w:p>
              </w:tc>
            </w:tr>
          </w:tbl>
          <w:p w14:paraId="0959893B">
            <w:pPr>
              <w:pStyle w:val="42"/>
              <w:adjustRightInd/>
              <w:snapToGrid/>
              <w:ind w:firstLine="480"/>
              <w:jc w:val="both"/>
              <w:rPr>
                <w:rFonts w:ascii="Times New Roman"/>
              </w:rPr>
            </w:pPr>
            <w:r>
              <w:rPr>
                <w:rFonts w:hint="eastAsia" w:ascii="Times New Roman"/>
              </w:rPr>
              <w:t>项目所在区域属于园洲镇第五污水处理厂纳污范围，生活污水经三级化粪池预处理达到广东省《水污染物排放限值》（</w:t>
            </w:r>
            <w:r>
              <w:rPr>
                <w:rFonts w:ascii="Times New Roman"/>
              </w:rPr>
              <w:t>DB4426-2001</w:t>
            </w:r>
            <w:r>
              <w:rPr>
                <w:rFonts w:hint="eastAsia" w:ascii="Times New Roman"/>
              </w:rPr>
              <w:t>）第二时段三级标准后，通过市政污水管网排入园洲镇第五污水处理厂</w:t>
            </w:r>
            <w:r>
              <w:rPr>
                <w:rFonts w:hint="eastAsia"/>
              </w:rPr>
              <w:t>处理</w:t>
            </w:r>
            <w:r>
              <w:rPr>
                <w:rFonts w:hint="eastAsia" w:ascii="Times New Roman"/>
              </w:rPr>
              <w:t>，尾水排放标准执行《城镇污水处理厂污染物排放标准》(GB18918-2002)一级A标准及广东省地方标准《水污物排放限值》(DB44/26-2001)第二时段一级标准的较严值，其中氨氮和总磷执行《地表水环境质量标准》（GB3838-2002）V类标准，尾水处理达标后排入园洲中心排渠。</w:t>
            </w:r>
          </w:p>
          <w:p w14:paraId="408CD809">
            <w:pPr>
              <w:spacing w:line="240" w:lineRule="auto"/>
              <w:ind w:firstLine="0" w:firstLineChars="0"/>
              <w:jc w:val="center"/>
            </w:pPr>
            <w:r>
              <w:rPr>
                <w:b/>
                <w:bCs/>
              </w:rPr>
              <w:t xml:space="preserve"> </w:t>
            </w:r>
            <w:bookmarkStart w:id="217" w:name="OLE_LINK126"/>
            <w:r>
              <w:rPr>
                <w:b/>
                <w:bCs/>
              </w:rPr>
              <w:t xml:space="preserve"> </w:t>
            </w:r>
            <w:bookmarkStart w:id="218" w:name="OLE_LINK133"/>
            <w:r>
              <w:rPr>
                <w:rStyle w:val="52"/>
              </w:rPr>
              <w:t>表3-</w:t>
            </w:r>
            <w:r>
              <w:rPr>
                <w:rStyle w:val="52"/>
                <w:rFonts w:hint="eastAsia"/>
              </w:rPr>
              <w:t>5</w:t>
            </w:r>
            <w:r>
              <w:rPr>
                <w:rStyle w:val="52"/>
              </w:rPr>
              <w:t xml:space="preserve"> </w:t>
            </w:r>
            <w:bookmarkEnd w:id="217"/>
            <w:r>
              <w:rPr>
                <w:rStyle w:val="52"/>
                <w:rFonts w:hint="eastAsia"/>
              </w:rPr>
              <w:t>项目生活污水排放标准及污水处理厂尾水出水标准</w:t>
            </w:r>
            <w:r>
              <w:rPr>
                <w:rStyle w:val="52"/>
              </w:rPr>
              <w:t xml:space="preserve"> （单位：mg/L）</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0" w:type="dxa"/>
                <w:bottom w:w="0" w:type="dxa"/>
                <w:right w:w="0" w:type="dxa"/>
              </w:tblCellMar>
            </w:tblPr>
            <w:tblGrid>
              <w:gridCol w:w="3135"/>
              <w:gridCol w:w="870"/>
              <w:gridCol w:w="1211"/>
              <w:gridCol w:w="757"/>
              <w:gridCol w:w="828"/>
              <w:gridCol w:w="830"/>
              <w:gridCol w:w="830"/>
            </w:tblGrid>
            <w:tr w14:paraId="1B64E28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545" w:hRule="atLeast"/>
                <w:jc w:val="center"/>
              </w:trPr>
              <w:tc>
                <w:tcPr>
                  <w:tcW w:w="1852" w:type="pct"/>
                  <w:vAlign w:val="center"/>
                </w:tcPr>
                <w:p w14:paraId="44BA09B1">
                  <w:pPr>
                    <w:pStyle w:val="8"/>
                    <w:rPr>
                      <w:b/>
                      <w:bCs/>
                    </w:rPr>
                  </w:pPr>
                  <w:r>
                    <w:rPr>
                      <w:rFonts w:hint="eastAsia"/>
                      <w:b/>
                      <w:bCs/>
                    </w:rPr>
                    <w:t>项目</w:t>
                  </w:r>
                </w:p>
              </w:tc>
              <w:tc>
                <w:tcPr>
                  <w:tcW w:w="514" w:type="pct"/>
                  <w:vAlign w:val="center"/>
                </w:tcPr>
                <w:p w14:paraId="6D5BEB62">
                  <w:pPr>
                    <w:pStyle w:val="8"/>
                    <w:rPr>
                      <w:b/>
                      <w:bCs/>
                    </w:rPr>
                  </w:pPr>
                  <w:r>
                    <w:rPr>
                      <w:b/>
                      <w:bCs/>
                    </w:rPr>
                    <w:t>COD</w:t>
                  </w:r>
                  <w:r>
                    <w:rPr>
                      <w:b/>
                      <w:bCs/>
                      <w:vertAlign w:val="subscript"/>
                    </w:rPr>
                    <w:t>Cr</w:t>
                  </w:r>
                </w:p>
              </w:tc>
              <w:tc>
                <w:tcPr>
                  <w:tcW w:w="715" w:type="pct"/>
                  <w:vAlign w:val="center"/>
                </w:tcPr>
                <w:p w14:paraId="7EF05941">
                  <w:pPr>
                    <w:pStyle w:val="8"/>
                    <w:rPr>
                      <w:b/>
                      <w:bCs/>
                    </w:rPr>
                  </w:pPr>
                  <w:r>
                    <w:rPr>
                      <w:b/>
                      <w:bCs/>
                    </w:rPr>
                    <w:t>BOD</w:t>
                  </w:r>
                  <w:r>
                    <w:rPr>
                      <w:b/>
                      <w:bCs/>
                      <w:vertAlign w:val="subscript"/>
                    </w:rPr>
                    <w:t>5</w:t>
                  </w:r>
                </w:p>
              </w:tc>
              <w:tc>
                <w:tcPr>
                  <w:tcW w:w="447" w:type="pct"/>
                  <w:vAlign w:val="center"/>
                </w:tcPr>
                <w:p w14:paraId="19D71964">
                  <w:pPr>
                    <w:pStyle w:val="8"/>
                    <w:rPr>
                      <w:b/>
                      <w:bCs/>
                    </w:rPr>
                  </w:pPr>
                  <w:r>
                    <w:rPr>
                      <w:rFonts w:hint="eastAsia"/>
                      <w:b/>
                      <w:bCs/>
                    </w:rPr>
                    <w:t>NH</w:t>
                  </w:r>
                  <w:r>
                    <w:rPr>
                      <w:rFonts w:hint="eastAsia"/>
                      <w:b/>
                      <w:bCs/>
                      <w:vertAlign w:val="subscript"/>
                    </w:rPr>
                    <w:t>3</w:t>
                  </w:r>
                  <w:r>
                    <w:rPr>
                      <w:rFonts w:hint="eastAsia"/>
                      <w:b/>
                      <w:bCs/>
                    </w:rPr>
                    <w:t>-N</w:t>
                  </w:r>
                </w:p>
              </w:tc>
              <w:tc>
                <w:tcPr>
                  <w:tcW w:w="489" w:type="pct"/>
                  <w:vAlign w:val="center"/>
                </w:tcPr>
                <w:p w14:paraId="09E7EC99">
                  <w:pPr>
                    <w:pStyle w:val="8"/>
                    <w:rPr>
                      <w:b/>
                      <w:bCs/>
                    </w:rPr>
                  </w:pPr>
                  <w:r>
                    <w:rPr>
                      <w:rFonts w:hint="eastAsia"/>
                      <w:b/>
                      <w:bCs/>
                    </w:rPr>
                    <w:t>SS</w:t>
                  </w:r>
                </w:p>
              </w:tc>
              <w:tc>
                <w:tcPr>
                  <w:tcW w:w="490" w:type="pct"/>
                  <w:vAlign w:val="center"/>
                </w:tcPr>
                <w:p w14:paraId="7F487406">
                  <w:pPr>
                    <w:pStyle w:val="8"/>
                    <w:rPr>
                      <w:b/>
                      <w:bCs/>
                    </w:rPr>
                  </w:pPr>
                  <w:r>
                    <w:rPr>
                      <w:rFonts w:hint="eastAsia"/>
                      <w:b/>
                      <w:bCs/>
                    </w:rPr>
                    <w:t>总磷</w:t>
                  </w:r>
                </w:p>
              </w:tc>
              <w:tc>
                <w:tcPr>
                  <w:tcW w:w="490" w:type="pct"/>
                  <w:vAlign w:val="center"/>
                </w:tcPr>
                <w:p w14:paraId="6C3A5BD7">
                  <w:pPr>
                    <w:pStyle w:val="8"/>
                    <w:rPr>
                      <w:b/>
                      <w:bCs/>
                    </w:rPr>
                  </w:pPr>
                  <w:r>
                    <w:rPr>
                      <w:rFonts w:hint="eastAsia"/>
                      <w:b/>
                      <w:bCs/>
                    </w:rPr>
                    <w:t>总氮</w:t>
                  </w:r>
                </w:p>
              </w:tc>
            </w:tr>
            <w:tr w14:paraId="469B272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852" w:type="pct"/>
                  <w:vAlign w:val="center"/>
                </w:tcPr>
                <w:p w14:paraId="2598DDA6">
                  <w:pPr>
                    <w:pStyle w:val="8"/>
                  </w:pPr>
                  <w:r>
                    <w:rPr>
                      <w:rFonts w:hint="eastAsia"/>
                    </w:rPr>
                    <w:t>广东省地方标准《水污染物排放限值》（DB4426-2001）第二时段三级标准</w:t>
                  </w:r>
                </w:p>
              </w:tc>
              <w:tc>
                <w:tcPr>
                  <w:tcW w:w="514" w:type="pct"/>
                  <w:vAlign w:val="center"/>
                </w:tcPr>
                <w:p w14:paraId="742ECC71">
                  <w:pPr>
                    <w:pStyle w:val="8"/>
                  </w:pPr>
                  <w:r>
                    <w:rPr>
                      <w:rFonts w:hint="eastAsia"/>
                    </w:rPr>
                    <w:t xml:space="preserve"> 500</w:t>
                  </w:r>
                </w:p>
              </w:tc>
              <w:tc>
                <w:tcPr>
                  <w:tcW w:w="715" w:type="pct"/>
                  <w:vAlign w:val="center"/>
                </w:tcPr>
                <w:p w14:paraId="2114ED3E">
                  <w:pPr>
                    <w:pStyle w:val="8"/>
                  </w:pPr>
                  <w:r>
                    <w:rPr>
                      <w:rFonts w:hint="eastAsia"/>
                    </w:rPr>
                    <w:t xml:space="preserve"> 300</w:t>
                  </w:r>
                </w:p>
              </w:tc>
              <w:tc>
                <w:tcPr>
                  <w:tcW w:w="447" w:type="pct"/>
                  <w:vAlign w:val="center"/>
                </w:tcPr>
                <w:p w14:paraId="1F394EC0">
                  <w:pPr>
                    <w:pStyle w:val="8"/>
                  </w:pPr>
                  <w:r>
                    <w:rPr>
                      <w:rFonts w:hint="eastAsia"/>
                    </w:rPr>
                    <w:t>—</w:t>
                  </w:r>
                </w:p>
              </w:tc>
              <w:tc>
                <w:tcPr>
                  <w:tcW w:w="489" w:type="pct"/>
                  <w:vAlign w:val="center"/>
                </w:tcPr>
                <w:p w14:paraId="3E1902C8">
                  <w:pPr>
                    <w:pStyle w:val="8"/>
                  </w:pPr>
                  <w:r>
                    <w:rPr>
                      <w:rFonts w:hint="eastAsia"/>
                    </w:rPr>
                    <w:t xml:space="preserve"> 400</w:t>
                  </w:r>
                </w:p>
              </w:tc>
              <w:tc>
                <w:tcPr>
                  <w:tcW w:w="490" w:type="pct"/>
                  <w:vAlign w:val="center"/>
                </w:tcPr>
                <w:p w14:paraId="02CF0A7E">
                  <w:pPr>
                    <w:pStyle w:val="8"/>
                  </w:pPr>
                  <w:r>
                    <w:rPr>
                      <w:rFonts w:hint="eastAsia"/>
                    </w:rPr>
                    <w:t>—</w:t>
                  </w:r>
                </w:p>
              </w:tc>
              <w:tc>
                <w:tcPr>
                  <w:tcW w:w="490" w:type="pct"/>
                  <w:vAlign w:val="center"/>
                </w:tcPr>
                <w:p w14:paraId="5A6A1124">
                  <w:pPr>
                    <w:pStyle w:val="8"/>
                  </w:pPr>
                  <w:r>
                    <w:rPr>
                      <w:rFonts w:hint="eastAsia"/>
                    </w:rPr>
                    <w:t>—</w:t>
                  </w:r>
                </w:p>
              </w:tc>
            </w:tr>
            <w:bookmarkEnd w:id="218"/>
            <w:tr w14:paraId="3F91C12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852" w:type="pct"/>
                  <w:vAlign w:val="center"/>
                </w:tcPr>
                <w:p w14:paraId="306CE6CC">
                  <w:pPr>
                    <w:pStyle w:val="8"/>
                  </w:pPr>
                  <w:r>
                    <w:rPr>
                      <w:rFonts w:hint="eastAsia"/>
                      <w:kern w:val="2"/>
                    </w:rPr>
                    <w:t>《城镇污水处理厂污染物排放标准》(GB18918-2002)一级</w:t>
                  </w:r>
                  <w:r>
                    <w:rPr>
                      <w:kern w:val="2"/>
                    </w:rPr>
                    <w:t xml:space="preserve">A </w:t>
                  </w:r>
                  <w:r>
                    <w:rPr>
                      <w:rFonts w:hint="eastAsia"/>
                      <w:kern w:val="2"/>
                    </w:rPr>
                    <w:t>标准</w:t>
                  </w:r>
                </w:p>
              </w:tc>
              <w:tc>
                <w:tcPr>
                  <w:tcW w:w="514" w:type="pct"/>
                  <w:vAlign w:val="center"/>
                </w:tcPr>
                <w:p w14:paraId="3854EFD1">
                  <w:pPr>
                    <w:pStyle w:val="8"/>
                  </w:pPr>
                  <w:r>
                    <w:rPr>
                      <w:rFonts w:hint="eastAsia"/>
                    </w:rPr>
                    <w:t xml:space="preserve"> 50</w:t>
                  </w:r>
                </w:p>
              </w:tc>
              <w:tc>
                <w:tcPr>
                  <w:tcW w:w="715" w:type="pct"/>
                  <w:vAlign w:val="center"/>
                </w:tcPr>
                <w:p w14:paraId="2AD6FCCC">
                  <w:pPr>
                    <w:pStyle w:val="8"/>
                  </w:pPr>
                  <w:r>
                    <w:rPr>
                      <w:rFonts w:hint="eastAsia"/>
                    </w:rPr>
                    <w:t xml:space="preserve"> 10</w:t>
                  </w:r>
                </w:p>
              </w:tc>
              <w:tc>
                <w:tcPr>
                  <w:tcW w:w="447" w:type="pct"/>
                  <w:vAlign w:val="center"/>
                </w:tcPr>
                <w:p w14:paraId="18BFD085">
                  <w:pPr>
                    <w:pStyle w:val="8"/>
                  </w:pPr>
                  <w:r>
                    <w:rPr>
                      <w:rFonts w:hint="eastAsia"/>
                    </w:rPr>
                    <w:t xml:space="preserve"> 5（8）</w:t>
                  </w:r>
                </w:p>
              </w:tc>
              <w:tc>
                <w:tcPr>
                  <w:tcW w:w="489" w:type="pct"/>
                  <w:vAlign w:val="center"/>
                </w:tcPr>
                <w:p w14:paraId="289BF5F1">
                  <w:pPr>
                    <w:pStyle w:val="8"/>
                  </w:pPr>
                  <w:r>
                    <w:rPr>
                      <w:rFonts w:hint="eastAsia"/>
                    </w:rPr>
                    <w:t xml:space="preserve"> 10</w:t>
                  </w:r>
                </w:p>
              </w:tc>
              <w:tc>
                <w:tcPr>
                  <w:tcW w:w="490" w:type="pct"/>
                  <w:vAlign w:val="center"/>
                </w:tcPr>
                <w:p w14:paraId="36B5E8C7">
                  <w:pPr>
                    <w:pStyle w:val="8"/>
                  </w:pPr>
                  <w:r>
                    <w:rPr>
                      <w:rFonts w:hint="eastAsia"/>
                    </w:rPr>
                    <w:t>0.5</w:t>
                  </w:r>
                </w:p>
              </w:tc>
              <w:tc>
                <w:tcPr>
                  <w:tcW w:w="490" w:type="pct"/>
                  <w:vAlign w:val="center"/>
                </w:tcPr>
                <w:p w14:paraId="0C49FC3D">
                  <w:pPr>
                    <w:pStyle w:val="8"/>
                  </w:pPr>
                  <w:r>
                    <w:rPr>
                      <w:rFonts w:hint="eastAsia"/>
                    </w:rPr>
                    <w:t>15</w:t>
                  </w:r>
                </w:p>
              </w:tc>
            </w:tr>
            <w:tr w14:paraId="7878653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96" w:hRule="atLeast"/>
                <w:jc w:val="center"/>
              </w:trPr>
              <w:tc>
                <w:tcPr>
                  <w:tcW w:w="1852" w:type="pct"/>
                  <w:vAlign w:val="center"/>
                </w:tcPr>
                <w:p w14:paraId="1A192BB5">
                  <w:pPr>
                    <w:pStyle w:val="8"/>
                  </w:pPr>
                  <w:r>
                    <w:rPr>
                      <w:rFonts w:hint="eastAsia"/>
                    </w:rPr>
                    <w:t>广东省地方标准《水污染物排放限值》（DB4426-2001）第</w:t>
                  </w:r>
                  <w:r>
                    <w:rPr>
                      <w:rFonts w:hint="eastAsia"/>
                      <w:kern w:val="2"/>
                    </w:rPr>
                    <w:t>二时段一级标准</w:t>
                  </w:r>
                </w:p>
              </w:tc>
              <w:tc>
                <w:tcPr>
                  <w:tcW w:w="514" w:type="pct"/>
                  <w:vAlign w:val="center"/>
                </w:tcPr>
                <w:p w14:paraId="419AFA79">
                  <w:pPr>
                    <w:pStyle w:val="8"/>
                  </w:pPr>
                  <w:r>
                    <w:rPr>
                      <w:rFonts w:hint="eastAsia"/>
                    </w:rPr>
                    <w:t xml:space="preserve"> 40</w:t>
                  </w:r>
                </w:p>
              </w:tc>
              <w:tc>
                <w:tcPr>
                  <w:tcW w:w="715" w:type="pct"/>
                  <w:vAlign w:val="center"/>
                </w:tcPr>
                <w:p w14:paraId="154D265E">
                  <w:pPr>
                    <w:pStyle w:val="8"/>
                  </w:pPr>
                  <w:r>
                    <w:rPr>
                      <w:rFonts w:hint="eastAsia"/>
                    </w:rPr>
                    <w:t xml:space="preserve"> 20</w:t>
                  </w:r>
                </w:p>
              </w:tc>
              <w:tc>
                <w:tcPr>
                  <w:tcW w:w="447" w:type="pct"/>
                  <w:vAlign w:val="center"/>
                </w:tcPr>
                <w:p w14:paraId="0B9584FC">
                  <w:pPr>
                    <w:pStyle w:val="8"/>
                  </w:pPr>
                  <w:r>
                    <w:rPr>
                      <w:rFonts w:hint="eastAsia"/>
                    </w:rPr>
                    <w:t xml:space="preserve"> 10</w:t>
                  </w:r>
                </w:p>
              </w:tc>
              <w:tc>
                <w:tcPr>
                  <w:tcW w:w="489" w:type="pct"/>
                  <w:vAlign w:val="center"/>
                </w:tcPr>
                <w:p w14:paraId="5B529D26">
                  <w:pPr>
                    <w:pStyle w:val="8"/>
                  </w:pPr>
                  <w:r>
                    <w:rPr>
                      <w:rFonts w:hint="eastAsia"/>
                    </w:rPr>
                    <w:t xml:space="preserve"> 20</w:t>
                  </w:r>
                </w:p>
              </w:tc>
              <w:tc>
                <w:tcPr>
                  <w:tcW w:w="490" w:type="pct"/>
                  <w:vAlign w:val="center"/>
                </w:tcPr>
                <w:p w14:paraId="2F7DF0B6">
                  <w:pPr>
                    <w:pStyle w:val="8"/>
                  </w:pPr>
                  <w:r>
                    <w:rPr>
                      <w:rFonts w:hint="eastAsia"/>
                    </w:rPr>
                    <w:t>—</w:t>
                  </w:r>
                </w:p>
              </w:tc>
              <w:tc>
                <w:tcPr>
                  <w:tcW w:w="490" w:type="pct"/>
                  <w:vAlign w:val="center"/>
                </w:tcPr>
                <w:p w14:paraId="29C35E4B">
                  <w:pPr>
                    <w:pStyle w:val="8"/>
                  </w:pPr>
                  <w:r>
                    <w:rPr>
                      <w:rFonts w:hint="eastAsia"/>
                    </w:rPr>
                    <w:t>—</w:t>
                  </w:r>
                </w:p>
              </w:tc>
            </w:tr>
            <w:tr w14:paraId="7379722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96" w:hRule="atLeast"/>
                <w:jc w:val="center"/>
              </w:trPr>
              <w:tc>
                <w:tcPr>
                  <w:tcW w:w="1852" w:type="pct"/>
                  <w:vAlign w:val="center"/>
                </w:tcPr>
                <w:p w14:paraId="7D67C653">
                  <w:pPr>
                    <w:pStyle w:val="8"/>
                    <w:rPr>
                      <w:kern w:val="2"/>
                    </w:rPr>
                  </w:pPr>
                  <w:r>
                    <w:rPr>
                      <w:rFonts w:hint="eastAsia"/>
                      <w:kern w:val="2"/>
                    </w:rPr>
                    <w:t>《地表水环境质量标准》（GB3838-2002）V类标准</w:t>
                  </w:r>
                </w:p>
              </w:tc>
              <w:tc>
                <w:tcPr>
                  <w:tcW w:w="514" w:type="pct"/>
                  <w:vAlign w:val="center"/>
                </w:tcPr>
                <w:p w14:paraId="6EBE1C9A">
                  <w:pPr>
                    <w:pStyle w:val="8"/>
                  </w:pPr>
                  <w:r>
                    <w:rPr>
                      <w:rFonts w:hint="eastAsia"/>
                    </w:rPr>
                    <w:t>—</w:t>
                  </w:r>
                </w:p>
              </w:tc>
              <w:tc>
                <w:tcPr>
                  <w:tcW w:w="715" w:type="pct"/>
                  <w:vAlign w:val="center"/>
                </w:tcPr>
                <w:p w14:paraId="46DA1B44">
                  <w:pPr>
                    <w:pStyle w:val="8"/>
                  </w:pPr>
                  <w:r>
                    <w:rPr>
                      <w:rFonts w:hint="eastAsia"/>
                    </w:rPr>
                    <w:t>—</w:t>
                  </w:r>
                </w:p>
              </w:tc>
              <w:tc>
                <w:tcPr>
                  <w:tcW w:w="447" w:type="pct"/>
                  <w:vAlign w:val="center"/>
                </w:tcPr>
                <w:p w14:paraId="1496A0BF">
                  <w:pPr>
                    <w:pStyle w:val="8"/>
                  </w:pPr>
                  <w:r>
                    <w:rPr>
                      <w:rFonts w:hint="eastAsia"/>
                    </w:rPr>
                    <w:t>2</w:t>
                  </w:r>
                </w:p>
              </w:tc>
              <w:tc>
                <w:tcPr>
                  <w:tcW w:w="489" w:type="pct"/>
                  <w:vAlign w:val="center"/>
                </w:tcPr>
                <w:p w14:paraId="2AB92714">
                  <w:pPr>
                    <w:pStyle w:val="8"/>
                  </w:pPr>
                  <w:r>
                    <w:rPr>
                      <w:rFonts w:hint="eastAsia"/>
                    </w:rPr>
                    <w:t>—</w:t>
                  </w:r>
                </w:p>
              </w:tc>
              <w:tc>
                <w:tcPr>
                  <w:tcW w:w="490" w:type="pct"/>
                  <w:vAlign w:val="center"/>
                </w:tcPr>
                <w:p w14:paraId="490BAFA9">
                  <w:pPr>
                    <w:pStyle w:val="8"/>
                  </w:pPr>
                  <w:r>
                    <w:rPr>
                      <w:rFonts w:hint="eastAsia"/>
                    </w:rPr>
                    <w:t>0.4</w:t>
                  </w:r>
                </w:p>
              </w:tc>
              <w:tc>
                <w:tcPr>
                  <w:tcW w:w="490" w:type="pct"/>
                  <w:vAlign w:val="center"/>
                </w:tcPr>
                <w:p w14:paraId="38349873">
                  <w:pPr>
                    <w:pStyle w:val="8"/>
                  </w:pPr>
                  <w:r>
                    <w:rPr>
                      <w:rFonts w:hint="eastAsia"/>
                    </w:rPr>
                    <w:t>—</w:t>
                  </w:r>
                </w:p>
              </w:tc>
            </w:tr>
            <w:tr w14:paraId="5C25586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1852" w:type="pct"/>
                  <w:vAlign w:val="center"/>
                </w:tcPr>
                <w:p w14:paraId="3C15E62E">
                  <w:pPr>
                    <w:pStyle w:val="8"/>
                  </w:pPr>
                  <w:r>
                    <w:t>污水处理厂处理尾水出水标准</w:t>
                  </w:r>
                </w:p>
              </w:tc>
              <w:tc>
                <w:tcPr>
                  <w:tcW w:w="514" w:type="pct"/>
                  <w:vAlign w:val="center"/>
                </w:tcPr>
                <w:p w14:paraId="02E94088">
                  <w:pPr>
                    <w:pStyle w:val="8"/>
                  </w:pPr>
                  <w:r>
                    <w:rPr>
                      <w:rFonts w:hint="eastAsia"/>
                    </w:rPr>
                    <w:t xml:space="preserve"> 40</w:t>
                  </w:r>
                </w:p>
              </w:tc>
              <w:tc>
                <w:tcPr>
                  <w:tcW w:w="715" w:type="pct"/>
                  <w:vAlign w:val="center"/>
                </w:tcPr>
                <w:p w14:paraId="653F76ED">
                  <w:pPr>
                    <w:pStyle w:val="8"/>
                  </w:pPr>
                  <w:r>
                    <w:rPr>
                      <w:rFonts w:hint="eastAsia"/>
                    </w:rPr>
                    <w:t xml:space="preserve"> 10</w:t>
                  </w:r>
                </w:p>
              </w:tc>
              <w:tc>
                <w:tcPr>
                  <w:tcW w:w="447" w:type="pct"/>
                  <w:vAlign w:val="center"/>
                </w:tcPr>
                <w:p w14:paraId="5862A14E">
                  <w:pPr>
                    <w:pStyle w:val="8"/>
                  </w:pPr>
                  <w:r>
                    <w:rPr>
                      <w:rFonts w:hint="eastAsia"/>
                    </w:rPr>
                    <w:t xml:space="preserve"> 2</w:t>
                  </w:r>
                </w:p>
              </w:tc>
              <w:tc>
                <w:tcPr>
                  <w:tcW w:w="489" w:type="pct"/>
                  <w:vAlign w:val="center"/>
                </w:tcPr>
                <w:p w14:paraId="40A5DF7E">
                  <w:pPr>
                    <w:pStyle w:val="8"/>
                  </w:pPr>
                  <w:r>
                    <w:rPr>
                      <w:rFonts w:hint="eastAsia"/>
                    </w:rPr>
                    <w:t xml:space="preserve"> 10</w:t>
                  </w:r>
                </w:p>
              </w:tc>
              <w:tc>
                <w:tcPr>
                  <w:tcW w:w="490" w:type="pct"/>
                  <w:vAlign w:val="center"/>
                </w:tcPr>
                <w:p w14:paraId="405EAE8B">
                  <w:pPr>
                    <w:pStyle w:val="8"/>
                  </w:pPr>
                  <w:r>
                    <w:rPr>
                      <w:rFonts w:hint="eastAsia"/>
                    </w:rPr>
                    <w:t>0.4</w:t>
                  </w:r>
                </w:p>
              </w:tc>
              <w:tc>
                <w:tcPr>
                  <w:tcW w:w="490" w:type="pct"/>
                  <w:vAlign w:val="center"/>
                </w:tcPr>
                <w:p w14:paraId="4DE0E794">
                  <w:pPr>
                    <w:pStyle w:val="8"/>
                  </w:pPr>
                  <w:r>
                    <w:rPr>
                      <w:rFonts w:hint="eastAsia"/>
                    </w:rPr>
                    <w:t>15</w:t>
                  </w:r>
                </w:p>
              </w:tc>
            </w:tr>
          </w:tbl>
          <w:p w14:paraId="1930C0A3">
            <w:pPr>
              <w:pStyle w:val="105"/>
              <w:ind w:firstLine="482"/>
              <w:jc w:val="both"/>
              <w:outlineLvl w:val="9"/>
              <w:rPr>
                <w:rFonts w:cs="宋体"/>
                <w:b/>
                <w:bCs/>
              </w:rPr>
            </w:pPr>
            <w:r>
              <w:rPr>
                <w:rFonts w:hint="eastAsia" w:cs="宋体"/>
                <w:b/>
                <w:bCs/>
              </w:rPr>
              <w:t>2、大气污染物排放标准</w:t>
            </w:r>
          </w:p>
          <w:p w14:paraId="676F9AE0">
            <w:pPr>
              <w:ind w:firstLine="480"/>
              <w:jc w:val="both"/>
            </w:pPr>
            <w:r>
              <w:rPr>
                <w:rFonts w:hint="eastAsia"/>
              </w:rPr>
              <w:t>项目拟将投料、破碎工序产生的颗粒物及挤出、溶胶工序产生的非甲烷总烃、臭气浓度收集后一起由一套</w:t>
            </w:r>
            <w:r>
              <w:rPr>
                <w:rFonts w:hint="eastAsia" w:cs="宋体"/>
              </w:rPr>
              <w:t>“水喷淋+干式过滤器+二级活性炭吸附装置”</w:t>
            </w:r>
            <w:r>
              <w:rPr>
                <w:rFonts w:hint="eastAsia"/>
              </w:rPr>
              <w:t>处理后经30m排气筒DA001高空排放。</w:t>
            </w:r>
          </w:p>
          <w:p w14:paraId="28455FE1">
            <w:pPr>
              <w:ind w:firstLine="480"/>
              <w:jc w:val="both"/>
            </w:pPr>
            <w:r>
              <w:rPr>
                <w:rFonts w:hint="eastAsia"/>
              </w:rPr>
              <w:t>投料、破碎工序的颗粒物和挤出、溶胶工序的非甲烷总烃执行</w:t>
            </w:r>
            <w:bookmarkStart w:id="219" w:name="OLE_LINK171"/>
            <w:bookmarkStart w:id="220" w:name="OLE_LINK78"/>
            <w:r>
              <w:rPr>
                <w:rFonts w:hint="eastAsia"/>
              </w:rPr>
              <w:t>《</w:t>
            </w:r>
            <w:bookmarkStart w:id="221" w:name="OLE_LINK135"/>
            <w:bookmarkStart w:id="222" w:name="OLE_LINK225"/>
            <w:r>
              <w:rPr>
                <w:rFonts w:hint="eastAsia"/>
              </w:rPr>
              <w:t>合成树脂工业污染物</w:t>
            </w:r>
            <w:bookmarkEnd w:id="221"/>
            <w:r>
              <w:rPr>
                <w:rFonts w:hint="eastAsia"/>
              </w:rPr>
              <w:t>排放标准</w:t>
            </w:r>
            <w:bookmarkEnd w:id="222"/>
            <w:r>
              <w:rPr>
                <w:rFonts w:hint="eastAsia"/>
              </w:rPr>
              <w:t>（含2024年修改单）》</w:t>
            </w:r>
            <w:bookmarkEnd w:id="219"/>
            <w:r>
              <w:rPr>
                <w:rFonts w:hint="eastAsia"/>
              </w:rPr>
              <w:t>（</w:t>
            </w:r>
            <w:r>
              <w:t>GB31572-2015</w:t>
            </w:r>
            <w:r>
              <w:rPr>
                <w:rFonts w:hint="eastAsia"/>
              </w:rPr>
              <w:t>）表5大气污染物特别排放限值及表9企业边界大气污染物浓度限值；</w:t>
            </w:r>
          </w:p>
          <w:bookmarkEnd w:id="220"/>
          <w:p w14:paraId="1BE78C90">
            <w:pPr>
              <w:ind w:firstLine="480"/>
              <w:jc w:val="both"/>
            </w:pPr>
            <w:r>
              <w:t>厂区内</w:t>
            </w:r>
            <w:r>
              <w:rPr>
                <w:rFonts w:hint="eastAsia"/>
              </w:rPr>
              <w:t>非甲烷总烃</w:t>
            </w:r>
            <w:r>
              <w:t>无组织</w:t>
            </w:r>
            <w:r>
              <w:rPr>
                <w:rFonts w:hint="eastAsia"/>
              </w:rPr>
              <w:t>排放</w:t>
            </w:r>
            <w:r>
              <w:t>执行</w:t>
            </w:r>
            <w:r>
              <w:rPr>
                <w:rFonts w:hint="eastAsia"/>
              </w:rPr>
              <w:t>广东省地方标准《固定污染源挥发性有机物综合排放标准》（DB442367-2022）表3厂区内VOCs无组织排放限值；</w:t>
            </w:r>
          </w:p>
          <w:p w14:paraId="6E6A7727">
            <w:pPr>
              <w:ind w:firstLine="480"/>
              <w:jc w:val="both"/>
            </w:pPr>
            <w:r>
              <w:rPr>
                <w:rFonts w:hint="eastAsia"/>
              </w:rPr>
              <w:t>挤出、溶胶工序产生的臭气浓度执行</w:t>
            </w:r>
            <w:r>
              <w:t>《恶臭污染物排放标准》（GB14554-1993）</w:t>
            </w:r>
            <w:r>
              <w:rPr>
                <w:rFonts w:hint="eastAsia"/>
              </w:rPr>
              <w:t>表</w:t>
            </w:r>
            <w:r>
              <w:t>2</w:t>
            </w:r>
            <w:r>
              <w:rPr>
                <w:rFonts w:hint="eastAsia"/>
              </w:rPr>
              <w:t>恶臭污染物排放标准及表</w:t>
            </w:r>
            <w:r>
              <w:t>1</w:t>
            </w:r>
            <w:r>
              <w:rPr>
                <w:rFonts w:hint="eastAsia"/>
              </w:rPr>
              <w:t>恶臭污染物厂界标准值二级新改扩建排放标准；</w:t>
            </w:r>
          </w:p>
          <w:p w14:paraId="3B37052B">
            <w:pPr>
              <w:widowControl/>
              <w:ind w:firstLine="480"/>
              <w:jc w:val="both"/>
              <w:rPr>
                <w:rFonts w:cs="宋体"/>
                <w:color w:val="000000"/>
                <w:kern w:val="0"/>
                <w:lang w:bidi="ar"/>
              </w:rPr>
            </w:pPr>
            <w:r>
              <w:t>本项目废气执行排放限值详见下表</w:t>
            </w:r>
            <w:r>
              <w:rPr>
                <w:rFonts w:hint="eastAsia" w:cs="宋体"/>
                <w:color w:val="000000"/>
                <w:kern w:val="0"/>
                <w:lang w:bidi="ar"/>
              </w:rPr>
              <w:t>：</w:t>
            </w:r>
          </w:p>
          <w:p w14:paraId="4ACB7B2B">
            <w:pPr>
              <w:pStyle w:val="16"/>
              <w:rPr>
                <w:kern w:val="2"/>
                <w:szCs w:val="24"/>
              </w:rPr>
            </w:pPr>
            <w:r>
              <w:rPr>
                <w:kern w:val="2"/>
                <w:szCs w:val="24"/>
              </w:rPr>
              <w:t>表3-</w:t>
            </w:r>
            <w:r>
              <w:rPr>
                <w:rFonts w:hint="eastAsia"/>
                <w:kern w:val="2"/>
                <w:szCs w:val="24"/>
              </w:rPr>
              <w:t>5</w:t>
            </w:r>
            <w:r>
              <w:rPr>
                <w:kern w:val="2"/>
                <w:szCs w:val="24"/>
              </w:rPr>
              <w:t xml:space="preserve"> 本项目废气排放标准</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04"/>
              <w:gridCol w:w="899"/>
              <w:gridCol w:w="1381"/>
              <w:gridCol w:w="1200"/>
              <w:gridCol w:w="1292"/>
              <w:gridCol w:w="2685"/>
            </w:tblGrid>
            <w:tr w14:paraId="13ABD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93" w:type="pct"/>
                  <w:vMerge w:val="restart"/>
                  <w:vAlign w:val="center"/>
                </w:tcPr>
                <w:p w14:paraId="2F0B1519">
                  <w:pPr>
                    <w:pStyle w:val="8"/>
                    <w:rPr>
                      <w:b/>
                      <w:bCs/>
                    </w:rPr>
                  </w:pPr>
                  <w:r>
                    <w:rPr>
                      <w:rFonts w:hint="eastAsia"/>
                      <w:b/>
                      <w:bCs/>
                    </w:rPr>
                    <w:t>污染源</w:t>
                  </w:r>
                </w:p>
              </w:tc>
              <w:tc>
                <w:tcPr>
                  <w:tcW w:w="531" w:type="pct"/>
                  <w:vMerge w:val="restart"/>
                  <w:vAlign w:val="center"/>
                </w:tcPr>
                <w:p w14:paraId="4FE40523">
                  <w:pPr>
                    <w:pStyle w:val="8"/>
                    <w:rPr>
                      <w:b/>
                      <w:bCs/>
                    </w:rPr>
                  </w:pPr>
                  <w:r>
                    <w:rPr>
                      <w:b/>
                      <w:bCs/>
                    </w:rPr>
                    <w:t>排气筒高度</w:t>
                  </w:r>
                </w:p>
              </w:tc>
              <w:tc>
                <w:tcPr>
                  <w:tcW w:w="816" w:type="pct"/>
                  <w:vMerge w:val="restart"/>
                  <w:vAlign w:val="center"/>
                </w:tcPr>
                <w:p w14:paraId="0E234258">
                  <w:pPr>
                    <w:pStyle w:val="8"/>
                    <w:rPr>
                      <w:b/>
                      <w:bCs/>
                    </w:rPr>
                  </w:pPr>
                  <w:r>
                    <w:rPr>
                      <w:b/>
                      <w:bCs/>
                    </w:rPr>
                    <w:t>污染物</w:t>
                  </w:r>
                </w:p>
              </w:tc>
              <w:tc>
                <w:tcPr>
                  <w:tcW w:w="1472" w:type="pct"/>
                  <w:gridSpan w:val="2"/>
                  <w:vAlign w:val="center"/>
                </w:tcPr>
                <w:p w14:paraId="5B13C293">
                  <w:pPr>
                    <w:pStyle w:val="8"/>
                    <w:rPr>
                      <w:b/>
                      <w:bCs/>
                    </w:rPr>
                  </w:pPr>
                  <w:r>
                    <w:rPr>
                      <w:b/>
                      <w:bCs/>
                    </w:rPr>
                    <w:t>标准限值</w:t>
                  </w:r>
                </w:p>
              </w:tc>
              <w:tc>
                <w:tcPr>
                  <w:tcW w:w="1586" w:type="pct"/>
                  <w:vMerge w:val="restart"/>
                  <w:vAlign w:val="center"/>
                </w:tcPr>
                <w:p w14:paraId="0C2BEC3E">
                  <w:pPr>
                    <w:pStyle w:val="8"/>
                    <w:rPr>
                      <w:b/>
                      <w:bCs/>
                    </w:rPr>
                  </w:pPr>
                  <w:r>
                    <w:rPr>
                      <w:b/>
                      <w:bCs/>
                    </w:rPr>
                    <w:t>排放标准</w:t>
                  </w:r>
                </w:p>
              </w:tc>
            </w:tr>
            <w:tr w14:paraId="79B45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3" w:type="pct"/>
                  <w:vMerge w:val="continue"/>
                  <w:vAlign w:val="center"/>
                </w:tcPr>
                <w:p w14:paraId="3D037B0B">
                  <w:pPr>
                    <w:pStyle w:val="8"/>
                  </w:pPr>
                </w:p>
              </w:tc>
              <w:tc>
                <w:tcPr>
                  <w:tcW w:w="531" w:type="pct"/>
                  <w:vMerge w:val="continue"/>
                  <w:vAlign w:val="center"/>
                </w:tcPr>
                <w:p w14:paraId="4D8E84EB">
                  <w:pPr>
                    <w:pStyle w:val="8"/>
                  </w:pPr>
                </w:p>
              </w:tc>
              <w:tc>
                <w:tcPr>
                  <w:tcW w:w="816" w:type="pct"/>
                  <w:vMerge w:val="continue"/>
                  <w:vAlign w:val="center"/>
                </w:tcPr>
                <w:p w14:paraId="3045184D">
                  <w:pPr>
                    <w:pStyle w:val="8"/>
                  </w:pPr>
                </w:p>
              </w:tc>
              <w:tc>
                <w:tcPr>
                  <w:tcW w:w="709" w:type="pct"/>
                  <w:vAlign w:val="center"/>
                </w:tcPr>
                <w:p w14:paraId="13D782F7">
                  <w:pPr>
                    <w:pStyle w:val="8"/>
                    <w:rPr>
                      <w:b/>
                      <w:bCs/>
                    </w:rPr>
                  </w:pPr>
                  <w:r>
                    <w:rPr>
                      <w:b/>
                      <w:bCs/>
                    </w:rPr>
                    <w:t>排放浓度mg/m</w:t>
                  </w:r>
                  <w:r>
                    <w:rPr>
                      <w:b/>
                      <w:bCs/>
                      <w:vertAlign w:val="superscript"/>
                    </w:rPr>
                    <w:t>3</w:t>
                  </w:r>
                </w:p>
              </w:tc>
              <w:tc>
                <w:tcPr>
                  <w:tcW w:w="763" w:type="pct"/>
                  <w:vAlign w:val="center"/>
                </w:tcPr>
                <w:p w14:paraId="76C0EB98">
                  <w:pPr>
                    <w:pStyle w:val="8"/>
                    <w:rPr>
                      <w:b/>
                      <w:bCs/>
                    </w:rPr>
                  </w:pPr>
                  <w:r>
                    <w:rPr>
                      <w:rFonts w:hint="eastAsia"/>
                      <w:b/>
                      <w:bCs/>
                    </w:rPr>
                    <w:t>最高允许排放速率kg/h</w:t>
                  </w:r>
                </w:p>
              </w:tc>
              <w:tc>
                <w:tcPr>
                  <w:tcW w:w="1586" w:type="pct"/>
                  <w:vMerge w:val="continue"/>
                  <w:vAlign w:val="center"/>
                </w:tcPr>
                <w:p w14:paraId="32ECB916">
                  <w:pPr>
                    <w:pStyle w:val="8"/>
                  </w:pPr>
                </w:p>
              </w:tc>
            </w:tr>
            <w:tr w14:paraId="71751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3" w:type="pct"/>
                  <w:vMerge w:val="restart"/>
                  <w:vAlign w:val="center"/>
                </w:tcPr>
                <w:p w14:paraId="7E3CC14A">
                  <w:pPr>
                    <w:pStyle w:val="8"/>
                  </w:pPr>
                  <w:r>
                    <w:rPr>
                      <w:rFonts w:hint="eastAsia"/>
                    </w:rPr>
                    <w:t>DA001</w:t>
                  </w:r>
                </w:p>
              </w:tc>
              <w:tc>
                <w:tcPr>
                  <w:tcW w:w="531" w:type="pct"/>
                  <w:vMerge w:val="restart"/>
                  <w:vAlign w:val="center"/>
                </w:tcPr>
                <w:p w14:paraId="6B6F2DE9">
                  <w:pPr>
                    <w:pStyle w:val="8"/>
                    <w:rPr>
                      <w:color w:val="auto"/>
                    </w:rPr>
                  </w:pPr>
                  <w:r>
                    <w:rPr>
                      <w:rFonts w:hint="eastAsia"/>
                      <w:color w:val="auto"/>
                    </w:rPr>
                    <w:t>30</w:t>
                  </w:r>
                  <w:r>
                    <w:rPr>
                      <w:color w:val="auto"/>
                    </w:rPr>
                    <w:t>m</w:t>
                  </w:r>
                </w:p>
              </w:tc>
              <w:tc>
                <w:tcPr>
                  <w:tcW w:w="816" w:type="pct"/>
                  <w:vAlign w:val="center"/>
                </w:tcPr>
                <w:p w14:paraId="30CC6D7D">
                  <w:pPr>
                    <w:pStyle w:val="8"/>
                    <w:rPr>
                      <w:color w:val="auto"/>
                    </w:rPr>
                  </w:pPr>
                  <w:r>
                    <w:rPr>
                      <w:color w:val="auto"/>
                    </w:rPr>
                    <w:t>非甲烷总烃</w:t>
                  </w:r>
                </w:p>
              </w:tc>
              <w:tc>
                <w:tcPr>
                  <w:tcW w:w="709" w:type="pct"/>
                  <w:vAlign w:val="center"/>
                </w:tcPr>
                <w:p w14:paraId="2DAB4F96">
                  <w:pPr>
                    <w:pStyle w:val="8"/>
                    <w:rPr>
                      <w:color w:val="auto"/>
                    </w:rPr>
                  </w:pPr>
                  <w:bookmarkStart w:id="223" w:name="OLE_LINK245"/>
                  <w:r>
                    <w:rPr>
                      <w:rFonts w:hint="eastAsia"/>
                      <w:color w:val="auto"/>
                    </w:rPr>
                    <w:t>60</w:t>
                  </w:r>
                  <w:bookmarkEnd w:id="223"/>
                </w:p>
              </w:tc>
              <w:tc>
                <w:tcPr>
                  <w:tcW w:w="763" w:type="pct"/>
                  <w:vAlign w:val="center"/>
                </w:tcPr>
                <w:p w14:paraId="5935A9FB">
                  <w:pPr>
                    <w:pStyle w:val="8"/>
                    <w:rPr>
                      <w:color w:val="auto"/>
                    </w:rPr>
                  </w:pPr>
                  <w:r>
                    <w:rPr>
                      <w:rFonts w:hint="eastAsia"/>
                      <w:color w:val="auto"/>
                    </w:rPr>
                    <w:t>/</w:t>
                  </w:r>
                </w:p>
              </w:tc>
              <w:tc>
                <w:tcPr>
                  <w:tcW w:w="1586" w:type="pct"/>
                  <w:vAlign w:val="center"/>
                </w:tcPr>
                <w:p w14:paraId="3A7222E2">
                  <w:pPr>
                    <w:pStyle w:val="8"/>
                  </w:pPr>
                  <w:r>
                    <w:t>《</w:t>
                  </w:r>
                  <w:bookmarkStart w:id="224" w:name="OLE_LINK200"/>
                  <w:r>
                    <w:t>合成树脂工业污染物排放标准</w:t>
                  </w:r>
                  <w:bookmarkEnd w:id="224"/>
                  <w:r>
                    <w:t>（含2024年修改单）》（GB31572-2015）</w:t>
                  </w:r>
                </w:p>
              </w:tc>
            </w:tr>
            <w:tr w14:paraId="33E16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0" w:hRule="atLeast"/>
                <w:jc w:val="center"/>
              </w:trPr>
              <w:tc>
                <w:tcPr>
                  <w:tcW w:w="593" w:type="pct"/>
                  <w:vMerge w:val="continue"/>
                  <w:vAlign w:val="center"/>
                </w:tcPr>
                <w:p w14:paraId="6FA904BF">
                  <w:pPr>
                    <w:pStyle w:val="8"/>
                  </w:pPr>
                </w:p>
              </w:tc>
              <w:tc>
                <w:tcPr>
                  <w:tcW w:w="531" w:type="pct"/>
                  <w:vMerge w:val="continue"/>
                  <w:vAlign w:val="center"/>
                </w:tcPr>
                <w:p w14:paraId="72B30DAB">
                  <w:pPr>
                    <w:pStyle w:val="8"/>
                    <w:rPr>
                      <w:color w:val="auto"/>
                    </w:rPr>
                  </w:pPr>
                </w:p>
              </w:tc>
              <w:tc>
                <w:tcPr>
                  <w:tcW w:w="816" w:type="pct"/>
                  <w:vAlign w:val="center"/>
                </w:tcPr>
                <w:p w14:paraId="1FFB8AD5">
                  <w:pPr>
                    <w:pStyle w:val="8"/>
                    <w:rPr>
                      <w:color w:val="auto"/>
                    </w:rPr>
                  </w:pPr>
                  <w:r>
                    <w:rPr>
                      <w:rFonts w:hint="eastAsia"/>
                      <w:color w:val="auto"/>
                    </w:rPr>
                    <w:t>臭气浓度</w:t>
                  </w:r>
                </w:p>
              </w:tc>
              <w:tc>
                <w:tcPr>
                  <w:tcW w:w="709" w:type="pct"/>
                  <w:vAlign w:val="center"/>
                </w:tcPr>
                <w:p w14:paraId="6BB557FC">
                  <w:pPr>
                    <w:pStyle w:val="8"/>
                    <w:rPr>
                      <w:color w:val="auto"/>
                    </w:rPr>
                  </w:pPr>
                  <w:r>
                    <w:rPr>
                      <w:rFonts w:hint="eastAsia"/>
                      <w:color w:val="auto"/>
                    </w:rPr>
                    <w:t>/</w:t>
                  </w:r>
                </w:p>
              </w:tc>
              <w:tc>
                <w:tcPr>
                  <w:tcW w:w="763" w:type="pct"/>
                  <w:vAlign w:val="center"/>
                </w:tcPr>
                <w:p w14:paraId="64BAEC14">
                  <w:pPr>
                    <w:pStyle w:val="8"/>
                    <w:rPr>
                      <w:color w:val="auto"/>
                    </w:rPr>
                  </w:pPr>
                  <w:r>
                    <w:rPr>
                      <w:rFonts w:hint="eastAsia"/>
                      <w:color w:val="auto"/>
                      <w:lang w:val="en-US" w:eastAsia="zh-CN"/>
                    </w:rPr>
                    <w:t>6</w:t>
                  </w:r>
                  <w:r>
                    <w:rPr>
                      <w:rFonts w:hint="eastAsia"/>
                      <w:color w:val="auto"/>
                    </w:rPr>
                    <w:t>000（无量纲）</w:t>
                  </w:r>
                </w:p>
              </w:tc>
              <w:tc>
                <w:tcPr>
                  <w:tcW w:w="1586" w:type="pct"/>
                  <w:vAlign w:val="center"/>
                </w:tcPr>
                <w:p w14:paraId="37C14414">
                  <w:pPr>
                    <w:pStyle w:val="8"/>
                    <w:rPr>
                      <w:highlight w:val="yellow"/>
                    </w:rPr>
                  </w:pPr>
                  <w:r>
                    <w:rPr>
                      <w:rFonts w:hint="eastAsia"/>
                    </w:rPr>
                    <w:t>《恶臭污染物排放标准》（GB14554-1993）</w:t>
                  </w:r>
                </w:p>
              </w:tc>
            </w:tr>
            <w:tr w14:paraId="06D83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593" w:type="pct"/>
                  <w:vMerge w:val="continue"/>
                  <w:vAlign w:val="center"/>
                </w:tcPr>
                <w:p w14:paraId="5FF78B6D">
                  <w:pPr>
                    <w:pStyle w:val="8"/>
                  </w:pPr>
                </w:p>
              </w:tc>
              <w:tc>
                <w:tcPr>
                  <w:tcW w:w="531" w:type="pct"/>
                  <w:vMerge w:val="continue"/>
                  <w:vAlign w:val="center"/>
                </w:tcPr>
                <w:p w14:paraId="1D8E28A4">
                  <w:pPr>
                    <w:pStyle w:val="8"/>
                  </w:pPr>
                </w:p>
              </w:tc>
              <w:tc>
                <w:tcPr>
                  <w:tcW w:w="816" w:type="pct"/>
                  <w:vAlign w:val="center"/>
                </w:tcPr>
                <w:p w14:paraId="2FBB55B2">
                  <w:pPr>
                    <w:pStyle w:val="8"/>
                  </w:pPr>
                  <w:r>
                    <w:rPr>
                      <w:rFonts w:hint="eastAsia"/>
                    </w:rPr>
                    <w:t>颗粒物</w:t>
                  </w:r>
                </w:p>
              </w:tc>
              <w:tc>
                <w:tcPr>
                  <w:tcW w:w="709" w:type="pct"/>
                  <w:vAlign w:val="center"/>
                </w:tcPr>
                <w:p w14:paraId="3FA3CB56">
                  <w:pPr>
                    <w:pStyle w:val="8"/>
                  </w:pPr>
                  <w:r>
                    <w:rPr>
                      <w:rFonts w:hint="eastAsia"/>
                    </w:rPr>
                    <w:t>20</w:t>
                  </w:r>
                </w:p>
              </w:tc>
              <w:tc>
                <w:tcPr>
                  <w:tcW w:w="763" w:type="pct"/>
                  <w:vAlign w:val="center"/>
                </w:tcPr>
                <w:p w14:paraId="709D05C3">
                  <w:pPr>
                    <w:pStyle w:val="8"/>
                  </w:pPr>
                  <w:r>
                    <w:rPr>
                      <w:rFonts w:hint="eastAsia"/>
                    </w:rPr>
                    <w:t>/</w:t>
                  </w:r>
                </w:p>
              </w:tc>
              <w:tc>
                <w:tcPr>
                  <w:tcW w:w="1586" w:type="pct"/>
                  <w:vAlign w:val="center"/>
                </w:tcPr>
                <w:p w14:paraId="44AFB90A">
                  <w:pPr>
                    <w:pStyle w:val="8"/>
                  </w:pPr>
                  <w:r>
                    <w:rPr>
                      <w:rFonts w:hint="eastAsia"/>
                    </w:rPr>
                    <w:t>《合成树脂工业污染物排放标准（含2024年修改单）》（GB31572-2015）</w:t>
                  </w:r>
                </w:p>
              </w:tc>
            </w:tr>
            <w:tr w14:paraId="6FDB0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3" w:type="pct"/>
                  <w:vMerge w:val="restart"/>
                  <w:vAlign w:val="center"/>
                </w:tcPr>
                <w:p w14:paraId="3FDC1D54">
                  <w:pPr>
                    <w:pStyle w:val="8"/>
                  </w:pPr>
                  <w:r>
                    <w:t>厂区内</w:t>
                  </w:r>
                </w:p>
              </w:tc>
              <w:tc>
                <w:tcPr>
                  <w:tcW w:w="531" w:type="pct"/>
                  <w:vMerge w:val="restart"/>
                  <w:vAlign w:val="center"/>
                </w:tcPr>
                <w:p w14:paraId="63B47782">
                  <w:pPr>
                    <w:pStyle w:val="8"/>
                  </w:pPr>
                  <w:r>
                    <w:t>/</w:t>
                  </w:r>
                </w:p>
              </w:tc>
              <w:tc>
                <w:tcPr>
                  <w:tcW w:w="816" w:type="pct"/>
                  <w:vMerge w:val="restart"/>
                  <w:vAlign w:val="center"/>
                </w:tcPr>
                <w:p w14:paraId="0C3765AC">
                  <w:pPr>
                    <w:pStyle w:val="8"/>
                  </w:pPr>
                  <w:r>
                    <w:t>NMHC</w:t>
                  </w:r>
                </w:p>
              </w:tc>
              <w:tc>
                <w:tcPr>
                  <w:tcW w:w="709" w:type="pct"/>
                  <w:vAlign w:val="center"/>
                </w:tcPr>
                <w:p w14:paraId="7EE8AC1B">
                  <w:pPr>
                    <w:pStyle w:val="8"/>
                  </w:pPr>
                  <w:r>
                    <w:t>1h平均浓度值：6</w:t>
                  </w:r>
                </w:p>
              </w:tc>
              <w:tc>
                <w:tcPr>
                  <w:tcW w:w="763" w:type="pct"/>
                  <w:vAlign w:val="center"/>
                </w:tcPr>
                <w:p w14:paraId="28FF95A3">
                  <w:pPr>
                    <w:pStyle w:val="8"/>
                  </w:pPr>
                  <w:r>
                    <w:rPr>
                      <w:rFonts w:hint="eastAsia"/>
                    </w:rPr>
                    <w:t>/</w:t>
                  </w:r>
                </w:p>
              </w:tc>
              <w:tc>
                <w:tcPr>
                  <w:tcW w:w="1586" w:type="pct"/>
                  <w:vMerge w:val="restart"/>
                  <w:vAlign w:val="center"/>
                </w:tcPr>
                <w:p w14:paraId="68C70529">
                  <w:pPr>
                    <w:pStyle w:val="8"/>
                  </w:pPr>
                  <w:r>
                    <w:t>《固定污染源挥发性有机物综合排放标准》（DB44 2367-2022）</w:t>
                  </w:r>
                </w:p>
              </w:tc>
            </w:tr>
            <w:tr w14:paraId="72016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3" w:type="pct"/>
                  <w:vMerge w:val="continue"/>
                  <w:vAlign w:val="center"/>
                </w:tcPr>
                <w:p w14:paraId="03DFAB7C">
                  <w:pPr>
                    <w:pStyle w:val="8"/>
                    <w:rPr>
                      <w:highlight w:val="yellow"/>
                    </w:rPr>
                  </w:pPr>
                </w:p>
              </w:tc>
              <w:tc>
                <w:tcPr>
                  <w:tcW w:w="531" w:type="pct"/>
                  <w:vMerge w:val="continue"/>
                  <w:vAlign w:val="center"/>
                </w:tcPr>
                <w:p w14:paraId="748DCE05">
                  <w:pPr>
                    <w:pStyle w:val="8"/>
                  </w:pPr>
                </w:p>
              </w:tc>
              <w:tc>
                <w:tcPr>
                  <w:tcW w:w="816" w:type="pct"/>
                  <w:vMerge w:val="continue"/>
                  <w:vAlign w:val="center"/>
                </w:tcPr>
                <w:p w14:paraId="64C83B22">
                  <w:pPr>
                    <w:pStyle w:val="8"/>
                    <w:rPr>
                      <w:highlight w:val="yellow"/>
                    </w:rPr>
                  </w:pPr>
                </w:p>
              </w:tc>
              <w:tc>
                <w:tcPr>
                  <w:tcW w:w="709" w:type="pct"/>
                  <w:vAlign w:val="center"/>
                </w:tcPr>
                <w:p w14:paraId="0765EE40">
                  <w:pPr>
                    <w:pStyle w:val="8"/>
                    <w:rPr>
                      <w:highlight w:val="yellow"/>
                    </w:rPr>
                  </w:pPr>
                  <w:r>
                    <w:t>任意一次浓度值：20</w:t>
                  </w:r>
                </w:p>
              </w:tc>
              <w:tc>
                <w:tcPr>
                  <w:tcW w:w="763" w:type="pct"/>
                  <w:vAlign w:val="center"/>
                </w:tcPr>
                <w:p w14:paraId="5C2C87F1">
                  <w:pPr>
                    <w:pStyle w:val="8"/>
                  </w:pPr>
                  <w:r>
                    <w:rPr>
                      <w:rFonts w:hint="eastAsia"/>
                    </w:rPr>
                    <w:t>/</w:t>
                  </w:r>
                </w:p>
              </w:tc>
              <w:tc>
                <w:tcPr>
                  <w:tcW w:w="1586" w:type="pct"/>
                  <w:vMerge w:val="continue"/>
                  <w:vAlign w:val="center"/>
                </w:tcPr>
                <w:p w14:paraId="4FCC2C9B">
                  <w:pPr>
                    <w:pStyle w:val="8"/>
                    <w:rPr>
                      <w:highlight w:val="yellow"/>
                    </w:rPr>
                  </w:pPr>
                </w:p>
              </w:tc>
            </w:tr>
            <w:tr w14:paraId="7A779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593" w:type="pct"/>
                  <w:vMerge w:val="restart"/>
                  <w:vAlign w:val="center"/>
                </w:tcPr>
                <w:p w14:paraId="7C7A71E0">
                  <w:pPr>
                    <w:pStyle w:val="8"/>
                    <w:rPr>
                      <w:highlight w:val="yellow"/>
                    </w:rPr>
                  </w:pPr>
                  <w:r>
                    <w:t>厂界</w:t>
                  </w:r>
                </w:p>
              </w:tc>
              <w:tc>
                <w:tcPr>
                  <w:tcW w:w="531" w:type="pct"/>
                  <w:vMerge w:val="restart"/>
                  <w:vAlign w:val="center"/>
                </w:tcPr>
                <w:p w14:paraId="617CA219">
                  <w:pPr>
                    <w:pStyle w:val="8"/>
                  </w:pPr>
                  <w:r>
                    <w:t>/</w:t>
                  </w:r>
                </w:p>
              </w:tc>
              <w:tc>
                <w:tcPr>
                  <w:tcW w:w="816" w:type="pct"/>
                  <w:vAlign w:val="center"/>
                </w:tcPr>
                <w:p w14:paraId="23E8D4D5">
                  <w:pPr>
                    <w:pStyle w:val="8"/>
                    <w:rPr>
                      <w:highlight w:val="yellow"/>
                    </w:rPr>
                  </w:pPr>
                  <w:r>
                    <w:t>非甲烷总烃</w:t>
                  </w:r>
                </w:p>
              </w:tc>
              <w:tc>
                <w:tcPr>
                  <w:tcW w:w="709" w:type="pct"/>
                  <w:vAlign w:val="center"/>
                </w:tcPr>
                <w:p w14:paraId="397E2F63">
                  <w:pPr>
                    <w:pStyle w:val="8"/>
                    <w:rPr>
                      <w:highlight w:val="yellow"/>
                    </w:rPr>
                  </w:pPr>
                  <w:r>
                    <w:t>4.0</w:t>
                  </w:r>
                </w:p>
              </w:tc>
              <w:tc>
                <w:tcPr>
                  <w:tcW w:w="763" w:type="pct"/>
                  <w:vAlign w:val="center"/>
                </w:tcPr>
                <w:p w14:paraId="725F50D2">
                  <w:pPr>
                    <w:pStyle w:val="8"/>
                  </w:pPr>
                  <w:r>
                    <w:rPr>
                      <w:rFonts w:hint="eastAsia"/>
                    </w:rPr>
                    <w:t>/</w:t>
                  </w:r>
                </w:p>
              </w:tc>
              <w:tc>
                <w:tcPr>
                  <w:tcW w:w="1586" w:type="pct"/>
                  <w:vAlign w:val="center"/>
                </w:tcPr>
                <w:p w14:paraId="4CA66AA0">
                  <w:pPr>
                    <w:pStyle w:val="8"/>
                    <w:rPr>
                      <w:highlight w:val="yellow"/>
                    </w:rPr>
                  </w:pPr>
                  <w:r>
                    <w:t>《合成树脂工业污染物排放标准（含2024年修改单）》（GB31572-2015）</w:t>
                  </w:r>
                </w:p>
              </w:tc>
            </w:tr>
            <w:tr w14:paraId="76912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593" w:type="pct"/>
                  <w:vMerge w:val="continue"/>
                  <w:vAlign w:val="center"/>
                </w:tcPr>
                <w:p w14:paraId="356268EA">
                  <w:pPr>
                    <w:pStyle w:val="8"/>
                  </w:pPr>
                </w:p>
              </w:tc>
              <w:tc>
                <w:tcPr>
                  <w:tcW w:w="531" w:type="pct"/>
                  <w:vMerge w:val="continue"/>
                  <w:vAlign w:val="center"/>
                </w:tcPr>
                <w:p w14:paraId="6C294184">
                  <w:pPr>
                    <w:pStyle w:val="8"/>
                  </w:pPr>
                </w:p>
              </w:tc>
              <w:tc>
                <w:tcPr>
                  <w:tcW w:w="816" w:type="pct"/>
                  <w:vAlign w:val="center"/>
                </w:tcPr>
                <w:p w14:paraId="541A3319">
                  <w:pPr>
                    <w:pStyle w:val="8"/>
                    <w:rPr>
                      <w:highlight w:val="yellow"/>
                    </w:rPr>
                  </w:pPr>
                  <w:r>
                    <w:rPr>
                      <w:rFonts w:hint="eastAsia"/>
                    </w:rPr>
                    <w:t>臭气浓度</w:t>
                  </w:r>
                </w:p>
              </w:tc>
              <w:tc>
                <w:tcPr>
                  <w:tcW w:w="709" w:type="pct"/>
                  <w:vAlign w:val="center"/>
                </w:tcPr>
                <w:p w14:paraId="07DA03DE">
                  <w:pPr>
                    <w:pStyle w:val="8"/>
                  </w:pPr>
                  <w:r>
                    <w:t xml:space="preserve"> 20（无量纲）</w:t>
                  </w:r>
                </w:p>
              </w:tc>
              <w:tc>
                <w:tcPr>
                  <w:tcW w:w="763" w:type="pct"/>
                  <w:vAlign w:val="center"/>
                </w:tcPr>
                <w:p w14:paraId="0BD6E6E1">
                  <w:pPr>
                    <w:pStyle w:val="8"/>
                  </w:pPr>
                  <w:r>
                    <w:rPr>
                      <w:rFonts w:hint="eastAsia"/>
                    </w:rPr>
                    <w:t>/</w:t>
                  </w:r>
                </w:p>
              </w:tc>
              <w:tc>
                <w:tcPr>
                  <w:tcW w:w="1586" w:type="pct"/>
                  <w:vAlign w:val="center"/>
                </w:tcPr>
                <w:p w14:paraId="33BE96EA">
                  <w:pPr>
                    <w:pStyle w:val="8"/>
                    <w:rPr>
                      <w:highlight w:val="yellow"/>
                    </w:rPr>
                  </w:pPr>
                  <w:r>
                    <w:t>《恶臭污染物排放标准》（GB14554-1993）</w:t>
                  </w:r>
                </w:p>
              </w:tc>
            </w:tr>
            <w:tr w14:paraId="63C06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3" w:hRule="atLeast"/>
                <w:jc w:val="center"/>
              </w:trPr>
              <w:tc>
                <w:tcPr>
                  <w:tcW w:w="593" w:type="pct"/>
                  <w:vMerge w:val="continue"/>
                  <w:vAlign w:val="center"/>
                </w:tcPr>
                <w:p w14:paraId="7AB0C12F">
                  <w:pPr>
                    <w:pStyle w:val="8"/>
                  </w:pPr>
                </w:p>
              </w:tc>
              <w:tc>
                <w:tcPr>
                  <w:tcW w:w="531" w:type="pct"/>
                  <w:vMerge w:val="continue"/>
                  <w:vAlign w:val="center"/>
                </w:tcPr>
                <w:p w14:paraId="7F2A33CE">
                  <w:pPr>
                    <w:pStyle w:val="8"/>
                  </w:pPr>
                </w:p>
              </w:tc>
              <w:tc>
                <w:tcPr>
                  <w:tcW w:w="816" w:type="pct"/>
                  <w:vAlign w:val="center"/>
                </w:tcPr>
                <w:p w14:paraId="097FBF74">
                  <w:pPr>
                    <w:pStyle w:val="8"/>
                  </w:pPr>
                  <w:r>
                    <w:rPr>
                      <w:rFonts w:hint="eastAsia"/>
                    </w:rPr>
                    <w:t>颗粒物</w:t>
                  </w:r>
                </w:p>
              </w:tc>
              <w:tc>
                <w:tcPr>
                  <w:tcW w:w="709" w:type="pct"/>
                  <w:vAlign w:val="center"/>
                </w:tcPr>
                <w:p w14:paraId="09876BF9">
                  <w:pPr>
                    <w:pStyle w:val="8"/>
                  </w:pPr>
                  <w:r>
                    <w:rPr>
                      <w:rFonts w:hint="eastAsia"/>
                    </w:rPr>
                    <w:t>1.0</w:t>
                  </w:r>
                </w:p>
              </w:tc>
              <w:tc>
                <w:tcPr>
                  <w:tcW w:w="763" w:type="pct"/>
                  <w:vAlign w:val="center"/>
                </w:tcPr>
                <w:p w14:paraId="019E19E8">
                  <w:pPr>
                    <w:pStyle w:val="8"/>
                  </w:pPr>
                  <w:r>
                    <w:rPr>
                      <w:rFonts w:hint="eastAsia"/>
                    </w:rPr>
                    <w:t>/</w:t>
                  </w:r>
                </w:p>
              </w:tc>
              <w:tc>
                <w:tcPr>
                  <w:tcW w:w="1586" w:type="pct"/>
                  <w:vAlign w:val="center"/>
                </w:tcPr>
                <w:p w14:paraId="37C4DA60">
                  <w:pPr>
                    <w:pStyle w:val="8"/>
                  </w:pPr>
                  <w:r>
                    <w:rPr>
                      <w:rFonts w:hint="eastAsia"/>
                    </w:rPr>
                    <w:t>《合成树脂工业污染物排放标准（含2024年修改单）》（GB31572-2015）</w:t>
                  </w:r>
                </w:p>
              </w:tc>
            </w:tr>
          </w:tbl>
          <w:p w14:paraId="79C2262D">
            <w:pPr>
              <w:pStyle w:val="105"/>
              <w:spacing w:before="120" w:beforeLines="50"/>
              <w:ind w:firstLine="482"/>
              <w:rPr>
                <w:b/>
                <w:bCs/>
              </w:rPr>
            </w:pPr>
            <w:r>
              <w:rPr>
                <w:rFonts w:hint="eastAsia"/>
                <w:b/>
                <w:bCs/>
              </w:rPr>
              <w:t>3</w:t>
            </w:r>
            <w:r>
              <w:rPr>
                <w:b/>
                <w:bCs/>
              </w:rPr>
              <w:t>、噪声排放标准</w:t>
            </w:r>
          </w:p>
          <w:p w14:paraId="42A86818">
            <w:pPr>
              <w:ind w:firstLine="480"/>
            </w:pPr>
            <w:r>
              <w:rPr>
                <w:rFonts w:hint="eastAsia"/>
              </w:rPr>
              <w:t>项目所处区域为2类声环境功能区，项目厂界噪声执行</w:t>
            </w:r>
            <w:bookmarkStart w:id="225" w:name="OLE_LINK65"/>
            <w:r>
              <w:rPr>
                <w:rFonts w:hint="eastAsia"/>
              </w:rPr>
              <w:t>《工业企业厂界环境噪声排放标准》（GB 12348-2008）2类标准</w:t>
            </w:r>
            <w:bookmarkEnd w:id="225"/>
            <w:r>
              <w:rPr>
                <w:rFonts w:hint="eastAsia"/>
              </w:rPr>
              <w:t>。</w:t>
            </w:r>
            <w:r>
              <w:t>详见</w:t>
            </w:r>
            <w:r>
              <w:rPr>
                <w:rFonts w:hint="eastAsia"/>
              </w:rPr>
              <w:t>下表：</w:t>
            </w:r>
          </w:p>
          <w:p w14:paraId="1B390398">
            <w:pPr>
              <w:pStyle w:val="16"/>
              <w:rPr>
                <w:kern w:val="2"/>
                <w:szCs w:val="24"/>
              </w:rPr>
            </w:pPr>
            <w:r>
              <w:rPr>
                <w:kern w:val="2"/>
                <w:szCs w:val="24"/>
              </w:rPr>
              <w:t>表3-</w:t>
            </w:r>
            <w:r>
              <w:rPr>
                <w:rFonts w:hint="eastAsia"/>
                <w:kern w:val="2"/>
                <w:szCs w:val="24"/>
              </w:rPr>
              <w:t>6</w:t>
            </w:r>
            <w:r>
              <w:rPr>
                <w:kern w:val="2"/>
                <w:szCs w:val="24"/>
              </w:rPr>
              <w:t xml:space="preserve"> 《工业企业厂界环境噪声排放标准》</w:t>
            </w:r>
            <w:r>
              <w:rPr>
                <w:rFonts w:hint="eastAsia"/>
                <w:kern w:val="2"/>
                <w:szCs w:val="24"/>
              </w:rPr>
              <w:t>（</w:t>
            </w:r>
            <w:r>
              <w:rPr>
                <w:kern w:val="2"/>
                <w:szCs w:val="24"/>
              </w:rPr>
              <w:t>GB12348-2008</w:t>
            </w:r>
            <w:r>
              <w:rPr>
                <w:rFonts w:hint="eastAsia"/>
                <w:kern w:val="2"/>
                <w:szCs w:val="24"/>
              </w:rPr>
              <w:t>）</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50"/>
              <w:gridCol w:w="3201"/>
              <w:gridCol w:w="3210"/>
            </w:tblGrid>
            <w:tr w14:paraId="25B194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jc w:val="center"/>
              </w:trPr>
              <w:tc>
                <w:tcPr>
                  <w:tcW w:w="1211" w:type="pct"/>
                  <w:vAlign w:val="center"/>
                </w:tcPr>
                <w:p w14:paraId="39935B8D">
                  <w:pPr>
                    <w:pStyle w:val="8"/>
                    <w:rPr>
                      <w:b/>
                      <w:bCs/>
                    </w:rPr>
                  </w:pPr>
                  <w:r>
                    <w:rPr>
                      <w:b/>
                      <w:bCs/>
                    </w:rPr>
                    <w:t>类别</w:t>
                  </w:r>
                </w:p>
              </w:tc>
              <w:tc>
                <w:tcPr>
                  <w:tcW w:w="1891" w:type="pct"/>
                  <w:vAlign w:val="center"/>
                </w:tcPr>
                <w:p w14:paraId="1FC218FC">
                  <w:pPr>
                    <w:pStyle w:val="8"/>
                    <w:rPr>
                      <w:b/>
                      <w:bCs/>
                    </w:rPr>
                  </w:pPr>
                  <w:r>
                    <w:rPr>
                      <w:b/>
                      <w:bCs/>
                    </w:rPr>
                    <w:t>昼间</w:t>
                  </w:r>
                </w:p>
              </w:tc>
              <w:tc>
                <w:tcPr>
                  <w:tcW w:w="1896" w:type="pct"/>
                  <w:vAlign w:val="center"/>
                </w:tcPr>
                <w:p w14:paraId="58D4D81A">
                  <w:pPr>
                    <w:pStyle w:val="8"/>
                    <w:rPr>
                      <w:b/>
                      <w:bCs/>
                    </w:rPr>
                  </w:pPr>
                  <w:r>
                    <w:rPr>
                      <w:b/>
                      <w:bCs/>
                    </w:rPr>
                    <w:t>夜间</w:t>
                  </w:r>
                </w:p>
              </w:tc>
            </w:tr>
            <w:tr w14:paraId="07B66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0" w:hRule="atLeast"/>
                <w:jc w:val="center"/>
              </w:trPr>
              <w:tc>
                <w:tcPr>
                  <w:tcW w:w="1211" w:type="pct"/>
                  <w:vAlign w:val="center"/>
                </w:tcPr>
                <w:p w14:paraId="264E9B4F">
                  <w:pPr>
                    <w:pStyle w:val="8"/>
                  </w:pPr>
                  <w:r>
                    <w:rPr>
                      <w:rFonts w:hint="eastAsia"/>
                    </w:rPr>
                    <w:t>2</w:t>
                  </w:r>
                  <w:r>
                    <w:t>类</w:t>
                  </w:r>
                </w:p>
              </w:tc>
              <w:tc>
                <w:tcPr>
                  <w:tcW w:w="1891" w:type="pct"/>
                  <w:vAlign w:val="center"/>
                </w:tcPr>
                <w:p w14:paraId="429A3AB7">
                  <w:pPr>
                    <w:pStyle w:val="8"/>
                  </w:pPr>
                  <w:r>
                    <w:t>6</w:t>
                  </w:r>
                  <w:r>
                    <w:rPr>
                      <w:rFonts w:hint="eastAsia"/>
                    </w:rPr>
                    <w:t>0</w:t>
                  </w:r>
                  <w:r>
                    <w:t>dB</w:t>
                  </w:r>
                  <w:r>
                    <w:rPr>
                      <w:rFonts w:hint="eastAsia"/>
                    </w:rPr>
                    <w:t>（</w:t>
                  </w:r>
                  <w:r>
                    <w:t>A</w:t>
                  </w:r>
                  <w:r>
                    <w:rPr>
                      <w:rFonts w:hint="eastAsia"/>
                    </w:rPr>
                    <w:t>）</w:t>
                  </w:r>
                </w:p>
              </w:tc>
              <w:tc>
                <w:tcPr>
                  <w:tcW w:w="1896" w:type="pct"/>
                  <w:vAlign w:val="center"/>
                </w:tcPr>
                <w:p w14:paraId="0512A175">
                  <w:pPr>
                    <w:pStyle w:val="8"/>
                  </w:pPr>
                  <w:r>
                    <w:t>5</w:t>
                  </w:r>
                  <w:r>
                    <w:rPr>
                      <w:rFonts w:hint="eastAsia"/>
                    </w:rPr>
                    <w:t>0</w:t>
                  </w:r>
                  <w:r>
                    <w:t>dB</w:t>
                  </w:r>
                  <w:r>
                    <w:rPr>
                      <w:rFonts w:hint="eastAsia"/>
                    </w:rPr>
                    <w:t>（</w:t>
                  </w:r>
                  <w:r>
                    <w:t>A</w:t>
                  </w:r>
                  <w:r>
                    <w:rPr>
                      <w:rFonts w:hint="eastAsia"/>
                    </w:rPr>
                    <w:t>）</w:t>
                  </w:r>
                </w:p>
              </w:tc>
            </w:tr>
          </w:tbl>
          <w:p w14:paraId="3884A6EE">
            <w:pPr>
              <w:pStyle w:val="105"/>
              <w:spacing w:before="120" w:beforeLines="50"/>
              <w:ind w:firstLine="482"/>
              <w:rPr>
                <w:b/>
                <w:bCs/>
              </w:rPr>
            </w:pPr>
            <w:r>
              <w:rPr>
                <w:rFonts w:hint="eastAsia"/>
                <w:b/>
                <w:bCs/>
              </w:rPr>
              <w:t>4</w:t>
            </w:r>
            <w:r>
              <w:rPr>
                <w:b/>
                <w:bCs/>
              </w:rPr>
              <w:t>、固废排放标准</w:t>
            </w:r>
          </w:p>
          <w:p w14:paraId="1A32B9B6">
            <w:pPr>
              <w:ind w:firstLine="480"/>
              <w:jc w:val="both"/>
              <w:rPr>
                <w:rFonts w:cs="宋体"/>
              </w:rPr>
            </w:pPr>
            <w:r>
              <w:rPr>
                <w:rFonts w:cs="宋体"/>
              </w:rPr>
              <w:t>一般工业固体废物</w:t>
            </w:r>
            <w:r>
              <w:rPr>
                <w:rFonts w:hint="eastAsia" w:cs="宋体"/>
              </w:rPr>
              <w:t>执行《中华人民共和国固体废物污染环境防治法》（2020年4月29日修订）、《广东省固体废物污染环境防治条例》（2022年11月30日第三次修正），</w:t>
            </w:r>
            <w:r>
              <w:rPr>
                <w:rFonts w:cs="宋体"/>
              </w:rPr>
              <w:t>贮存过程应满足相应的防渗漏，防雨淋，防扬尘等环境保护要求。</w:t>
            </w:r>
          </w:p>
          <w:p w14:paraId="79916742">
            <w:pPr>
              <w:ind w:firstLine="480"/>
              <w:jc w:val="both"/>
              <w:rPr>
                <w:kern w:val="0"/>
              </w:rPr>
            </w:pPr>
            <w:r>
              <w:rPr>
                <w:rFonts w:cs="宋体"/>
              </w:rPr>
              <w:t>危险废物执行</w:t>
            </w:r>
            <w:r>
              <w:rPr>
                <w:rFonts w:hint="eastAsia" w:cs="宋体"/>
              </w:rPr>
              <w:t>《国家危险废物名录（2025年版）》</w:t>
            </w:r>
            <w:r>
              <w:rPr>
                <w:rFonts w:cs="宋体"/>
              </w:rPr>
              <w:t>、《危险废物收集贮存运输技术规范》（HJ2025-2012）、《危险废物贮存污染控制标准》（GB18597-20</w:t>
            </w:r>
            <w:r>
              <w:rPr>
                <w:rFonts w:hint="eastAsia" w:cs="宋体"/>
              </w:rPr>
              <w:t>23</w:t>
            </w:r>
            <w:r>
              <w:rPr>
                <w:rFonts w:cs="宋体"/>
              </w:rPr>
              <w:t>）。</w:t>
            </w:r>
          </w:p>
        </w:tc>
      </w:tr>
      <w:tr w14:paraId="213314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85" w:hRule="atLeast"/>
          <w:jc w:val="center"/>
        </w:trPr>
        <w:tc>
          <w:tcPr>
            <w:tcW w:w="299" w:type="pct"/>
            <w:vAlign w:val="center"/>
          </w:tcPr>
          <w:p w14:paraId="59060075">
            <w:pPr>
              <w:adjustRightInd w:val="0"/>
              <w:snapToGrid w:val="0"/>
              <w:spacing w:line="240" w:lineRule="auto"/>
              <w:ind w:firstLine="0" w:firstLineChars="0"/>
              <w:jc w:val="center"/>
              <w:rPr>
                <w:kern w:val="0"/>
              </w:rPr>
            </w:pPr>
            <w:r>
              <w:rPr>
                <w:kern w:val="0"/>
              </w:rPr>
              <w:t>总量</w:t>
            </w:r>
          </w:p>
          <w:p w14:paraId="259E7D25">
            <w:pPr>
              <w:adjustRightInd w:val="0"/>
              <w:snapToGrid w:val="0"/>
              <w:spacing w:line="240" w:lineRule="auto"/>
              <w:ind w:firstLine="0" w:firstLineChars="0"/>
              <w:jc w:val="center"/>
              <w:rPr>
                <w:kern w:val="0"/>
              </w:rPr>
            </w:pPr>
            <w:r>
              <w:rPr>
                <w:kern w:val="0"/>
              </w:rPr>
              <w:t>控制</w:t>
            </w:r>
          </w:p>
          <w:p w14:paraId="1C5DDCA2">
            <w:pPr>
              <w:adjustRightInd w:val="0"/>
              <w:snapToGrid w:val="0"/>
              <w:spacing w:line="240" w:lineRule="auto"/>
              <w:ind w:firstLine="0" w:firstLineChars="0"/>
              <w:jc w:val="center"/>
              <w:rPr>
                <w:kern w:val="0"/>
              </w:rPr>
            </w:pPr>
            <w:r>
              <w:rPr>
                <w:kern w:val="0"/>
              </w:rPr>
              <w:t>指标</w:t>
            </w:r>
          </w:p>
        </w:tc>
        <w:tc>
          <w:tcPr>
            <w:tcW w:w="4700" w:type="pct"/>
            <w:vAlign w:val="center"/>
          </w:tcPr>
          <w:p w14:paraId="7F45DC7E">
            <w:pPr>
              <w:pStyle w:val="48"/>
              <w:ind w:firstLine="480"/>
            </w:pPr>
            <w:r>
              <w:rPr>
                <w:rFonts w:hint="eastAsia"/>
              </w:rPr>
              <w:t>根据广东省生态环境厅关于印发《广东省环境保护“十四五”规划》的通知）（粤环〔2021</w:t>
            </w:r>
            <w:r>
              <w:t>〕</w:t>
            </w:r>
            <w:r>
              <w:rPr>
                <w:rFonts w:hint="eastAsia"/>
              </w:rPr>
              <w:t>10号）</w:t>
            </w:r>
            <w:r>
              <w:t>，总量控制指标为COD</w:t>
            </w:r>
            <w:r>
              <w:rPr>
                <w:vertAlign w:val="subscript"/>
              </w:rPr>
              <w:t>Cr</w:t>
            </w:r>
            <w:r>
              <w:t>、氨氮、氮氧化物、挥发性有机物（TVOC）等</w:t>
            </w:r>
            <w:r>
              <w:rPr>
                <w:rFonts w:hint="eastAsia"/>
              </w:rPr>
              <w:t>四</w:t>
            </w:r>
            <w:r>
              <w:t>项</w:t>
            </w:r>
            <w:r>
              <w:rPr>
                <w:rFonts w:hint="eastAsia"/>
              </w:rPr>
              <w:t>，</w:t>
            </w:r>
            <w:r>
              <w:t>结合本项目的产排污情况，本项目总量控制指标</w:t>
            </w:r>
            <w:r>
              <w:rPr>
                <w:rFonts w:hint="eastAsia"/>
              </w:rPr>
              <w:t>见下表。</w:t>
            </w:r>
          </w:p>
          <w:p w14:paraId="2CB42860">
            <w:pPr>
              <w:pStyle w:val="48"/>
              <w:spacing w:line="240" w:lineRule="auto"/>
              <w:ind w:firstLine="422"/>
              <w:jc w:val="center"/>
              <w:rPr>
                <w:b/>
                <w:sz w:val="21"/>
                <w:szCs w:val="21"/>
              </w:rPr>
            </w:pPr>
            <w:r>
              <w:rPr>
                <w:rFonts w:hint="eastAsia"/>
                <w:b/>
                <w:sz w:val="21"/>
                <w:szCs w:val="21"/>
              </w:rPr>
              <w:t>表3-7 项目污染物总量控制指标 单位：t/a</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4"/>
              <w:gridCol w:w="846"/>
              <w:gridCol w:w="866"/>
              <w:gridCol w:w="979"/>
              <w:gridCol w:w="979"/>
              <w:gridCol w:w="1017"/>
              <w:gridCol w:w="3280"/>
            </w:tblGrid>
            <w:tr w14:paraId="68784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96" w:type="pct"/>
                  <w:vAlign w:val="center"/>
                </w:tcPr>
                <w:p w14:paraId="4D07319F">
                  <w:pPr>
                    <w:pStyle w:val="8"/>
                    <w:adjustRightInd w:val="0"/>
                    <w:snapToGrid w:val="0"/>
                    <w:rPr>
                      <w:b/>
                      <w:bCs/>
                    </w:rPr>
                  </w:pPr>
                  <w:r>
                    <w:rPr>
                      <w:rFonts w:hint="eastAsia"/>
                      <w:b/>
                      <w:bCs/>
                    </w:rPr>
                    <w:t>类别</w:t>
                  </w:r>
                </w:p>
              </w:tc>
              <w:tc>
                <w:tcPr>
                  <w:tcW w:w="1015" w:type="pct"/>
                  <w:gridSpan w:val="2"/>
                  <w:vAlign w:val="center"/>
                </w:tcPr>
                <w:p w14:paraId="54C917A1">
                  <w:pPr>
                    <w:pStyle w:val="8"/>
                    <w:adjustRightInd w:val="0"/>
                    <w:snapToGrid w:val="0"/>
                    <w:rPr>
                      <w:b/>
                      <w:bCs/>
                    </w:rPr>
                  </w:pPr>
                  <w:r>
                    <w:rPr>
                      <w:rFonts w:hint="eastAsia"/>
                      <w:b/>
                      <w:bCs/>
                    </w:rPr>
                    <w:t>污染物名称</w:t>
                  </w:r>
                </w:p>
              </w:tc>
              <w:tc>
                <w:tcPr>
                  <w:tcW w:w="582" w:type="pct"/>
                  <w:vAlign w:val="center"/>
                </w:tcPr>
                <w:p w14:paraId="24AC25F3">
                  <w:pPr>
                    <w:pStyle w:val="8"/>
                    <w:adjustRightInd w:val="0"/>
                    <w:snapToGrid w:val="0"/>
                    <w:rPr>
                      <w:b/>
                      <w:bCs/>
                    </w:rPr>
                  </w:pPr>
                  <w:r>
                    <w:rPr>
                      <w:rFonts w:hint="eastAsia"/>
                      <w:b/>
                      <w:bCs/>
                    </w:rPr>
                    <w:t>迁扩建前</w:t>
                  </w:r>
                </w:p>
              </w:tc>
              <w:tc>
                <w:tcPr>
                  <w:tcW w:w="582" w:type="pct"/>
                  <w:vAlign w:val="center"/>
                </w:tcPr>
                <w:p w14:paraId="240B3B3F">
                  <w:pPr>
                    <w:pStyle w:val="8"/>
                    <w:adjustRightInd w:val="0"/>
                    <w:snapToGrid w:val="0"/>
                    <w:rPr>
                      <w:b/>
                      <w:bCs/>
                    </w:rPr>
                  </w:pPr>
                  <w:r>
                    <w:rPr>
                      <w:rFonts w:hint="eastAsia"/>
                      <w:b/>
                      <w:bCs/>
                    </w:rPr>
                    <w:t>迁扩建后</w:t>
                  </w:r>
                </w:p>
              </w:tc>
              <w:tc>
                <w:tcPr>
                  <w:tcW w:w="583" w:type="pct"/>
                  <w:vAlign w:val="center"/>
                </w:tcPr>
                <w:p w14:paraId="321A2CE0">
                  <w:pPr>
                    <w:pStyle w:val="8"/>
                    <w:adjustRightInd w:val="0"/>
                    <w:snapToGrid w:val="0"/>
                    <w:rPr>
                      <w:b/>
                      <w:bCs/>
                    </w:rPr>
                  </w:pPr>
                  <w:r>
                    <w:rPr>
                      <w:rFonts w:hint="eastAsia"/>
                      <w:b/>
                      <w:bCs/>
                    </w:rPr>
                    <w:t>变化量</w:t>
                  </w:r>
                </w:p>
              </w:tc>
              <w:tc>
                <w:tcPr>
                  <w:tcW w:w="1938" w:type="pct"/>
                  <w:vAlign w:val="center"/>
                </w:tcPr>
                <w:p w14:paraId="0159C3AB">
                  <w:pPr>
                    <w:pStyle w:val="8"/>
                    <w:adjustRightInd w:val="0"/>
                    <w:snapToGrid w:val="0"/>
                    <w:rPr>
                      <w:b/>
                      <w:bCs/>
                    </w:rPr>
                  </w:pPr>
                  <w:r>
                    <w:rPr>
                      <w:rFonts w:hint="eastAsia"/>
                      <w:b/>
                      <w:bCs/>
                    </w:rPr>
                    <w:t>备注</w:t>
                  </w:r>
                </w:p>
              </w:tc>
            </w:tr>
            <w:tr w14:paraId="63F68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96" w:type="pct"/>
                  <w:vMerge w:val="restart"/>
                  <w:vAlign w:val="center"/>
                </w:tcPr>
                <w:p w14:paraId="631683AC">
                  <w:pPr>
                    <w:pStyle w:val="8"/>
                    <w:adjustRightInd w:val="0"/>
                    <w:snapToGrid w:val="0"/>
                  </w:pPr>
                  <w:r>
                    <w:rPr>
                      <w:rFonts w:hint="eastAsia"/>
                    </w:rPr>
                    <w:t>生活污水</w:t>
                  </w:r>
                </w:p>
              </w:tc>
              <w:tc>
                <w:tcPr>
                  <w:tcW w:w="1015" w:type="pct"/>
                  <w:gridSpan w:val="2"/>
                  <w:vAlign w:val="center"/>
                </w:tcPr>
                <w:p w14:paraId="0F146885">
                  <w:pPr>
                    <w:pStyle w:val="8"/>
                    <w:adjustRightInd w:val="0"/>
                    <w:snapToGrid w:val="0"/>
                  </w:pPr>
                  <w:r>
                    <w:rPr>
                      <w:rFonts w:hint="eastAsia"/>
                    </w:rPr>
                    <w:t>废水量（t/a）</w:t>
                  </w:r>
                </w:p>
              </w:tc>
              <w:tc>
                <w:tcPr>
                  <w:tcW w:w="582" w:type="pct"/>
                  <w:vAlign w:val="center"/>
                </w:tcPr>
                <w:p w14:paraId="1739A0EB">
                  <w:pPr>
                    <w:pStyle w:val="8"/>
                    <w:adjustRightInd w:val="0"/>
                    <w:snapToGrid w:val="0"/>
                  </w:pPr>
                  <w:r>
                    <w:rPr>
                      <w:rFonts w:hint="eastAsia"/>
                    </w:rPr>
                    <w:t>40.2</w:t>
                  </w:r>
                </w:p>
              </w:tc>
              <w:tc>
                <w:tcPr>
                  <w:tcW w:w="985" w:type="dxa"/>
                  <w:vAlign w:val="center"/>
                </w:tcPr>
                <w:p w14:paraId="065EAAAD">
                  <w:pPr>
                    <w:pStyle w:val="8"/>
                    <w:adjustRightInd w:val="0"/>
                    <w:snapToGrid w:val="0"/>
                    <w:rPr>
                      <w:color w:val="auto"/>
                    </w:rPr>
                  </w:pPr>
                  <w:r>
                    <w:rPr>
                      <w:rFonts w:hint="eastAsia"/>
                      <w:color w:val="auto"/>
                    </w:rPr>
                    <w:t>64</w:t>
                  </w:r>
                </w:p>
              </w:tc>
              <w:tc>
                <w:tcPr>
                  <w:tcW w:w="583" w:type="pct"/>
                  <w:vAlign w:val="center"/>
                </w:tcPr>
                <w:p w14:paraId="4A7BB5AE">
                  <w:pPr>
                    <w:pStyle w:val="8"/>
                    <w:adjustRightInd w:val="0"/>
                    <w:snapToGrid w:val="0"/>
                    <w:rPr>
                      <w:color w:val="auto"/>
                    </w:rPr>
                  </w:pPr>
                  <w:r>
                    <w:rPr>
                      <w:rFonts w:hint="eastAsia"/>
                      <w:color w:val="auto"/>
                    </w:rPr>
                    <w:t>+23.8</w:t>
                  </w:r>
                </w:p>
              </w:tc>
              <w:tc>
                <w:tcPr>
                  <w:tcW w:w="1938" w:type="pct"/>
                  <w:vMerge w:val="restart"/>
                  <w:vAlign w:val="center"/>
                </w:tcPr>
                <w:p w14:paraId="0A9E8C71">
                  <w:pPr>
                    <w:pStyle w:val="8"/>
                    <w:adjustRightInd w:val="0"/>
                    <w:snapToGrid w:val="0"/>
                    <w:rPr>
                      <w:color w:val="auto"/>
                    </w:rPr>
                  </w:pPr>
                  <w:r>
                    <w:rPr>
                      <w:rFonts w:hint="eastAsia"/>
                      <w:color w:val="auto"/>
                    </w:rPr>
                    <w:t>生活污水经三级化粪池预处理后通过市政管网排入园洲镇第五污水处理厂处理，纳入该污水处理厂总量指标控制范围，不另行申请</w:t>
                  </w:r>
                </w:p>
              </w:tc>
            </w:tr>
            <w:tr w14:paraId="1D073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2" w:hRule="atLeast"/>
                <w:jc w:val="center"/>
              </w:trPr>
              <w:tc>
                <w:tcPr>
                  <w:tcW w:w="296" w:type="pct"/>
                  <w:vMerge w:val="continue"/>
                  <w:vAlign w:val="center"/>
                </w:tcPr>
                <w:p w14:paraId="51752154">
                  <w:pPr>
                    <w:pStyle w:val="8"/>
                    <w:adjustRightInd w:val="0"/>
                    <w:snapToGrid w:val="0"/>
                  </w:pPr>
                </w:p>
              </w:tc>
              <w:tc>
                <w:tcPr>
                  <w:tcW w:w="1015" w:type="pct"/>
                  <w:gridSpan w:val="2"/>
                  <w:vAlign w:val="center"/>
                </w:tcPr>
                <w:p w14:paraId="185205D9">
                  <w:pPr>
                    <w:pStyle w:val="8"/>
                    <w:adjustRightInd w:val="0"/>
                    <w:snapToGrid w:val="0"/>
                  </w:pPr>
                  <w:r>
                    <w:rPr>
                      <w:rFonts w:hint="eastAsia"/>
                    </w:rPr>
                    <w:t>CODcr（t/a）</w:t>
                  </w:r>
                </w:p>
              </w:tc>
              <w:tc>
                <w:tcPr>
                  <w:tcW w:w="582" w:type="pct"/>
                  <w:vAlign w:val="center"/>
                </w:tcPr>
                <w:p w14:paraId="5BA4E0C8">
                  <w:pPr>
                    <w:pStyle w:val="8"/>
                    <w:adjustRightInd w:val="0"/>
                    <w:snapToGrid w:val="0"/>
                  </w:pPr>
                  <w:bookmarkStart w:id="226" w:name="OLE_LINK55"/>
                  <w:r>
                    <w:rPr>
                      <w:rFonts w:hint="eastAsia"/>
                    </w:rPr>
                    <w:t>0.00</w:t>
                  </w:r>
                  <w:bookmarkEnd w:id="226"/>
                  <w:r>
                    <w:rPr>
                      <w:rFonts w:hint="eastAsia"/>
                    </w:rPr>
                    <w:t>161</w:t>
                  </w:r>
                </w:p>
              </w:tc>
              <w:tc>
                <w:tcPr>
                  <w:tcW w:w="985" w:type="dxa"/>
                  <w:vAlign w:val="center"/>
                </w:tcPr>
                <w:p w14:paraId="05A37706">
                  <w:pPr>
                    <w:pStyle w:val="8"/>
                    <w:adjustRightInd w:val="0"/>
                    <w:snapToGrid w:val="0"/>
                  </w:pPr>
                  <w:bookmarkStart w:id="227" w:name="OLE_LINK56"/>
                  <w:r>
                    <w:t>0.00256</w:t>
                  </w:r>
                  <w:bookmarkEnd w:id="227"/>
                </w:p>
              </w:tc>
              <w:tc>
                <w:tcPr>
                  <w:tcW w:w="583" w:type="pct"/>
                  <w:vAlign w:val="center"/>
                </w:tcPr>
                <w:p w14:paraId="55D09B52">
                  <w:pPr>
                    <w:pStyle w:val="8"/>
                    <w:adjustRightInd w:val="0"/>
                    <w:snapToGrid w:val="0"/>
                  </w:pPr>
                  <w:r>
                    <w:rPr>
                      <w:rFonts w:hint="eastAsia"/>
                    </w:rPr>
                    <w:t>+0.00095</w:t>
                  </w:r>
                </w:p>
              </w:tc>
              <w:tc>
                <w:tcPr>
                  <w:tcW w:w="1938" w:type="pct"/>
                  <w:vMerge w:val="continue"/>
                  <w:vAlign w:val="center"/>
                </w:tcPr>
                <w:p w14:paraId="3911A78F">
                  <w:pPr>
                    <w:pStyle w:val="8"/>
                    <w:adjustRightInd w:val="0"/>
                    <w:snapToGrid w:val="0"/>
                  </w:pPr>
                </w:p>
              </w:tc>
            </w:tr>
            <w:tr w14:paraId="2A44D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 w:hRule="atLeast"/>
                <w:jc w:val="center"/>
              </w:trPr>
              <w:tc>
                <w:tcPr>
                  <w:tcW w:w="296" w:type="pct"/>
                  <w:vMerge w:val="continue"/>
                  <w:vAlign w:val="center"/>
                </w:tcPr>
                <w:p w14:paraId="3F858358">
                  <w:pPr>
                    <w:pStyle w:val="8"/>
                    <w:adjustRightInd w:val="0"/>
                    <w:snapToGrid w:val="0"/>
                  </w:pPr>
                </w:p>
              </w:tc>
              <w:tc>
                <w:tcPr>
                  <w:tcW w:w="1015" w:type="pct"/>
                  <w:gridSpan w:val="2"/>
                  <w:vAlign w:val="center"/>
                </w:tcPr>
                <w:p w14:paraId="67225277">
                  <w:pPr>
                    <w:pStyle w:val="8"/>
                    <w:adjustRightInd w:val="0"/>
                    <w:snapToGrid w:val="0"/>
                  </w:pPr>
                  <w:r>
                    <w:rPr>
                      <w:rFonts w:hint="eastAsia"/>
                    </w:rPr>
                    <w:t>NH</w:t>
                  </w:r>
                  <w:r>
                    <w:rPr>
                      <w:rFonts w:hint="eastAsia"/>
                      <w:vertAlign w:val="subscript"/>
                    </w:rPr>
                    <w:t>3</w:t>
                  </w:r>
                  <w:r>
                    <w:rPr>
                      <w:rFonts w:hint="eastAsia"/>
                    </w:rPr>
                    <w:t>-N（t/a）</w:t>
                  </w:r>
                </w:p>
              </w:tc>
              <w:tc>
                <w:tcPr>
                  <w:tcW w:w="582" w:type="pct"/>
                  <w:vAlign w:val="center"/>
                </w:tcPr>
                <w:p w14:paraId="72A13BD7">
                  <w:pPr>
                    <w:pStyle w:val="8"/>
                    <w:adjustRightInd w:val="0"/>
                    <w:snapToGrid w:val="0"/>
                  </w:pPr>
                  <w:bookmarkStart w:id="228" w:name="OLE_LINK58"/>
                  <w:r>
                    <w:t>0.000</w:t>
                  </w:r>
                  <w:bookmarkEnd w:id="228"/>
                  <w:r>
                    <w:rPr>
                      <w:rFonts w:hint="eastAsia"/>
                    </w:rPr>
                    <w:t>08</w:t>
                  </w:r>
                </w:p>
              </w:tc>
              <w:tc>
                <w:tcPr>
                  <w:tcW w:w="985" w:type="dxa"/>
                  <w:vAlign w:val="center"/>
                </w:tcPr>
                <w:p w14:paraId="22ADA0D2">
                  <w:pPr>
                    <w:pStyle w:val="8"/>
                    <w:adjustRightInd w:val="0"/>
                    <w:snapToGrid w:val="0"/>
                  </w:pPr>
                  <w:r>
                    <w:t>0.000</w:t>
                  </w:r>
                  <w:r>
                    <w:rPr>
                      <w:rFonts w:hint="eastAsia"/>
                    </w:rPr>
                    <w:t>13</w:t>
                  </w:r>
                </w:p>
              </w:tc>
              <w:tc>
                <w:tcPr>
                  <w:tcW w:w="583" w:type="pct"/>
                  <w:vAlign w:val="center"/>
                </w:tcPr>
                <w:p w14:paraId="05A2E2E5">
                  <w:pPr>
                    <w:pStyle w:val="8"/>
                    <w:adjustRightInd w:val="0"/>
                    <w:snapToGrid w:val="0"/>
                  </w:pPr>
                  <w:r>
                    <w:rPr>
                      <w:rFonts w:hint="eastAsia"/>
                    </w:rPr>
                    <w:t>+0.00005</w:t>
                  </w:r>
                </w:p>
              </w:tc>
              <w:tc>
                <w:tcPr>
                  <w:tcW w:w="1938" w:type="pct"/>
                  <w:vMerge w:val="continue"/>
                  <w:vAlign w:val="center"/>
                </w:tcPr>
                <w:p w14:paraId="2E9D39A8">
                  <w:pPr>
                    <w:pStyle w:val="8"/>
                    <w:adjustRightInd w:val="0"/>
                    <w:snapToGrid w:val="0"/>
                  </w:pPr>
                </w:p>
              </w:tc>
            </w:tr>
            <w:tr w14:paraId="5D247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296" w:type="pct"/>
                  <w:vMerge w:val="restart"/>
                  <w:vAlign w:val="center"/>
                </w:tcPr>
                <w:p w14:paraId="038F3FF4">
                  <w:pPr>
                    <w:pStyle w:val="8"/>
                    <w:adjustRightInd w:val="0"/>
                    <w:snapToGrid w:val="0"/>
                  </w:pPr>
                  <w:bookmarkStart w:id="229" w:name="OLE_LINK113" w:colFirst="3" w:colLast="3"/>
                  <w:r>
                    <w:rPr>
                      <w:rFonts w:hint="eastAsia"/>
                    </w:rPr>
                    <w:t>废气</w:t>
                  </w:r>
                </w:p>
              </w:tc>
              <w:tc>
                <w:tcPr>
                  <w:tcW w:w="499" w:type="pct"/>
                  <w:vMerge w:val="restart"/>
                  <w:vAlign w:val="center"/>
                </w:tcPr>
                <w:p w14:paraId="19258D2E">
                  <w:pPr>
                    <w:pStyle w:val="8"/>
                    <w:adjustRightInd w:val="0"/>
                    <w:snapToGrid w:val="0"/>
                  </w:pPr>
                  <w:r>
                    <w:t>VOCs</w:t>
                  </w:r>
                  <w:r>
                    <w:rPr>
                      <w:rFonts w:hint="eastAsia"/>
                    </w:rPr>
                    <w:t>（</w:t>
                  </w:r>
                  <w:r>
                    <w:t>t/a</w:t>
                  </w:r>
                  <w:r>
                    <w:rPr>
                      <w:rFonts w:hint="eastAsia"/>
                    </w:rPr>
                    <w:t>）</w:t>
                  </w:r>
                </w:p>
              </w:tc>
              <w:tc>
                <w:tcPr>
                  <w:tcW w:w="515" w:type="pct"/>
                  <w:vAlign w:val="center"/>
                </w:tcPr>
                <w:p w14:paraId="44744681">
                  <w:pPr>
                    <w:pStyle w:val="8"/>
                    <w:adjustRightInd w:val="0"/>
                    <w:snapToGrid w:val="0"/>
                  </w:pPr>
                  <w:r>
                    <w:rPr>
                      <w:rFonts w:hint="eastAsia"/>
                    </w:rPr>
                    <w:t>有组织</w:t>
                  </w:r>
                </w:p>
              </w:tc>
              <w:tc>
                <w:tcPr>
                  <w:tcW w:w="582" w:type="pct"/>
                  <w:vAlign w:val="center"/>
                </w:tcPr>
                <w:p w14:paraId="22391135">
                  <w:pPr>
                    <w:pStyle w:val="8"/>
                    <w:adjustRightInd w:val="0"/>
                    <w:snapToGrid w:val="0"/>
                  </w:pPr>
                  <w:r>
                    <w:rPr>
                      <w:rFonts w:hint="eastAsia"/>
                    </w:rPr>
                    <w:t>0.0657</w:t>
                  </w:r>
                </w:p>
              </w:tc>
              <w:tc>
                <w:tcPr>
                  <w:tcW w:w="985" w:type="dxa"/>
                  <w:vAlign w:val="center"/>
                </w:tcPr>
                <w:p w14:paraId="4107E525">
                  <w:pPr>
                    <w:pStyle w:val="8"/>
                    <w:adjustRightInd w:val="0"/>
                    <w:snapToGrid w:val="0"/>
                  </w:pPr>
                  <w:r>
                    <w:rPr>
                      <w:rFonts w:hint="eastAsia"/>
                    </w:rPr>
                    <w:t>0.495</w:t>
                  </w:r>
                </w:p>
              </w:tc>
              <w:tc>
                <w:tcPr>
                  <w:tcW w:w="583" w:type="pct"/>
                  <w:vAlign w:val="center"/>
                </w:tcPr>
                <w:p w14:paraId="01DD71D4">
                  <w:pPr>
                    <w:pStyle w:val="8"/>
                    <w:adjustRightInd w:val="0"/>
                    <w:snapToGrid w:val="0"/>
                  </w:pPr>
                  <w:r>
                    <w:rPr>
                      <w:rFonts w:hint="eastAsia"/>
                    </w:rPr>
                    <w:t>+0.4293</w:t>
                  </w:r>
                </w:p>
              </w:tc>
              <w:tc>
                <w:tcPr>
                  <w:tcW w:w="1938" w:type="pct"/>
                  <w:vMerge w:val="restart"/>
                  <w:vAlign w:val="center"/>
                </w:tcPr>
                <w:p w14:paraId="2C2E08F4">
                  <w:pPr>
                    <w:pStyle w:val="8"/>
                    <w:adjustRightInd w:val="0"/>
                    <w:snapToGrid w:val="0"/>
                  </w:pPr>
                  <w:r>
                    <w:rPr>
                      <w:rFonts w:hint="eastAsia"/>
                    </w:rPr>
                    <w:t>本项目执行总量替代制度，VOCs 总量由惠州市生态环境局博罗分局统一调配</w:t>
                  </w:r>
                </w:p>
              </w:tc>
            </w:tr>
            <w:tr w14:paraId="1E1E8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296" w:type="pct"/>
                  <w:vMerge w:val="continue"/>
                  <w:vAlign w:val="center"/>
                </w:tcPr>
                <w:p w14:paraId="4E248418">
                  <w:pPr>
                    <w:pStyle w:val="8"/>
                    <w:adjustRightInd w:val="0"/>
                    <w:snapToGrid w:val="0"/>
                  </w:pPr>
                </w:p>
              </w:tc>
              <w:tc>
                <w:tcPr>
                  <w:tcW w:w="499" w:type="pct"/>
                  <w:vMerge w:val="continue"/>
                  <w:vAlign w:val="center"/>
                </w:tcPr>
                <w:p w14:paraId="60CE396A">
                  <w:pPr>
                    <w:pStyle w:val="8"/>
                    <w:adjustRightInd w:val="0"/>
                    <w:snapToGrid w:val="0"/>
                  </w:pPr>
                </w:p>
              </w:tc>
              <w:tc>
                <w:tcPr>
                  <w:tcW w:w="515" w:type="pct"/>
                  <w:vAlign w:val="center"/>
                </w:tcPr>
                <w:p w14:paraId="6CD2D4E2">
                  <w:pPr>
                    <w:pStyle w:val="8"/>
                    <w:adjustRightInd w:val="0"/>
                    <w:snapToGrid w:val="0"/>
                  </w:pPr>
                  <w:r>
                    <w:rPr>
                      <w:rFonts w:hint="eastAsia"/>
                    </w:rPr>
                    <w:t>无组织</w:t>
                  </w:r>
                </w:p>
              </w:tc>
              <w:tc>
                <w:tcPr>
                  <w:tcW w:w="582" w:type="pct"/>
                  <w:vAlign w:val="center"/>
                </w:tcPr>
                <w:p w14:paraId="3EDA0548">
                  <w:pPr>
                    <w:pStyle w:val="8"/>
                    <w:adjustRightInd w:val="0"/>
                    <w:snapToGrid w:val="0"/>
                  </w:pPr>
                  <w:r>
                    <w:rPr>
                      <w:rFonts w:hint="eastAsia"/>
                    </w:rPr>
                    <w:t>0.0342</w:t>
                  </w:r>
                </w:p>
              </w:tc>
              <w:tc>
                <w:tcPr>
                  <w:tcW w:w="985" w:type="dxa"/>
                  <w:vAlign w:val="center"/>
                </w:tcPr>
                <w:p w14:paraId="5D2A6762">
                  <w:pPr>
                    <w:pStyle w:val="8"/>
                    <w:adjustRightInd w:val="0"/>
                    <w:snapToGrid w:val="0"/>
                  </w:pPr>
                  <w:r>
                    <w:rPr>
                      <w:rFonts w:hint="eastAsia"/>
                    </w:rPr>
                    <w:t>1.776</w:t>
                  </w:r>
                </w:p>
              </w:tc>
              <w:tc>
                <w:tcPr>
                  <w:tcW w:w="583" w:type="pct"/>
                  <w:vAlign w:val="center"/>
                </w:tcPr>
                <w:p w14:paraId="7E2B902C">
                  <w:pPr>
                    <w:pStyle w:val="8"/>
                    <w:adjustRightInd w:val="0"/>
                    <w:snapToGrid w:val="0"/>
                  </w:pPr>
                  <w:r>
                    <w:rPr>
                      <w:rFonts w:hint="eastAsia"/>
                    </w:rPr>
                    <w:t>+1.7418</w:t>
                  </w:r>
                </w:p>
              </w:tc>
              <w:tc>
                <w:tcPr>
                  <w:tcW w:w="1938" w:type="pct"/>
                  <w:vMerge w:val="continue"/>
                  <w:vAlign w:val="center"/>
                </w:tcPr>
                <w:p w14:paraId="1236E8D0">
                  <w:pPr>
                    <w:pStyle w:val="8"/>
                    <w:adjustRightInd w:val="0"/>
                    <w:snapToGrid w:val="0"/>
                  </w:pPr>
                </w:p>
              </w:tc>
            </w:tr>
            <w:bookmarkEnd w:id="229"/>
            <w:tr w14:paraId="4ADC5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296" w:type="pct"/>
                  <w:vMerge w:val="continue"/>
                  <w:vAlign w:val="center"/>
                </w:tcPr>
                <w:p w14:paraId="2CC5E9BC">
                  <w:pPr>
                    <w:pStyle w:val="8"/>
                    <w:adjustRightInd w:val="0"/>
                    <w:snapToGrid w:val="0"/>
                  </w:pPr>
                </w:p>
              </w:tc>
              <w:tc>
                <w:tcPr>
                  <w:tcW w:w="499" w:type="pct"/>
                  <w:vMerge w:val="continue"/>
                  <w:vAlign w:val="center"/>
                </w:tcPr>
                <w:p w14:paraId="43C0C1A0">
                  <w:pPr>
                    <w:pStyle w:val="8"/>
                    <w:adjustRightInd w:val="0"/>
                    <w:snapToGrid w:val="0"/>
                  </w:pPr>
                </w:p>
              </w:tc>
              <w:tc>
                <w:tcPr>
                  <w:tcW w:w="515" w:type="pct"/>
                  <w:vAlign w:val="center"/>
                </w:tcPr>
                <w:p w14:paraId="496A57C3">
                  <w:pPr>
                    <w:pStyle w:val="8"/>
                    <w:adjustRightInd w:val="0"/>
                    <w:snapToGrid w:val="0"/>
                  </w:pPr>
                  <w:r>
                    <w:rPr>
                      <w:rFonts w:hint="eastAsia"/>
                    </w:rPr>
                    <w:t>合计</w:t>
                  </w:r>
                </w:p>
              </w:tc>
              <w:tc>
                <w:tcPr>
                  <w:tcW w:w="582" w:type="pct"/>
                  <w:vAlign w:val="center"/>
                </w:tcPr>
                <w:p w14:paraId="1DADA179">
                  <w:pPr>
                    <w:pStyle w:val="8"/>
                    <w:adjustRightInd w:val="0"/>
                    <w:snapToGrid w:val="0"/>
                  </w:pPr>
                  <w:bookmarkStart w:id="230" w:name="OLE_LINK59"/>
                  <w:bookmarkStart w:id="231" w:name="OLE_LINK114"/>
                  <w:r>
                    <w:rPr>
                      <w:rFonts w:hint="eastAsia"/>
                    </w:rPr>
                    <w:t>0.</w:t>
                  </w:r>
                  <w:bookmarkEnd w:id="230"/>
                  <w:r>
                    <w:rPr>
                      <w:rFonts w:hint="eastAsia"/>
                    </w:rPr>
                    <w:t>0999</w:t>
                  </w:r>
                  <w:bookmarkEnd w:id="231"/>
                </w:p>
              </w:tc>
              <w:tc>
                <w:tcPr>
                  <w:tcW w:w="985" w:type="dxa"/>
                  <w:vAlign w:val="center"/>
                </w:tcPr>
                <w:p w14:paraId="5BA97DE9">
                  <w:pPr>
                    <w:pStyle w:val="8"/>
                    <w:adjustRightInd w:val="0"/>
                    <w:snapToGrid w:val="0"/>
                  </w:pPr>
                  <w:bookmarkStart w:id="232" w:name="OLE_LINK47"/>
                  <w:r>
                    <w:rPr>
                      <w:rFonts w:hint="eastAsia"/>
                    </w:rPr>
                    <w:t>2.271</w:t>
                  </w:r>
                  <w:bookmarkEnd w:id="232"/>
                </w:p>
              </w:tc>
              <w:tc>
                <w:tcPr>
                  <w:tcW w:w="583" w:type="pct"/>
                  <w:vAlign w:val="center"/>
                </w:tcPr>
                <w:p w14:paraId="58EC1DFF">
                  <w:pPr>
                    <w:pStyle w:val="8"/>
                    <w:adjustRightInd w:val="0"/>
                    <w:snapToGrid w:val="0"/>
                  </w:pPr>
                  <w:r>
                    <w:t>+2.1</w:t>
                  </w:r>
                  <w:r>
                    <w:rPr>
                      <w:rFonts w:hint="eastAsia"/>
                    </w:rPr>
                    <w:t>711</w:t>
                  </w:r>
                </w:p>
              </w:tc>
              <w:tc>
                <w:tcPr>
                  <w:tcW w:w="1938" w:type="pct"/>
                  <w:vMerge w:val="continue"/>
                  <w:vAlign w:val="center"/>
                </w:tcPr>
                <w:p w14:paraId="5110D5ED">
                  <w:pPr>
                    <w:pStyle w:val="8"/>
                    <w:adjustRightInd w:val="0"/>
                    <w:snapToGrid w:val="0"/>
                  </w:pPr>
                </w:p>
              </w:tc>
            </w:tr>
            <w:tr w14:paraId="2A720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7"/>
                </w:tcPr>
                <w:p w14:paraId="2D2D7AAA">
                  <w:pPr>
                    <w:pStyle w:val="8"/>
                    <w:adjustRightInd w:val="0"/>
                    <w:snapToGrid w:val="0"/>
                  </w:pPr>
                  <w:r>
                    <w:rPr>
                      <w:rFonts w:hint="eastAsia"/>
                    </w:rPr>
                    <w:t>注：1、按项目每年生产时间250天计算；2、非甲烷总烃以</w:t>
                  </w:r>
                  <w:r>
                    <w:t>VOCs</w:t>
                  </w:r>
                  <w:r>
                    <w:rPr>
                      <w:rFonts w:hint="eastAsia"/>
                    </w:rPr>
                    <w:t>表征</w:t>
                  </w:r>
                </w:p>
              </w:tc>
            </w:tr>
          </w:tbl>
          <w:p w14:paraId="507F523F">
            <w:pPr>
              <w:ind w:firstLine="0" w:firstLineChars="0"/>
            </w:pPr>
          </w:p>
        </w:tc>
      </w:tr>
    </w:tbl>
    <w:p w14:paraId="7A3A7F1D">
      <w:pPr>
        <w:pStyle w:val="30"/>
        <w:spacing w:before="0" w:beforeAutospacing="0" w:after="0" w:afterAutospacing="0" w:line="240" w:lineRule="auto"/>
        <w:ind w:firstLine="0" w:firstLineChars="0"/>
        <w:jc w:val="center"/>
        <w:outlineLvl w:val="0"/>
        <w:rPr>
          <w:rFonts w:ascii="Times New Roman" w:hAnsi="Times New Roman"/>
          <w:snapToGrid w:val="0"/>
          <w:sz w:val="30"/>
          <w:szCs w:val="30"/>
        </w:rPr>
      </w:pPr>
      <w:r>
        <w:rPr>
          <w:rFonts w:ascii="Times New Roman" w:hAnsi="Times New Roman" w:eastAsia="黑体"/>
          <w:snapToGrid w:val="0"/>
          <w:sz w:val="36"/>
          <w:szCs w:val="36"/>
        </w:rPr>
        <w:br w:type="page"/>
      </w:r>
      <w:bookmarkStart w:id="233" w:name="_Toc21489"/>
      <w:bookmarkStart w:id="234" w:name="_Toc167267310"/>
      <w:bookmarkStart w:id="235" w:name="_Toc31392"/>
      <w:bookmarkStart w:id="236" w:name="_Toc28463"/>
      <w:bookmarkStart w:id="237" w:name="_Toc6941"/>
      <w:bookmarkStart w:id="238" w:name="_Toc1263"/>
      <w:r>
        <w:rPr>
          <w:rFonts w:ascii="Times New Roman" w:hAnsi="Times New Roman"/>
          <w:b/>
          <w:bCs/>
          <w:snapToGrid w:val="0"/>
          <w:sz w:val="30"/>
          <w:szCs w:val="30"/>
        </w:rPr>
        <w:t>四、主要环境影响和保护措施</w:t>
      </w:r>
      <w:bookmarkEnd w:id="233"/>
      <w:bookmarkEnd w:id="234"/>
      <w:bookmarkEnd w:id="235"/>
      <w:bookmarkEnd w:id="236"/>
      <w:bookmarkEnd w:id="237"/>
      <w:bookmarkEnd w:id="238"/>
    </w:p>
    <w:tbl>
      <w:tblPr>
        <w:tblStyle w:val="34"/>
        <w:tblW w:w="49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01"/>
        <w:gridCol w:w="8760"/>
      </w:tblGrid>
      <w:tr w14:paraId="445298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9" w:type="pct"/>
            <w:tcMar>
              <w:left w:w="28" w:type="dxa"/>
              <w:right w:w="28" w:type="dxa"/>
            </w:tcMar>
            <w:vAlign w:val="center"/>
          </w:tcPr>
          <w:p w14:paraId="04A5D155">
            <w:pPr>
              <w:spacing w:line="240" w:lineRule="auto"/>
              <w:ind w:firstLine="0" w:firstLineChars="0"/>
              <w:jc w:val="center"/>
            </w:pPr>
            <w:r>
              <w:t>施工</w:t>
            </w:r>
          </w:p>
          <w:p w14:paraId="1FBAFDC7">
            <w:pPr>
              <w:spacing w:line="240" w:lineRule="auto"/>
              <w:ind w:firstLine="0" w:firstLineChars="0"/>
              <w:jc w:val="center"/>
            </w:pPr>
            <w:r>
              <w:t>期环</w:t>
            </w:r>
          </w:p>
          <w:p w14:paraId="3BDCD74B">
            <w:pPr>
              <w:spacing w:line="240" w:lineRule="auto"/>
              <w:ind w:firstLine="0" w:firstLineChars="0"/>
              <w:jc w:val="center"/>
            </w:pPr>
            <w:r>
              <w:t>境保</w:t>
            </w:r>
          </w:p>
          <w:p w14:paraId="689A2111">
            <w:pPr>
              <w:spacing w:line="240" w:lineRule="auto"/>
              <w:ind w:firstLine="0" w:firstLineChars="0"/>
              <w:jc w:val="center"/>
            </w:pPr>
            <w:r>
              <w:t>护措</w:t>
            </w:r>
          </w:p>
          <w:p w14:paraId="5FBF6244">
            <w:pPr>
              <w:spacing w:line="240" w:lineRule="auto"/>
              <w:ind w:firstLine="0" w:firstLineChars="0"/>
              <w:jc w:val="center"/>
              <w:rPr>
                <w:bCs/>
              </w:rPr>
            </w:pPr>
            <w:r>
              <w:t>施</w:t>
            </w:r>
          </w:p>
        </w:tc>
        <w:tc>
          <w:tcPr>
            <w:tcW w:w="4781" w:type="pct"/>
            <w:vAlign w:val="center"/>
          </w:tcPr>
          <w:p w14:paraId="029F4E4D">
            <w:pPr>
              <w:pStyle w:val="109"/>
              <w:adjustRightInd w:val="0"/>
              <w:snapToGrid w:val="0"/>
              <w:spacing w:line="360" w:lineRule="auto"/>
              <w:ind w:firstLine="476" w:firstLineChars="200"/>
              <w:jc w:val="left"/>
              <w:rPr>
                <w:rFonts w:ascii="Times New Roman" w:hAnsi="Times New Roman" w:cs="Times New Roman"/>
                <w:spacing w:val="-1"/>
                <w:sz w:val="24"/>
                <w:szCs w:val="24"/>
              </w:rPr>
            </w:pPr>
            <w:r>
              <w:rPr>
                <w:rFonts w:ascii="Times New Roman" w:hAnsi="Times New Roman" w:cs="Times New Roman"/>
                <w:spacing w:val="-1"/>
                <w:sz w:val="24"/>
                <w:szCs w:val="24"/>
              </w:rPr>
              <w:t>本项目</w:t>
            </w:r>
            <w:r>
              <w:rPr>
                <w:rFonts w:hint="eastAsia" w:ascii="Times New Roman" w:hAnsi="Times New Roman" w:cs="Times New Roman"/>
                <w:spacing w:val="-1"/>
                <w:sz w:val="24"/>
                <w:szCs w:val="24"/>
              </w:rPr>
              <w:t>租赁</w:t>
            </w:r>
            <w:r>
              <w:rPr>
                <w:rFonts w:ascii="Times New Roman" w:hAnsi="Times New Roman" w:cs="Times New Roman"/>
                <w:spacing w:val="-1"/>
                <w:sz w:val="24"/>
                <w:szCs w:val="24"/>
              </w:rPr>
              <w:t>已建厂房</w:t>
            </w:r>
            <w:r>
              <w:rPr>
                <w:rFonts w:hint="eastAsia" w:ascii="Times New Roman" w:hAnsi="Times New Roman" w:cs="Times New Roman"/>
                <w:spacing w:val="-1"/>
                <w:sz w:val="24"/>
                <w:szCs w:val="24"/>
              </w:rPr>
              <w:t>进行生产</w:t>
            </w:r>
            <w:r>
              <w:rPr>
                <w:rFonts w:ascii="Times New Roman" w:hAnsi="Times New Roman" w:cs="Times New Roman"/>
                <w:spacing w:val="-1"/>
                <w:sz w:val="24"/>
                <w:szCs w:val="24"/>
              </w:rPr>
              <w:t>，</w:t>
            </w:r>
            <w:r>
              <w:rPr>
                <w:rFonts w:hint="eastAsia" w:ascii="Times New Roman" w:hAnsi="Times New Roman" w:cs="Times New Roman"/>
                <w:spacing w:val="-1"/>
                <w:sz w:val="24"/>
                <w:szCs w:val="24"/>
              </w:rPr>
              <w:t>不涉及土建施工，故不作分析。</w:t>
            </w:r>
          </w:p>
        </w:tc>
      </w:tr>
      <w:tr w14:paraId="47EA42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39" w:hRule="atLeast"/>
          <w:jc w:val="center"/>
        </w:trPr>
        <w:tc>
          <w:tcPr>
            <w:tcW w:w="219" w:type="pct"/>
            <w:tcMar>
              <w:left w:w="28" w:type="dxa"/>
              <w:right w:w="28" w:type="dxa"/>
            </w:tcMar>
            <w:vAlign w:val="center"/>
          </w:tcPr>
          <w:p w14:paraId="6764A81C">
            <w:pPr>
              <w:adjustRightInd w:val="0"/>
              <w:snapToGrid w:val="0"/>
              <w:spacing w:line="240" w:lineRule="auto"/>
              <w:ind w:firstLine="0" w:firstLineChars="0"/>
              <w:jc w:val="center"/>
              <w:rPr>
                <w:bCs/>
              </w:rPr>
            </w:pPr>
            <w:r>
              <w:rPr>
                <w:rFonts w:hint="eastAsia"/>
                <w:bCs/>
              </w:rPr>
              <w:t>运营</w:t>
            </w:r>
          </w:p>
          <w:p w14:paraId="0CBD0C9F">
            <w:pPr>
              <w:adjustRightInd w:val="0"/>
              <w:snapToGrid w:val="0"/>
              <w:spacing w:line="240" w:lineRule="auto"/>
              <w:ind w:firstLine="0" w:firstLineChars="0"/>
              <w:jc w:val="center"/>
              <w:rPr>
                <w:bCs/>
              </w:rPr>
            </w:pPr>
            <w:r>
              <w:rPr>
                <w:bCs/>
              </w:rPr>
              <w:t>期环</w:t>
            </w:r>
          </w:p>
          <w:p w14:paraId="4B6DF37F">
            <w:pPr>
              <w:adjustRightInd w:val="0"/>
              <w:snapToGrid w:val="0"/>
              <w:spacing w:line="240" w:lineRule="auto"/>
              <w:ind w:firstLine="0" w:firstLineChars="0"/>
              <w:jc w:val="center"/>
              <w:rPr>
                <w:bCs/>
              </w:rPr>
            </w:pPr>
            <w:r>
              <w:rPr>
                <w:bCs/>
              </w:rPr>
              <w:t>境影</w:t>
            </w:r>
          </w:p>
          <w:p w14:paraId="15C26228">
            <w:pPr>
              <w:adjustRightInd w:val="0"/>
              <w:snapToGrid w:val="0"/>
              <w:spacing w:line="240" w:lineRule="auto"/>
              <w:ind w:firstLine="0" w:firstLineChars="0"/>
              <w:jc w:val="center"/>
              <w:rPr>
                <w:bCs/>
              </w:rPr>
            </w:pPr>
            <w:r>
              <w:rPr>
                <w:bCs/>
              </w:rPr>
              <w:t>响和</w:t>
            </w:r>
          </w:p>
          <w:p w14:paraId="4FAD8170">
            <w:pPr>
              <w:adjustRightInd w:val="0"/>
              <w:snapToGrid w:val="0"/>
              <w:spacing w:line="240" w:lineRule="auto"/>
              <w:ind w:firstLine="0" w:firstLineChars="0"/>
              <w:jc w:val="center"/>
              <w:rPr>
                <w:bCs/>
              </w:rPr>
            </w:pPr>
            <w:r>
              <w:rPr>
                <w:bCs/>
              </w:rPr>
              <w:t>保护</w:t>
            </w:r>
            <w:r>
              <w:rPr>
                <w:rFonts w:hint="eastAsia"/>
                <w:bCs/>
              </w:rPr>
              <w:t>措施</w:t>
            </w:r>
          </w:p>
          <w:p w14:paraId="043246C7">
            <w:pPr>
              <w:adjustRightInd w:val="0"/>
              <w:snapToGrid w:val="0"/>
              <w:ind w:firstLine="480"/>
              <w:jc w:val="center"/>
              <w:rPr>
                <w:bCs/>
              </w:rPr>
            </w:pPr>
          </w:p>
        </w:tc>
        <w:tc>
          <w:tcPr>
            <w:tcW w:w="4781" w:type="pct"/>
            <w:vAlign w:val="center"/>
          </w:tcPr>
          <w:p w14:paraId="566434ED">
            <w:pPr>
              <w:ind w:firstLine="482"/>
              <w:rPr>
                <w:b/>
                <w:bCs/>
                <w:snapToGrid w:val="0"/>
              </w:rPr>
            </w:pPr>
            <w:r>
              <w:rPr>
                <w:rFonts w:hint="eastAsia"/>
                <w:b/>
                <w:bCs/>
                <w:snapToGrid w:val="0"/>
              </w:rPr>
              <w:t>一、大气污染物</w:t>
            </w:r>
          </w:p>
          <w:p w14:paraId="41155B26">
            <w:pPr>
              <w:autoSpaceDE w:val="0"/>
              <w:autoSpaceDN w:val="0"/>
              <w:ind w:firstLine="482"/>
              <w:jc w:val="both"/>
              <w:rPr>
                <w:b/>
                <w:kern w:val="0"/>
                <w:szCs w:val="20"/>
              </w:rPr>
            </w:pPr>
            <w:r>
              <w:rPr>
                <w:rFonts w:hint="eastAsia"/>
                <w:b/>
                <w:kern w:val="0"/>
                <w:szCs w:val="20"/>
              </w:rPr>
              <w:t>1、</w:t>
            </w:r>
            <w:r>
              <w:rPr>
                <w:rFonts w:hint="eastAsia"/>
                <w:b/>
              </w:rPr>
              <w:t>废气</w:t>
            </w:r>
            <w:r>
              <w:rPr>
                <w:b/>
              </w:rPr>
              <w:t>污染物产排</w:t>
            </w:r>
            <w:r>
              <w:rPr>
                <w:rFonts w:hint="eastAsia"/>
                <w:b/>
              </w:rPr>
              <w:t>污</w:t>
            </w:r>
            <w:r>
              <w:rPr>
                <w:b/>
              </w:rPr>
              <w:t>情况</w:t>
            </w:r>
          </w:p>
          <w:p w14:paraId="1761B8C4">
            <w:pPr>
              <w:ind w:firstLine="480"/>
              <w:jc w:val="both"/>
            </w:pPr>
            <w:r>
              <w:rPr>
                <w:rFonts w:hint="eastAsia"/>
              </w:rPr>
              <w:t>项目废气污染物产排污情况见下表所示：</w:t>
            </w:r>
          </w:p>
          <w:p w14:paraId="417374ED">
            <w:pPr>
              <w:pStyle w:val="16"/>
              <w:rPr>
                <w:kern w:val="2"/>
                <w:szCs w:val="24"/>
                <w:highlight w:val="yellow"/>
              </w:rPr>
            </w:pPr>
            <w:r>
              <w:rPr>
                <w:kern w:val="2"/>
                <w:szCs w:val="24"/>
              </w:rPr>
              <w:t>表4-</w:t>
            </w:r>
            <w:r>
              <w:rPr>
                <w:rFonts w:hint="eastAsia"/>
                <w:kern w:val="2"/>
                <w:szCs w:val="24"/>
              </w:rPr>
              <w:t>1</w:t>
            </w:r>
            <w:r>
              <w:rPr>
                <w:kern w:val="2"/>
                <w:szCs w:val="24"/>
              </w:rPr>
              <w:t xml:space="preserve"> 项目废气</w:t>
            </w:r>
            <w:r>
              <w:rPr>
                <w:rFonts w:hint="eastAsia"/>
                <w:kern w:val="2"/>
                <w:szCs w:val="24"/>
              </w:rPr>
              <w:t>污染源</w:t>
            </w:r>
            <w:r>
              <w:rPr>
                <w:kern w:val="2"/>
                <w:szCs w:val="24"/>
              </w:rPr>
              <w:t>产</w:t>
            </w:r>
            <w:r>
              <w:rPr>
                <w:rFonts w:hint="eastAsia"/>
                <w:kern w:val="2"/>
                <w:szCs w:val="24"/>
              </w:rPr>
              <w:t>排污</w:t>
            </w:r>
            <w:r>
              <w:rPr>
                <w:kern w:val="2"/>
                <w:szCs w:val="24"/>
              </w:rPr>
              <w:t>情况一览表</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416"/>
              <w:gridCol w:w="406"/>
              <w:gridCol w:w="405"/>
              <w:gridCol w:w="584"/>
              <w:gridCol w:w="667"/>
              <w:gridCol w:w="649"/>
              <w:gridCol w:w="522"/>
              <w:gridCol w:w="603"/>
              <w:gridCol w:w="369"/>
              <w:gridCol w:w="527"/>
              <w:gridCol w:w="621"/>
              <w:gridCol w:w="661"/>
              <w:gridCol w:w="649"/>
              <w:gridCol w:w="701"/>
              <w:gridCol w:w="754"/>
            </w:tblGrid>
            <w:tr w14:paraId="209E8BB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243" w:type="pct"/>
                  <w:vMerge w:val="restart"/>
                  <w:vAlign w:val="center"/>
                </w:tcPr>
                <w:p w14:paraId="5C72AE2D">
                  <w:pPr>
                    <w:pStyle w:val="8"/>
                    <w:rPr>
                      <w:b/>
                      <w:bCs/>
                    </w:rPr>
                  </w:pPr>
                  <w:r>
                    <w:rPr>
                      <w:rFonts w:hint="eastAsia"/>
                      <w:b/>
                      <w:bCs/>
                    </w:rPr>
                    <w:t>污染源</w:t>
                  </w:r>
                </w:p>
              </w:tc>
              <w:tc>
                <w:tcPr>
                  <w:tcW w:w="237" w:type="pct"/>
                  <w:vMerge w:val="restart"/>
                  <w:vAlign w:val="center"/>
                </w:tcPr>
                <w:p w14:paraId="16189AE2">
                  <w:pPr>
                    <w:pStyle w:val="8"/>
                    <w:rPr>
                      <w:b/>
                      <w:bCs/>
                    </w:rPr>
                  </w:pPr>
                  <w:r>
                    <w:rPr>
                      <w:b/>
                      <w:bCs/>
                    </w:rPr>
                    <w:t>产排污</w:t>
                  </w:r>
                  <w:r>
                    <w:rPr>
                      <w:rFonts w:hint="eastAsia"/>
                      <w:b/>
                      <w:bCs/>
                    </w:rPr>
                    <w:t>工序</w:t>
                  </w:r>
                </w:p>
              </w:tc>
              <w:tc>
                <w:tcPr>
                  <w:tcW w:w="237" w:type="pct"/>
                  <w:vMerge w:val="restart"/>
                  <w:vAlign w:val="center"/>
                </w:tcPr>
                <w:p w14:paraId="5C5B7EFC">
                  <w:pPr>
                    <w:pStyle w:val="8"/>
                    <w:rPr>
                      <w:b/>
                      <w:bCs/>
                    </w:rPr>
                  </w:pPr>
                  <w:r>
                    <w:rPr>
                      <w:b/>
                      <w:bCs/>
                    </w:rPr>
                    <w:t>污染物</w:t>
                  </w:r>
                </w:p>
              </w:tc>
              <w:tc>
                <w:tcPr>
                  <w:tcW w:w="1113" w:type="pct"/>
                  <w:gridSpan w:val="3"/>
                  <w:vAlign w:val="center"/>
                </w:tcPr>
                <w:p w14:paraId="5C058A1B">
                  <w:pPr>
                    <w:pStyle w:val="8"/>
                    <w:rPr>
                      <w:b/>
                      <w:bCs/>
                    </w:rPr>
                  </w:pPr>
                  <w:r>
                    <w:rPr>
                      <w:b/>
                      <w:bCs/>
                    </w:rPr>
                    <w:t>污染物产生量和浓度</w:t>
                  </w:r>
                </w:p>
              </w:tc>
              <w:tc>
                <w:tcPr>
                  <w:tcW w:w="1184" w:type="pct"/>
                  <w:gridSpan w:val="4"/>
                  <w:tcBorders>
                    <w:right w:val="single" w:color="auto" w:sz="4" w:space="0"/>
                  </w:tcBorders>
                  <w:vAlign w:val="center"/>
                </w:tcPr>
                <w:p w14:paraId="5F21E493">
                  <w:pPr>
                    <w:pStyle w:val="8"/>
                    <w:rPr>
                      <w:b/>
                      <w:bCs/>
                    </w:rPr>
                  </w:pPr>
                  <w:r>
                    <w:rPr>
                      <w:b/>
                      <w:bCs/>
                    </w:rPr>
                    <w:t>治理措施</w:t>
                  </w:r>
                </w:p>
              </w:tc>
              <w:tc>
                <w:tcPr>
                  <w:tcW w:w="1131" w:type="pct"/>
                  <w:gridSpan w:val="3"/>
                  <w:tcBorders>
                    <w:right w:val="single" w:color="auto" w:sz="4" w:space="0"/>
                  </w:tcBorders>
                  <w:vAlign w:val="center"/>
                </w:tcPr>
                <w:p w14:paraId="24208F5D">
                  <w:pPr>
                    <w:pStyle w:val="8"/>
                    <w:rPr>
                      <w:b/>
                      <w:bCs/>
                    </w:rPr>
                  </w:pPr>
                  <w:r>
                    <w:rPr>
                      <w:b/>
                      <w:bCs/>
                    </w:rPr>
                    <w:t>污染物排放情况</w:t>
                  </w:r>
                </w:p>
              </w:tc>
              <w:tc>
                <w:tcPr>
                  <w:tcW w:w="852" w:type="pct"/>
                  <w:gridSpan w:val="2"/>
                  <w:tcBorders>
                    <w:right w:val="single" w:color="auto" w:sz="4" w:space="0"/>
                  </w:tcBorders>
                  <w:vAlign w:val="center"/>
                </w:tcPr>
                <w:p w14:paraId="21CC47E2">
                  <w:pPr>
                    <w:pStyle w:val="8"/>
                    <w:rPr>
                      <w:b/>
                      <w:bCs/>
                    </w:rPr>
                  </w:pPr>
                  <w:r>
                    <w:rPr>
                      <w:rFonts w:hint="eastAsia"/>
                      <w:b/>
                      <w:bCs/>
                    </w:rPr>
                    <w:t>排放标准</w:t>
                  </w:r>
                </w:p>
              </w:tc>
            </w:tr>
            <w:tr w14:paraId="1D184FE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270" w:hRule="atLeast"/>
                <w:jc w:val="center"/>
              </w:trPr>
              <w:tc>
                <w:tcPr>
                  <w:tcW w:w="243" w:type="pct"/>
                  <w:vMerge w:val="continue"/>
                  <w:vAlign w:val="center"/>
                </w:tcPr>
                <w:p w14:paraId="6957E661">
                  <w:pPr>
                    <w:pStyle w:val="8"/>
                    <w:rPr>
                      <w:b/>
                      <w:bCs/>
                    </w:rPr>
                  </w:pPr>
                </w:p>
              </w:tc>
              <w:tc>
                <w:tcPr>
                  <w:tcW w:w="237" w:type="pct"/>
                  <w:vMerge w:val="continue"/>
                  <w:vAlign w:val="center"/>
                </w:tcPr>
                <w:p w14:paraId="30AC9659">
                  <w:pPr>
                    <w:pStyle w:val="8"/>
                    <w:rPr>
                      <w:b/>
                      <w:bCs/>
                    </w:rPr>
                  </w:pPr>
                </w:p>
              </w:tc>
              <w:tc>
                <w:tcPr>
                  <w:tcW w:w="237" w:type="pct"/>
                  <w:vMerge w:val="continue"/>
                  <w:vAlign w:val="center"/>
                </w:tcPr>
                <w:p w14:paraId="6BBC1ED0">
                  <w:pPr>
                    <w:pStyle w:val="8"/>
                    <w:rPr>
                      <w:b/>
                      <w:bCs/>
                    </w:rPr>
                  </w:pPr>
                </w:p>
              </w:tc>
              <w:tc>
                <w:tcPr>
                  <w:tcW w:w="342" w:type="pct"/>
                  <w:vAlign w:val="center"/>
                </w:tcPr>
                <w:p w14:paraId="1457DB0A">
                  <w:pPr>
                    <w:pStyle w:val="8"/>
                    <w:rPr>
                      <w:b/>
                      <w:bCs/>
                    </w:rPr>
                  </w:pPr>
                  <w:r>
                    <w:rPr>
                      <w:b/>
                      <w:bCs/>
                    </w:rPr>
                    <w:t>产生量t/a</w:t>
                  </w:r>
                </w:p>
              </w:tc>
              <w:tc>
                <w:tcPr>
                  <w:tcW w:w="390" w:type="pct"/>
                  <w:vAlign w:val="center"/>
                </w:tcPr>
                <w:p w14:paraId="77C75CDE">
                  <w:pPr>
                    <w:pStyle w:val="8"/>
                    <w:rPr>
                      <w:b/>
                      <w:bCs/>
                    </w:rPr>
                  </w:pPr>
                  <w:r>
                    <w:rPr>
                      <w:b/>
                      <w:bCs/>
                    </w:rPr>
                    <w:t>产生速率kg/h</w:t>
                  </w:r>
                </w:p>
              </w:tc>
              <w:tc>
                <w:tcPr>
                  <w:tcW w:w="380" w:type="pct"/>
                  <w:vAlign w:val="center"/>
                </w:tcPr>
                <w:p w14:paraId="5B534E72">
                  <w:pPr>
                    <w:pStyle w:val="8"/>
                    <w:rPr>
                      <w:b/>
                      <w:bCs/>
                    </w:rPr>
                  </w:pPr>
                  <w:r>
                    <w:rPr>
                      <w:b/>
                      <w:bCs/>
                    </w:rPr>
                    <w:t>产生浓度mg/m</w:t>
                  </w:r>
                  <w:r>
                    <w:rPr>
                      <w:b/>
                      <w:bCs/>
                      <w:vertAlign w:val="superscript"/>
                    </w:rPr>
                    <w:t>3</w:t>
                  </w:r>
                </w:p>
              </w:tc>
              <w:tc>
                <w:tcPr>
                  <w:tcW w:w="305" w:type="pct"/>
                  <w:tcBorders>
                    <w:right w:val="single" w:color="auto" w:sz="4" w:space="0"/>
                  </w:tcBorders>
                  <w:vAlign w:val="center"/>
                </w:tcPr>
                <w:p w14:paraId="7D1ACCFF">
                  <w:pPr>
                    <w:pStyle w:val="8"/>
                    <w:rPr>
                      <w:b/>
                      <w:bCs/>
                    </w:rPr>
                  </w:pPr>
                  <w:r>
                    <w:rPr>
                      <w:b/>
                      <w:bCs/>
                    </w:rPr>
                    <w:t>收集效率%</w:t>
                  </w:r>
                </w:p>
              </w:tc>
              <w:tc>
                <w:tcPr>
                  <w:tcW w:w="353" w:type="pct"/>
                  <w:tcBorders>
                    <w:left w:val="single" w:color="auto" w:sz="4" w:space="0"/>
                  </w:tcBorders>
                  <w:vAlign w:val="center"/>
                </w:tcPr>
                <w:p w14:paraId="5D128DD7">
                  <w:pPr>
                    <w:pStyle w:val="8"/>
                    <w:rPr>
                      <w:b/>
                      <w:bCs/>
                    </w:rPr>
                  </w:pPr>
                  <w:r>
                    <w:rPr>
                      <w:rFonts w:hint="eastAsia"/>
                      <w:b/>
                      <w:bCs/>
                    </w:rPr>
                    <w:t>风量</w:t>
                  </w:r>
                  <w:r>
                    <w:rPr>
                      <w:b/>
                      <w:bCs/>
                    </w:rPr>
                    <w:t>m</w:t>
                  </w:r>
                  <w:r>
                    <w:rPr>
                      <w:b/>
                      <w:bCs/>
                      <w:vertAlign w:val="superscript"/>
                    </w:rPr>
                    <w:t>3</w:t>
                  </w:r>
                  <w:r>
                    <w:rPr>
                      <w:b/>
                      <w:bCs/>
                    </w:rPr>
                    <w:t>/h</w:t>
                  </w:r>
                </w:p>
              </w:tc>
              <w:tc>
                <w:tcPr>
                  <w:tcW w:w="216" w:type="pct"/>
                  <w:vAlign w:val="center"/>
                </w:tcPr>
                <w:p w14:paraId="788118F9">
                  <w:pPr>
                    <w:pStyle w:val="8"/>
                    <w:rPr>
                      <w:b/>
                      <w:bCs/>
                    </w:rPr>
                  </w:pPr>
                  <w:r>
                    <w:rPr>
                      <w:b/>
                      <w:bCs/>
                    </w:rPr>
                    <w:t>处理工艺</w:t>
                  </w:r>
                </w:p>
              </w:tc>
              <w:tc>
                <w:tcPr>
                  <w:tcW w:w="308" w:type="pct"/>
                  <w:tcBorders>
                    <w:right w:val="single" w:color="auto" w:sz="4" w:space="0"/>
                  </w:tcBorders>
                  <w:vAlign w:val="center"/>
                </w:tcPr>
                <w:p w14:paraId="100F2553">
                  <w:pPr>
                    <w:pStyle w:val="8"/>
                    <w:rPr>
                      <w:b/>
                      <w:bCs/>
                    </w:rPr>
                  </w:pPr>
                  <w:r>
                    <w:rPr>
                      <w:b/>
                      <w:bCs/>
                    </w:rPr>
                    <w:t>处理效率%</w:t>
                  </w:r>
                </w:p>
              </w:tc>
              <w:tc>
                <w:tcPr>
                  <w:tcW w:w="363" w:type="pct"/>
                  <w:vAlign w:val="center"/>
                </w:tcPr>
                <w:p w14:paraId="5E34F355">
                  <w:pPr>
                    <w:pStyle w:val="8"/>
                    <w:rPr>
                      <w:b/>
                      <w:bCs/>
                    </w:rPr>
                  </w:pPr>
                  <w:r>
                    <w:rPr>
                      <w:b/>
                      <w:bCs/>
                    </w:rPr>
                    <w:t>排放量</w:t>
                  </w:r>
                </w:p>
                <w:p w14:paraId="291D6441">
                  <w:pPr>
                    <w:pStyle w:val="8"/>
                    <w:rPr>
                      <w:b/>
                      <w:bCs/>
                    </w:rPr>
                  </w:pPr>
                  <w:r>
                    <w:rPr>
                      <w:b/>
                      <w:bCs/>
                    </w:rPr>
                    <w:t>t/a</w:t>
                  </w:r>
                </w:p>
              </w:tc>
              <w:tc>
                <w:tcPr>
                  <w:tcW w:w="387" w:type="pct"/>
                  <w:tcBorders>
                    <w:right w:val="single" w:color="auto" w:sz="4" w:space="0"/>
                  </w:tcBorders>
                  <w:vAlign w:val="center"/>
                </w:tcPr>
                <w:p w14:paraId="260B8A8E">
                  <w:pPr>
                    <w:pStyle w:val="8"/>
                    <w:rPr>
                      <w:b/>
                      <w:bCs/>
                    </w:rPr>
                  </w:pPr>
                  <w:r>
                    <w:rPr>
                      <w:b/>
                      <w:bCs/>
                    </w:rPr>
                    <w:t>排放速率kg/h</w:t>
                  </w:r>
                </w:p>
              </w:tc>
              <w:tc>
                <w:tcPr>
                  <w:tcW w:w="380" w:type="pct"/>
                  <w:tcBorders>
                    <w:left w:val="single" w:color="auto" w:sz="4" w:space="0"/>
                    <w:right w:val="single" w:color="auto" w:sz="4" w:space="0"/>
                  </w:tcBorders>
                  <w:vAlign w:val="center"/>
                </w:tcPr>
                <w:p w14:paraId="53C8C650">
                  <w:pPr>
                    <w:pStyle w:val="8"/>
                    <w:rPr>
                      <w:b/>
                      <w:bCs/>
                    </w:rPr>
                  </w:pPr>
                  <w:r>
                    <w:rPr>
                      <w:b/>
                      <w:bCs/>
                    </w:rPr>
                    <w:t>排放浓度mg/m</w:t>
                  </w:r>
                  <w:r>
                    <w:rPr>
                      <w:b/>
                      <w:bCs/>
                      <w:vertAlign w:val="superscript"/>
                    </w:rPr>
                    <w:t>3</w:t>
                  </w:r>
                </w:p>
              </w:tc>
              <w:tc>
                <w:tcPr>
                  <w:tcW w:w="410" w:type="pct"/>
                  <w:tcBorders>
                    <w:left w:val="single" w:color="auto" w:sz="4" w:space="0"/>
                    <w:right w:val="single" w:color="auto" w:sz="4" w:space="0"/>
                  </w:tcBorders>
                  <w:shd w:val="clear" w:color="auto" w:fill="auto"/>
                  <w:vAlign w:val="center"/>
                </w:tcPr>
                <w:p w14:paraId="4002618B">
                  <w:pPr>
                    <w:pStyle w:val="8"/>
                    <w:rPr>
                      <w:b/>
                      <w:bCs/>
                    </w:rPr>
                  </w:pPr>
                  <w:r>
                    <w:rPr>
                      <w:b/>
                      <w:bCs/>
                      <w:color w:val="000000"/>
                      <w:szCs w:val="21"/>
                    </w:rPr>
                    <w:t>排放浓度mg/m</w:t>
                  </w:r>
                  <w:r>
                    <w:rPr>
                      <w:rFonts w:hint="eastAsia"/>
                      <w:b/>
                      <w:bCs/>
                      <w:color w:val="000000"/>
                      <w:szCs w:val="21"/>
                      <w:vertAlign w:val="superscript"/>
                    </w:rPr>
                    <w:t>3</w:t>
                  </w:r>
                </w:p>
              </w:tc>
              <w:tc>
                <w:tcPr>
                  <w:tcW w:w="441" w:type="pct"/>
                  <w:tcBorders>
                    <w:left w:val="single" w:color="auto" w:sz="4" w:space="0"/>
                    <w:right w:val="single" w:color="auto" w:sz="4" w:space="0"/>
                  </w:tcBorders>
                  <w:shd w:val="clear" w:color="auto" w:fill="auto"/>
                  <w:vAlign w:val="center"/>
                </w:tcPr>
                <w:p w14:paraId="55C14CA9">
                  <w:pPr>
                    <w:autoSpaceDE w:val="0"/>
                    <w:autoSpaceDN w:val="0"/>
                    <w:spacing w:line="240" w:lineRule="auto"/>
                    <w:ind w:firstLine="0" w:firstLineChars="0"/>
                    <w:jc w:val="center"/>
                    <w:textAlignment w:val="baseline"/>
                    <w:rPr>
                      <w:b/>
                      <w:color w:val="000000"/>
                      <w:kern w:val="0"/>
                      <w:sz w:val="21"/>
                      <w:szCs w:val="21"/>
                    </w:rPr>
                  </w:pPr>
                  <w:r>
                    <w:rPr>
                      <w:b/>
                      <w:color w:val="000000"/>
                      <w:kern w:val="0"/>
                      <w:sz w:val="21"/>
                      <w:szCs w:val="21"/>
                    </w:rPr>
                    <w:t>排放速率</w:t>
                  </w:r>
                </w:p>
                <w:p w14:paraId="73298DF8">
                  <w:pPr>
                    <w:pStyle w:val="8"/>
                    <w:rPr>
                      <w:b/>
                      <w:bCs/>
                    </w:rPr>
                  </w:pPr>
                  <w:r>
                    <w:rPr>
                      <w:b/>
                      <w:color w:val="000000"/>
                      <w:szCs w:val="21"/>
                    </w:rPr>
                    <w:t>kg/</w:t>
                  </w:r>
                  <w:r>
                    <w:rPr>
                      <w:rFonts w:hint="eastAsia"/>
                      <w:b/>
                      <w:color w:val="000000"/>
                      <w:szCs w:val="21"/>
                    </w:rPr>
                    <w:t>h</w:t>
                  </w:r>
                </w:p>
              </w:tc>
            </w:tr>
            <w:tr w14:paraId="76B9CB8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32" w:hRule="atLeast"/>
                <w:jc w:val="center"/>
              </w:trPr>
              <w:tc>
                <w:tcPr>
                  <w:tcW w:w="243" w:type="pct"/>
                  <w:vMerge w:val="restart"/>
                  <w:vAlign w:val="center"/>
                </w:tcPr>
                <w:p w14:paraId="76D478C6">
                  <w:pPr>
                    <w:pStyle w:val="8"/>
                  </w:pPr>
                  <w:r>
                    <w:t>DA001</w:t>
                  </w:r>
                </w:p>
              </w:tc>
              <w:tc>
                <w:tcPr>
                  <w:tcW w:w="237" w:type="pct"/>
                  <w:vMerge w:val="restart"/>
                  <w:vAlign w:val="center"/>
                </w:tcPr>
                <w:p w14:paraId="35503F04">
                  <w:pPr>
                    <w:pStyle w:val="8"/>
                  </w:pPr>
                  <w:r>
                    <w:rPr>
                      <w:rFonts w:hint="eastAsia"/>
                    </w:rPr>
                    <w:t>挤出、溶胶</w:t>
                  </w:r>
                </w:p>
              </w:tc>
              <w:tc>
                <w:tcPr>
                  <w:tcW w:w="237" w:type="pct"/>
                  <w:vAlign w:val="center"/>
                </w:tcPr>
                <w:p w14:paraId="156BCF2E">
                  <w:pPr>
                    <w:pStyle w:val="8"/>
                  </w:pPr>
                  <w:r>
                    <w:t>非甲烷总烃</w:t>
                  </w:r>
                </w:p>
              </w:tc>
              <w:tc>
                <w:tcPr>
                  <w:tcW w:w="342" w:type="pct"/>
                  <w:vAlign w:val="center"/>
                </w:tcPr>
                <w:p w14:paraId="5E14AFEE">
                  <w:pPr>
                    <w:pStyle w:val="8"/>
                  </w:pPr>
                  <w:r>
                    <w:rPr>
                      <w:rFonts w:hint="eastAsia"/>
                    </w:rPr>
                    <w:t>3.3</w:t>
                  </w:r>
                </w:p>
              </w:tc>
              <w:tc>
                <w:tcPr>
                  <w:tcW w:w="390" w:type="pct"/>
                  <w:vAlign w:val="center"/>
                </w:tcPr>
                <w:p w14:paraId="412739E7">
                  <w:pPr>
                    <w:pStyle w:val="8"/>
                  </w:pPr>
                  <w:r>
                    <w:rPr>
                      <w:rFonts w:hint="eastAsia"/>
                    </w:rPr>
                    <w:t>1.65</w:t>
                  </w:r>
                </w:p>
              </w:tc>
              <w:tc>
                <w:tcPr>
                  <w:tcW w:w="380" w:type="pct"/>
                  <w:vAlign w:val="center"/>
                </w:tcPr>
                <w:p w14:paraId="5AE6419A">
                  <w:pPr>
                    <w:pStyle w:val="8"/>
                  </w:pPr>
                  <w:r>
                    <w:rPr>
                      <w:rFonts w:hint="eastAsia"/>
                    </w:rPr>
                    <w:t>143.5</w:t>
                  </w:r>
                </w:p>
              </w:tc>
              <w:tc>
                <w:tcPr>
                  <w:tcW w:w="305" w:type="pct"/>
                  <w:tcBorders>
                    <w:bottom w:val="single" w:color="auto" w:sz="4" w:space="0"/>
                    <w:right w:val="single" w:color="auto" w:sz="4" w:space="0"/>
                  </w:tcBorders>
                  <w:vAlign w:val="center"/>
                </w:tcPr>
                <w:p w14:paraId="6B382CD1">
                  <w:pPr>
                    <w:pStyle w:val="8"/>
                    <w:rPr>
                      <w:color w:val="auto"/>
                    </w:rPr>
                  </w:pPr>
                  <w:r>
                    <w:rPr>
                      <w:rFonts w:hint="eastAsia"/>
                      <w:color w:val="auto"/>
                    </w:rPr>
                    <w:t>65</w:t>
                  </w:r>
                </w:p>
              </w:tc>
              <w:tc>
                <w:tcPr>
                  <w:tcW w:w="353" w:type="pct"/>
                  <w:tcBorders>
                    <w:left w:val="single" w:color="auto" w:sz="4" w:space="0"/>
                    <w:bottom w:val="single" w:color="auto" w:sz="4" w:space="0"/>
                  </w:tcBorders>
                  <w:vAlign w:val="center"/>
                </w:tcPr>
                <w:p w14:paraId="3EA3796F">
                  <w:pPr>
                    <w:pStyle w:val="8"/>
                    <w:rPr>
                      <w:color w:val="auto"/>
                    </w:rPr>
                  </w:pPr>
                  <w:r>
                    <w:rPr>
                      <w:rFonts w:hint="eastAsia"/>
                      <w:color w:val="auto"/>
                    </w:rPr>
                    <w:t>11500</w:t>
                  </w:r>
                </w:p>
              </w:tc>
              <w:tc>
                <w:tcPr>
                  <w:tcW w:w="216" w:type="pct"/>
                  <w:vMerge w:val="restart"/>
                  <w:vAlign w:val="center"/>
                </w:tcPr>
                <w:p w14:paraId="07757A7A">
                  <w:pPr>
                    <w:pStyle w:val="8"/>
                    <w:rPr>
                      <w:color w:val="auto"/>
                    </w:rPr>
                  </w:pPr>
                  <w:r>
                    <w:rPr>
                      <w:rFonts w:hint="eastAsia"/>
                      <w:color w:val="auto"/>
                    </w:rPr>
                    <w:t>水喷淋+干式过滤器+二级活性炭</w:t>
                  </w:r>
                </w:p>
              </w:tc>
              <w:tc>
                <w:tcPr>
                  <w:tcW w:w="308" w:type="pct"/>
                  <w:tcBorders>
                    <w:bottom w:val="single" w:color="auto" w:sz="4" w:space="0"/>
                    <w:right w:val="single" w:color="auto" w:sz="4" w:space="0"/>
                  </w:tcBorders>
                  <w:vAlign w:val="center"/>
                </w:tcPr>
                <w:p w14:paraId="3607FF19">
                  <w:pPr>
                    <w:pStyle w:val="8"/>
                    <w:rPr>
                      <w:color w:val="auto"/>
                    </w:rPr>
                  </w:pPr>
                  <w:r>
                    <w:rPr>
                      <w:rFonts w:hint="eastAsia"/>
                      <w:color w:val="auto"/>
                    </w:rPr>
                    <w:t>85</w:t>
                  </w:r>
                </w:p>
              </w:tc>
              <w:tc>
                <w:tcPr>
                  <w:tcW w:w="363" w:type="pct"/>
                  <w:vAlign w:val="center"/>
                </w:tcPr>
                <w:p w14:paraId="6CCAEA50">
                  <w:pPr>
                    <w:pStyle w:val="8"/>
                    <w:rPr>
                      <w:color w:val="auto"/>
                    </w:rPr>
                  </w:pPr>
                  <w:r>
                    <w:rPr>
                      <w:rFonts w:hint="eastAsia"/>
                      <w:color w:val="auto"/>
                    </w:rPr>
                    <w:t>0.495</w:t>
                  </w:r>
                </w:p>
              </w:tc>
              <w:tc>
                <w:tcPr>
                  <w:tcW w:w="387" w:type="pct"/>
                  <w:tcBorders>
                    <w:right w:val="single" w:color="auto" w:sz="4" w:space="0"/>
                  </w:tcBorders>
                  <w:vAlign w:val="center"/>
                </w:tcPr>
                <w:p w14:paraId="6CE8CB32">
                  <w:pPr>
                    <w:pStyle w:val="8"/>
                    <w:rPr>
                      <w:color w:val="auto"/>
                    </w:rPr>
                  </w:pPr>
                  <w:r>
                    <w:rPr>
                      <w:rFonts w:hint="eastAsia"/>
                      <w:color w:val="auto"/>
                    </w:rPr>
                    <w:t>0.2475</w:t>
                  </w:r>
                </w:p>
              </w:tc>
              <w:tc>
                <w:tcPr>
                  <w:tcW w:w="380" w:type="pct"/>
                  <w:tcBorders>
                    <w:left w:val="single" w:color="auto" w:sz="4" w:space="0"/>
                  </w:tcBorders>
                  <w:vAlign w:val="center"/>
                </w:tcPr>
                <w:p w14:paraId="5C3476A3">
                  <w:pPr>
                    <w:pStyle w:val="8"/>
                    <w:rPr>
                      <w:color w:val="auto"/>
                    </w:rPr>
                  </w:pPr>
                  <w:r>
                    <w:rPr>
                      <w:rFonts w:hint="eastAsia"/>
                      <w:color w:val="auto"/>
                    </w:rPr>
                    <w:t>21.52</w:t>
                  </w:r>
                </w:p>
              </w:tc>
              <w:tc>
                <w:tcPr>
                  <w:tcW w:w="410" w:type="pct"/>
                  <w:tcBorders>
                    <w:left w:val="single" w:color="auto" w:sz="4" w:space="0"/>
                    <w:right w:val="single" w:color="auto" w:sz="4" w:space="0"/>
                  </w:tcBorders>
                  <w:vAlign w:val="center"/>
                </w:tcPr>
                <w:p w14:paraId="0F943613">
                  <w:pPr>
                    <w:pStyle w:val="8"/>
                  </w:pPr>
                  <w:r>
                    <w:rPr>
                      <w:rFonts w:hint="eastAsia"/>
                    </w:rPr>
                    <w:t>60</w:t>
                  </w:r>
                </w:p>
              </w:tc>
              <w:tc>
                <w:tcPr>
                  <w:tcW w:w="441" w:type="pct"/>
                  <w:tcBorders>
                    <w:left w:val="single" w:color="auto" w:sz="4" w:space="0"/>
                  </w:tcBorders>
                  <w:vAlign w:val="center"/>
                </w:tcPr>
                <w:p w14:paraId="4FF97C51">
                  <w:pPr>
                    <w:pStyle w:val="8"/>
                  </w:pPr>
                  <w:r>
                    <w:rPr>
                      <w:rFonts w:hint="eastAsia"/>
                    </w:rPr>
                    <w:t>/</w:t>
                  </w:r>
                </w:p>
              </w:tc>
            </w:tr>
            <w:tr w14:paraId="5005867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98" w:hRule="atLeast"/>
                <w:jc w:val="center"/>
              </w:trPr>
              <w:tc>
                <w:tcPr>
                  <w:tcW w:w="243" w:type="pct"/>
                  <w:vMerge w:val="continue"/>
                  <w:vAlign w:val="center"/>
                </w:tcPr>
                <w:p w14:paraId="55AA0354">
                  <w:pPr>
                    <w:pStyle w:val="8"/>
                  </w:pPr>
                </w:p>
              </w:tc>
              <w:tc>
                <w:tcPr>
                  <w:tcW w:w="237" w:type="pct"/>
                  <w:vMerge w:val="continue"/>
                  <w:vAlign w:val="center"/>
                </w:tcPr>
                <w:p w14:paraId="50C48BC8">
                  <w:pPr>
                    <w:pStyle w:val="8"/>
                  </w:pPr>
                </w:p>
              </w:tc>
              <w:tc>
                <w:tcPr>
                  <w:tcW w:w="237" w:type="pct"/>
                  <w:vAlign w:val="center"/>
                </w:tcPr>
                <w:p w14:paraId="6FB58DB9">
                  <w:pPr>
                    <w:pStyle w:val="8"/>
                  </w:pPr>
                  <w:r>
                    <w:t>臭气浓度</w:t>
                  </w:r>
                </w:p>
              </w:tc>
              <w:tc>
                <w:tcPr>
                  <w:tcW w:w="1113" w:type="pct"/>
                  <w:gridSpan w:val="3"/>
                  <w:vAlign w:val="center"/>
                </w:tcPr>
                <w:p w14:paraId="26FAD801">
                  <w:pPr>
                    <w:pStyle w:val="8"/>
                  </w:pPr>
                  <w:r>
                    <w:t>少量</w:t>
                  </w:r>
                </w:p>
              </w:tc>
              <w:tc>
                <w:tcPr>
                  <w:tcW w:w="305" w:type="pct"/>
                  <w:tcBorders>
                    <w:top w:val="single" w:color="auto" w:sz="4" w:space="0"/>
                    <w:right w:val="single" w:color="auto" w:sz="4" w:space="0"/>
                  </w:tcBorders>
                  <w:vAlign w:val="center"/>
                </w:tcPr>
                <w:p w14:paraId="5A613500">
                  <w:pPr>
                    <w:pStyle w:val="8"/>
                    <w:rPr>
                      <w:color w:val="auto"/>
                    </w:rPr>
                  </w:pPr>
                  <w:r>
                    <w:rPr>
                      <w:rFonts w:hint="eastAsia"/>
                      <w:color w:val="auto"/>
                    </w:rPr>
                    <w:t>/</w:t>
                  </w:r>
                </w:p>
              </w:tc>
              <w:tc>
                <w:tcPr>
                  <w:tcW w:w="353" w:type="pct"/>
                  <w:tcBorders>
                    <w:top w:val="single" w:color="auto" w:sz="4" w:space="0"/>
                    <w:left w:val="single" w:color="auto" w:sz="4" w:space="0"/>
                  </w:tcBorders>
                  <w:vAlign w:val="center"/>
                </w:tcPr>
                <w:p w14:paraId="0363B326">
                  <w:pPr>
                    <w:pStyle w:val="8"/>
                    <w:rPr>
                      <w:color w:val="auto"/>
                    </w:rPr>
                  </w:pPr>
                  <w:r>
                    <w:rPr>
                      <w:rFonts w:hint="eastAsia"/>
                      <w:color w:val="auto"/>
                    </w:rPr>
                    <w:t>/</w:t>
                  </w:r>
                </w:p>
              </w:tc>
              <w:tc>
                <w:tcPr>
                  <w:tcW w:w="216" w:type="pct"/>
                  <w:vMerge w:val="continue"/>
                  <w:vAlign w:val="center"/>
                </w:tcPr>
                <w:p w14:paraId="294568E1">
                  <w:pPr>
                    <w:pStyle w:val="8"/>
                    <w:rPr>
                      <w:color w:val="auto"/>
                    </w:rPr>
                  </w:pPr>
                </w:p>
              </w:tc>
              <w:tc>
                <w:tcPr>
                  <w:tcW w:w="308" w:type="pct"/>
                  <w:tcBorders>
                    <w:top w:val="single" w:color="auto" w:sz="4" w:space="0"/>
                    <w:right w:val="single" w:color="auto" w:sz="4" w:space="0"/>
                  </w:tcBorders>
                  <w:vAlign w:val="center"/>
                </w:tcPr>
                <w:p w14:paraId="16825D10">
                  <w:pPr>
                    <w:pStyle w:val="8"/>
                    <w:rPr>
                      <w:color w:val="auto"/>
                    </w:rPr>
                  </w:pPr>
                  <w:r>
                    <w:rPr>
                      <w:rFonts w:hint="eastAsia"/>
                      <w:color w:val="auto"/>
                    </w:rPr>
                    <w:t>/</w:t>
                  </w:r>
                </w:p>
              </w:tc>
              <w:tc>
                <w:tcPr>
                  <w:tcW w:w="1131" w:type="pct"/>
                  <w:gridSpan w:val="3"/>
                  <w:vAlign w:val="center"/>
                </w:tcPr>
                <w:p w14:paraId="77EE592E">
                  <w:pPr>
                    <w:pStyle w:val="8"/>
                    <w:rPr>
                      <w:color w:val="auto"/>
                    </w:rPr>
                  </w:pPr>
                  <w:r>
                    <w:rPr>
                      <w:color w:val="auto"/>
                    </w:rPr>
                    <w:t>少量</w:t>
                  </w:r>
                </w:p>
              </w:tc>
              <w:tc>
                <w:tcPr>
                  <w:tcW w:w="852" w:type="pct"/>
                  <w:gridSpan w:val="2"/>
                  <w:vAlign w:val="center"/>
                </w:tcPr>
                <w:p w14:paraId="4BAC0537">
                  <w:pPr>
                    <w:pStyle w:val="8"/>
                  </w:pPr>
                  <w:r>
                    <w:rPr>
                      <w:rFonts w:hint="eastAsia"/>
                      <w:lang w:val="en-US" w:eastAsia="zh-CN"/>
                    </w:rPr>
                    <w:t>6</w:t>
                  </w:r>
                  <w:r>
                    <w:rPr>
                      <w:rFonts w:hint="eastAsia"/>
                    </w:rPr>
                    <w:t>000(无量纲)</w:t>
                  </w:r>
                </w:p>
              </w:tc>
            </w:tr>
            <w:tr w14:paraId="6C18C61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1412" w:hRule="atLeast"/>
                <w:jc w:val="center"/>
              </w:trPr>
              <w:tc>
                <w:tcPr>
                  <w:tcW w:w="243" w:type="pct"/>
                  <w:vMerge w:val="continue"/>
                  <w:tcBorders>
                    <w:bottom w:val="single" w:color="auto" w:sz="4" w:space="0"/>
                  </w:tcBorders>
                  <w:vAlign w:val="center"/>
                </w:tcPr>
                <w:p w14:paraId="32C5AEFC">
                  <w:pPr>
                    <w:pStyle w:val="8"/>
                  </w:pPr>
                  <w:bookmarkStart w:id="239" w:name="OLE_LINK43" w:colFirst="9" w:colLast="12"/>
                </w:p>
              </w:tc>
              <w:tc>
                <w:tcPr>
                  <w:tcW w:w="237" w:type="pct"/>
                  <w:shd w:val="clear" w:color="auto" w:fill="auto"/>
                  <w:vAlign w:val="center"/>
                </w:tcPr>
                <w:p w14:paraId="6B786F87">
                  <w:pPr>
                    <w:pStyle w:val="8"/>
                  </w:pPr>
                  <w:r>
                    <w:rPr>
                      <w:rFonts w:hint="eastAsia"/>
                    </w:rPr>
                    <w:t>投料、破碎</w:t>
                  </w:r>
                </w:p>
              </w:tc>
              <w:tc>
                <w:tcPr>
                  <w:tcW w:w="237" w:type="pct"/>
                  <w:shd w:val="clear" w:color="auto" w:fill="auto"/>
                  <w:vAlign w:val="center"/>
                </w:tcPr>
                <w:p w14:paraId="7FDF9B88">
                  <w:pPr>
                    <w:pStyle w:val="8"/>
                  </w:pPr>
                  <w:r>
                    <w:rPr>
                      <w:rFonts w:hint="eastAsia"/>
                    </w:rPr>
                    <w:t>颗粒物</w:t>
                  </w:r>
                </w:p>
              </w:tc>
              <w:tc>
                <w:tcPr>
                  <w:tcW w:w="342" w:type="pct"/>
                  <w:vAlign w:val="center"/>
                </w:tcPr>
                <w:p w14:paraId="7F41A8D5">
                  <w:pPr>
                    <w:pStyle w:val="8"/>
                  </w:pPr>
                  <w:r>
                    <w:rPr>
                      <w:rFonts w:hint="eastAsia"/>
                    </w:rPr>
                    <w:t>0.6594</w:t>
                  </w:r>
                </w:p>
              </w:tc>
              <w:tc>
                <w:tcPr>
                  <w:tcW w:w="390" w:type="pct"/>
                  <w:vAlign w:val="center"/>
                </w:tcPr>
                <w:p w14:paraId="2FC40BF5">
                  <w:pPr>
                    <w:pStyle w:val="8"/>
                  </w:pPr>
                  <w:r>
                    <w:rPr>
                      <w:rFonts w:hint="eastAsia"/>
                    </w:rPr>
                    <w:t>0.6594</w:t>
                  </w:r>
                </w:p>
              </w:tc>
              <w:tc>
                <w:tcPr>
                  <w:tcW w:w="380" w:type="pct"/>
                  <w:vAlign w:val="center"/>
                </w:tcPr>
                <w:p w14:paraId="07583634">
                  <w:pPr>
                    <w:pStyle w:val="8"/>
                  </w:pPr>
                  <w:r>
                    <w:rPr>
                      <w:rFonts w:hint="eastAsia"/>
                    </w:rPr>
                    <w:t>57.34</w:t>
                  </w:r>
                </w:p>
              </w:tc>
              <w:tc>
                <w:tcPr>
                  <w:tcW w:w="305" w:type="pct"/>
                  <w:tcBorders>
                    <w:bottom w:val="single" w:color="auto" w:sz="4" w:space="0"/>
                    <w:right w:val="single" w:color="auto" w:sz="4" w:space="0"/>
                  </w:tcBorders>
                  <w:vAlign w:val="center"/>
                </w:tcPr>
                <w:p w14:paraId="383AF746">
                  <w:pPr>
                    <w:pStyle w:val="8"/>
                    <w:rPr>
                      <w:color w:val="auto"/>
                    </w:rPr>
                  </w:pPr>
                  <w:r>
                    <w:rPr>
                      <w:rFonts w:hint="eastAsia"/>
                      <w:color w:val="auto"/>
                    </w:rPr>
                    <w:t>65</w:t>
                  </w:r>
                </w:p>
              </w:tc>
              <w:tc>
                <w:tcPr>
                  <w:tcW w:w="353" w:type="pct"/>
                  <w:tcBorders>
                    <w:left w:val="single" w:color="auto" w:sz="4" w:space="0"/>
                  </w:tcBorders>
                  <w:vAlign w:val="center"/>
                </w:tcPr>
                <w:p w14:paraId="1D34506C">
                  <w:pPr>
                    <w:pStyle w:val="8"/>
                    <w:rPr>
                      <w:color w:val="auto"/>
                    </w:rPr>
                  </w:pPr>
                  <w:r>
                    <w:rPr>
                      <w:rFonts w:hint="eastAsia"/>
                      <w:color w:val="auto"/>
                    </w:rPr>
                    <w:t>11500</w:t>
                  </w:r>
                </w:p>
              </w:tc>
              <w:tc>
                <w:tcPr>
                  <w:tcW w:w="216" w:type="pct"/>
                  <w:vMerge w:val="continue"/>
                  <w:vAlign w:val="center"/>
                </w:tcPr>
                <w:p w14:paraId="5D091359">
                  <w:pPr>
                    <w:pStyle w:val="8"/>
                    <w:rPr>
                      <w:color w:val="auto"/>
                    </w:rPr>
                  </w:pPr>
                </w:p>
              </w:tc>
              <w:tc>
                <w:tcPr>
                  <w:tcW w:w="308" w:type="pct"/>
                  <w:tcBorders>
                    <w:bottom w:val="single" w:color="auto" w:sz="4" w:space="0"/>
                    <w:right w:val="single" w:color="auto" w:sz="4" w:space="0"/>
                  </w:tcBorders>
                  <w:vAlign w:val="center"/>
                </w:tcPr>
                <w:p w14:paraId="66E19E38">
                  <w:pPr>
                    <w:pStyle w:val="8"/>
                    <w:rPr>
                      <w:color w:val="auto"/>
                    </w:rPr>
                  </w:pPr>
                  <w:r>
                    <w:rPr>
                      <w:rFonts w:hint="eastAsia"/>
                      <w:color w:val="auto"/>
                    </w:rPr>
                    <w:t>95</w:t>
                  </w:r>
                </w:p>
              </w:tc>
              <w:tc>
                <w:tcPr>
                  <w:tcW w:w="363" w:type="pct"/>
                  <w:vAlign w:val="center"/>
                </w:tcPr>
                <w:p w14:paraId="258D9F1F">
                  <w:pPr>
                    <w:pStyle w:val="8"/>
                    <w:rPr>
                      <w:color w:val="auto"/>
                    </w:rPr>
                  </w:pPr>
                  <w:r>
                    <w:rPr>
                      <w:rFonts w:hint="eastAsia"/>
                      <w:color w:val="auto"/>
                    </w:rPr>
                    <w:t>0.033</w:t>
                  </w:r>
                </w:p>
              </w:tc>
              <w:tc>
                <w:tcPr>
                  <w:tcW w:w="387" w:type="pct"/>
                  <w:tcBorders>
                    <w:right w:val="single" w:color="auto" w:sz="4" w:space="0"/>
                  </w:tcBorders>
                  <w:vAlign w:val="center"/>
                </w:tcPr>
                <w:p w14:paraId="0866DED5">
                  <w:pPr>
                    <w:pStyle w:val="8"/>
                    <w:rPr>
                      <w:color w:val="auto"/>
                    </w:rPr>
                  </w:pPr>
                  <w:r>
                    <w:rPr>
                      <w:rFonts w:hint="eastAsia"/>
                      <w:color w:val="auto"/>
                    </w:rPr>
                    <w:t>0.033</w:t>
                  </w:r>
                </w:p>
              </w:tc>
              <w:tc>
                <w:tcPr>
                  <w:tcW w:w="380" w:type="pct"/>
                  <w:tcBorders>
                    <w:left w:val="single" w:color="auto" w:sz="4" w:space="0"/>
                  </w:tcBorders>
                  <w:vAlign w:val="center"/>
                </w:tcPr>
                <w:p w14:paraId="35D97E97">
                  <w:pPr>
                    <w:pStyle w:val="8"/>
                    <w:rPr>
                      <w:color w:val="auto"/>
                    </w:rPr>
                  </w:pPr>
                  <w:r>
                    <w:rPr>
                      <w:rFonts w:hint="eastAsia"/>
                      <w:color w:val="auto"/>
                    </w:rPr>
                    <w:t>2.87</w:t>
                  </w:r>
                </w:p>
              </w:tc>
              <w:tc>
                <w:tcPr>
                  <w:tcW w:w="410" w:type="pct"/>
                  <w:tcBorders>
                    <w:left w:val="single" w:color="auto" w:sz="4" w:space="0"/>
                    <w:right w:val="single" w:color="auto" w:sz="4" w:space="0"/>
                  </w:tcBorders>
                  <w:vAlign w:val="center"/>
                </w:tcPr>
                <w:p w14:paraId="788BF60D">
                  <w:pPr>
                    <w:pStyle w:val="8"/>
                  </w:pPr>
                  <w:r>
                    <w:rPr>
                      <w:rFonts w:hint="eastAsia"/>
                    </w:rPr>
                    <w:t>20</w:t>
                  </w:r>
                </w:p>
              </w:tc>
              <w:tc>
                <w:tcPr>
                  <w:tcW w:w="441" w:type="pct"/>
                  <w:tcBorders>
                    <w:left w:val="single" w:color="auto" w:sz="4" w:space="0"/>
                  </w:tcBorders>
                  <w:vAlign w:val="center"/>
                </w:tcPr>
                <w:p w14:paraId="7FF761DE">
                  <w:pPr>
                    <w:pStyle w:val="8"/>
                  </w:pPr>
                  <w:r>
                    <w:rPr>
                      <w:rFonts w:hint="eastAsia"/>
                    </w:rPr>
                    <w:t>/</w:t>
                  </w:r>
                </w:p>
              </w:tc>
            </w:tr>
            <w:bookmarkEnd w:id="239"/>
            <w:tr w14:paraId="075A9F8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47" w:hRule="atLeast"/>
                <w:jc w:val="center"/>
              </w:trPr>
              <w:tc>
                <w:tcPr>
                  <w:tcW w:w="243" w:type="pct"/>
                  <w:vMerge w:val="restart"/>
                  <w:tcBorders>
                    <w:top w:val="single" w:color="auto" w:sz="4" w:space="0"/>
                  </w:tcBorders>
                  <w:vAlign w:val="center"/>
                </w:tcPr>
                <w:p w14:paraId="11D4FAD2">
                  <w:pPr>
                    <w:pStyle w:val="8"/>
                  </w:pPr>
                  <w:r>
                    <w:t>无组织</w:t>
                  </w:r>
                </w:p>
              </w:tc>
              <w:tc>
                <w:tcPr>
                  <w:tcW w:w="237" w:type="pct"/>
                  <w:vMerge w:val="restart"/>
                  <w:vAlign w:val="center"/>
                </w:tcPr>
                <w:p w14:paraId="6C8EC9A6">
                  <w:pPr>
                    <w:pStyle w:val="8"/>
                  </w:pPr>
                  <w:r>
                    <w:rPr>
                      <w:rFonts w:hint="eastAsia"/>
                    </w:rPr>
                    <w:t>挤出、溶胶</w:t>
                  </w:r>
                </w:p>
              </w:tc>
              <w:tc>
                <w:tcPr>
                  <w:tcW w:w="237" w:type="pct"/>
                  <w:vAlign w:val="center"/>
                </w:tcPr>
                <w:p w14:paraId="2AC1B6CE">
                  <w:pPr>
                    <w:pStyle w:val="8"/>
                  </w:pPr>
                  <w:r>
                    <w:t>非甲烷总烃</w:t>
                  </w:r>
                </w:p>
              </w:tc>
              <w:tc>
                <w:tcPr>
                  <w:tcW w:w="342" w:type="pct"/>
                  <w:shd w:val="clear" w:color="auto" w:fill="auto"/>
                  <w:vAlign w:val="center"/>
                </w:tcPr>
                <w:p w14:paraId="6ABA39B1">
                  <w:pPr>
                    <w:pStyle w:val="8"/>
                  </w:pPr>
                  <w:r>
                    <w:rPr>
                      <w:rFonts w:hint="eastAsia"/>
                    </w:rPr>
                    <w:t>1.776</w:t>
                  </w:r>
                </w:p>
              </w:tc>
              <w:tc>
                <w:tcPr>
                  <w:tcW w:w="390" w:type="pct"/>
                  <w:shd w:val="clear" w:color="auto" w:fill="auto"/>
                  <w:vAlign w:val="center"/>
                </w:tcPr>
                <w:p w14:paraId="30848F95">
                  <w:pPr>
                    <w:pStyle w:val="8"/>
                  </w:pPr>
                  <w:r>
                    <w:rPr>
                      <w:rFonts w:hint="eastAsia"/>
                    </w:rPr>
                    <w:t>0.888</w:t>
                  </w:r>
                </w:p>
              </w:tc>
              <w:tc>
                <w:tcPr>
                  <w:tcW w:w="380" w:type="pct"/>
                  <w:vAlign w:val="center"/>
                </w:tcPr>
                <w:p w14:paraId="232559E3">
                  <w:pPr>
                    <w:pStyle w:val="8"/>
                  </w:pPr>
                  <w:r>
                    <w:t>/</w:t>
                  </w:r>
                </w:p>
              </w:tc>
              <w:tc>
                <w:tcPr>
                  <w:tcW w:w="305" w:type="pct"/>
                  <w:tcBorders>
                    <w:bottom w:val="single" w:color="auto" w:sz="4" w:space="0"/>
                    <w:right w:val="single" w:color="auto" w:sz="4" w:space="0"/>
                  </w:tcBorders>
                  <w:vAlign w:val="center"/>
                </w:tcPr>
                <w:p w14:paraId="4BFF2501">
                  <w:pPr>
                    <w:pStyle w:val="8"/>
                  </w:pPr>
                  <w:r>
                    <w:t>/</w:t>
                  </w:r>
                </w:p>
              </w:tc>
              <w:tc>
                <w:tcPr>
                  <w:tcW w:w="353" w:type="pct"/>
                  <w:tcBorders>
                    <w:left w:val="single" w:color="auto" w:sz="4" w:space="0"/>
                    <w:bottom w:val="single" w:color="auto" w:sz="4" w:space="0"/>
                  </w:tcBorders>
                  <w:vAlign w:val="center"/>
                </w:tcPr>
                <w:p w14:paraId="04CA45B1">
                  <w:pPr>
                    <w:pStyle w:val="8"/>
                  </w:pPr>
                  <w:r>
                    <w:t>/</w:t>
                  </w:r>
                </w:p>
              </w:tc>
              <w:tc>
                <w:tcPr>
                  <w:tcW w:w="216" w:type="pct"/>
                  <w:vMerge w:val="restart"/>
                  <w:vAlign w:val="center"/>
                </w:tcPr>
                <w:p w14:paraId="51E0F81C">
                  <w:pPr>
                    <w:pStyle w:val="8"/>
                  </w:pPr>
                  <w:r>
                    <w:t>加强车间通风</w:t>
                  </w:r>
                </w:p>
              </w:tc>
              <w:tc>
                <w:tcPr>
                  <w:tcW w:w="308" w:type="pct"/>
                  <w:tcBorders>
                    <w:bottom w:val="single" w:color="auto" w:sz="4" w:space="0"/>
                    <w:right w:val="single" w:color="auto" w:sz="4" w:space="0"/>
                  </w:tcBorders>
                  <w:vAlign w:val="center"/>
                </w:tcPr>
                <w:p w14:paraId="3F990717">
                  <w:pPr>
                    <w:pStyle w:val="8"/>
                  </w:pPr>
                  <w:r>
                    <w:rPr>
                      <w:rFonts w:hint="eastAsia"/>
                    </w:rPr>
                    <w:t>/</w:t>
                  </w:r>
                </w:p>
              </w:tc>
              <w:tc>
                <w:tcPr>
                  <w:tcW w:w="363" w:type="pct"/>
                  <w:shd w:val="clear" w:color="auto" w:fill="auto"/>
                  <w:vAlign w:val="center"/>
                </w:tcPr>
                <w:p w14:paraId="354E07EC">
                  <w:pPr>
                    <w:pStyle w:val="8"/>
                  </w:pPr>
                  <w:r>
                    <w:rPr>
                      <w:rFonts w:hint="eastAsia"/>
                    </w:rPr>
                    <w:t>1.776</w:t>
                  </w:r>
                </w:p>
              </w:tc>
              <w:tc>
                <w:tcPr>
                  <w:tcW w:w="387" w:type="pct"/>
                  <w:tcBorders>
                    <w:right w:val="single" w:color="auto" w:sz="4" w:space="0"/>
                  </w:tcBorders>
                  <w:shd w:val="clear" w:color="auto" w:fill="auto"/>
                  <w:vAlign w:val="center"/>
                </w:tcPr>
                <w:p w14:paraId="5BA66A7E">
                  <w:pPr>
                    <w:pStyle w:val="8"/>
                  </w:pPr>
                  <w:r>
                    <w:rPr>
                      <w:rFonts w:hint="eastAsia"/>
                    </w:rPr>
                    <w:t>0.888</w:t>
                  </w:r>
                </w:p>
              </w:tc>
              <w:tc>
                <w:tcPr>
                  <w:tcW w:w="380" w:type="pct"/>
                  <w:tcBorders>
                    <w:left w:val="single" w:color="auto" w:sz="4" w:space="0"/>
                  </w:tcBorders>
                  <w:vAlign w:val="center"/>
                </w:tcPr>
                <w:p w14:paraId="5C3A413A">
                  <w:pPr>
                    <w:pStyle w:val="8"/>
                  </w:pPr>
                  <w:r>
                    <w:t>/</w:t>
                  </w:r>
                </w:p>
              </w:tc>
              <w:tc>
                <w:tcPr>
                  <w:tcW w:w="410" w:type="pct"/>
                  <w:tcBorders>
                    <w:left w:val="single" w:color="auto" w:sz="4" w:space="0"/>
                    <w:right w:val="single" w:color="auto" w:sz="4" w:space="0"/>
                  </w:tcBorders>
                  <w:vAlign w:val="center"/>
                </w:tcPr>
                <w:p w14:paraId="7B4CA2EE">
                  <w:pPr>
                    <w:pStyle w:val="8"/>
                  </w:pPr>
                  <w:r>
                    <w:rPr>
                      <w:rFonts w:hint="eastAsia"/>
                    </w:rPr>
                    <w:t>4.0</w:t>
                  </w:r>
                </w:p>
              </w:tc>
              <w:tc>
                <w:tcPr>
                  <w:tcW w:w="441" w:type="pct"/>
                  <w:tcBorders>
                    <w:left w:val="single" w:color="auto" w:sz="4" w:space="0"/>
                  </w:tcBorders>
                  <w:vAlign w:val="center"/>
                </w:tcPr>
                <w:p w14:paraId="2360F394">
                  <w:pPr>
                    <w:pStyle w:val="8"/>
                  </w:pPr>
                  <w:r>
                    <w:rPr>
                      <w:rFonts w:hint="eastAsia"/>
                    </w:rPr>
                    <w:t>/</w:t>
                  </w:r>
                </w:p>
              </w:tc>
            </w:tr>
            <w:tr w14:paraId="305E767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4" w:hRule="atLeast"/>
                <w:jc w:val="center"/>
              </w:trPr>
              <w:tc>
                <w:tcPr>
                  <w:tcW w:w="243" w:type="pct"/>
                  <w:vMerge w:val="continue"/>
                  <w:vAlign w:val="center"/>
                </w:tcPr>
                <w:p w14:paraId="50A6E75E">
                  <w:pPr>
                    <w:pStyle w:val="8"/>
                  </w:pPr>
                </w:p>
              </w:tc>
              <w:tc>
                <w:tcPr>
                  <w:tcW w:w="237" w:type="pct"/>
                  <w:vMerge w:val="continue"/>
                  <w:vAlign w:val="center"/>
                </w:tcPr>
                <w:p w14:paraId="69C53947">
                  <w:pPr>
                    <w:pStyle w:val="8"/>
                  </w:pPr>
                </w:p>
              </w:tc>
              <w:tc>
                <w:tcPr>
                  <w:tcW w:w="237" w:type="pct"/>
                  <w:vAlign w:val="center"/>
                </w:tcPr>
                <w:p w14:paraId="12C8877A">
                  <w:pPr>
                    <w:pStyle w:val="8"/>
                  </w:pPr>
                  <w:r>
                    <w:t>臭气浓度</w:t>
                  </w:r>
                </w:p>
              </w:tc>
              <w:tc>
                <w:tcPr>
                  <w:tcW w:w="1113" w:type="pct"/>
                  <w:gridSpan w:val="3"/>
                  <w:vAlign w:val="center"/>
                </w:tcPr>
                <w:p w14:paraId="0002C2A4">
                  <w:pPr>
                    <w:pStyle w:val="8"/>
                  </w:pPr>
                  <w:r>
                    <w:t>少量</w:t>
                  </w:r>
                </w:p>
              </w:tc>
              <w:tc>
                <w:tcPr>
                  <w:tcW w:w="305" w:type="pct"/>
                  <w:tcBorders>
                    <w:top w:val="single" w:color="auto" w:sz="4" w:space="0"/>
                    <w:bottom w:val="single" w:color="auto" w:sz="4" w:space="0"/>
                    <w:right w:val="single" w:color="auto" w:sz="4" w:space="0"/>
                  </w:tcBorders>
                  <w:vAlign w:val="center"/>
                </w:tcPr>
                <w:p w14:paraId="57DEC864">
                  <w:pPr>
                    <w:pStyle w:val="8"/>
                  </w:pPr>
                  <w:r>
                    <w:rPr>
                      <w:rFonts w:hint="eastAsia"/>
                    </w:rPr>
                    <w:t>/</w:t>
                  </w:r>
                </w:p>
              </w:tc>
              <w:tc>
                <w:tcPr>
                  <w:tcW w:w="353" w:type="pct"/>
                  <w:tcBorders>
                    <w:top w:val="single" w:color="auto" w:sz="4" w:space="0"/>
                    <w:left w:val="single" w:color="auto" w:sz="4" w:space="0"/>
                    <w:bottom w:val="single" w:color="auto" w:sz="4" w:space="0"/>
                  </w:tcBorders>
                  <w:vAlign w:val="center"/>
                </w:tcPr>
                <w:p w14:paraId="2D039EFA">
                  <w:pPr>
                    <w:pStyle w:val="8"/>
                  </w:pPr>
                  <w:r>
                    <w:rPr>
                      <w:rFonts w:hint="eastAsia"/>
                    </w:rPr>
                    <w:t>/</w:t>
                  </w:r>
                </w:p>
              </w:tc>
              <w:tc>
                <w:tcPr>
                  <w:tcW w:w="216" w:type="pct"/>
                  <w:vMerge w:val="continue"/>
                  <w:vAlign w:val="center"/>
                </w:tcPr>
                <w:p w14:paraId="3C1D8B2C">
                  <w:pPr>
                    <w:pStyle w:val="8"/>
                  </w:pPr>
                </w:p>
              </w:tc>
              <w:tc>
                <w:tcPr>
                  <w:tcW w:w="308" w:type="pct"/>
                  <w:tcBorders>
                    <w:top w:val="single" w:color="auto" w:sz="4" w:space="0"/>
                    <w:bottom w:val="single" w:color="auto" w:sz="4" w:space="0"/>
                    <w:right w:val="single" w:color="auto" w:sz="4" w:space="0"/>
                  </w:tcBorders>
                  <w:vAlign w:val="center"/>
                </w:tcPr>
                <w:p w14:paraId="3BB984CA">
                  <w:pPr>
                    <w:pStyle w:val="8"/>
                  </w:pPr>
                  <w:r>
                    <w:rPr>
                      <w:rFonts w:hint="eastAsia"/>
                    </w:rPr>
                    <w:t>/</w:t>
                  </w:r>
                </w:p>
              </w:tc>
              <w:tc>
                <w:tcPr>
                  <w:tcW w:w="1131" w:type="pct"/>
                  <w:gridSpan w:val="3"/>
                  <w:vAlign w:val="center"/>
                </w:tcPr>
                <w:p w14:paraId="02CB45D4">
                  <w:pPr>
                    <w:pStyle w:val="8"/>
                  </w:pPr>
                  <w:r>
                    <w:t>少量</w:t>
                  </w:r>
                </w:p>
              </w:tc>
              <w:tc>
                <w:tcPr>
                  <w:tcW w:w="852" w:type="pct"/>
                  <w:gridSpan w:val="2"/>
                  <w:vAlign w:val="center"/>
                </w:tcPr>
                <w:p w14:paraId="247877D4">
                  <w:pPr>
                    <w:pStyle w:val="8"/>
                  </w:pPr>
                  <w:r>
                    <w:rPr>
                      <w:rFonts w:hint="eastAsia"/>
                    </w:rPr>
                    <w:t>20(无量纲)</w:t>
                  </w:r>
                </w:p>
              </w:tc>
            </w:tr>
            <w:tr w14:paraId="51A288C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545" w:hRule="atLeast"/>
                <w:jc w:val="center"/>
              </w:trPr>
              <w:tc>
                <w:tcPr>
                  <w:tcW w:w="243" w:type="pct"/>
                  <w:vMerge w:val="continue"/>
                  <w:vAlign w:val="center"/>
                </w:tcPr>
                <w:p w14:paraId="443C21FB">
                  <w:pPr>
                    <w:pStyle w:val="8"/>
                    <w:rPr>
                      <w:highlight w:val="yellow"/>
                    </w:rPr>
                  </w:pPr>
                </w:p>
              </w:tc>
              <w:tc>
                <w:tcPr>
                  <w:tcW w:w="237" w:type="pct"/>
                  <w:vAlign w:val="center"/>
                </w:tcPr>
                <w:p w14:paraId="1268B174">
                  <w:pPr>
                    <w:pStyle w:val="8"/>
                  </w:pPr>
                  <w:r>
                    <w:rPr>
                      <w:rFonts w:hint="eastAsia"/>
                    </w:rPr>
                    <w:t>投料、破碎</w:t>
                  </w:r>
                </w:p>
              </w:tc>
              <w:tc>
                <w:tcPr>
                  <w:tcW w:w="237" w:type="pct"/>
                  <w:vAlign w:val="center"/>
                </w:tcPr>
                <w:p w14:paraId="046A983E">
                  <w:pPr>
                    <w:pStyle w:val="8"/>
                  </w:pPr>
                  <w:r>
                    <w:rPr>
                      <w:rFonts w:hint="eastAsia"/>
                    </w:rPr>
                    <w:t>颗粒物</w:t>
                  </w:r>
                </w:p>
              </w:tc>
              <w:tc>
                <w:tcPr>
                  <w:tcW w:w="342" w:type="pct"/>
                  <w:tcBorders>
                    <w:right w:val="single" w:color="auto" w:sz="4" w:space="0"/>
                  </w:tcBorders>
                  <w:vAlign w:val="center"/>
                </w:tcPr>
                <w:p w14:paraId="4CE07BFC">
                  <w:pPr>
                    <w:pStyle w:val="8"/>
                  </w:pPr>
                  <w:r>
                    <w:rPr>
                      <w:rFonts w:hint="eastAsia"/>
                    </w:rPr>
                    <w:t>0.355</w:t>
                  </w:r>
                </w:p>
              </w:tc>
              <w:tc>
                <w:tcPr>
                  <w:tcW w:w="390" w:type="pct"/>
                  <w:tcBorders>
                    <w:left w:val="single" w:color="auto" w:sz="4" w:space="0"/>
                    <w:right w:val="single" w:color="auto" w:sz="4" w:space="0"/>
                  </w:tcBorders>
                  <w:vAlign w:val="center"/>
                </w:tcPr>
                <w:p w14:paraId="6053B209">
                  <w:pPr>
                    <w:pStyle w:val="8"/>
                  </w:pPr>
                  <w:r>
                    <w:rPr>
                      <w:rFonts w:hint="eastAsia"/>
                    </w:rPr>
                    <w:t>0.355</w:t>
                  </w:r>
                </w:p>
              </w:tc>
              <w:tc>
                <w:tcPr>
                  <w:tcW w:w="380" w:type="pct"/>
                  <w:tcBorders>
                    <w:left w:val="single" w:color="auto" w:sz="4" w:space="0"/>
                  </w:tcBorders>
                  <w:vAlign w:val="center"/>
                </w:tcPr>
                <w:p w14:paraId="779AD429">
                  <w:pPr>
                    <w:pStyle w:val="8"/>
                  </w:pPr>
                  <w:r>
                    <w:rPr>
                      <w:rFonts w:hint="eastAsia"/>
                    </w:rPr>
                    <w:t>/</w:t>
                  </w:r>
                </w:p>
              </w:tc>
              <w:tc>
                <w:tcPr>
                  <w:tcW w:w="305" w:type="pct"/>
                  <w:tcBorders>
                    <w:top w:val="single" w:color="auto" w:sz="4" w:space="0"/>
                    <w:bottom w:val="single" w:color="auto" w:sz="4" w:space="0"/>
                    <w:right w:val="single" w:color="auto" w:sz="4" w:space="0"/>
                  </w:tcBorders>
                  <w:vAlign w:val="center"/>
                </w:tcPr>
                <w:p w14:paraId="07C9219D">
                  <w:pPr>
                    <w:pStyle w:val="8"/>
                  </w:pPr>
                  <w:r>
                    <w:rPr>
                      <w:rFonts w:hint="eastAsia"/>
                    </w:rPr>
                    <w:t>/</w:t>
                  </w:r>
                </w:p>
              </w:tc>
              <w:tc>
                <w:tcPr>
                  <w:tcW w:w="353" w:type="pct"/>
                  <w:tcBorders>
                    <w:top w:val="single" w:color="auto" w:sz="4" w:space="0"/>
                    <w:left w:val="single" w:color="auto" w:sz="4" w:space="0"/>
                    <w:bottom w:val="single" w:color="auto" w:sz="4" w:space="0"/>
                  </w:tcBorders>
                  <w:vAlign w:val="center"/>
                </w:tcPr>
                <w:p w14:paraId="74E30014">
                  <w:pPr>
                    <w:pStyle w:val="8"/>
                  </w:pPr>
                  <w:r>
                    <w:rPr>
                      <w:rFonts w:hint="eastAsia"/>
                    </w:rPr>
                    <w:t>/</w:t>
                  </w:r>
                </w:p>
              </w:tc>
              <w:tc>
                <w:tcPr>
                  <w:tcW w:w="216" w:type="pct"/>
                  <w:vMerge w:val="continue"/>
                  <w:vAlign w:val="center"/>
                </w:tcPr>
                <w:p w14:paraId="7F84E441">
                  <w:pPr>
                    <w:pStyle w:val="8"/>
                  </w:pPr>
                </w:p>
              </w:tc>
              <w:tc>
                <w:tcPr>
                  <w:tcW w:w="308" w:type="pct"/>
                  <w:tcBorders>
                    <w:top w:val="single" w:color="auto" w:sz="4" w:space="0"/>
                    <w:bottom w:val="single" w:color="auto" w:sz="4" w:space="0"/>
                    <w:right w:val="single" w:color="auto" w:sz="4" w:space="0"/>
                  </w:tcBorders>
                  <w:vAlign w:val="center"/>
                </w:tcPr>
                <w:p w14:paraId="2E78E24A">
                  <w:pPr>
                    <w:pStyle w:val="8"/>
                  </w:pPr>
                  <w:r>
                    <w:rPr>
                      <w:rFonts w:hint="eastAsia"/>
                    </w:rPr>
                    <w:t>/</w:t>
                  </w:r>
                </w:p>
              </w:tc>
              <w:tc>
                <w:tcPr>
                  <w:tcW w:w="363" w:type="pct"/>
                  <w:tcBorders>
                    <w:right w:val="single" w:color="auto" w:sz="4" w:space="0"/>
                  </w:tcBorders>
                  <w:vAlign w:val="center"/>
                </w:tcPr>
                <w:p w14:paraId="787771B9">
                  <w:pPr>
                    <w:pStyle w:val="8"/>
                  </w:pPr>
                  <w:r>
                    <w:rPr>
                      <w:rFonts w:hint="eastAsia"/>
                    </w:rPr>
                    <w:t>0.355</w:t>
                  </w:r>
                </w:p>
              </w:tc>
              <w:tc>
                <w:tcPr>
                  <w:tcW w:w="387" w:type="pct"/>
                  <w:tcBorders>
                    <w:left w:val="single" w:color="auto" w:sz="4" w:space="0"/>
                    <w:right w:val="single" w:color="auto" w:sz="4" w:space="0"/>
                  </w:tcBorders>
                  <w:vAlign w:val="center"/>
                </w:tcPr>
                <w:p w14:paraId="59CE50EF">
                  <w:pPr>
                    <w:pStyle w:val="8"/>
                  </w:pPr>
                  <w:r>
                    <w:rPr>
                      <w:rFonts w:hint="eastAsia"/>
                    </w:rPr>
                    <w:t>0.355</w:t>
                  </w:r>
                </w:p>
              </w:tc>
              <w:tc>
                <w:tcPr>
                  <w:tcW w:w="380" w:type="pct"/>
                  <w:tcBorders>
                    <w:left w:val="single" w:color="auto" w:sz="4" w:space="0"/>
                  </w:tcBorders>
                  <w:vAlign w:val="center"/>
                </w:tcPr>
                <w:p w14:paraId="6B068861">
                  <w:pPr>
                    <w:pStyle w:val="8"/>
                  </w:pPr>
                  <w:r>
                    <w:rPr>
                      <w:rFonts w:hint="eastAsia"/>
                    </w:rPr>
                    <w:t>/</w:t>
                  </w:r>
                </w:p>
              </w:tc>
              <w:tc>
                <w:tcPr>
                  <w:tcW w:w="410" w:type="pct"/>
                  <w:tcBorders>
                    <w:left w:val="single" w:color="auto" w:sz="4" w:space="0"/>
                    <w:right w:val="single" w:color="auto" w:sz="4" w:space="0"/>
                  </w:tcBorders>
                  <w:vAlign w:val="center"/>
                </w:tcPr>
                <w:p w14:paraId="6CC793C3">
                  <w:pPr>
                    <w:pStyle w:val="8"/>
                  </w:pPr>
                  <w:r>
                    <w:rPr>
                      <w:rFonts w:hint="eastAsia"/>
                    </w:rPr>
                    <w:t>1.0</w:t>
                  </w:r>
                </w:p>
              </w:tc>
              <w:tc>
                <w:tcPr>
                  <w:tcW w:w="441" w:type="pct"/>
                  <w:tcBorders>
                    <w:left w:val="single" w:color="auto" w:sz="4" w:space="0"/>
                  </w:tcBorders>
                  <w:vAlign w:val="center"/>
                </w:tcPr>
                <w:p w14:paraId="54E42B74">
                  <w:pPr>
                    <w:pStyle w:val="8"/>
                  </w:pPr>
                  <w:r>
                    <w:rPr>
                      <w:rFonts w:hint="eastAsia"/>
                    </w:rPr>
                    <w:t>/</w:t>
                  </w:r>
                </w:p>
              </w:tc>
            </w:tr>
          </w:tbl>
          <w:p w14:paraId="03B3778B">
            <w:pPr>
              <w:pStyle w:val="42"/>
              <w:adjustRightInd/>
              <w:snapToGrid/>
              <w:ind w:firstLine="482"/>
              <w:jc w:val="both"/>
              <w:rPr>
                <w:rFonts w:ascii="Times New Roman"/>
                <w:b/>
                <w:bCs/>
                <w:color w:val="auto"/>
              </w:rPr>
            </w:pPr>
            <w:r>
              <w:rPr>
                <w:rFonts w:hint="eastAsia" w:ascii="Times New Roman"/>
                <w:b/>
                <w:bCs/>
                <w:color w:val="auto"/>
              </w:rPr>
              <w:t>2、废气产生情况</w:t>
            </w:r>
          </w:p>
          <w:p w14:paraId="3ACAF8DF">
            <w:pPr>
              <w:ind w:firstLine="480"/>
              <w:jc w:val="both"/>
            </w:pPr>
            <w:r>
              <w:rPr>
                <w:rFonts w:hint="eastAsia"/>
              </w:rPr>
              <w:t>项目产生的废气主要为挤出、溶胶工序产生的臭气浓度和有机废气（以非甲烷总烃计），投料、破碎工序产生的颗粒物，废气收集后合并由一套</w:t>
            </w:r>
            <w:r>
              <w:rPr>
                <w:rFonts w:hint="eastAsia" w:cs="宋体"/>
              </w:rPr>
              <w:t>“水喷淋+干式过滤器+二级活性炭吸附装置”</w:t>
            </w:r>
            <w:r>
              <w:rPr>
                <w:rFonts w:hint="eastAsia"/>
              </w:rPr>
              <w:t>处理后经30m排气筒DA001高空排放。</w:t>
            </w:r>
          </w:p>
          <w:p w14:paraId="2936FF4D">
            <w:pPr>
              <w:ind w:firstLine="480"/>
              <w:jc w:val="both"/>
            </w:pPr>
            <w:r>
              <w:rPr>
                <w:rFonts w:hint="eastAsia"/>
              </w:rPr>
              <w:t>1）臭气浓度</w:t>
            </w:r>
          </w:p>
          <w:p w14:paraId="22696416">
            <w:pPr>
              <w:ind w:firstLine="480"/>
              <w:jc w:val="both"/>
              <w:rPr>
                <w:rFonts w:cs="宋体"/>
              </w:rPr>
            </w:pPr>
            <w:r>
              <w:rPr>
                <w:rFonts w:hint="eastAsia"/>
              </w:rPr>
              <w:t>项目挤出、溶胶工序加热熔融PP新塑胶粒、PS塑胶粒及TPE热塑性弹性体等会产生</w:t>
            </w:r>
            <w:r>
              <w:rPr>
                <w:rFonts w:cs="宋体"/>
              </w:rPr>
              <w:t>会产生</w:t>
            </w:r>
            <w:r>
              <w:rPr>
                <w:rFonts w:hint="eastAsia" w:cs="宋体"/>
              </w:rPr>
              <w:t>明显的异味</w:t>
            </w:r>
            <w:r>
              <w:rPr>
                <w:rFonts w:cs="宋体"/>
              </w:rPr>
              <w:t>，</w:t>
            </w:r>
            <w:r>
              <w:rPr>
                <w:rFonts w:hint="eastAsia" w:cs="宋体"/>
              </w:rPr>
              <w:t>以</w:t>
            </w:r>
            <w:r>
              <w:rPr>
                <w:rFonts w:cs="宋体"/>
              </w:rPr>
              <w:t>臭气浓度</w:t>
            </w:r>
            <w:r>
              <w:rPr>
                <w:rFonts w:hint="eastAsia" w:cs="宋体"/>
              </w:rPr>
              <w:t>表征</w:t>
            </w:r>
            <w:r>
              <w:rPr>
                <w:rFonts w:cs="宋体"/>
              </w:rPr>
              <w:t>。项目产生的恶臭</w:t>
            </w:r>
            <w:r>
              <w:rPr>
                <w:rFonts w:hint="eastAsia" w:cs="宋体"/>
              </w:rPr>
              <w:t>和有机废气一并收集后经废气处理设施处理，</w:t>
            </w:r>
            <w:r>
              <w:rPr>
                <w:rFonts w:hint="eastAsia" w:ascii="宋体" w:hAnsi="宋体" w:cs="宋体"/>
                <w:color w:val="000000"/>
                <w:kern w:val="0"/>
                <w:lang w:bidi="ar"/>
              </w:rPr>
              <w:t>少部分未能被收集的恶臭以无组织形式在车间排放，</w:t>
            </w:r>
            <w:r>
              <w:rPr>
                <w:rFonts w:cs="宋体"/>
              </w:rPr>
              <w:t>只要加强车间废气收集，对周边环境影响不大，本项目仅</w:t>
            </w:r>
            <w:r>
              <w:rPr>
                <w:rFonts w:hint="eastAsia" w:cs="宋体"/>
              </w:rPr>
              <w:t>作</w:t>
            </w:r>
            <w:r>
              <w:rPr>
                <w:rFonts w:cs="宋体"/>
              </w:rPr>
              <w:t>定性分析。</w:t>
            </w:r>
          </w:p>
          <w:p w14:paraId="3929A25E">
            <w:pPr>
              <w:ind w:firstLine="480"/>
              <w:jc w:val="both"/>
              <w:rPr>
                <w:rFonts w:cs="宋体"/>
              </w:rPr>
            </w:pPr>
            <w:r>
              <w:rPr>
                <w:rFonts w:hint="eastAsia" w:cs="宋体"/>
              </w:rPr>
              <w:t>2</w:t>
            </w:r>
            <w:r>
              <w:rPr>
                <w:rFonts w:cs="宋体"/>
              </w:rPr>
              <w:t>）</w:t>
            </w:r>
            <w:r>
              <w:rPr>
                <w:rFonts w:hint="eastAsia"/>
              </w:rPr>
              <w:t>有机废气</w:t>
            </w:r>
          </w:p>
          <w:p w14:paraId="1A303AA5">
            <w:pPr>
              <w:ind w:firstLine="480"/>
              <w:jc w:val="both"/>
            </w:pPr>
            <w:bookmarkStart w:id="240" w:name="OLE_LINK38"/>
            <w:bookmarkStart w:id="241" w:name="OLE_LINK262"/>
            <w:r>
              <w:rPr>
                <w:rFonts w:hint="eastAsia"/>
              </w:rPr>
              <w:t>项目挤出工序</w:t>
            </w:r>
            <w:r>
              <w:t>产生少量有机废气</w:t>
            </w:r>
            <w:r>
              <w:rPr>
                <w:rFonts w:hint="eastAsia"/>
              </w:rPr>
              <w:t>（以</w:t>
            </w:r>
            <w:r>
              <w:t>非甲烷总烃</w:t>
            </w:r>
            <w:r>
              <w:rPr>
                <w:rFonts w:hint="eastAsia"/>
              </w:rPr>
              <w:t>计）</w:t>
            </w:r>
            <w:r>
              <w:t>，</w:t>
            </w:r>
            <w:bookmarkEnd w:id="240"/>
            <w:r>
              <w:rPr>
                <w:rFonts w:hint="eastAsia"/>
              </w:rPr>
              <w:t>参考《排放源统计调查产排污核算方法和系数手册》中“292塑料制品行业系数手册”，改性粒料挥发性有机物产污系数为4.60千克/吨-产品，项目TPE热塑性弹性体产品量为1000t/a，则挤出工序非甲烷总烃产生量约为4.6t/a。</w:t>
            </w:r>
          </w:p>
          <w:bookmarkEnd w:id="241"/>
          <w:p w14:paraId="194161AF">
            <w:pPr>
              <w:ind w:firstLine="480"/>
              <w:jc w:val="both"/>
            </w:pPr>
            <w:r>
              <w:rPr>
                <w:rFonts w:hint="eastAsia"/>
              </w:rPr>
              <w:t>项目溶胶工序产生少量有机废气（以非甲烷总烃计），根据《广东省塑料制品与制造业、人造石制造业、电子元件制造业挥发性有机化合物排放系数使用指南》，非甲烷总烃产生量为2.368kg/t 塑胶原料，根据建设单位提供的资料，项目溶胶工序TPE热塑性弹性体的使用量</w:t>
            </w:r>
            <w:r>
              <w:rPr>
                <w:rFonts w:hint="eastAsia"/>
                <w:lang w:val="en-US" w:eastAsia="zh-CN"/>
              </w:rPr>
              <w:t>约</w:t>
            </w:r>
            <w:r>
              <w:rPr>
                <w:rFonts w:hint="eastAsia"/>
              </w:rPr>
              <w:t>200t/a，则溶胶工序非甲烷总烃产生量为</w:t>
            </w:r>
            <w:bookmarkStart w:id="242" w:name="OLE_LINK304"/>
            <w:r>
              <w:rPr>
                <w:rFonts w:hint="eastAsia"/>
              </w:rPr>
              <w:t>0.4736</w:t>
            </w:r>
            <w:bookmarkEnd w:id="242"/>
            <w:r>
              <w:rPr>
                <w:rFonts w:hint="eastAsia"/>
              </w:rPr>
              <w:t>t/a。</w:t>
            </w:r>
          </w:p>
          <w:p w14:paraId="2C2BB1B5">
            <w:pPr>
              <w:ind w:firstLine="480"/>
              <w:jc w:val="both"/>
            </w:pPr>
            <w:r>
              <w:rPr>
                <w:rFonts w:hint="eastAsia"/>
              </w:rPr>
              <w:t>综上，项目非甲烷总烃总产生量为5.0736t/a，项目挤出、溶胶工序年工作时间均为2000h，则产生速率为2.54kg/h。</w:t>
            </w:r>
          </w:p>
          <w:p w14:paraId="297FC0D5">
            <w:pPr>
              <w:ind w:firstLine="480"/>
              <w:jc w:val="both"/>
            </w:pPr>
            <w:r>
              <w:rPr>
                <w:rFonts w:hint="eastAsia"/>
              </w:rPr>
              <w:t>3）颗粒物</w:t>
            </w:r>
          </w:p>
          <w:p w14:paraId="265CC37A">
            <w:pPr>
              <w:ind w:firstLine="482"/>
              <w:jc w:val="both"/>
            </w:pPr>
            <w:bookmarkStart w:id="243" w:name="OLE_LINK144"/>
            <w:r>
              <w:rPr>
                <w:rFonts w:hint="eastAsia"/>
                <w:b/>
                <w:bCs/>
              </w:rPr>
              <w:t>投料工序：</w:t>
            </w:r>
            <w:r>
              <w:rPr>
                <w:rFonts w:hint="eastAsia"/>
              </w:rPr>
              <w:t>项目混料机密闭运行，仅在</w:t>
            </w:r>
            <w:bookmarkStart w:id="244" w:name="OLE_LINK288"/>
            <w:r>
              <w:rPr>
                <w:rFonts w:hint="eastAsia"/>
              </w:rPr>
              <w:t>粉末状原料、破碎料</w:t>
            </w:r>
            <w:bookmarkEnd w:id="244"/>
            <w:r>
              <w:rPr>
                <w:rFonts w:hint="eastAsia"/>
              </w:rPr>
              <w:t>投料过程中会产生少量的粉尘，主要污染因子为颗粒物。参考</w:t>
            </w:r>
            <w:bookmarkStart w:id="245" w:name="OLE_LINK316"/>
            <w:r>
              <w:rPr>
                <w:rFonts w:hint="eastAsia"/>
              </w:rPr>
              <w:t>《环境影响评价实用技术指南》</w:t>
            </w:r>
            <w:bookmarkEnd w:id="245"/>
            <w:r>
              <w:rPr>
                <w:rFonts w:hint="eastAsia"/>
              </w:rPr>
              <w:t>（第二版）中第三节污染源强的确定，</w:t>
            </w:r>
            <w:bookmarkStart w:id="246" w:name="OLE_LINK315"/>
            <w:r>
              <w:rPr>
                <w:rFonts w:hint="eastAsia"/>
              </w:rPr>
              <w:t>粉尘产生量按原料年用量的</w:t>
            </w:r>
            <w:bookmarkStart w:id="247" w:name="OLE_LINK317"/>
            <w:r>
              <w:rPr>
                <w:rFonts w:hint="eastAsia"/>
              </w:rPr>
              <w:t>0.1~0.4%</w:t>
            </w:r>
            <w:bookmarkEnd w:id="247"/>
            <w:r>
              <w:rPr>
                <w:rFonts w:hint="eastAsia"/>
              </w:rPr>
              <w:t>计算</w:t>
            </w:r>
            <w:bookmarkEnd w:id="246"/>
            <w:r>
              <w:rPr>
                <w:rFonts w:hint="eastAsia"/>
              </w:rPr>
              <w:t>，项目取0.25%计，根据建设单位提供的资料，项目塑胶边角料、</w:t>
            </w:r>
            <w:r>
              <w:rPr>
                <w:rFonts w:hint="eastAsia" w:cs="宋体"/>
              </w:rPr>
              <w:t>不合格品</w:t>
            </w:r>
            <w:r>
              <w:rPr>
                <w:rFonts w:hint="eastAsia"/>
              </w:rPr>
              <w:t>产生量约5t/a，粉末状原料使用量为400t/a，则投料工序的颗粒物产生量为1.0125t/a，项目投料年工作1000h，则产生速率为1.0125kg/h。</w:t>
            </w:r>
          </w:p>
          <w:bookmarkEnd w:id="243"/>
          <w:p w14:paraId="5E104D51">
            <w:pPr>
              <w:ind w:firstLine="482"/>
              <w:jc w:val="both"/>
            </w:pPr>
            <w:r>
              <w:rPr>
                <w:rFonts w:hint="eastAsia"/>
                <w:b/>
                <w:bCs/>
              </w:rPr>
              <w:t>破碎工序：</w:t>
            </w:r>
            <w:r>
              <w:rPr>
                <w:rFonts w:hint="eastAsia"/>
              </w:rPr>
              <w:t>项目</w:t>
            </w:r>
            <w:bookmarkStart w:id="248" w:name="OLE_LINK40"/>
            <w:r>
              <w:rPr>
                <w:rFonts w:hint="eastAsia"/>
              </w:rPr>
              <w:t>使用破碎机碎料时为密闭状态，碎料过程无粉尘溢出，仅开盖时会产生少量粉尘，污染因子为颗粒物。</w:t>
            </w:r>
            <w:bookmarkStart w:id="249" w:name="OLE_LINK42"/>
            <w:r>
              <w:rPr>
                <w:rFonts w:hint="eastAsia"/>
              </w:rPr>
              <w:t>参照《排放源统计调查产排污核算方法和系数手册》中“4220非金属废料和碎屑加工处理行业系数表”</w:t>
            </w:r>
            <w:bookmarkEnd w:id="249"/>
            <w:r>
              <w:rPr>
                <w:rFonts w:hint="eastAsia"/>
              </w:rPr>
              <w:t>，废PE/PP干法破碎工序颗粒物产生量为375g/t原料。根据建</w:t>
            </w:r>
            <w:bookmarkEnd w:id="248"/>
            <w:r>
              <w:rPr>
                <w:rFonts w:hint="eastAsia"/>
              </w:rPr>
              <w:t>设单位提供的资料，项目塑胶边角料、</w:t>
            </w:r>
            <w:r>
              <w:rPr>
                <w:rFonts w:hint="eastAsia" w:cs="宋体"/>
              </w:rPr>
              <w:t>不合格品</w:t>
            </w:r>
            <w:r>
              <w:rPr>
                <w:rFonts w:hint="eastAsia"/>
              </w:rPr>
              <w:t>产生量约5t/a，则碎料粉尘产生量约0.0019t/a，碎料工序年运行1000h，则产生速率约0.0019kg/h。</w:t>
            </w:r>
          </w:p>
          <w:p w14:paraId="67DAB975">
            <w:pPr>
              <w:ind w:firstLine="480"/>
              <w:jc w:val="both"/>
            </w:pPr>
            <w:r>
              <w:rPr>
                <w:rFonts w:hint="eastAsia"/>
              </w:rPr>
              <w:t>综上，项目颗粒物总产生量为</w:t>
            </w:r>
            <w:bookmarkStart w:id="250" w:name="OLE_LINK303"/>
            <w:r>
              <w:rPr>
                <w:rFonts w:hint="eastAsia"/>
              </w:rPr>
              <w:t>1.0144</w:t>
            </w:r>
            <w:bookmarkEnd w:id="250"/>
            <w:r>
              <w:rPr>
                <w:rFonts w:hint="eastAsia"/>
              </w:rPr>
              <w:t>t/a，投料、碎料工序年工作时间均为1000h，则颗粒物产生速率为1.0144kg/h。</w:t>
            </w:r>
          </w:p>
          <w:p w14:paraId="13811DC0">
            <w:pPr>
              <w:pStyle w:val="10"/>
              <w:ind w:firstLine="482"/>
              <w:jc w:val="both"/>
              <w:rPr>
                <w:rFonts w:eastAsia="宋体"/>
                <w:b/>
                <w:bCs/>
                <w:sz w:val="24"/>
              </w:rPr>
            </w:pPr>
            <w:r>
              <w:rPr>
                <w:rFonts w:hint="eastAsia" w:eastAsia="宋体" w:cs="宋体"/>
                <w:b/>
                <w:bCs/>
                <w:sz w:val="24"/>
                <w:szCs w:val="24"/>
              </w:rPr>
              <w:t>3、废气收集及治理情况</w:t>
            </w:r>
          </w:p>
          <w:p w14:paraId="2DC034BE">
            <w:pPr>
              <w:pStyle w:val="10"/>
              <w:ind w:firstLine="480"/>
              <w:jc w:val="both"/>
              <w:rPr>
                <w:rFonts w:eastAsia="宋体" w:cs="宋体"/>
                <w:sz w:val="24"/>
                <w:szCs w:val="24"/>
              </w:rPr>
            </w:pPr>
            <w:r>
              <w:rPr>
                <w:rFonts w:hint="eastAsia" w:eastAsia="宋体" w:cs="宋体"/>
                <w:sz w:val="24"/>
                <w:szCs w:val="24"/>
              </w:rPr>
              <w:t>项目拟在挤出、溶胶、投料及破碎工序设置三面围挡，产污上方采用集气罩收集，以减少废气无组织排放，</w:t>
            </w:r>
            <w:r>
              <w:rPr>
                <w:rFonts w:eastAsia="宋体" w:cs="宋体"/>
                <w:sz w:val="24"/>
                <w:szCs w:val="24"/>
              </w:rPr>
              <w:t>废气经集气罩收集后汇入集气</w:t>
            </w:r>
            <w:r>
              <w:rPr>
                <w:rFonts w:hint="eastAsia" w:eastAsia="宋体" w:cs="宋体"/>
                <w:sz w:val="24"/>
                <w:szCs w:val="24"/>
              </w:rPr>
              <w:t>总</w:t>
            </w:r>
            <w:r>
              <w:rPr>
                <w:rFonts w:eastAsia="宋体" w:cs="宋体"/>
                <w:sz w:val="24"/>
                <w:szCs w:val="24"/>
              </w:rPr>
              <w:t>管，</w:t>
            </w:r>
            <w:r>
              <w:rPr>
                <w:rFonts w:hint="eastAsia" w:eastAsia="宋体" w:cs="宋体"/>
                <w:sz w:val="24"/>
                <w:szCs w:val="24"/>
              </w:rPr>
              <w:t>一起由一套“</w:t>
            </w:r>
            <w:r>
              <w:rPr>
                <w:rFonts w:hint="eastAsia" w:eastAsia="宋体"/>
                <w:sz w:val="24"/>
                <w:szCs w:val="24"/>
              </w:rPr>
              <w:t>水喷淋+干式过滤器+二级活性炭吸附装置</w:t>
            </w:r>
            <w:r>
              <w:rPr>
                <w:rFonts w:hint="eastAsia" w:eastAsia="宋体" w:cs="宋体"/>
                <w:sz w:val="24"/>
                <w:szCs w:val="24"/>
              </w:rPr>
              <w:t>”</w:t>
            </w:r>
            <w:r>
              <w:rPr>
                <w:rFonts w:eastAsia="宋体" w:cs="宋体"/>
                <w:sz w:val="24"/>
                <w:szCs w:val="24"/>
              </w:rPr>
              <w:t>处理后由</w:t>
            </w:r>
            <w:r>
              <w:rPr>
                <w:rFonts w:hint="eastAsia" w:eastAsia="宋体" w:cs="宋体"/>
                <w:sz w:val="24"/>
                <w:szCs w:val="24"/>
              </w:rPr>
              <w:t>30m</w:t>
            </w:r>
            <w:r>
              <w:rPr>
                <w:rFonts w:eastAsia="宋体" w:cs="宋体"/>
                <w:sz w:val="24"/>
                <w:szCs w:val="24"/>
              </w:rPr>
              <w:t>排气筒DA001</w:t>
            </w:r>
            <w:r>
              <w:rPr>
                <w:rFonts w:hint="eastAsia" w:eastAsia="宋体" w:cs="宋体"/>
                <w:sz w:val="24"/>
                <w:szCs w:val="24"/>
              </w:rPr>
              <w:t>高空排放。</w:t>
            </w:r>
          </w:p>
          <w:p w14:paraId="0A226261">
            <w:pPr>
              <w:ind w:firstLine="480"/>
              <w:jc w:val="both"/>
              <w:rPr>
                <w:rFonts w:cs="宋体"/>
                <w:color w:val="auto"/>
              </w:rPr>
            </w:pPr>
            <w:bookmarkStart w:id="251" w:name="OLE_LINK39"/>
            <w:r>
              <w:rPr>
                <w:rFonts w:hint="eastAsia" w:cs="宋体"/>
              </w:rPr>
              <w:t>项目结合生产车间产污工段的规格大小、设</w:t>
            </w:r>
            <w:bookmarkEnd w:id="251"/>
            <w:r>
              <w:rPr>
                <w:rFonts w:hint="eastAsia" w:cs="宋体"/>
                <w:color w:val="auto"/>
              </w:rPr>
              <w:t>备的特性，参考《三废处理工程废气卷》（刘天齐主编）第十七章净化系统的设计中，上部伞形罩（三侧有围挡时）计算公式为：</w:t>
            </w:r>
          </w:p>
          <w:p w14:paraId="5969F3EF">
            <w:pPr>
              <w:ind w:firstLine="0" w:firstLineChars="0"/>
              <w:jc w:val="center"/>
              <w:rPr>
                <w:rFonts w:cs="宋体"/>
                <w:color w:val="auto"/>
              </w:rPr>
            </w:pPr>
            <w:r>
              <w:rPr>
                <w:rFonts w:hint="eastAsia" w:cs="宋体"/>
                <w:color w:val="auto"/>
              </w:rPr>
              <w:t>Q=WhV</w:t>
            </w:r>
            <w:r>
              <w:rPr>
                <w:rFonts w:hint="eastAsia" w:cs="宋体"/>
                <w:color w:val="auto"/>
                <w:vertAlign w:val="subscript"/>
              </w:rPr>
              <w:t>X</w:t>
            </w:r>
          </w:p>
          <w:p w14:paraId="7372A562">
            <w:pPr>
              <w:ind w:firstLine="480"/>
              <w:jc w:val="both"/>
              <w:rPr>
                <w:rFonts w:cs="宋体"/>
                <w:color w:val="auto"/>
              </w:rPr>
            </w:pPr>
            <w:r>
              <w:rPr>
                <w:rFonts w:hint="eastAsia" w:cs="宋体"/>
                <w:color w:val="auto"/>
              </w:rPr>
              <w:t>其中：W—集气罩口长度，m；</w:t>
            </w:r>
          </w:p>
          <w:p w14:paraId="0F4BD4A1">
            <w:pPr>
              <w:ind w:firstLine="480"/>
              <w:jc w:val="both"/>
              <w:rPr>
                <w:rFonts w:cs="宋体"/>
                <w:color w:val="auto"/>
              </w:rPr>
            </w:pPr>
            <w:r>
              <w:rPr>
                <w:rFonts w:hint="eastAsia" w:cs="宋体"/>
                <w:color w:val="auto"/>
              </w:rPr>
              <w:t>h—污染源至罩口距离（项目取0.3m）；</w:t>
            </w:r>
          </w:p>
          <w:p w14:paraId="0C5B6488">
            <w:pPr>
              <w:ind w:firstLine="480"/>
              <w:jc w:val="both"/>
              <w:rPr>
                <w:rFonts w:cs="宋体"/>
                <w:color w:val="auto"/>
              </w:rPr>
            </w:pPr>
            <w:r>
              <w:rPr>
                <w:rFonts w:hint="eastAsia" w:cs="宋体"/>
                <w:color w:val="auto"/>
              </w:rPr>
              <w:t>V</w:t>
            </w:r>
            <w:r>
              <w:rPr>
                <w:rFonts w:hint="eastAsia" w:cs="宋体"/>
                <w:color w:val="auto"/>
                <w:vertAlign w:val="subscript"/>
              </w:rPr>
              <w:t>X</w:t>
            </w:r>
            <w:r>
              <w:rPr>
                <w:rFonts w:hint="eastAsia" w:cs="宋体"/>
                <w:color w:val="auto"/>
              </w:rPr>
              <w:t>—</w:t>
            </w:r>
            <w:bookmarkStart w:id="252" w:name="OLE_LINK319"/>
            <w:r>
              <w:rPr>
                <w:rFonts w:hint="eastAsia" w:cs="宋体"/>
                <w:color w:val="auto"/>
              </w:rPr>
              <w:t>控制</w:t>
            </w:r>
            <w:bookmarkStart w:id="253" w:name="OLE_LINK321"/>
            <w:r>
              <w:rPr>
                <w:rFonts w:hint="eastAsia" w:cs="宋体"/>
                <w:color w:val="auto"/>
              </w:rPr>
              <w:t>风速</w:t>
            </w:r>
            <w:bookmarkEnd w:id="252"/>
            <w:bookmarkEnd w:id="253"/>
            <w:r>
              <w:rPr>
                <w:rFonts w:hint="eastAsia" w:cs="宋体"/>
                <w:color w:val="auto"/>
              </w:rPr>
              <w:t>（项目取0.55m/s）。</w:t>
            </w:r>
          </w:p>
          <w:p w14:paraId="231195A6">
            <w:pPr>
              <w:pStyle w:val="10"/>
              <w:keepNext/>
              <w:spacing w:line="240" w:lineRule="auto"/>
              <w:ind w:firstLine="422"/>
              <w:jc w:val="center"/>
              <w:rPr>
                <w:rFonts w:eastAsia="宋体" w:cs="宋体"/>
                <w:b/>
                <w:bCs/>
                <w:color w:val="auto"/>
                <w:sz w:val="21"/>
                <w:szCs w:val="21"/>
              </w:rPr>
            </w:pPr>
            <w:r>
              <w:rPr>
                <w:rFonts w:eastAsia="宋体" w:cs="宋体"/>
                <w:b/>
                <w:bCs/>
                <w:color w:val="auto"/>
                <w:sz w:val="21"/>
                <w:szCs w:val="21"/>
              </w:rPr>
              <w:t>表4-</w:t>
            </w:r>
            <w:r>
              <w:rPr>
                <w:rFonts w:hint="eastAsia" w:eastAsia="宋体" w:cs="宋体"/>
                <w:b/>
                <w:bCs/>
                <w:color w:val="auto"/>
                <w:sz w:val="21"/>
                <w:szCs w:val="21"/>
              </w:rPr>
              <w:t xml:space="preserve">2 </w:t>
            </w:r>
            <w:r>
              <w:rPr>
                <w:rFonts w:eastAsia="宋体" w:cs="宋体"/>
                <w:b/>
                <w:bCs/>
                <w:color w:val="auto"/>
                <w:sz w:val="21"/>
                <w:szCs w:val="21"/>
              </w:rPr>
              <w:t>集气罩设计参数一览表</w:t>
            </w:r>
          </w:p>
          <w:tbl>
            <w:tblPr>
              <w:tblStyle w:val="35"/>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
              <w:gridCol w:w="1163"/>
              <w:gridCol w:w="679"/>
              <w:gridCol w:w="938"/>
              <w:gridCol w:w="1028"/>
              <w:gridCol w:w="834"/>
              <w:gridCol w:w="936"/>
              <w:gridCol w:w="1083"/>
              <w:gridCol w:w="1042"/>
            </w:tblGrid>
            <w:tr w14:paraId="41F7E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trPr>
              <w:tc>
                <w:tcPr>
                  <w:tcW w:w="482" w:type="pct"/>
                  <w:vAlign w:val="center"/>
                </w:tcPr>
                <w:p w14:paraId="1F2B7864">
                  <w:pPr>
                    <w:spacing w:line="240" w:lineRule="auto"/>
                    <w:ind w:firstLine="0" w:firstLineChars="0"/>
                    <w:jc w:val="center"/>
                    <w:rPr>
                      <w:rFonts w:cs="宋体"/>
                      <w:b/>
                      <w:bCs/>
                      <w:color w:val="auto"/>
                      <w:sz w:val="21"/>
                    </w:rPr>
                  </w:pPr>
                  <w:r>
                    <w:rPr>
                      <w:rFonts w:hint="eastAsia" w:cs="宋体"/>
                      <w:b/>
                      <w:bCs/>
                      <w:color w:val="auto"/>
                      <w:sz w:val="21"/>
                    </w:rPr>
                    <w:t>产污工序</w:t>
                  </w:r>
                </w:p>
              </w:tc>
              <w:tc>
                <w:tcPr>
                  <w:tcW w:w="682" w:type="pct"/>
                  <w:vAlign w:val="center"/>
                </w:tcPr>
                <w:p w14:paraId="20412E45">
                  <w:pPr>
                    <w:spacing w:line="240" w:lineRule="auto"/>
                    <w:ind w:firstLine="0" w:firstLineChars="0"/>
                    <w:jc w:val="center"/>
                    <w:rPr>
                      <w:rFonts w:cs="宋体"/>
                      <w:b/>
                      <w:bCs/>
                      <w:color w:val="auto"/>
                      <w:sz w:val="21"/>
                    </w:rPr>
                  </w:pPr>
                  <w:r>
                    <w:rPr>
                      <w:rFonts w:hint="eastAsia" w:cs="宋体"/>
                      <w:b/>
                      <w:bCs/>
                      <w:color w:val="auto"/>
                      <w:sz w:val="21"/>
                    </w:rPr>
                    <w:t>设备</w:t>
                  </w:r>
                </w:p>
              </w:tc>
              <w:tc>
                <w:tcPr>
                  <w:tcW w:w="398" w:type="pct"/>
                  <w:vAlign w:val="center"/>
                </w:tcPr>
                <w:p w14:paraId="2F014B1E">
                  <w:pPr>
                    <w:spacing w:line="240" w:lineRule="auto"/>
                    <w:ind w:firstLine="0" w:firstLineChars="0"/>
                    <w:jc w:val="center"/>
                    <w:rPr>
                      <w:rFonts w:cs="宋体"/>
                      <w:b/>
                      <w:bCs/>
                      <w:color w:val="auto"/>
                      <w:sz w:val="21"/>
                    </w:rPr>
                  </w:pPr>
                  <w:r>
                    <w:rPr>
                      <w:rFonts w:hint="eastAsia" w:cs="宋体"/>
                      <w:b/>
                      <w:bCs/>
                      <w:color w:val="auto"/>
                      <w:sz w:val="21"/>
                    </w:rPr>
                    <w:t>设备数量(台)</w:t>
                  </w:r>
                </w:p>
              </w:tc>
              <w:tc>
                <w:tcPr>
                  <w:tcW w:w="550" w:type="pct"/>
                  <w:vAlign w:val="center"/>
                </w:tcPr>
                <w:p w14:paraId="6F9D6B6D">
                  <w:pPr>
                    <w:spacing w:line="240" w:lineRule="auto"/>
                    <w:ind w:firstLine="0" w:firstLineChars="0"/>
                    <w:jc w:val="center"/>
                    <w:rPr>
                      <w:rFonts w:cs="宋体"/>
                      <w:b/>
                      <w:bCs/>
                      <w:color w:val="auto"/>
                      <w:sz w:val="21"/>
                    </w:rPr>
                  </w:pPr>
                  <w:r>
                    <w:rPr>
                      <w:rFonts w:hint="eastAsia" w:cs="宋体"/>
                      <w:b/>
                      <w:bCs/>
                      <w:color w:val="auto"/>
                      <w:sz w:val="21"/>
                    </w:rPr>
                    <w:t>污染源至罩口距离h（m）</w:t>
                  </w:r>
                </w:p>
              </w:tc>
              <w:tc>
                <w:tcPr>
                  <w:tcW w:w="603" w:type="pct"/>
                  <w:vAlign w:val="center"/>
                </w:tcPr>
                <w:p w14:paraId="3ECED913">
                  <w:pPr>
                    <w:spacing w:line="240" w:lineRule="auto"/>
                    <w:ind w:firstLine="0" w:firstLineChars="0"/>
                    <w:jc w:val="center"/>
                    <w:rPr>
                      <w:rFonts w:cs="宋体"/>
                      <w:b/>
                      <w:bCs/>
                      <w:color w:val="auto"/>
                      <w:sz w:val="21"/>
                    </w:rPr>
                  </w:pPr>
                  <w:r>
                    <w:rPr>
                      <w:rFonts w:hint="eastAsia" w:cs="宋体"/>
                      <w:b/>
                      <w:bCs/>
                      <w:color w:val="auto"/>
                      <w:sz w:val="21"/>
                    </w:rPr>
                    <w:t>集气罩口长度W（m）</w:t>
                  </w:r>
                </w:p>
              </w:tc>
              <w:tc>
                <w:tcPr>
                  <w:tcW w:w="489" w:type="pct"/>
                  <w:vAlign w:val="center"/>
                </w:tcPr>
                <w:p w14:paraId="101DFECF">
                  <w:pPr>
                    <w:spacing w:line="240" w:lineRule="auto"/>
                    <w:ind w:firstLine="0" w:firstLineChars="0"/>
                    <w:jc w:val="center"/>
                    <w:rPr>
                      <w:rFonts w:cs="宋体"/>
                      <w:b/>
                      <w:bCs/>
                      <w:color w:val="auto"/>
                      <w:sz w:val="21"/>
                    </w:rPr>
                  </w:pPr>
                  <w:r>
                    <w:rPr>
                      <w:rFonts w:hint="eastAsia" w:cs="宋体"/>
                      <w:b/>
                      <w:bCs/>
                      <w:color w:val="auto"/>
                      <w:sz w:val="21"/>
                    </w:rPr>
                    <w:t>集气罩</w:t>
                  </w:r>
                  <w:r>
                    <w:rPr>
                      <w:rFonts w:cs="宋体"/>
                      <w:b/>
                      <w:bCs/>
                      <w:color w:val="auto"/>
                      <w:sz w:val="21"/>
                    </w:rPr>
                    <w:t>数量</w:t>
                  </w:r>
                  <w:r>
                    <w:rPr>
                      <w:rFonts w:hint="eastAsia" w:cs="宋体"/>
                      <w:b/>
                      <w:bCs/>
                      <w:color w:val="auto"/>
                      <w:sz w:val="21"/>
                    </w:rPr>
                    <w:t>/个</w:t>
                  </w:r>
                </w:p>
              </w:tc>
              <w:tc>
                <w:tcPr>
                  <w:tcW w:w="549" w:type="pct"/>
                  <w:vAlign w:val="center"/>
                </w:tcPr>
                <w:p w14:paraId="72F437CB">
                  <w:pPr>
                    <w:spacing w:line="240" w:lineRule="auto"/>
                    <w:ind w:firstLine="0" w:firstLineChars="0"/>
                    <w:jc w:val="center"/>
                    <w:rPr>
                      <w:rFonts w:cs="宋体"/>
                      <w:b/>
                      <w:bCs/>
                      <w:color w:val="auto"/>
                      <w:sz w:val="21"/>
                    </w:rPr>
                  </w:pPr>
                  <w:r>
                    <w:rPr>
                      <w:rFonts w:hint="eastAsia" w:cs="宋体"/>
                      <w:b/>
                      <w:bCs/>
                      <w:color w:val="auto"/>
                      <w:sz w:val="21"/>
                    </w:rPr>
                    <w:t>控制风速</w:t>
                  </w:r>
                  <w:r>
                    <w:rPr>
                      <w:rFonts w:cs="宋体"/>
                      <w:b/>
                      <w:bCs/>
                      <w:color w:val="auto"/>
                      <w:sz w:val="21"/>
                    </w:rPr>
                    <w:t>V</w:t>
                  </w:r>
                  <w:r>
                    <w:rPr>
                      <w:rFonts w:cs="宋体"/>
                      <w:b/>
                      <w:bCs/>
                      <w:color w:val="auto"/>
                      <w:sz w:val="21"/>
                      <w:vertAlign w:val="subscript"/>
                    </w:rPr>
                    <w:t>x</w:t>
                  </w:r>
                  <w:r>
                    <w:rPr>
                      <w:rFonts w:cs="宋体"/>
                      <w:b/>
                      <w:bCs/>
                      <w:color w:val="auto"/>
                      <w:sz w:val="21"/>
                    </w:rPr>
                    <w:t>（m/s）</w:t>
                  </w:r>
                </w:p>
              </w:tc>
              <w:tc>
                <w:tcPr>
                  <w:tcW w:w="632" w:type="pct"/>
                  <w:vAlign w:val="center"/>
                </w:tcPr>
                <w:p w14:paraId="38A67A83">
                  <w:pPr>
                    <w:spacing w:line="240" w:lineRule="auto"/>
                    <w:ind w:firstLine="0" w:firstLineChars="0"/>
                    <w:jc w:val="center"/>
                    <w:rPr>
                      <w:rFonts w:cs="宋体"/>
                      <w:b/>
                      <w:bCs/>
                      <w:color w:val="auto"/>
                      <w:sz w:val="21"/>
                    </w:rPr>
                  </w:pPr>
                  <w:r>
                    <w:rPr>
                      <w:rFonts w:cs="宋体"/>
                      <w:b/>
                      <w:bCs/>
                      <w:color w:val="auto"/>
                      <w:sz w:val="21"/>
                    </w:rPr>
                    <w:t>单个</w:t>
                  </w:r>
                  <w:r>
                    <w:rPr>
                      <w:rFonts w:hint="eastAsia" w:cs="宋体"/>
                      <w:b/>
                      <w:bCs/>
                      <w:color w:val="auto"/>
                      <w:sz w:val="21"/>
                    </w:rPr>
                    <w:t>集气罩</w:t>
                  </w:r>
                  <w:r>
                    <w:rPr>
                      <w:rFonts w:cs="宋体"/>
                      <w:b/>
                      <w:bCs/>
                      <w:color w:val="auto"/>
                      <w:sz w:val="21"/>
                    </w:rPr>
                    <w:t>风量</w:t>
                  </w:r>
                  <w:r>
                    <w:rPr>
                      <w:rFonts w:hint="eastAsia" w:cs="宋体"/>
                      <w:b/>
                      <w:bCs/>
                      <w:color w:val="auto"/>
                      <w:sz w:val="21"/>
                    </w:rPr>
                    <w:t>Q</w:t>
                  </w:r>
                  <w:r>
                    <w:rPr>
                      <w:rFonts w:cs="宋体"/>
                      <w:b/>
                      <w:bCs/>
                      <w:color w:val="auto"/>
                      <w:sz w:val="21"/>
                    </w:rPr>
                    <w:t>（m</w:t>
                  </w:r>
                  <w:r>
                    <w:rPr>
                      <w:rFonts w:cs="宋体"/>
                      <w:b/>
                      <w:bCs/>
                      <w:color w:val="auto"/>
                      <w:sz w:val="21"/>
                      <w:vertAlign w:val="superscript"/>
                    </w:rPr>
                    <w:t>3</w:t>
                  </w:r>
                  <w:r>
                    <w:rPr>
                      <w:rFonts w:cs="宋体"/>
                      <w:b/>
                      <w:bCs/>
                      <w:color w:val="auto"/>
                      <w:sz w:val="21"/>
                    </w:rPr>
                    <w:t>/h）</w:t>
                  </w:r>
                </w:p>
              </w:tc>
              <w:tc>
                <w:tcPr>
                  <w:tcW w:w="611" w:type="pct"/>
                  <w:vAlign w:val="center"/>
                </w:tcPr>
                <w:p w14:paraId="34031B90">
                  <w:pPr>
                    <w:spacing w:line="240" w:lineRule="auto"/>
                    <w:ind w:firstLine="0" w:firstLineChars="0"/>
                    <w:jc w:val="center"/>
                    <w:rPr>
                      <w:rFonts w:cs="宋体"/>
                      <w:b/>
                      <w:bCs/>
                      <w:color w:val="auto"/>
                      <w:sz w:val="21"/>
                    </w:rPr>
                  </w:pPr>
                  <w:r>
                    <w:rPr>
                      <w:rFonts w:cs="宋体"/>
                      <w:b/>
                      <w:bCs/>
                      <w:color w:val="auto"/>
                      <w:sz w:val="21"/>
                    </w:rPr>
                    <w:t>总风量（m</w:t>
                  </w:r>
                  <w:r>
                    <w:rPr>
                      <w:rFonts w:cs="宋体"/>
                      <w:b/>
                      <w:bCs/>
                      <w:color w:val="auto"/>
                      <w:sz w:val="21"/>
                      <w:vertAlign w:val="superscript"/>
                    </w:rPr>
                    <w:t>3</w:t>
                  </w:r>
                  <w:r>
                    <w:rPr>
                      <w:rFonts w:cs="宋体"/>
                      <w:b/>
                      <w:bCs/>
                      <w:color w:val="auto"/>
                      <w:sz w:val="21"/>
                    </w:rPr>
                    <w:t>/h）</w:t>
                  </w:r>
                </w:p>
              </w:tc>
            </w:tr>
            <w:tr w14:paraId="22CC6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82" w:type="pct"/>
                  <w:vMerge w:val="restart"/>
                  <w:shd w:val="clear" w:color="auto" w:fill="auto"/>
                  <w:vAlign w:val="center"/>
                </w:tcPr>
                <w:p w14:paraId="3A6D166D">
                  <w:pPr>
                    <w:spacing w:line="240" w:lineRule="auto"/>
                    <w:ind w:firstLine="0" w:firstLineChars="0"/>
                    <w:jc w:val="center"/>
                    <w:rPr>
                      <w:rFonts w:cs="宋体"/>
                      <w:color w:val="auto"/>
                      <w:sz w:val="21"/>
                    </w:rPr>
                  </w:pPr>
                  <w:bookmarkStart w:id="254" w:name="OLE_LINK309" w:colFirst="8" w:colLast="8"/>
                  <w:bookmarkStart w:id="255" w:name="OLE_LINK311" w:colFirst="1" w:colLast="1"/>
                  <w:r>
                    <w:rPr>
                      <w:rFonts w:hint="eastAsia" w:cs="宋体"/>
                      <w:color w:val="auto"/>
                      <w:sz w:val="21"/>
                    </w:rPr>
                    <w:t>挤出</w:t>
                  </w:r>
                </w:p>
              </w:tc>
              <w:tc>
                <w:tcPr>
                  <w:tcW w:w="682" w:type="pct"/>
                  <w:shd w:val="clear" w:color="auto" w:fill="auto"/>
                  <w:vAlign w:val="center"/>
                </w:tcPr>
                <w:p w14:paraId="64F4072D">
                  <w:pPr>
                    <w:spacing w:line="240" w:lineRule="auto"/>
                    <w:ind w:firstLine="0" w:firstLineChars="0"/>
                    <w:jc w:val="center"/>
                    <w:rPr>
                      <w:rFonts w:cs="宋体"/>
                      <w:color w:val="auto"/>
                      <w:sz w:val="21"/>
                    </w:rPr>
                  </w:pPr>
                  <w:r>
                    <w:rPr>
                      <w:rFonts w:hint="eastAsia" w:cs="宋体"/>
                      <w:color w:val="auto"/>
                      <w:sz w:val="21"/>
                    </w:rPr>
                    <w:t>双螺杆挤出机</w:t>
                  </w:r>
                </w:p>
              </w:tc>
              <w:tc>
                <w:tcPr>
                  <w:tcW w:w="398" w:type="pct"/>
                  <w:shd w:val="clear" w:color="auto" w:fill="auto"/>
                  <w:vAlign w:val="center"/>
                </w:tcPr>
                <w:p w14:paraId="68A07009">
                  <w:pPr>
                    <w:spacing w:line="240" w:lineRule="auto"/>
                    <w:ind w:firstLine="0" w:firstLineChars="0"/>
                    <w:jc w:val="center"/>
                    <w:rPr>
                      <w:rFonts w:cs="宋体"/>
                      <w:color w:val="auto"/>
                      <w:sz w:val="21"/>
                    </w:rPr>
                  </w:pPr>
                  <w:r>
                    <w:rPr>
                      <w:rFonts w:hint="eastAsia" w:cs="宋体"/>
                      <w:color w:val="auto"/>
                      <w:sz w:val="21"/>
                    </w:rPr>
                    <w:t>3</w:t>
                  </w:r>
                </w:p>
              </w:tc>
              <w:tc>
                <w:tcPr>
                  <w:tcW w:w="550" w:type="pct"/>
                  <w:shd w:val="clear" w:color="auto" w:fill="auto"/>
                  <w:vAlign w:val="center"/>
                </w:tcPr>
                <w:p w14:paraId="3141D5AF">
                  <w:pPr>
                    <w:spacing w:line="240" w:lineRule="auto"/>
                    <w:ind w:firstLine="0" w:firstLineChars="0"/>
                    <w:jc w:val="center"/>
                    <w:rPr>
                      <w:rFonts w:cs="宋体"/>
                      <w:color w:val="auto"/>
                      <w:sz w:val="21"/>
                    </w:rPr>
                  </w:pPr>
                  <w:r>
                    <w:rPr>
                      <w:rFonts w:hint="eastAsia" w:cs="宋体"/>
                      <w:color w:val="auto"/>
                      <w:sz w:val="21"/>
                    </w:rPr>
                    <w:t>0.3</w:t>
                  </w:r>
                </w:p>
              </w:tc>
              <w:tc>
                <w:tcPr>
                  <w:tcW w:w="603" w:type="pct"/>
                  <w:shd w:val="clear" w:color="auto" w:fill="auto"/>
                  <w:vAlign w:val="center"/>
                </w:tcPr>
                <w:p w14:paraId="2C280982">
                  <w:pPr>
                    <w:spacing w:line="240" w:lineRule="auto"/>
                    <w:ind w:firstLine="0" w:firstLineChars="0"/>
                    <w:jc w:val="center"/>
                    <w:rPr>
                      <w:rFonts w:cs="宋体"/>
                      <w:color w:val="auto"/>
                      <w:sz w:val="21"/>
                    </w:rPr>
                  </w:pPr>
                  <w:bookmarkStart w:id="256" w:name="OLE_LINK312"/>
                  <w:r>
                    <w:rPr>
                      <w:rFonts w:hint="eastAsia" w:cs="宋体"/>
                      <w:color w:val="auto"/>
                      <w:sz w:val="21"/>
                    </w:rPr>
                    <w:t>1.0</w:t>
                  </w:r>
                  <w:bookmarkEnd w:id="256"/>
                </w:p>
              </w:tc>
              <w:tc>
                <w:tcPr>
                  <w:tcW w:w="489" w:type="pct"/>
                  <w:shd w:val="clear" w:color="auto" w:fill="auto"/>
                  <w:vAlign w:val="center"/>
                </w:tcPr>
                <w:p w14:paraId="5035A71D">
                  <w:pPr>
                    <w:spacing w:line="240" w:lineRule="auto"/>
                    <w:ind w:firstLine="0" w:firstLineChars="0"/>
                    <w:jc w:val="center"/>
                    <w:rPr>
                      <w:rFonts w:cs="宋体"/>
                      <w:color w:val="auto"/>
                      <w:sz w:val="21"/>
                    </w:rPr>
                  </w:pPr>
                  <w:r>
                    <w:rPr>
                      <w:rFonts w:hint="eastAsia" w:cs="宋体"/>
                      <w:color w:val="auto"/>
                      <w:sz w:val="21"/>
                    </w:rPr>
                    <w:t>3</w:t>
                  </w:r>
                </w:p>
              </w:tc>
              <w:tc>
                <w:tcPr>
                  <w:tcW w:w="549" w:type="pct"/>
                  <w:shd w:val="clear" w:color="auto" w:fill="auto"/>
                  <w:vAlign w:val="center"/>
                </w:tcPr>
                <w:p w14:paraId="00553066">
                  <w:pPr>
                    <w:spacing w:line="240" w:lineRule="auto"/>
                    <w:ind w:firstLine="0" w:firstLineChars="0"/>
                    <w:jc w:val="center"/>
                    <w:rPr>
                      <w:rFonts w:cs="宋体"/>
                      <w:color w:val="auto"/>
                      <w:sz w:val="21"/>
                    </w:rPr>
                  </w:pPr>
                  <w:r>
                    <w:rPr>
                      <w:rFonts w:hint="eastAsia" w:cs="宋体"/>
                      <w:color w:val="auto"/>
                      <w:sz w:val="21"/>
                    </w:rPr>
                    <w:t>0.55</w:t>
                  </w:r>
                </w:p>
              </w:tc>
              <w:tc>
                <w:tcPr>
                  <w:tcW w:w="632" w:type="pct"/>
                  <w:shd w:val="clear" w:color="auto" w:fill="auto"/>
                  <w:vAlign w:val="center"/>
                </w:tcPr>
                <w:p w14:paraId="63864B12">
                  <w:pPr>
                    <w:spacing w:line="240" w:lineRule="auto"/>
                    <w:ind w:firstLine="0" w:firstLineChars="0"/>
                    <w:jc w:val="center"/>
                    <w:rPr>
                      <w:rFonts w:cs="宋体"/>
                      <w:color w:val="auto"/>
                      <w:sz w:val="21"/>
                    </w:rPr>
                  </w:pPr>
                  <w:r>
                    <w:rPr>
                      <w:rFonts w:hint="eastAsia" w:cs="宋体"/>
                      <w:color w:val="auto"/>
                      <w:sz w:val="21"/>
                    </w:rPr>
                    <w:t>594</w:t>
                  </w:r>
                </w:p>
              </w:tc>
              <w:tc>
                <w:tcPr>
                  <w:tcW w:w="611" w:type="pct"/>
                  <w:shd w:val="clear" w:color="auto" w:fill="auto"/>
                  <w:vAlign w:val="center"/>
                </w:tcPr>
                <w:p w14:paraId="236B0D1F">
                  <w:pPr>
                    <w:spacing w:line="240" w:lineRule="auto"/>
                    <w:ind w:firstLine="0" w:firstLineChars="0"/>
                    <w:jc w:val="center"/>
                    <w:rPr>
                      <w:rFonts w:cs="宋体"/>
                      <w:color w:val="auto"/>
                      <w:sz w:val="21"/>
                    </w:rPr>
                  </w:pPr>
                  <w:r>
                    <w:rPr>
                      <w:rFonts w:hint="eastAsia" w:cs="宋体"/>
                      <w:color w:val="auto"/>
                      <w:sz w:val="21"/>
                    </w:rPr>
                    <w:t>1782</w:t>
                  </w:r>
                </w:p>
              </w:tc>
            </w:tr>
            <w:tr w14:paraId="0213D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82" w:type="pct"/>
                  <w:vMerge w:val="continue"/>
                  <w:shd w:val="clear" w:color="auto" w:fill="auto"/>
                  <w:vAlign w:val="center"/>
                </w:tcPr>
                <w:p w14:paraId="17EA5EF8">
                  <w:pPr>
                    <w:spacing w:line="240" w:lineRule="auto"/>
                    <w:ind w:firstLine="0" w:firstLineChars="0"/>
                    <w:jc w:val="center"/>
                    <w:rPr>
                      <w:rFonts w:cs="宋体"/>
                      <w:color w:val="auto"/>
                      <w:sz w:val="21"/>
                    </w:rPr>
                  </w:pPr>
                </w:p>
              </w:tc>
              <w:tc>
                <w:tcPr>
                  <w:tcW w:w="682" w:type="pct"/>
                  <w:shd w:val="clear" w:color="auto" w:fill="auto"/>
                  <w:vAlign w:val="center"/>
                </w:tcPr>
                <w:p w14:paraId="16DC71A6">
                  <w:pPr>
                    <w:spacing w:line="240" w:lineRule="auto"/>
                    <w:ind w:firstLine="0" w:firstLineChars="0"/>
                    <w:jc w:val="center"/>
                    <w:rPr>
                      <w:rFonts w:cs="宋体"/>
                      <w:color w:val="auto"/>
                      <w:sz w:val="21"/>
                    </w:rPr>
                  </w:pPr>
                  <w:r>
                    <w:rPr>
                      <w:rFonts w:hint="eastAsia" w:cs="宋体"/>
                      <w:color w:val="auto"/>
                      <w:sz w:val="21"/>
                    </w:rPr>
                    <w:t>单螺杆挤出机</w:t>
                  </w:r>
                </w:p>
              </w:tc>
              <w:tc>
                <w:tcPr>
                  <w:tcW w:w="398" w:type="pct"/>
                  <w:shd w:val="clear" w:color="auto" w:fill="auto"/>
                  <w:vAlign w:val="center"/>
                </w:tcPr>
                <w:p w14:paraId="0F8E7516">
                  <w:pPr>
                    <w:spacing w:line="240" w:lineRule="auto"/>
                    <w:ind w:firstLine="0" w:firstLineChars="0"/>
                    <w:jc w:val="center"/>
                    <w:rPr>
                      <w:rFonts w:cs="宋体"/>
                      <w:color w:val="auto"/>
                      <w:sz w:val="21"/>
                    </w:rPr>
                  </w:pPr>
                  <w:r>
                    <w:rPr>
                      <w:rFonts w:hint="eastAsia" w:cs="宋体"/>
                      <w:color w:val="auto"/>
                      <w:sz w:val="21"/>
                    </w:rPr>
                    <w:t>1</w:t>
                  </w:r>
                </w:p>
              </w:tc>
              <w:tc>
                <w:tcPr>
                  <w:tcW w:w="550" w:type="pct"/>
                  <w:shd w:val="clear" w:color="auto" w:fill="auto"/>
                  <w:vAlign w:val="center"/>
                </w:tcPr>
                <w:p w14:paraId="5143E67F">
                  <w:pPr>
                    <w:spacing w:line="240" w:lineRule="auto"/>
                    <w:ind w:firstLine="0" w:firstLineChars="0"/>
                    <w:jc w:val="center"/>
                    <w:rPr>
                      <w:rFonts w:cs="宋体"/>
                      <w:color w:val="auto"/>
                      <w:sz w:val="21"/>
                    </w:rPr>
                  </w:pPr>
                  <w:r>
                    <w:rPr>
                      <w:rFonts w:hint="eastAsia" w:cs="宋体"/>
                      <w:color w:val="auto"/>
                      <w:sz w:val="21"/>
                    </w:rPr>
                    <w:t>0.3</w:t>
                  </w:r>
                </w:p>
              </w:tc>
              <w:tc>
                <w:tcPr>
                  <w:tcW w:w="603" w:type="pct"/>
                  <w:shd w:val="clear" w:color="auto" w:fill="auto"/>
                  <w:vAlign w:val="center"/>
                </w:tcPr>
                <w:p w14:paraId="02039E2D">
                  <w:pPr>
                    <w:spacing w:line="240" w:lineRule="auto"/>
                    <w:ind w:firstLine="0" w:firstLineChars="0"/>
                    <w:jc w:val="center"/>
                    <w:rPr>
                      <w:rFonts w:cs="宋体"/>
                      <w:color w:val="auto"/>
                      <w:sz w:val="21"/>
                    </w:rPr>
                  </w:pPr>
                  <w:r>
                    <w:rPr>
                      <w:rFonts w:hint="eastAsia" w:cs="宋体"/>
                      <w:color w:val="auto"/>
                      <w:sz w:val="21"/>
                    </w:rPr>
                    <w:t>1.0</w:t>
                  </w:r>
                </w:p>
              </w:tc>
              <w:tc>
                <w:tcPr>
                  <w:tcW w:w="489" w:type="pct"/>
                  <w:shd w:val="clear" w:color="auto" w:fill="auto"/>
                  <w:vAlign w:val="center"/>
                </w:tcPr>
                <w:p w14:paraId="2ECFD36A">
                  <w:pPr>
                    <w:spacing w:line="240" w:lineRule="auto"/>
                    <w:ind w:firstLine="0" w:firstLineChars="0"/>
                    <w:jc w:val="center"/>
                    <w:rPr>
                      <w:rFonts w:cs="宋体"/>
                      <w:color w:val="auto"/>
                      <w:sz w:val="21"/>
                    </w:rPr>
                  </w:pPr>
                  <w:r>
                    <w:rPr>
                      <w:rFonts w:hint="eastAsia" w:cs="宋体"/>
                      <w:color w:val="auto"/>
                      <w:sz w:val="21"/>
                    </w:rPr>
                    <w:t>1</w:t>
                  </w:r>
                </w:p>
              </w:tc>
              <w:tc>
                <w:tcPr>
                  <w:tcW w:w="549" w:type="pct"/>
                  <w:shd w:val="clear" w:color="auto" w:fill="auto"/>
                  <w:vAlign w:val="center"/>
                </w:tcPr>
                <w:p w14:paraId="76ED9949">
                  <w:pPr>
                    <w:spacing w:line="240" w:lineRule="auto"/>
                    <w:ind w:firstLine="0" w:firstLineChars="0"/>
                    <w:jc w:val="center"/>
                    <w:rPr>
                      <w:rFonts w:cs="宋体"/>
                      <w:color w:val="auto"/>
                      <w:sz w:val="21"/>
                    </w:rPr>
                  </w:pPr>
                  <w:r>
                    <w:rPr>
                      <w:rFonts w:hint="eastAsia" w:cs="宋体"/>
                      <w:color w:val="auto"/>
                      <w:sz w:val="21"/>
                    </w:rPr>
                    <w:t>0.55</w:t>
                  </w:r>
                </w:p>
              </w:tc>
              <w:tc>
                <w:tcPr>
                  <w:tcW w:w="632" w:type="pct"/>
                  <w:shd w:val="clear" w:color="auto" w:fill="auto"/>
                  <w:vAlign w:val="center"/>
                </w:tcPr>
                <w:p w14:paraId="083E08AC">
                  <w:pPr>
                    <w:spacing w:line="240" w:lineRule="auto"/>
                    <w:ind w:firstLine="0" w:firstLineChars="0"/>
                    <w:jc w:val="center"/>
                    <w:rPr>
                      <w:rFonts w:cs="宋体"/>
                      <w:color w:val="auto"/>
                      <w:sz w:val="21"/>
                    </w:rPr>
                  </w:pPr>
                  <w:r>
                    <w:rPr>
                      <w:rFonts w:hint="eastAsia" w:cs="宋体"/>
                      <w:color w:val="auto"/>
                      <w:sz w:val="21"/>
                    </w:rPr>
                    <w:t>594</w:t>
                  </w:r>
                </w:p>
              </w:tc>
              <w:tc>
                <w:tcPr>
                  <w:tcW w:w="611" w:type="pct"/>
                  <w:shd w:val="clear" w:color="auto" w:fill="auto"/>
                  <w:vAlign w:val="center"/>
                </w:tcPr>
                <w:p w14:paraId="17F4231C">
                  <w:pPr>
                    <w:spacing w:line="240" w:lineRule="auto"/>
                    <w:ind w:firstLine="0" w:firstLineChars="0"/>
                    <w:jc w:val="center"/>
                    <w:rPr>
                      <w:rFonts w:cs="宋体"/>
                      <w:color w:val="auto"/>
                      <w:sz w:val="21"/>
                    </w:rPr>
                  </w:pPr>
                  <w:r>
                    <w:rPr>
                      <w:rFonts w:hint="eastAsia" w:cs="宋体"/>
                      <w:color w:val="auto"/>
                      <w:sz w:val="21"/>
                    </w:rPr>
                    <w:t>594</w:t>
                  </w:r>
                </w:p>
              </w:tc>
            </w:tr>
            <w:tr w14:paraId="22CBF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82" w:type="pct"/>
                  <w:vMerge w:val="restart"/>
                  <w:shd w:val="clear" w:color="auto" w:fill="auto"/>
                  <w:vAlign w:val="center"/>
                </w:tcPr>
                <w:p w14:paraId="50A89072">
                  <w:pPr>
                    <w:spacing w:line="240" w:lineRule="auto"/>
                    <w:ind w:firstLine="0" w:firstLineChars="0"/>
                    <w:jc w:val="center"/>
                    <w:rPr>
                      <w:rFonts w:cs="宋体"/>
                      <w:color w:val="auto"/>
                      <w:sz w:val="21"/>
                    </w:rPr>
                  </w:pPr>
                  <w:r>
                    <w:rPr>
                      <w:rFonts w:hint="eastAsia" w:cs="宋体"/>
                      <w:color w:val="auto"/>
                      <w:sz w:val="21"/>
                    </w:rPr>
                    <w:t>溶胶</w:t>
                  </w:r>
                </w:p>
              </w:tc>
              <w:tc>
                <w:tcPr>
                  <w:tcW w:w="682" w:type="pct"/>
                  <w:shd w:val="clear" w:color="auto" w:fill="auto"/>
                  <w:vAlign w:val="center"/>
                </w:tcPr>
                <w:p w14:paraId="4670E22B">
                  <w:pPr>
                    <w:spacing w:line="240" w:lineRule="auto"/>
                    <w:ind w:firstLine="0" w:firstLineChars="0"/>
                    <w:jc w:val="center"/>
                    <w:rPr>
                      <w:rFonts w:cs="宋体"/>
                      <w:color w:val="auto"/>
                      <w:sz w:val="21"/>
                    </w:rPr>
                  </w:pPr>
                  <w:r>
                    <w:rPr>
                      <w:rFonts w:hint="eastAsia" w:cs="宋体"/>
                      <w:color w:val="auto"/>
                      <w:sz w:val="21"/>
                    </w:rPr>
                    <w:t>溶胶机</w:t>
                  </w:r>
                </w:p>
              </w:tc>
              <w:tc>
                <w:tcPr>
                  <w:tcW w:w="398" w:type="pct"/>
                  <w:shd w:val="clear" w:color="auto" w:fill="auto"/>
                  <w:vAlign w:val="center"/>
                </w:tcPr>
                <w:p w14:paraId="6046DE2C">
                  <w:pPr>
                    <w:spacing w:line="240" w:lineRule="auto"/>
                    <w:ind w:firstLine="0" w:firstLineChars="0"/>
                    <w:jc w:val="center"/>
                    <w:rPr>
                      <w:rFonts w:cs="宋体"/>
                      <w:color w:val="auto"/>
                      <w:sz w:val="21"/>
                    </w:rPr>
                  </w:pPr>
                  <w:r>
                    <w:rPr>
                      <w:rFonts w:hint="eastAsia" w:cs="宋体"/>
                      <w:color w:val="auto"/>
                      <w:sz w:val="21"/>
                    </w:rPr>
                    <w:t>1</w:t>
                  </w:r>
                </w:p>
              </w:tc>
              <w:tc>
                <w:tcPr>
                  <w:tcW w:w="550" w:type="pct"/>
                  <w:shd w:val="clear" w:color="auto" w:fill="auto"/>
                  <w:vAlign w:val="center"/>
                </w:tcPr>
                <w:p w14:paraId="0A8BDE7B">
                  <w:pPr>
                    <w:spacing w:line="240" w:lineRule="auto"/>
                    <w:ind w:firstLine="0" w:firstLineChars="0"/>
                    <w:jc w:val="center"/>
                    <w:rPr>
                      <w:rFonts w:cs="宋体"/>
                      <w:color w:val="auto"/>
                      <w:sz w:val="21"/>
                    </w:rPr>
                  </w:pPr>
                  <w:r>
                    <w:rPr>
                      <w:rFonts w:hint="eastAsia" w:cs="宋体"/>
                      <w:color w:val="auto"/>
                      <w:sz w:val="21"/>
                    </w:rPr>
                    <w:t>0.3</w:t>
                  </w:r>
                </w:p>
              </w:tc>
              <w:tc>
                <w:tcPr>
                  <w:tcW w:w="603" w:type="pct"/>
                  <w:shd w:val="clear" w:color="auto" w:fill="auto"/>
                  <w:vAlign w:val="center"/>
                </w:tcPr>
                <w:p w14:paraId="1889FB62">
                  <w:pPr>
                    <w:spacing w:line="240" w:lineRule="auto"/>
                    <w:ind w:firstLine="0" w:firstLineChars="0"/>
                    <w:jc w:val="center"/>
                    <w:rPr>
                      <w:rFonts w:cs="宋体"/>
                      <w:color w:val="auto"/>
                      <w:sz w:val="21"/>
                    </w:rPr>
                  </w:pPr>
                  <w:r>
                    <w:rPr>
                      <w:rFonts w:hint="eastAsia" w:cs="宋体"/>
                      <w:color w:val="auto"/>
                      <w:sz w:val="21"/>
                    </w:rPr>
                    <w:t>0.8</w:t>
                  </w:r>
                </w:p>
              </w:tc>
              <w:tc>
                <w:tcPr>
                  <w:tcW w:w="489" w:type="pct"/>
                  <w:shd w:val="clear" w:color="auto" w:fill="auto"/>
                  <w:vAlign w:val="center"/>
                </w:tcPr>
                <w:p w14:paraId="38AA8D23">
                  <w:pPr>
                    <w:spacing w:line="240" w:lineRule="auto"/>
                    <w:ind w:firstLine="0" w:firstLineChars="0"/>
                    <w:jc w:val="center"/>
                    <w:rPr>
                      <w:rFonts w:cs="宋体"/>
                      <w:color w:val="auto"/>
                      <w:sz w:val="21"/>
                    </w:rPr>
                  </w:pPr>
                  <w:r>
                    <w:rPr>
                      <w:rFonts w:hint="eastAsia" w:cs="宋体"/>
                      <w:color w:val="auto"/>
                      <w:sz w:val="21"/>
                    </w:rPr>
                    <w:t>1</w:t>
                  </w:r>
                </w:p>
              </w:tc>
              <w:tc>
                <w:tcPr>
                  <w:tcW w:w="549" w:type="pct"/>
                  <w:shd w:val="clear" w:color="auto" w:fill="auto"/>
                  <w:vAlign w:val="center"/>
                </w:tcPr>
                <w:p w14:paraId="7FCDEB7B">
                  <w:pPr>
                    <w:spacing w:line="240" w:lineRule="auto"/>
                    <w:ind w:firstLine="0" w:firstLineChars="0"/>
                    <w:jc w:val="center"/>
                    <w:rPr>
                      <w:rFonts w:cs="宋体"/>
                      <w:color w:val="auto"/>
                      <w:sz w:val="21"/>
                    </w:rPr>
                  </w:pPr>
                  <w:r>
                    <w:rPr>
                      <w:rFonts w:hint="eastAsia" w:cs="宋体"/>
                      <w:color w:val="auto"/>
                      <w:sz w:val="21"/>
                    </w:rPr>
                    <w:t>0.55</w:t>
                  </w:r>
                </w:p>
              </w:tc>
              <w:tc>
                <w:tcPr>
                  <w:tcW w:w="632" w:type="pct"/>
                  <w:shd w:val="clear" w:color="auto" w:fill="auto"/>
                  <w:vAlign w:val="center"/>
                </w:tcPr>
                <w:p w14:paraId="48C35992">
                  <w:pPr>
                    <w:spacing w:line="240" w:lineRule="auto"/>
                    <w:ind w:firstLine="0" w:firstLineChars="0"/>
                    <w:jc w:val="center"/>
                    <w:rPr>
                      <w:rFonts w:cs="宋体"/>
                      <w:color w:val="auto"/>
                      <w:sz w:val="21"/>
                    </w:rPr>
                  </w:pPr>
                  <w:r>
                    <w:rPr>
                      <w:rFonts w:hint="eastAsia" w:cs="宋体"/>
                      <w:color w:val="auto"/>
                      <w:sz w:val="21"/>
                    </w:rPr>
                    <w:t>475.2</w:t>
                  </w:r>
                </w:p>
              </w:tc>
              <w:tc>
                <w:tcPr>
                  <w:tcW w:w="611" w:type="pct"/>
                  <w:shd w:val="clear" w:color="auto" w:fill="auto"/>
                  <w:vAlign w:val="center"/>
                </w:tcPr>
                <w:p w14:paraId="09D1E303">
                  <w:pPr>
                    <w:spacing w:line="240" w:lineRule="auto"/>
                    <w:ind w:firstLine="0" w:firstLineChars="0"/>
                    <w:jc w:val="center"/>
                    <w:rPr>
                      <w:rFonts w:cs="宋体"/>
                      <w:color w:val="auto"/>
                      <w:sz w:val="21"/>
                    </w:rPr>
                  </w:pPr>
                  <w:r>
                    <w:rPr>
                      <w:rFonts w:hint="eastAsia" w:cs="宋体"/>
                      <w:color w:val="auto"/>
                      <w:sz w:val="21"/>
                    </w:rPr>
                    <w:t>475.2</w:t>
                  </w:r>
                </w:p>
              </w:tc>
            </w:tr>
            <w:tr w14:paraId="6BB59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82" w:type="pct"/>
                  <w:vMerge w:val="continue"/>
                  <w:shd w:val="clear" w:color="auto" w:fill="auto"/>
                  <w:vAlign w:val="center"/>
                </w:tcPr>
                <w:p w14:paraId="6DC18D27">
                  <w:pPr>
                    <w:spacing w:line="240" w:lineRule="auto"/>
                    <w:ind w:firstLine="0" w:firstLineChars="0"/>
                    <w:jc w:val="center"/>
                    <w:rPr>
                      <w:rFonts w:cs="宋体"/>
                      <w:color w:val="auto"/>
                      <w:sz w:val="21"/>
                    </w:rPr>
                  </w:pPr>
                </w:p>
              </w:tc>
              <w:tc>
                <w:tcPr>
                  <w:tcW w:w="682" w:type="pct"/>
                  <w:shd w:val="clear" w:color="auto" w:fill="auto"/>
                  <w:vAlign w:val="center"/>
                </w:tcPr>
                <w:p w14:paraId="28095833">
                  <w:pPr>
                    <w:spacing w:line="240" w:lineRule="auto"/>
                    <w:ind w:firstLine="0" w:firstLineChars="0"/>
                    <w:jc w:val="center"/>
                    <w:rPr>
                      <w:rFonts w:cs="宋体"/>
                      <w:color w:val="auto"/>
                      <w:sz w:val="21"/>
                    </w:rPr>
                  </w:pPr>
                  <w:r>
                    <w:rPr>
                      <w:rFonts w:hint="eastAsia" w:cs="宋体"/>
                      <w:color w:val="auto"/>
                      <w:sz w:val="21"/>
                    </w:rPr>
                    <w:t>人工注模</w:t>
                  </w:r>
                </w:p>
              </w:tc>
              <w:tc>
                <w:tcPr>
                  <w:tcW w:w="398" w:type="pct"/>
                  <w:shd w:val="clear" w:color="auto" w:fill="auto"/>
                  <w:vAlign w:val="center"/>
                </w:tcPr>
                <w:p w14:paraId="3BE1CCF4">
                  <w:pPr>
                    <w:spacing w:line="240" w:lineRule="auto"/>
                    <w:ind w:firstLine="0" w:firstLineChars="0"/>
                    <w:jc w:val="center"/>
                    <w:rPr>
                      <w:rFonts w:cs="宋体"/>
                      <w:color w:val="auto"/>
                      <w:sz w:val="21"/>
                    </w:rPr>
                  </w:pPr>
                  <w:r>
                    <w:rPr>
                      <w:rFonts w:hint="eastAsia" w:cs="宋体"/>
                      <w:color w:val="auto"/>
                      <w:sz w:val="21"/>
                    </w:rPr>
                    <w:t>1</w:t>
                  </w:r>
                </w:p>
              </w:tc>
              <w:tc>
                <w:tcPr>
                  <w:tcW w:w="550" w:type="pct"/>
                  <w:shd w:val="clear" w:color="auto" w:fill="auto"/>
                  <w:vAlign w:val="center"/>
                </w:tcPr>
                <w:p w14:paraId="6E6AE165">
                  <w:pPr>
                    <w:spacing w:line="240" w:lineRule="auto"/>
                    <w:ind w:firstLine="0" w:firstLineChars="0"/>
                    <w:jc w:val="center"/>
                    <w:rPr>
                      <w:rFonts w:cs="宋体"/>
                      <w:color w:val="auto"/>
                      <w:sz w:val="21"/>
                    </w:rPr>
                  </w:pPr>
                  <w:r>
                    <w:rPr>
                      <w:rFonts w:hint="eastAsia" w:cs="宋体"/>
                      <w:color w:val="auto"/>
                      <w:sz w:val="21"/>
                    </w:rPr>
                    <w:t>0.3</w:t>
                  </w:r>
                </w:p>
              </w:tc>
              <w:tc>
                <w:tcPr>
                  <w:tcW w:w="603" w:type="pct"/>
                  <w:shd w:val="clear" w:color="auto" w:fill="auto"/>
                  <w:vAlign w:val="center"/>
                </w:tcPr>
                <w:p w14:paraId="60139835">
                  <w:pPr>
                    <w:spacing w:line="240" w:lineRule="auto"/>
                    <w:ind w:firstLine="0" w:firstLineChars="0"/>
                    <w:jc w:val="center"/>
                    <w:rPr>
                      <w:rFonts w:cs="宋体"/>
                      <w:color w:val="auto"/>
                      <w:sz w:val="21"/>
                    </w:rPr>
                  </w:pPr>
                  <w:r>
                    <w:rPr>
                      <w:rFonts w:hint="eastAsia" w:cs="宋体"/>
                      <w:color w:val="auto"/>
                      <w:sz w:val="21"/>
                    </w:rPr>
                    <w:t>0.8</w:t>
                  </w:r>
                </w:p>
              </w:tc>
              <w:tc>
                <w:tcPr>
                  <w:tcW w:w="489" w:type="pct"/>
                  <w:shd w:val="clear" w:color="auto" w:fill="auto"/>
                  <w:vAlign w:val="center"/>
                </w:tcPr>
                <w:p w14:paraId="5F02F098">
                  <w:pPr>
                    <w:spacing w:line="240" w:lineRule="auto"/>
                    <w:ind w:firstLine="0" w:firstLineChars="0"/>
                    <w:jc w:val="center"/>
                    <w:rPr>
                      <w:rFonts w:cs="宋体"/>
                      <w:color w:val="auto"/>
                      <w:sz w:val="21"/>
                    </w:rPr>
                  </w:pPr>
                  <w:r>
                    <w:rPr>
                      <w:rFonts w:hint="eastAsia" w:cs="宋体"/>
                      <w:color w:val="auto"/>
                      <w:sz w:val="21"/>
                    </w:rPr>
                    <w:t>1</w:t>
                  </w:r>
                </w:p>
              </w:tc>
              <w:tc>
                <w:tcPr>
                  <w:tcW w:w="549" w:type="pct"/>
                  <w:shd w:val="clear" w:color="auto" w:fill="auto"/>
                  <w:vAlign w:val="center"/>
                </w:tcPr>
                <w:p w14:paraId="637F9443">
                  <w:pPr>
                    <w:spacing w:line="240" w:lineRule="auto"/>
                    <w:ind w:firstLine="0" w:firstLineChars="0"/>
                    <w:jc w:val="center"/>
                    <w:rPr>
                      <w:rFonts w:cs="宋体"/>
                      <w:color w:val="auto"/>
                      <w:sz w:val="21"/>
                    </w:rPr>
                  </w:pPr>
                  <w:r>
                    <w:rPr>
                      <w:rFonts w:hint="eastAsia" w:cs="宋体"/>
                      <w:color w:val="auto"/>
                      <w:sz w:val="21"/>
                    </w:rPr>
                    <w:t>0.55</w:t>
                  </w:r>
                </w:p>
              </w:tc>
              <w:tc>
                <w:tcPr>
                  <w:tcW w:w="632" w:type="pct"/>
                  <w:shd w:val="clear" w:color="auto" w:fill="auto"/>
                  <w:vAlign w:val="center"/>
                </w:tcPr>
                <w:p w14:paraId="079C7964">
                  <w:pPr>
                    <w:spacing w:line="240" w:lineRule="auto"/>
                    <w:ind w:firstLine="0" w:firstLineChars="0"/>
                    <w:jc w:val="center"/>
                    <w:rPr>
                      <w:rFonts w:cs="宋体"/>
                      <w:color w:val="auto"/>
                      <w:sz w:val="21"/>
                    </w:rPr>
                  </w:pPr>
                  <w:r>
                    <w:rPr>
                      <w:rFonts w:hint="eastAsia" w:cs="宋体"/>
                      <w:color w:val="auto"/>
                      <w:sz w:val="21"/>
                    </w:rPr>
                    <w:t>475.2</w:t>
                  </w:r>
                </w:p>
              </w:tc>
              <w:tc>
                <w:tcPr>
                  <w:tcW w:w="611" w:type="pct"/>
                  <w:shd w:val="clear" w:color="auto" w:fill="auto"/>
                  <w:vAlign w:val="center"/>
                </w:tcPr>
                <w:p w14:paraId="770B5B3C">
                  <w:pPr>
                    <w:spacing w:line="240" w:lineRule="auto"/>
                    <w:ind w:firstLine="0" w:firstLineChars="0"/>
                    <w:jc w:val="center"/>
                    <w:rPr>
                      <w:rFonts w:cs="宋体"/>
                      <w:color w:val="auto"/>
                      <w:sz w:val="21"/>
                    </w:rPr>
                  </w:pPr>
                  <w:r>
                    <w:rPr>
                      <w:rFonts w:hint="eastAsia" w:cs="宋体"/>
                      <w:color w:val="auto"/>
                      <w:sz w:val="21"/>
                    </w:rPr>
                    <w:t>475.2</w:t>
                  </w:r>
                </w:p>
              </w:tc>
            </w:tr>
            <w:tr w14:paraId="1764A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82" w:hRule="atLeast"/>
              </w:trPr>
              <w:tc>
                <w:tcPr>
                  <w:tcW w:w="482" w:type="pct"/>
                  <w:shd w:val="clear" w:color="auto" w:fill="auto"/>
                  <w:vAlign w:val="center"/>
                </w:tcPr>
                <w:p w14:paraId="046E1176">
                  <w:pPr>
                    <w:spacing w:line="240" w:lineRule="auto"/>
                    <w:ind w:firstLine="0" w:firstLineChars="0"/>
                    <w:jc w:val="center"/>
                    <w:rPr>
                      <w:rFonts w:cs="宋体"/>
                      <w:color w:val="auto"/>
                      <w:sz w:val="21"/>
                    </w:rPr>
                  </w:pPr>
                  <w:r>
                    <w:rPr>
                      <w:rFonts w:hint="eastAsia" w:cs="宋体"/>
                      <w:color w:val="auto"/>
                      <w:sz w:val="21"/>
                    </w:rPr>
                    <w:t>投料</w:t>
                  </w:r>
                </w:p>
              </w:tc>
              <w:tc>
                <w:tcPr>
                  <w:tcW w:w="682" w:type="pct"/>
                  <w:shd w:val="clear" w:color="auto" w:fill="auto"/>
                  <w:vAlign w:val="center"/>
                </w:tcPr>
                <w:p w14:paraId="07B17B6C">
                  <w:pPr>
                    <w:spacing w:line="240" w:lineRule="auto"/>
                    <w:ind w:firstLine="0" w:firstLineChars="0"/>
                    <w:jc w:val="center"/>
                    <w:rPr>
                      <w:rFonts w:cs="宋体"/>
                      <w:color w:val="auto"/>
                      <w:sz w:val="21"/>
                    </w:rPr>
                  </w:pPr>
                  <w:r>
                    <w:rPr>
                      <w:rFonts w:hint="eastAsia" w:cs="宋体"/>
                      <w:color w:val="auto"/>
                      <w:sz w:val="21"/>
                    </w:rPr>
                    <w:t>混料机</w:t>
                  </w:r>
                </w:p>
              </w:tc>
              <w:tc>
                <w:tcPr>
                  <w:tcW w:w="398" w:type="pct"/>
                  <w:shd w:val="clear" w:color="auto" w:fill="auto"/>
                  <w:vAlign w:val="center"/>
                </w:tcPr>
                <w:p w14:paraId="37B9E2F7">
                  <w:pPr>
                    <w:spacing w:line="240" w:lineRule="auto"/>
                    <w:ind w:firstLine="0" w:firstLineChars="0"/>
                    <w:jc w:val="center"/>
                    <w:rPr>
                      <w:rFonts w:cs="宋体"/>
                      <w:color w:val="auto"/>
                      <w:sz w:val="21"/>
                    </w:rPr>
                  </w:pPr>
                  <w:r>
                    <w:rPr>
                      <w:rFonts w:hint="eastAsia" w:cs="宋体"/>
                      <w:color w:val="auto"/>
                      <w:sz w:val="21"/>
                    </w:rPr>
                    <w:t>4</w:t>
                  </w:r>
                </w:p>
              </w:tc>
              <w:tc>
                <w:tcPr>
                  <w:tcW w:w="550" w:type="pct"/>
                  <w:shd w:val="clear" w:color="auto" w:fill="auto"/>
                  <w:vAlign w:val="center"/>
                </w:tcPr>
                <w:p w14:paraId="78462208">
                  <w:pPr>
                    <w:spacing w:line="240" w:lineRule="auto"/>
                    <w:ind w:firstLine="0" w:firstLineChars="0"/>
                    <w:jc w:val="center"/>
                    <w:rPr>
                      <w:rFonts w:cs="宋体"/>
                      <w:color w:val="auto"/>
                      <w:sz w:val="21"/>
                    </w:rPr>
                  </w:pPr>
                  <w:r>
                    <w:rPr>
                      <w:rFonts w:hint="eastAsia" w:cs="宋体"/>
                      <w:color w:val="auto"/>
                      <w:sz w:val="21"/>
                    </w:rPr>
                    <w:t>0.3</w:t>
                  </w:r>
                </w:p>
              </w:tc>
              <w:tc>
                <w:tcPr>
                  <w:tcW w:w="603" w:type="pct"/>
                  <w:shd w:val="clear" w:color="auto" w:fill="auto"/>
                  <w:vAlign w:val="center"/>
                </w:tcPr>
                <w:p w14:paraId="6F23CB4B">
                  <w:pPr>
                    <w:spacing w:line="240" w:lineRule="auto"/>
                    <w:ind w:firstLine="0" w:firstLineChars="0"/>
                    <w:jc w:val="center"/>
                    <w:rPr>
                      <w:rFonts w:cs="宋体"/>
                      <w:color w:val="auto"/>
                      <w:sz w:val="21"/>
                    </w:rPr>
                  </w:pPr>
                  <w:r>
                    <w:rPr>
                      <w:rFonts w:hint="eastAsia" w:cs="宋体"/>
                      <w:color w:val="auto"/>
                      <w:sz w:val="21"/>
                    </w:rPr>
                    <w:t>2</w:t>
                  </w:r>
                </w:p>
              </w:tc>
              <w:tc>
                <w:tcPr>
                  <w:tcW w:w="489" w:type="pct"/>
                  <w:shd w:val="clear" w:color="auto" w:fill="auto"/>
                  <w:vAlign w:val="center"/>
                </w:tcPr>
                <w:p w14:paraId="0C661265">
                  <w:pPr>
                    <w:spacing w:line="240" w:lineRule="auto"/>
                    <w:ind w:firstLine="0" w:firstLineChars="0"/>
                    <w:jc w:val="center"/>
                    <w:rPr>
                      <w:rFonts w:cs="宋体"/>
                      <w:color w:val="auto"/>
                      <w:sz w:val="21"/>
                    </w:rPr>
                  </w:pPr>
                  <w:r>
                    <w:rPr>
                      <w:rFonts w:hint="eastAsia" w:cs="宋体"/>
                      <w:color w:val="auto"/>
                      <w:sz w:val="21"/>
                    </w:rPr>
                    <w:t>4</w:t>
                  </w:r>
                </w:p>
              </w:tc>
              <w:tc>
                <w:tcPr>
                  <w:tcW w:w="549" w:type="pct"/>
                  <w:shd w:val="clear" w:color="auto" w:fill="auto"/>
                  <w:vAlign w:val="center"/>
                </w:tcPr>
                <w:p w14:paraId="7A2FBF96">
                  <w:pPr>
                    <w:spacing w:line="240" w:lineRule="auto"/>
                    <w:ind w:firstLine="0" w:firstLineChars="0"/>
                    <w:jc w:val="center"/>
                    <w:rPr>
                      <w:rFonts w:cs="宋体"/>
                      <w:color w:val="auto"/>
                      <w:sz w:val="21"/>
                    </w:rPr>
                  </w:pPr>
                  <w:r>
                    <w:rPr>
                      <w:rFonts w:hint="eastAsia" w:cs="宋体"/>
                      <w:color w:val="auto"/>
                      <w:sz w:val="21"/>
                    </w:rPr>
                    <w:t>0.55</w:t>
                  </w:r>
                </w:p>
              </w:tc>
              <w:tc>
                <w:tcPr>
                  <w:tcW w:w="632" w:type="pct"/>
                  <w:shd w:val="clear" w:color="auto" w:fill="auto"/>
                  <w:vAlign w:val="center"/>
                </w:tcPr>
                <w:p w14:paraId="38271FF5">
                  <w:pPr>
                    <w:spacing w:line="240" w:lineRule="auto"/>
                    <w:ind w:firstLine="0" w:firstLineChars="0"/>
                    <w:jc w:val="center"/>
                    <w:rPr>
                      <w:rFonts w:cs="宋体"/>
                      <w:color w:val="auto"/>
                      <w:sz w:val="21"/>
                    </w:rPr>
                  </w:pPr>
                  <w:r>
                    <w:rPr>
                      <w:rFonts w:hint="eastAsia" w:cs="宋体"/>
                      <w:color w:val="auto"/>
                      <w:sz w:val="21"/>
                    </w:rPr>
                    <w:t>1188</w:t>
                  </w:r>
                </w:p>
              </w:tc>
              <w:tc>
                <w:tcPr>
                  <w:tcW w:w="611" w:type="pct"/>
                  <w:shd w:val="clear" w:color="auto" w:fill="auto"/>
                  <w:vAlign w:val="center"/>
                </w:tcPr>
                <w:p w14:paraId="56E825A0">
                  <w:pPr>
                    <w:spacing w:line="240" w:lineRule="auto"/>
                    <w:ind w:firstLine="0" w:firstLineChars="0"/>
                    <w:jc w:val="center"/>
                    <w:rPr>
                      <w:rFonts w:cs="宋体"/>
                      <w:color w:val="auto"/>
                      <w:sz w:val="21"/>
                    </w:rPr>
                  </w:pPr>
                  <w:r>
                    <w:rPr>
                      <w:rFonts w:hint="eastAsia" w:cs="宋体"/>
                      <w:color w:val="auto"/>
                      <w:sz w:val="21"/>
                    </w:rPr>
                    <w:t>4752</w:t>
                  </w:r>
                </w:p>
              </w:tc>
            </w:tr>
            <w:tr w14:paraId="40E2A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82" w:type="pct"/>
                  <w:shd w:val="clear" w:color="auto" w:fill="auto"/>
                  <w:vAlign w:val="center"/>
                </w:tcPr>
                <w:p w14:paraId="3F0C7889">
                  <w:pPr>
                    <w:spacing w:line="240" w:lineRule="auto"/>
                    <w:ind w:firstLine="0" w:firstLineChars="0"/>
                    <w:jc w:val="center"/>
                    <w:rPr>
                      <w:rFonts w:cs="宋体"/>
                      <w:color w:val="auto"/>
                      <w:sz w:val="21"/>
                    </w:rPr>
                  </w:pPr>
                  <w:r>
                    <w:rPr>
                      <w:rFonts w:hint="eastAsia" w:cs="宋体"/>
                      <w:color w:val="auto"/>
                      <w:sz w:val="21"/>
                    </w:rPr>
                    <w:t>破碎</w:t>
                  </w:r>
                </w:p>
              </w:tc>
              <w:tc>
                <w:tcPr>
                  <w:tcW w:w="682" w:type="pct"/>
                  <w:shd w:val="clear" w:color="auto" w:fill="auto"/>
                  <w:vAlign w:val="center"/>
                </w:tcPr>
                <w:p w14:paraId="3F40B13F">
                  <w:pPr>
                    <w:spacing w:line="240" w:lineRule="auto"/>
                    <w:ind w:firstLine="0" w:firstLineChars="0"/>
                    <w:jc w:val="center"/>
                    <w:rPr>
                      <w:rFonts w:cs="宋体"/>
                      <w:color w:val="auto"/>
                      <w:sz w:val="21"/>
                    </w:rPr>
                  </w:pPr>
                  <w:r>
                    <w:rPr>
                      <w:rFonts w:hint="eastAsia" w:cs="宋体"/>
                      <w:color w:val="auto"/>
                      <w:sz w:val="21"/>
                    </w:rPr>
                    <w:t>破碎机</w:t>
                  </w:r>
                </w:p>
              </w:tc>
              <w:tc>
                <w:tcPr>
                  <w:tcW w:w="398" w:type="pct"/>
                  <w:shd w:val="clear" w:color="auto" w:fill="auto"/>
                  <w:vAlign w:val="center"/>
                </w:tcPr>
                <w:p w14:paraId="20ED11AA">
                  <w:pPr>
                    <w:spacing w:line="240" w:lineRule="auto"/>
                    <w:ind w:firstLine="0" w:firstLineChars="0"/>
                    <w:jc w:val="center"/>
                    <w:rPr>
                      <w:rFonts w:cs="宋体"/>
                      <w:color w:val="auto"/>
                      <w:sz w:val="21"/>
                    </w:rPr>
                  </w:pPr>
                  <w:r>
                    <w:rPr>
                      <w:rFonts w:hint="eastAsia" w:cs="宋体"/>
                      <w:color w:val="auto"/>
                      <w:sz w:val="21"/>
                    </w:rPr>
                    <w:t>2</w:t>
                  </w:r>
                </w:p>
              </w:tc>
              <w:tc>
                <w:tcPr>
                  <w:tcW w:w="550" w:type="pct"/>
                  <w:shd w:val="clear" w:color="auto" w:fill="auto"/>
                  <w:vAlign w:val="center"/>
                </w:tcPr>
                <w:p w14:paraId="551F5B30">
                  <w:pPr>
                    <w:spacing w:line="240" w:lineRule="auto"/>
                    <w:ind w:firstLine="0" w:firstLineChars="0"/>
                    <w:jc w:val="center"/>
                    <w:rPr>
                      <w:rFonts w:cs="宋体"/>
                      <w:color w:val="auto"/>
                      <w:sz w:val="21"/>
                    </w:rPr>
                  </w:pPr>
                  <w:r>
                    <w:rPr>
                      <w:rFonts w:hint="eastAsia" w:cs="宋体"/>
                      <w:color w:val="auto"/>
                      <w:sz w:val="21"/>
                    </w:rPr>
                    <w:t>0.3</w:t>
                  </w:r>
                </w:p>
              </w:tc>
              <w:tc>
                <w:tcPr>
                  <w:tcW w:w="603" w:type="pct"/>
                  <w:shd w:val="clear" w:color="auto" w:fill="auto"/>
                  <w:vAlign w:val="center"/>
                </w:tcPr>
                <w:p w14:paraId="368CAD62">
                  <w:pPr>
                    <w:spacing w:line="240" w:lineRule="auto"/>
                    <w:ind w:firstLine="0" w:firstLineChars="0"/>
                    <w:jc w:val="center"/>
                    <w:rPr>
                      <w:rFonts w:cs="宋体"/>
                      <w:color w:val="auto"/>
                      <w:sz w:val="21"/>
                    </w:rPr>
                  </w:pPr>
                  <w:r>
                    <w:rPr>
                      <w:rFonts w:hint="eastAsia" w:cs="宋体"/>
                      <w:color w:val="auto"/>
                      <w:sz w:val="21"/>
                    </w:rPr>
                    <w:t>1.0</w:t>
                  </w:r>
                </w:p>
              </w:tc>
              <w:tc>
                <w:tcPr>
                  <w:tcW w:w="489" w:type="pct"/>
                  <w:shd w:val="clear" w:color="auto" w:fill="auto"/>
                  <w:vAlign w:val="center"/>
                </w:tcPr>
                <w:p w14:paraId="7F5806B8">
                  <w:pPr>
                    <w:spacing w:line="240" w:lineRule="auto"/>
                    <w:ind w:firstLine="0" w:firstLineChars="0"/>
                    <w:jc w:val="center"/>
                    <w:rPr>
                      <w:rFonts w:cs="宋体"/>
                      <w:color w:val="auto"/>
                      <w:sz w:val="21"/>
                    </w:rPr>
                  </w:pPr>
                  <w:r>
                    <w:rPr>
                      <w:rFonts w:hint="eastAsia" w:cs="宋体"/>
                      <w:color w:val="auto"/>
                      <w:sz w:val="21"/>
                    </w:rPr>
                    <w:t>2</w:t>
                  </w:r>
                </w:p>
              </w:tc>
              <w:tc>
                <w:tcPr>
                  <w:tcW w:w="549" w:type="pct"/>
                  <w:shd w:val="clear" w:color="auto" w:fill="auto"/>
                  <w:vAlign w:val="center"/>
                </w:tcPr>
                <w:p w14:paraId="3A9FF271">
                  <w:pPr>
                    <w:spacing w:line="240" w:lineRule="auto"/>
                    <w:ind w:firstLine="0" w:firstLineChars="0"/>
                    <w:jc w:val="center"/>
                    <w:rPr>
                      <w:rFonts w:cs="宋体"/>
                      <w:color w:val="auto"/>
                      <w:sz w:val="21"/>
                    </w:rPr>
                  </w:pPr>
                  <w:r>
                    <w:rPr>
                      <w:rFonts w:hint="eastAsia" w:cs="宋体"/>
                      <w:color w:val="auto"/>
                      <w:sz w:val="21"/>
                    </w:rPr>
                    <w:t>0.55</w:t>
                  </w:r>
                </w:p>
              </w:tc>
              <w:tc>
                <w:tcPr>
                  <w:tcW w:w="632" w:type="pct"/>
                  <w:shd w:val="clear" w:color="auto" w:fill="auto"/>
                  <w:vAlign w:val="center"/>
                </w:tcPr>
                <w:p w14:paraId="1E1411EC">
                  <w:pPr>
                    <w:spacing w:line="240" w:lineRule="auto"/>
                    <w:ind w:firstLine="0" w:firstLineChars="0"/>
                    <w:jc w:val="center"/>
                    <w:rPr>
                      <w:rFonts w:cs="宋体"/>
                      <w:color w:val="auto"/>
                      <w:sz w:val="21"/>
                    </w:rPr>
                  </w:pPr>
                  <w:r>
                    <w:rPr>
                      <w:rFonts w:hint="eastAsia" w:cs="宋体"/>
                      <w:color w:val="auto"/>
                      <w:sz w:val="21"/>
                    </w:rPr>
                    <w:t>594</w:t>
                  </w:r>
                </w:p>
              </w:tc>
              <w:tc>
                <w:tcPr>
                  <w:tcW w:w="611" w:type="pct"/>
                  <w:shd w:val="clear" w:color="auto" w:fill="auto"/>
                  <w:vAlign w:val="center"/>
                </w:tcPr>
                <w:p w14:paraId="15FA3BF7">
                  <w:pPr>
                    <w:spacing w:line="240" w:lineRule="auto"/>
                    <w:ind w:firstLine="0" w:firstLineChars="0"/>
                    <w:jc w:val="center"/>
                    <w:rPr>
                      <w:rFonts w:cs="宋体"/>
                      <w:color w:val="auto"/>
                      <w:sz w:val="21"/>
                    </w:rPr>
                  </w:pPr>
                  <w:r>
                    <w:rPr>
                      <w:rFonts w:hint="eastAsia" w:cs="宋体"/>
                      <w:color w:val="auto"/>
                      <w:sz w:val="21"/>
                    </w:rPr>
                    <w:t>1188</w:t>
                  </w:r>
                </w:p>
              </w:tc>
            </w:tr>
            <w:bookmarkEnd w:id="254"/>
            <w:bookmarkEnd w:id="255"/>
            <w:tr w14:paraId="724624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4388" w:type="pct"/>
                  <w:gridSpan w:val="8"/>
                  <w:vAlign w:val="center"/>
                </w:tcPr>
                <w:p w14:paraId="7C2BF011">
                  <w:pPr>
                    <w:spacing w:line="240" w:lineRule="auto"/>
                    <w:ind w:firstLine="0" w:firstLineChars="0"/>
                    <w:jc w:val="center"/>
                    <w:rPr>
                      <w:rFonts w:cs="宋体"/>
                      <w:color w:val="auto"/>
                      <w:sz w:val="21"/>
                    </w:rPr>
                  </w:pPr>
                  <w:r>
                    <w:rPr>
                      <w:rFonts w:hint="eastAsia" w:cs="宋体"/>
                      <w:color w:val="auto"/>
                      <w:sz w:val="21"/>
                    </w:rPr>
                    <w:t>合计</w:t>
                  </w:r>
                </w:p>
              </w:tc>
              <w:tc>
                <w:tcPr>
                  <w:tcW w:w="611" w:type="pct"/>
                  <w:shd w:val="clear" w:color="auto" w:fill="auto"/>
                  <w:vAlign w:val="center"/>
                </w:tcPr>
                <w:p w14:paraId="464A4B67">
                  <w:pPr>
                    <w:spacing w:line="240" w:lineRule="auto"/>
                    <w:ind w:firstLine="0" w:firstLineChars="0"/>
                    <w:jc w:val="center"/>
                    <w:rPr>
                      <w:rFonts w:cs="宋体"/>
                      <w:color w:val="auto"/>
                      <w:sz w:val="21"/>
                    </w:rPr>
                  </w:pPr>
                  <w:bookmarkStart w:id="257" w:name="OLE_LINK308"/>
                  <w:r>
                    <w:rPr>
                      <w:rFonts w:hint="eastAsia" w:cs="宋体"/>
                      <w:color w:val="auto"/>
                      <w:sz w:val="21"/>
                    </w:rPr>
                    <w:t>9266.4</w:t>
                  </w:r>
                  <w:bookmarkEnd w:id="257"/>
                </w:p>
              </w:tc>
            </w:tr>
          </w:tbl>
          <w:p w14:paraId="65299701">
            <w:pPr>
              <w:autoSpaceDE w:val="0"/>
              <w:autoSpaceDN w:val="0"/>
              <w:ind w:firstLine="480"/>
              <w:jc w:val="both"/>
              <w:rPr>
                <w:rFonts w:cs="宋体"/>
              </w:rPr>
            </w:pPr>
            <w:r>
              <w:rPr>
                <w:rFonts w:hint="eastAsia"/>
                <w:color w:val="auto"/>
              </w:rPr>
              <w:t>由上表可知，项目集气罩总风量为9266.4</w:t>
            </w:r>
            <w:r>
              <w:rPr>
                <w:rFonts w:cs="宋体"/>
                <w:color w:val="auto"/>
              </w:rPr>
              <w:t>m</w:t>
            </w:r>
            <w:r>
              <w:rPr>
                <w:rFonts w:cs="宋体"/>
                <w:color w:val="auto"/>
                <w:vertAlign w:val="superscript"/>
              </w:rPr>
              <w:t>3</w:t>
            </w:r>
            <w:r>
              <w:rPr>
                <w:rFonts w:cs="宋体"/>
                <w:color w:val="auto"/>
              </w:rPr>
              <w:t>/h</w:t>
            </w:r>
            <w:r>
              <w:rPr>
                <w:rFonts w:hint="eastAsia" w:cs="宋体"/>
                <w:color w:val="auto"/>
              </w:rPr>
              <w:t>，根据《吸</w:t>
            </w:r>
            <w:r>
              <w:rPr>
                <w:rFonts w:hint="eastAsia" w:cs="宋体"/>
              </w:rPr>
              <w:t>附法工业有机废气治理工程技术规范》，设计风量宜按照最大废气排放量的120%进行设计，则项目废气处理设施设计风量为11500m</w:t>
            </w:r>
            <w:r>
              <w:rPr>
                <w:rFonts w:hint="eastAsia" w:cs="宋体"/>
                <w:vertAlign w:val="superscript"/>
              </w:rPr>
              <w:t>3</w:t>
            </w:r>
            <w:r>
              <w:rPr>
                <w:rFonts w:hint="eastAsia" w:cs="宋体"/>
              </w:rPr>
              <w:t>/h。</w:t>
            </w:r>
          </w:p>
          <w:p w14:paraId="60C961F6">
            <w:pPr>
              <w:widowControl/>
              <w:tabs>
                <w:tab w:val="left" w:pos="1085"/>
              </w:tabs>
              <w:ind w:firstLine="480"/>
              <w:jc w:val="both"/>
              <w:rPr>
                <w:color w:val="000000"/>
              </w:rPr>
            </w:pPr>
            <w:bookmarkStart w:id="258" w:name="OLE_LINK82"/>
            <w:r>
              <w:rPr>
                <w:rFonts w:hint="eastAsia" w:cs="宋体"/>
              </w:rPr>
              <w:t>根据《广东省工业源挥发性有机物减排量核算方法》（2023年修订版）中3.3-2废气收集集气效率参考值，项目在各产污工序设置三面围挡，产污上方采用集气罩收集，仅保留物料进出通道，通道敞开面小于1个操作工位面，敞开面控制风速不小于0.3m/s，属于半密闭型集气设备，集气效率取值65%，</w:t>
            </w:r>
            <w:bookmarkEnd w:id="258"/>
            <w:r>
              <w:rPr>
                <w:rFonts w:hint="eastAsia"/>
                <w:color w:val="000000"/>
              </w:rPr>
              <w:t>收集效率对照表见下表：</w:t>
            </w:r>
          </w:p>
          <w:p w14:paraId="0FD4FE2D">
            <w:pPr>
              <w:spacing w:line="240" w:lineRule="auto"/>
              <w:ind w:firstLine="0" w:firstLineChars="0"/>
              <w:jc w:val="center"/>
              <w:rPr>
                <w:b/>
                <w:color w:val="000000"/>
                <w:sz w:val="21"/>
              </w:rPr>
            </w:pPr>
            <w:r>
              <w:rPr>
                <w:b/>
                <w:color w:val="000000"/>
                <w:sz w:val="21"/>
              </w:rPr>
              <w:t>表</w:t>
            </w:r>
            <w:r>
              <w:rPr>
                <w:rFonts w:hint="eastAsia"/>
                <w:b/>
                <w:color w:val="000000"/>
                <w:sz w:val="21"/>
              </w:rPr>
              <w:t>4</w:t>
            </w:r>
            <w:r>
              <w:rPr>
                <w:b/>
                <w:color w:val="000000"/>
                <w:sz w:val="21"/>
              </w:rPr>
              <w:t>-</w:t>
            </w:r>
            <w:r>
              <w:rPr>
                <w:rFonts w:hint="eastAsia"/>
                <w:b/>
                <w:color w:val="000000"/>
                <w:sz w:val="21"/>
              </w:rPr>
              <w:t>3</w:t>
            </w:r>
            <w:r>
              <w:rPr>
                <w:b/>
                <w:color w:val="000000"/>
                <w:sz w:val="21"/>
              </w:rPr>
              <w:t xml:space="preserve">  </w:t>
            </w:r>
            <w:r>
              <w:rPr>
                <w:rFonts w:hint="eastAsia"/>
                <w:b/>
                <w:color w:val="000000"/>
                <w:sz w:val="21"/>
              </w:rPr>
              <w:t>废气收集集气效率参考值</w:t>
            </w:r>
          </w:p>
          <w:tbl>
            <w:tblPr>
              <w:tblStyle w:val="34"/>
              <w:tblW w:w="4998" w:type="pct"/>
              <w:tblInd w:w="1"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088"/>
              <w:gridCol w:w="2586"/>
              <w:gridCol w:w="3995"/>
              <w:gridCol w:w="856"/>
            </w:tblGrid>
            <w:tr w14:paraId="77FFDA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38" w:type="pct"/>
                  <w:vAlign w:val="center"/>
                </w:tcPr>
                <w:p w14:paraId="77EDF2D3">
                  <w:pPr>
                    <w:widowControl/>
                    <w:tabs>
                      <w:tab w:val="left" w:pos="2031"/>
                    </w:tabs>
                    <w:spacing w:line="240" w:lineRule="auto"/>
                    <w:ind w:firstLine="0" w:firstLineChars="0"/>
                    <w:jc w:val="center"/>
                    <w:rPr>
                      <w:color w:val="000000"/>
                      <w:sz w:val="21"/>
                    </w:rPr>
                  </w:pPr>
                  <w:r>
                    <w:rPr>
                      <w:rFonts w:hint="eastAsia"/>
                      <w:color w:val="000000"/>
                      <w:sz w:val="21"/>
                    </w:rPr>
                    <w:t>废气收集类型</w:t>
                  </w:r>
                </w:p>
              </w:tc>
              <w:tc>
                <w:tcPr>
                  <w:tcW w:w="1517" w:type="pct"/>
                  <w:vAlign w:val="center"/>
                </w:tcPr>
                <w:p w14:paraId="6671FCDF">
                  <w:pPr>
                    <w:widowControl/>
                    <w:tabs>
                      <w:tab w:val="left" w:pos="1085"/>
                    </w:tabs>
                    <w:spacing w:line="240" w:lineRule="auto"/>
                    <w:ind w:firstLine="0" w:firstLineChars="0"/>
                    <w:jc w:val="center"/>
                    <w:rPr>
                      <w:color w:val="000000"/>
                      <w:sz w:val="21"/>
                    </w:rPr>
                  </w:pPr>
                  <w:r>
                    <w:rPr>
                      <w:rFonts w:hint="eastAsia"/>
                      <w:color w:val="000000"/>
                      <w:sz w:val="21"/>
                    </w:rPr>
                    <w:t>废气收集方式</w:t>
                  </w:r>
                </w:p>
              </w:tc>
              <w:tc>
                <w:tcPr>
                  <w:tcW w:w="2343" w:type="pct"/>
                  <w:vAlign w:val="center"/>
                </w:tcPr>
                <w:p w14:paraId="2A15DD01">
                  <w:pPr>
                    <w:widowControl/>
                    <w:tabs>
                      <w:tab w:val="left" w:pos="1085"/>
                    </w:tabs>
                    <w:spacing w:line="240" w:lineRule="auto"/>
                    <w:ind w:firstLine="0" w:firstLineChars="0"/>
                    <w:jc w:val="center"/>
                    <w:rPr>
                      <w:color w:val="000000"/>
                      <w:sz w:val="21"/>
                    </w:rPr>
                  </w:pPr>
                  <w:r>
                    <w:rPr>
                      <w:rFonts w:hint="eastAsia"/>
                      <w:color w:val="000000"/>
                      <w:sz w:val="21"/>
                    </w:rPr>
                    <w:t>情况说明</w:t>
                  </w:r>
                </w:p>
              </w:tc>
              <w:tc>
                <w:tcPr>
                  <w:tcW w:w="499" w:type="pct"/>
                  <w:vAlign w:val="center"/>
                </w:tcPr>
                <w:p w14:paraId="7D200217">
                  <w:pPr>
                    <w:widowControl/>
                    <w:tabs>
                      <w:tab w:val="left" w:pos="1085"/>
                    </w:tabs>
                    <w:spacing w:line="240" w:lineRule="auto"/>
                    <w:ind w:firstLine="0" w:firstLineChars="0"/>
                    <w:jc w:val="center"/>
                    <w:rPr>
                      <w:color w:val="000000"/>
                      <w:sz w:val="21"/>
                    </w:rPr>
                  </w:pPr>
                  <w:r>
                    <w:rPr>
                      <w:rFonts w:hint="eastAsia"/>
                      <w:color w:val="000000"/>
                      <w:sz w:val="21"/>
                    </w:rPr>
                    <w:t>集气效率（%）</w:t>
                  </w:r>
                </w:p>
              </w:tc>
            </w:tr>
            <w:tr w14:paraId="1F64A82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38" w:type="pct"/>
                  <w:vMerge w:val="restart"/>
                  <w:vAlign w:val="center"/>
                </w:tcPr>
                <w:p w14:paraId="22E6B5FF">
                  <w:pPr>
                    <w:widowControl/>
                    <w:tabs>
                      <w:tab w:val="left" w:pos="1085"/>
                    </w:tabs>
                    <w:spacing w:line="240" w:lineRule="auto"/>
                    <w:ind w:firstLine="0" w:firstLineChars="0"/>
                    <w:jc w:val="center"/>
                    <w:rPr>
                      <w:color w:val="000000"/>
                      <w:sz w:val="21"/>
                    </w:rPr>
                  </w:pPr>
                  <w:r>
                    <w:rPr>
                      <w:rFonts w:hint="eastAsia"/>
                      <w:color w:val="000000"/>
                      <w:sz w:val="21"/>
                    </w:rPr>
                    <w:t>全密封设备/空间</w:t>
                  </w:r>
                </w:p>
              </w:tc>
              <w:tc>
                <w:tcPr>
                  <w:tcW w:w="1517" w:type="pct"/>
                  <w:vAlign w:val="center"/>
                </w:tcPr>
                <w:p w14:paraId="6497F120">
                  <w:pPr>
                    <w:spacing w:line="240" w:lineRule="auto"/>
                    <w:ind w:firstLine="0" w:firstLineChars="0"/>
                    <w:jc w:val="center"/>
                    <w:rPr>
                      <w:color w:val="000000"/>
                      <w:sz w:val="21"/>
                    </w:rPr>
                  </w:pPr>
                  <w:r>
                    <w:rPr>
                      <w:rFonts w:hint="eastAsia"/>
                      <w:color w:val="000000"/>
                      <w:sz w:val="21"/>
                    </w:rPr>
                    <w:t>单层密闭负压</w:t>
                  </w:r>
                </w:p>
              </w:tc>
              <w:tc>
                <w:tcPr>
                  <w:tcW w:w="2343" w:type="pct"/>
                  <w:vAlign w:val="center"/>
                </w:tcPr>
                <w:p w14:paraId="43FC1B2C">
                  <w:pPr>
                    <w:widowControl/>
                    <w:tabs>
                      <w:tab w:val="left" w:pos="1085"/>
                    </w:tabs>
                    <w:spacing w:line="240" w:lineRule="auto"/>
                    <w:ind w:firstLine="0" w:firstLineChars="0"/>
                    <w:jc w:val="center"/>
                    <w:rPr>
                      <w:color w:val="000000"/>
                      <w:sz w:val="21"/>
                    </w:rPr>
                  </w:pPr>
                  <w:r>
                    <w:rPr>
                      <w:color w:val="000000"/>
                      <w:sz w:val="21"/>
                    </w:rPr>
                    <w:t>VOCs</w:t>
                  </w:r>
                  <w:r>
                    <w:rPr>
                      <w:rFonts w:hint="eastAsia"/>
                      <w:color w:val="000000"/>
                      <w:sz w:val="21"/>
                    </w:rPr>
                    <w:t>生产源设置在密闭车间、密闭设备（含反应釜）、密闭管道内，所有开口处，包括人员或物料进出口处呈负压</w:t>
                  </w:r>
                </w:p>
              </w:tc>
              <w:tc>
                <w:tcPr>
                  <w:tcW w:w="499" w:type="pct"/>
                  <w:vAlign w:val="center"/>
                </w:tcPr>
                <w:p w14:paraId="6B95DAF4">
                  <w:pPr>
                    <w:widowControl/>
                    <w:tabs>
                      <w:tab w:val="left" w:pos="1085"/>
                    </w:tabs>
                    <w:spacing w:line="240" w:lineRule="auto"/>
                    <w:ind w:firstLine="0" w:firstLineChars="0"/>
                    <w:jc w:val="center"/>
                    <w:rPr>
                      <w:color w:val="000000"/>
                      <w:sz w:val="21"/>
                    </w:rPr>
                  </w:pPr>
                  <w:r>
                    <w:rPr>
                      <w:rFonts w:hint="eastAsia"/>
                      <w:color w:val="000000"/>
                      <w:sz w:val="21"/>
                    </w:rPr>
                    <w:t>9</w:t>
                  </w:r>
                  <w:r>
                    <w:rPr>
                      <w:color w:val="000000"/>
                      <w:sz w:val="21"/>
                    </w:rPr>
                    <w:t>0</w:t>
                  </w:r>
                </w:p>
              </w:tc>
            </w:tr>
            <w:tr w14:paraId="137788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38" w:type="pct"/>
                  <w:vMerge w:val="continue"/>
                  <w:vAlign w:val="center"/>
                </w:tcPr>
                <w:p w14:paraId="4B53F1A4">
                  <w:pPr>
                    <w:tabs>
                      <w:tab w:val="left" w:pos="1085"/>
                    </w:tabs>
                    <w:spacing w:line="240" w:lineRule="auto"/>
                    <w:ind w:firstLine="0" w:firstLineChars="0"/>
                    <w:jc w:val="center"/>
                    <w:rPr>
                      <w:color w:val="000000"/>
                      <w:sz w:val="21"/>
                    </w:rPr>
                  </w:pPr>
                </w:p>
              </w:tc>
              <w:tc>
                <w:tcPr>
                  <w:tcW w:w="1517" w:type="pct"/>
                  <w:vAlign w:val="center"/>
                </w:tcPr>
                <w:p w14:paraId="2F4DBF44">
                  <w:pPr>
                    <w:spacing w:line="240" w:lineRule="auto"/>
                    <w:ind w:firstLine="0" w:firstLineChars="0"/>
                    <w:jc w:val="center"/>
                    <w:rPr>
                      <w:color w:val="000000"/>
                      <w:sz w:val="21"/>
                    </w:rPr>
                  </w:pPr>
                  <w:r>
                    <w:rPr>
                      <w:rFonts w:hint="eastAsia"/>
                      <w:color w:val="000000"/>
                      <w:sz w:val="21"/>
                    </w:rPr>
                    <w:t>单层密闭正压</w:t>
                  </w:r>
                </w:p>
              </w:tc>
              <w:tc>
                <w:tcPr>
                  <w:tcW w:w="2343" w:type="pct"/>
                  <w:vAlign w:val="center"/>
                </w:tcPr>
                <w:p w14:paraId="4C3D1637">
                  <w:pPr>
                    <w:widowControl/>
                    <w:tabs>
                      <w:tab w:val="left" w:pos="1085"/>
                    </w:tabs>
                    <w:spacing w:line="240" w:lineRule="auto"/>
                    <w:ind w:firstLine="0" w:firstLineChars="0"/>
                    <w:jc w:val="center"/>
                    <w:rPr>
                      <w:color w:val="000000"/>
                      <w:sz w:val="21"/>
                    </w:rPr>
                  </w:pPr>
                  <w:r>
                    <w:rPr>
                      <w:color w:val="000000"/>
                      <w:sz w:val="21"/>
                    </w:rPr>
                    <w:t>VOCs</w:t>
                  </w:r>
                  <w:r>
                    <w:rPr>
                      <w:rFonts w:hint="eastAsia"/>
                      <w:color w:val="000000"/>
                      <w:sz w:val="21"/>
                    </w:rPr>
                    <w:t>生产源设置在密闭车间内，所有开口处，包括人员或物料进出口处呈正压，且无明显泄漏点</w:t>
                  </w:r>
                </w:p>
              </w:tc>
              <w:tc>
                <w:tcPr>
                  <w:tcW w:w="499" w:type="pct"/>
                  <w:vAlign w:val="center"/>
                </w:tcPr>
                <w:p w14:paraId="0EE49056">
                  <w:pPr>
                    <w:widowControl/>
                    <w:tabs>
                      <w:tab w:val="left" w:pos="1085"/>
                    </w:tabs>
                    <w:spacing w:line="240" w:lineRule="auto"/>
                    <w:ind w:firstLine="0" w:firstLineChars="0"/>
                    <w:jc w:val="center"/>
                    <w:rPr>
                      <w:color w:val="000000"/>
                      <w:sz w:val="21"/>
                    </w:rPr>
                  </w:pPr>
                  <w:r>
                    <w:rPr>
                      <w:rFonts w:hint="eastAsia"/>
                      <w:color w:val="000000"/>
                      <w:sz w:val="21"/>
                    </w:rPr>
                    <w:t>8</w:t>
                  </w:r>
                  <w:r>
                    <w:rPr>
                      <w:color w:val="000000"/>
                      <w:sz w:val="21"/>
                    </w:rPr>
                    <w:t>0</w:t>
                  </w:r>
                </w:p>
              </w:tc>
            </w:tr>
            <w:tr w14:paraId="62D344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71" w:hRule="atLeast"/>
              </w:trPr>
              <w:tc>
                <w:tcPr>
                  <w:tcW w:w="638" w:type="pct"/>
                  <w:vMerge w:val="continue"/>
                  <w:vAlign w:val="center"/>
                </w:tcPr>
                <w:p w14:paraId="43A301D8">
                  <w:pPr>
                    <w:widowControl/>
                    <w:tabs>
                      <w:tab w:val="left" w:pos="1085"/>
                    </w:tabs>
                    <w:spacing w:line="240" w:lineRule="auto"/>
                    <w:ind w:firstLine="0" w:firstLineChars="0"/>
                    <w:jc w:val="center"/>
                    <w:rPr>
                      <w:color w:val="000000"/>
                      <w:sz w:val="21"/>
                    </w:rPr>
                  </w:pPr>
                </w:p>
              </w:tc>
              <w:tc>
                <w:tcPr>
                  <w:tcW w:w="1517" w:type="pct"/>
                  <w:vAlign w:val="center"/>
                </w:tcPr>
                <w:p w14:paraId="2745B2C8">
                  <w:pPr>
                    <w:widowControl/>
                    <w:tabs>
                      <w:tab w:val="left" w:pos="1085"/>
                    </w:tabs>
                    <w:spacing w:line="240" w:lineRule="auto"/>
                    <w:ind w:firstLine="0" w:firstLineChars="0"/>
                    <w:jc w:val="center"/>
                    <w:rPr>
                      <w:color w:val="000000"/>
                      <w:sz w:val="21"/>
                    </w:rPr>
                  </w:pPr>
                  <w:r>
                    <w:rPr>
                      <w:rFonts w:hint="eastAsia"/>
                      <w:color w:val="000000"/>
                      <w:sz w:val="21"/>
                    </w:rPr>
                    <w:t>双层密闭空间</w:t>
                  </w:r>
                </w:p>
              </w:tc>
              <w:tc>
                <w:tcPr>
                  <w:tcW w:w="2343" w:type="pct"/>
                  <w:vAlign w:val="center"/>
                </w:tcPr>
                <w:p w14:paraId="28BA9727">
                  <w:pPr>
                    <w:widowControl/>
                    <w:tabs>
                      <w:tab w:val="left" w:pos="1085"/>
                    </w:tabs>
                    <w:spacing w:line="240" w:lineRule="auto"/>
                    <w:ind w:firstLine="0" w:firstLineChars="0"/>
                    <w:jc w:val="center"/>
                    <w:rPr>
                      <w:color w:val="000000"/>
                      <w:sz w:val="21"/>
                    </w:rPr>
                  </w:pPr>
                  <w:r>
                    <w:rPr>
                      <w:rFonts w:hint="eastAsia"/>
                      <w:color w:val="000000"/>
                      <w:sz w:val="21"/>
                    </w:rPr>
                    <w:t>内层空间密闭正压，外层空间密闭负压</w:t>
                  </w:r>
                </w:p>
              </w:tc>
              <w:tc>
                <w:tcPr>
                  <w:tcW w:w="499" w:type="pct"/>
                  <w:vAlign w:val="center"/>
                </w:tcPr>
                <w:p w14:paraId="341BB1B9">
                  <w:pPr>
                    <w:widowControl/>
                    <w:tabs>
                      <w:tab w:val="left" w:pos="1085"/>
                    </w:tabs>
                    <w:spacing w:line="240" w:lineRule="auto"/>
                    <w:ind w:firstLine="0" w:firstLineChars="0"/>
                    <w:jc w:val="center"/>
                    <w:rPr>
                      <w:color w:val="000000"/>
                      <w:sz w:val="21"/>
                    </w:rPr>
                  </w:pPr>
                  <w:r>
                    <w:rPr>
                      <w:rFonts w:hint="eastAsia"/>
                      <w:color w:val="000000"/>
                      <w:sz w:val="21"/>
                    </w:rPr>
                    <w:t>9</w:t>
                  </w:r>
                  <w:r>
                    <w:rPr>
                      <w:color w:val="000000"/>
                      <w:sz w:val="21"/>
                    </w:rPr>
                    <w:t>8</w:t>
                  </w:r>
                </w:p>
              </w:tc>
            </w:tr>
            <w:tr w14:paraId="10C070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88" w:hRule="atLeast"/>
              </w:trPr>
              <w:tc>
                <w:tcPr>
                  <w:tcW w:w="638" w:type="pct"/>
                  <w:vMerge w:val="continue"/>
                  <w:vAlign w:val="center"/>
                </w:tcPr>
                <w:p w14:paraId="296AD3C6">
                  <w:pPr>
                    <w:widowControl/>
                    <w:tabs>
                      <w:tab w:val="left" w:pos="1085"/>
                    </w:tabs>
                    <w:spacing w:line="240" w:lineRule="auto"/>
                    <w:ind w:firstLine="0" w:firstLineChars="0"/>
                    <w:jc w:val="center"/>
                    <w:rPr>
                      <w:color w:val="000000"/>
                      <w:sz w:val="21"/>
                    </w:rPr>
                  </w:pPr>
                </w:p>
              </w:tc>
              <w:tc>
                <w:tcPr>
                  <w:tcW w:w="1517" w:type="pct"/>
                  <w:vAlign w:val="center"/>
                </w:tcPr>
                <w:p w14:paraId="74EE3E93">
                  <w:pPr>
                    <w:widowControl/>
                    <w:tabs>
                      <w:tab w:val="left" w:pos="1085"/>
                    </w:tabs>
                    <w:spacing w:line="240" w:lineRule="auto"/>
                    <w:ind w:firstLine="0" w:firstLineChars="0"/>
                    <w:jc w:val="center"/>
                    <w:rPr>
                      <w:color w:val="000000"/>
                      <w:sz w:val="21"/>
                    </w:rPr>
                  </w:pPr>
                  <w:r>
                    <w:rPr>
                      <w:rFonts w:hint="eastAsia"/>
                      <w:color w:val="000000"/>
                      <w:sz w:val="21"/>
                    </w:rPr>
                    <w:t>设备废气排口直连</w:t>
                  </w:r>
                </w:p>
              </w:tc>
              <w:tc>
                <w:tcPr>
                  <w:tcW w:w="2343" w:type="pct"/>
                  <w:vAlign w:val="center"/>
                </w:tcPr>
                <w:p w14:paraId="3F924C47">
                  <w:pPr>
                    <w:widowControl/>
                    <w:tabs>
                      <w:tab w:val="left" w:pos="1085"/>
                    </w:tabs>
                    <w:spacing w:line="240" w:lineRule="auto"/>
                    <w:ind w:firstLine="0" w:firstLineChars="0"/>
                    <w:jc w:val="center"/>
                    <w:rPr>
                      <w:color w:val="000000"/>
                      <w:sz w:val="21"/>
                    </w:rPr>
                  </w:pPr>
                  <w:r>
                    <w:rPr>
                      <w:rFonts w:hint="eastAsia"/>
                      <w:color w:val="000000"/>
                      <w:sz w:val="21"/>
                    </w:rPr>
                    <w:t>设备有固定排放管（或口）直接与风管连接，设备整体密闭只留产品进出口，且进出口处废气收集措施，收集系统运行时周边基本无VOCs散发</w:t>
                  </w:r>
                </w:p>
              </w:tc>
              <w:tc>
                <w:tcPr>
                  <w:tcW w:w="499" w:type="pct"/>
                  <w:vAlign w:val="center"/>
                </w:tcPr>
                <w:p w14:paraId="076DDCDE">
                  <w:pPr>
                    <w:widowControl/>
                    <w:tabs>
                      <w:tab w:val="left" w:pos="1085"/>
                    </w:tabs>
                    <w:spacing w:line="240" w:lineRule="auto"/>
                    <w:ind w:firstLine="0" w:firstLineChars="0"/>
                    <w:jc w:val="center"/>
                    <w:rPr>
                      <w:color w:val="000000"/>
                      <w:sz w:val="21"/>
                    </w:rPr>
                  </w:pPr>
                  <w:r>
                    <w:rPr>
                      <w:rFonts w:hint="eastAsia"/>
                      <w:color w:val="000000"/>
                      <w:sz w:val="21"/>
                    </w:rPr>
                    <w:t>95</w:t>
                  </w:r>
                </w:p>
              </w:tc>
            </w:tr>
            <w:tr w14:paraId="1A179D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72" w:hRule="atLeast"/>
              </w:trPr>
              <w:tc>
                <w:tcPr>
                  <w:tcW w:w="638" w:type="pct"/>
                  <w:vMerge w:val="restart"/>
                  <w:vAlign w:val="center"/>
                </w:tcPr>
                <w:p w14:paraId="5639B39B">
                  <w:pPr>
                    <w:widowControl/>
                    <w:tabs>
                      <w:tab w:val="left" w:pos="1085"/>
                    </w:tabs>
                    <w:spacing w:line="240" w:lineRule="auto"/>
                    <w:ind w:firstLine="0" w:firstLineChars="0"/>
                    <w:jc w:val="center"/>
                    <w:rPr>
                      <w:color w:val="000000"/>
                      <w:sz w:val="21"/>
                    </w:rPr>
                  </w:pPr>
                  <w:r>
                    <w:rPr>
                      <w:rFonts w:hint="eastAsia"/>
                      <w:color w:val="000000"/>
                      <w:sz w:val="21"/>
                    </w:rPr>
                    <w:t>半密闭型集气设备（含排气柜）</w:t>
                  </w:r>
                </w:p>
              </w:tc>
              <w:tc>
                <w:tcPr>
                  <w:tcW w:w="1517" w:type="pct"/>
                  <w:vMerge w:val="restart"/>
                  <w:vAlign w:val="center"/>
                </w:tcPr>
                <w:p w14:paraId="76344D6B">
                  <w:pPr>
                    <w:widowControl/>
                    <w:tabs>
                      <w:tab w:val="left" w:pos="1085"/>
                    </w:tabs>
                    <w:spacing w:line="240" w:lineRule="auto"/>
                    <w:ind w:firstLine="0" w:firstLineChars="0"/>
                    <w:jc w:val="center"/>
                    <w:rPr>
                      <w:color w:val="000000"/>
                      <w:sz w:val="21"/>
                    </w:rPr>
                  </w:pPr>
                  <w:r>
                    <w:rPr>
                      <w:rFonts w:hint="eastAsia"/>
                      <w:color w:val="000000"/>
                      <w:sz w:val="21"/>
                    </w:rPr>
                    <w:t>污染物产生点（或生产设施）四周及上下有围挡设施，符合以下两种情况：1．仅保留1个操作工位面；2．仅保留物料进出通道，通道敞开面小于1个操作工位面</w:t>
                  </w:r>
                </w:p>
              </w:tc>
              <w:tc>
                <w:tcPr>
                  <w:tcW w:w="2343" w:type="pct"/>
                  <w:tcBorders>
                    <w:bottom w:val="single" w:color="auto" w:sz="4" w:space="0"/>
                  </w:tcBorders>
                  <w:vAlign w:val="center"/>
                </w:tcPr>
                <w:p w14:paraId="506B2F1F">
                  <w:pPr>
                    <w:widowControl/>
                    <w:tabs>
                      <w:tab w:val="left" w:pos="1085"/>
                    </w:tabs>
                    <w:spacing w:line="240" w:lineRule="auto"/>
                    <w:ind w:firstLine="0" w:firstLineChars="0"/>
                    <w:jc w:val="center"/>
                    <w:rPr>
                      <w:color w:val="000000"/>
                      <w:sz w:val="21"/>
                    </w:rPr>
                  </w:pPr>
                  <w:r>
                    <w:rPr>
                      <w:rFonts w:hint="eastAsia"/>
                      <w:color w:val="000000"/>
                      <w:sz w:val="21"/>
                    </w:rPr>
                    <w:t>敞开面控制风速不小于0.3m/s</w:t>
                  </w:r>
                </w:p>
              </w:tc>
              <w:tc>
                <w:tcPr>
                  <w:tcW w:w="499" w:type="pct"/>
                  <w:tcBorders>
                    <w:bottom w:val="single" w:color="auto" w:sz="4" w:space="0"/>
                  </w:tcBorders>
                  <w:vAlign w:val="center"/>
                </w:tcPr>
                <w:p w14:paraId="541D1EDD">
                  <w:pPr>
                    <w:widowControl/>
                    <w:tabs>
                      <w:tab w:val="left" w:pos="1085"/>
                    </w:tabs>
                    <w:spacing w:line="240" w:lineRule="auto"/>
                    <w:ind w:firstLine="0" w:firstLineChars="0"/>
                    <w:jc w:val="center"/>
                    <w:rPr>
                      <w:color w:val="000000"/>
                      <w:sz w:val="21"/>
                    </w:rPr>
                  </w:pPr>
                  <w:r>
                    <w:rPr>
                      <w:rFonts w:hint="eastAsia"/>
                      <w:color w:val="000000"/>
                      <w:sz w:val="21"/>
                    </w:rPr>
                    <w:t>65</w:t>
                  </w:r>
                </w:p>
              </w:tc>
            </w:tr>
            <w:tr w14:paraId="63B3A76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449" w:hRule="atLeast"/>
              </w:trPr>
              <w:tc>
                <w:tcPr>
                  <w:tcW w:w="638" w:type="pct"/>
                  <w:vMerge w:val="continue"/>
                  <w:vAlign w:val="center"/>
                </w:tcPr>
                <w:p w14:paraId="665D8B33">
                  <w:pPr>
                    <w:widowControl/>
                    <w:tabs>
                      <w:tab w:val="left" w:pos="1085"/>
                    </w:tabs>
                    <w:spacing w:line="240" w:lineRule="auto"/>
                    <w:ind w:firstLine="0" w:firstLineChars="0"/>
                    <w:jc w:val="center"/>
                    <w:rPr>
                      <w:color w:val="000000"/>
                      <w:sz w:val="21"/>
                    </w:rPr>
                  </w:pPr>
                </w:p>
              </w:tc>
              <w:tc>
                <w:tcPr>
                  <w:tcW w:w="1517" w:type="pct"/>
                  <w:vMerge w:val="continue"/>
                  <w:vAlign w:val="center"/>
                </w:tcPr>
                <w:p w14:paraId="6F2786DA">
                  <w:pPr>
                    <w:widowControl/>
                    <w:tabs>
                      <w:tab w:val="left" w:pos="1085"/>
                    </w:tabs>
                    <w:spacing w:line="240" w:lineRule="auto"/>
                    <w:ind w:firstLine="0" w:firstLineChars="0"/>
                    <w:jc w:val="center"/>
                    <w:rPr>
                      <w:color w:val="000000"/>
                      <w:sz w:val="21"/>
                    </w:rPr>
                  </w:pPr>
                </w:p>
              </w:tc>
              <w:tc>
                <w:tcPr>
                  <w:tcW w:w="2343" w:type="pct"/>
                  <w:tcBorders>
                    <w:top w:val="single" w:color="auto" w:sz="4" w:space="0"/>
                  </w:tcBorders>
                  <w:shd w:val="clear" w:color="auto" w:fill="auto"/>
                  <w:vAlign w:val="center"/>
                </w:tcPr>
                <w:p w14:paraId="4631E107">
                  <w:pPr>
                    <w:widowControl/>
                    <w:tabs>
                      <w:tab w:val="left" w:pos="1085"/>
                    </w:tabs>
                    <w:spacing w:line="240" w:lineRule="auto"/>
                    <w:ind w:firstLine="0" w:firstLineChars="0"/>
                    <w:jc w:val="center"/>
                    <w:rPr>
                      <w:color w:val="000000"/>
                      <w:sz w:val="21"/>
                    </w:rPr>
                  </w:pPr>
                  <w:r>
                    <w:rPr>
                      <w:rFonts w:hint="eastAsia"/>
                      <w:color w:val="000000"/>
                      <w:sz w:val="21"/>
                    </w:rPr>
                    <w:t>敞开面控制风速小于0.3m/s</w:t>
                  </w:r>
                </w:p>
              </w:tc>
              <w:tc>
                <w:tcPr>
                  <w:tcW w:w="499" w:type="pct"/>
                  <w:tcBorders>
                    <w:top w:val="single" w:color="auto" w:sz="4" w:space="0"/>
                  </w:tcBorders>
                  <w:shd w:val="clear" w:color="auto" w:fill="auto"/>
                  <w:vAlign w:val="center"/>
                </w:tcPr>
                <w:p w14:paraId="0595DE2B">
                  <w:pPr>
                    <w:widowControl/>
                    <w:tabs>
                      <w:tab w:val="left" w:pos="1085"/>
                    </w:tabs>
                    <w:spacing w:line="240" w:lineRule="auto"/>
                    <w:ind w:firstLine="0" w:firstLineChars="0"/>
                    <w:jc w:val="center"/>
                    <w:rPr>
                      <w:color w:val="000000"/>
                      <w:sz w:val="21"/>
                    </w:rPr>
                  </w:pPr>
                  <w:r>
                    <w:rPr>
                      <w:color w:val="000000"/>
                      <w:sz w:val="21"/>
                    </w:rPr>
                    <w:t>0</w:t>
                  </w:r>
                </w:p>
              </w:tc>
            </w:tr>
            <w:tr w14:paraId="73E780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07" w:hRule="atLeast"/>
              </w:trPr>
              <w:tc>
                <w:tcPr>
                  <w:tcW w:w="638" w:type="pct"/>
                  <w:vMerge w:val="restart"/>
                  <w:vAlign w:val="center"/>
                </w:tcPr>
                <w:p w14:paraId="74AE8ACC">
                  <w:pPr>
                    <w:widowControl/>
                    <w:tabs>
                      <w:tab w:val="left" w:pos="1085"/>
                    </w:tabs>
                    <w:spacing w:line="240" w:lineRule="auto"/>
                    <w:ind w:firstLine="0" w:firstLineChars="0"/>
                    <w:jc w:val="center"/>
                    <w:rPr>
                      <w:color w:val="000000"/>
                      <w:sz w:val="21"/>
                    </w:rPr>
                  </w:pPr>
                  <w:r>
                    <w:rPr>
                      <w:rFonts w:hint="eastAsia"/>
                      <w:color w:val="000000"/>
                      <w:sz w:val="21"/>
                    </w:rPr>
                    <w:t>包围型集气罩</w:t>
                  </w:r>
                </w:p>
              </w:tc>
              <w:tc>
                <w:tcPr>
                  <w:tcW w:w="1517" w:type="pct"/>
                  <w:vMerge w:val="restart"/>
                  <w:vAlign w:val="center"/>
                </w:tcPr>
                <w:p w14:paraId="7453522F">
                  <w:pPr>
                    <w:widowControl/>
                    <w:tabs>
                      <w:tab w:val="left" w:pos="1085"/>
                    </w:tabs>
                    <w:spacing w:line="240" w:lineRule="auto"/>
                    <w:ind w:firstLine="0" w:firstLineChars="0"/>
                    <w:jc w:val="both"/>
                    <w:rPr>
                      <w:color w:val="000000"/>
                      <w:sz w:val="21"/>
                    </w:rPr>
                  </w:pPr>
                  <w:r>
                    <w:rPr>
                      <w:rFonts w:hint="eastAsia"/>
                      <w:color w:val="000000"/>
                      <w:sz w:val="21"/>
                    </w:rPr>
                    <w:t>通过软质垂帘四周围挡（偶部分敞开）</w:t>
                  </w:r>
                </w:p>
              </w:tc>
              <w:tc>
                <w:tcPr>
                  <w:tcW w:w="2343" w:type="pct"/>
                  <w:vAlign w:val="center"/>
                </w:tcPr>
                <w:p w14:paraId="3451D439">
                  <w:pPr>
                    <w:widowControl/>
                    <w:tabs>
                      <w:tab w:val="left" w:pos="1085"/>
                    </w:tabs>
                    <w:spacing w:line="240" w:lineRule="auto"/>
                    <w:ind w:firstLine="0" w:firstLineChars="0"/>
                    <w:jc w:val="center"/>
                    <w:rPr>
                      <w:color w:val="000000"/>
                      <w:sz w:val="21"/>
                    </w:rPr>
                  </w:pPr>
                  <w:r>
                    <w:rPr>
                      <w:rFonts w:hint="eastAsia"/>
                      <w:color w:val="000000"/>
                      <w:sz w:val="21"/>
                    </w:rPr>
                    <w:t>敞开面控制风速不小于0.</w:t>
                  </w:r>
                  <w:r>
                    <w:rPr>
                      <w:color w:val="000000"/>
                      <w:sz w:val="21"/>
                    </w:rPr>
                    <w:t>3</w:t>
                  </w:r>
                  <w:r>
                    <w:rPr>
                      <w:rFonts w:hint="eastAsia"/>
                      <w:color w:val="000000"/>
                      <w:sz w:val="21"/>
                    </w:rPr>
                    <w:t>m/s</w:t>
                  </w:r>
                </w:p>
              </w:tc>
              <w:tc>
                <w:tcPr>
                  <w:tcW w:w="499" w:type="pct"/>
                  <w:vAlign w:val="center"/>
                </w:tcPr>
                <w:p w14:paraId="02843EDC">
                  <w:pPr>
                    <w:widowControl/>
                    <w:tabs>
                      <w:tab w:val="left" w:pos="1085"/>
                    </w:tabs>
                    <w:spacing w:line="240" w:lineRule="auto"/>
                    <w:ind w:firstLine="0" w:firstLineChars="0"/>
                    <w:jc w:val="center"/>
                    <w:rPr>
                      <w:color w:val="000000"/>
                      <w:sz w:val="21"/>
                    </w:rPr>
                  </w:pPr>
                  <w:r>
                    <w:rPr>
                      <w:color w:val="000000"/>
                      <w:sz w:val="21"/>
                    </w:rPr>
                    <w:t>5</w:t>
                  </w:r>
                  <w:r>
                    <w:rPr>
                      <w:rFonts w:hint="eastAsia"/>
                      <w:color w:val="000000"/>
                      <w:sz w:val="21"/>
                    </w:rPr>
                    <w:t>0</w:t>
                  </w:r>
                </w:p>
              </w:tc>
            </w:tr>
            <w:tr w14:paraId="6DE59A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37" w:hRule="atLeast"/>
              </w:trPr>
              <w:tc>
                <w:tcPr>
                  <w:tcW w:w="638" w:type="pct"/>
                  <w:vMerge w:val="continue"/>
                  <w:vAlign w:val="center"/>
                </w:tcPr>
                <w:p w14:paraId="0DB3D375">
                  <w:pPr>
                    <w:widowControl/>
                    <w:tabs>
                      <w:tab w:val="left" w:pos="1085"/>
                    </w:tabs>
                    <w:spacing w:line="240" w:lineRule="auto"/>
                    <w:ind w:firstLine="0" w:firstLineChars="0"/>
                    <w:jc w:val="center"/>
                    <w:rPr>
                      <w:color w:val="000000"/>
                      <w:sz w:val="21"/>
                    </w:rPr>
                  </w:pPr>
                </w:p>
              </w:tc>
              <w:tc>
                <w:tcPr>
                  <w:tcW w:w="1517" w:type="pct"/>
                  <w:vMerge w:val="continue"/>
                  <w:vAlign w:val="center"/>
                </w:tcPr>
                <w:p w14:paraId="520D8411">
                  <w:pPr>
                    <w:widowControl/>
                    <w:tabs>
                      <w:tab w:val="left" w:pos="1085"/>
                    </w:tabs>
                    <w:spacing w:line="240" w:lineRule="auto"/>
                    <w:ind w:firstLine="0" w:firstLineChars="0"/>
                    <w:jc w:val="center"/>
                    <w:rPr>
                      <w:color w:val="000000"/>
                      <w:sz w:val="21"/>
                    </w:rPr>
                  </w:pPr>
                </w:p>
              </w:tc>
              <w:tc>
                <w:tcPr>
                  <w:tcW w:w="2343" w:type="pct"/>
                  <w:vAlign w:val="center"/>
                </w:tcPr>
                <w:p w14:paraId="1A111B6F">
                  <w:pPr>
                    <w:widowControl/>
                    <w:tabs>
                      <w:tab w:val="left" w:pos="1085"/>
                    </w:tabs>
                    <w:spacing w:line="240" w:lineRule="auto"/>
                    <w:ind w:firstLine="0" w:firstLineChars="0"/>
                    <w:jc w:val="center"/>
                    <w:rPr>
                      <w:color w:val="000000"/>
                      <w:sz w:val="21"/>
                    </w:rPr>
                  </w:pPr>
                  <w:r>
                    <w:rPr>
                      <w:rFonts w:hint="eastAsia"/>
                      <w:color w:val="000000"/>
                      <w:sz w:val="21"/>
                    </w:rPr>
                    <w:t>敞开面控制风速小于0.3m/s</w:t>
                  </w:r>
                </w:p>
              </w:tc>
              <w:tc>
                <w:tcPr>
                  <w:tcW w:w="499" w:type="pct"/>
                  <w:vAlign w:val="center"/>
                </w:tcPr>
                <w:p w14:paraId="194EA838">
                  <w:pPr>
                    <w:widowControl/>
                    <w:tabs>
                      <w:tab w:val="left" w:pos="1085"/>
                    </w:tabs>
                    <w:spacing w:line="240" w:lineRule="auto"/>
                    <w:ind w:firstLine="0" w:firstLineChars="0"/>
                    <w:jc w:val="center"/>
                    <w:rPr>
                      <w:color w:val="000000"/>
                      <w:sz w:val="21"/>
                    </w:rPr>
                  </w:pPr>
                  <w:r>
                    <w:rPr>
                      <w:rFonts w:hint="eastAsia"/>
                      <w:color w:val="000000"/>
                      <w:sz w:val="21"/>
                    </w:rPr>
                    <w:t>0</w:t>
                  </w:r>
                </w:p>
              </w:tc>
            </w:tr>
            <w:tr w14:paraId="7C3BF3F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38" w:type="pct"/>
                  <w:vMerge w:val="restart"/>
                  <w:vAlign w:val="center"/>
                </w:tcPr>
                <w:p w14:paraId="3820CC80">
                  <w:pPr>
                    <w:widowControl/>
                    <w:tabs>
                      <w:tab w:val="left" w:pos="1085"/>
                    </w:tabs>
                    <w:spacing w:line="240" w:lineRule="auto"/>
                    <w:ind w:firstLine="0" w:firstLineChars="0"/>
                    <w:jc w:val="center"/>
                    <w:rPr>
                      <w:color w:val="000000"/>
                      <w:sz w:val="21"/>
                    </w:rPr>
                  </w:pPr>
                  <w:r>
                    <w:rPr>
                      <w:rFonts w:hint="eastAsia"/>
                      <w:color w:val="000000"/>
                      <w:sz w:val="21"/>
                    </w:rPr>
                    <w:t>外部集气罩</w:t>
                  </w:r>
                </w:p>
              </w:tc>
              <w:tc>
                <w:tcPr>
                  <w:tcW w:w="1517" w:type="pct"/>
                  <w:vMerge w:val="restart"/>
                  <w:vAlign w:val="center"/>
                </w:tcPr>
                <w:p w14:paraId="64116AD3">
                  <w:pPr>
                    <w:widowControl/>
                    <w:tabs>
                      <w:tab w:val="left" w:pos="1085"/>
                    </w:tabs>
                    <w:spacing w:line="240" w:lineRule="auto"/>
                    <w:ind w:firstLine="0" w:firstLineChars="0"/>
                    <w:jc w:val="center"/>
                    <w:rPr>
                      <w:color w:val="000000"/>
                      <w:sz w:val="21"/>
                    </w:rPr>
                  </w:pPr>
                  <w:r>
                    <w:rPr>
                      <w:rFonts w:hint="eastAsia"/>
                      <w:color w:val="000000"/>
                      <w:sz w:val="21"/>
                    </w:rPr>
                    <w:t>/</w:t>
                  </w:r>
                </w:p>
              </w:tc>
              <w:tc>
                <w:tcPr>
                  <w:tcW w:w="2343" w:type="pct"/>
                  <w:vAlign w:val="center"/>
                </w:tcPr>
                <w:p w14:paraId="4360A58C">
                  <w:pPr>
                    <w:widowControl/>
                    <w:tabs>
                      <w:tab w:val="left" w:pos="1085"/>
                    </w:tabs>
                    <w:spacing w:line="240" w:lineRule="auto"/>
                    <w:ind w:firstLine="0" w:firstLineChars="0"/>
                    <w:jc w:val="center"/>
                    <w:rPr>
                      <w:color w:val="000000"/>
                      <w:sz w:val="21"/>
                    </w:rPr>
                  </w:pPr>
                  <w:r>
                    <w:rPr>
                      <w:rFonts w:hint="eastAsia"/>
                      <w:color w:val="000000"/>
                      <w:sz w:val="21"/>
                    </w:rPr>
                    <w:t>相应工位所有VOCs逸散点控制风速不小于0.3m/s</w:t>
                  </w:r>
                </w:p>
              </w:tc>
              <w:tc>
                <w:tcPr>
                  <w:tcW w:w="499" w:type="pct"/>
                  <w:vAlign w:val="center"/>
                </w:tcPr>
                <w:p w14:paraId="4E504BCD">
                  <w:pPr>
                    <w:widowControl/>
                    <w:tabs>
                      <w:tab w:val="left" w:pos="1085"/>
                    </w:tabs>
                    <w:spacing w:line="240" w:lineRule="auto"/>
                    <w:ind w:firstLine="0" w:firstLineChars="0"/>
                    <w:jc w:val="center"/>
                    <w:rPr>
                      <w:color w:val="000000"/>
                      <w:sz w:val="21"/>
                    </w:rPr>
                  </w:pPr>
                  <w:r>
                    <w:rPr>
                      <w:color w:val="000000"/>
                      <w:sz w:val="21"/>
                    </w:rPr>
                    <w:t>3</w:t>
                  </w:r>
                  <w:r>
                    <w:rPr>
                      <w:rFonts w:hint="eastAsia"/>
                      <w:color w:val="000000"/>
                      <w:sz w:val="21"/>
                    </w:rPr>
                    <w:t>0</w:t>
                  </w:r>
                </w:p>
              </w:tc>
            </w:tr>
            <w:tr w14:paraId="48AF7D6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38" w:type="pct"/>
                  <w:vMerge w:val="continue"/>
                  <w:vAlign w:val="center"/>
                </w:tcPr>
                <w:p w14:paraId="41B5E4DC">
                  <w:pPr>
                    <w:widowControl/>
                    <w:tabs>
                      <w:tab w:val="left" w:pos="1085"/>
                    </w:tabs>
                    <w:spacing w:line="240" w:lineRule="auto"/>
                    <w:ind w:firstLine="0" w:firstLineChars="0"/>
                    <w:jc w:val="center"/>
                    <w:rPr>
                      <w:color w:val="000000"/>
                      <w:sz w:val="21"/>
                    </w:rPr>
                  </w:pPr>
                </w:p>
              </w:tc>
              <w:tc>
                <w:tcPr>
                  <w:tcW w:w="1517" w:type="pct"/>
                  <w:vMerge w:val="continue"/>
                  <w:vAlign w:val="center"/>
                </w:tcPr>
                <w:p w14:paraId="708E52BB">
                  <w:pPr>
                    <w:widowControl/>
                    <w:tabs>
                      <w:tab w:val="left" w:pos="1085"/>
                    </w:tabs>
                    <w:spacing w:line="240" w:lineRule="auto"/>
                    <w:ind w:firstLine="0" w:firstLineChars="0"/>
                    <w:jc w:val="center"/>
                    <w:rPr>
                      <w:color w:val="000000"/>
                      <w:sz w:val="21"/>
                    </w:rPr>
                  </w:pPr>
                </w:p>
              </w:tc>
              <w:tc>
                <w:tcPr>
                  <w:tcW w:w="2343" w:type="pct"/>
                  <w:vAlign w:val="center"/>
                </w:tcPr>
                <w:p w14:paraId="0656947D">
                  <w:pPr>
                    <w:widowControl/>
                    <w:tabs>
                      <w:tab w:val="left" w:pos="1085"/>
                    </w:tabs>
                    <w:spacing w:line="240" w:lineRule="auto"/>
                    <w:ind w:firstLine="0" w:firstLineChars="0"/>
                    <w:jc w:val="center"/>
                    <w:rPr>
                      <w:color w:val="000000"/>
                      <w:sz w:val="21"/>
                    </w:rPr>
                  </w:pPr>
                  <w:r>
                    <w:rPr>
                      <w:rFonts w:hint="eastAsia"/>
                      <w:color w:val="000000"/>
                      <w:sz w:val="21"/>
                    </w:rPr>
                    <w:t>相应工位所有VOCs逸散点控制风速小于0.3m/s，或存在强对流干扰</w:t>
                  </w:r>
                </w:p>
              </w:tc>
              <w:tc>
                <w:tcPr>
                  <w:tcW w:w="499" w:type="pct"/>
                  <w:vAlign w:val="center"/>
                </w:tcPr>
                <w:p w14:paraId="2E38E55A">
                  <w:pPr>
                    <w:widowControl/>
                    <w:tabs>
                      <w:tab w:val="left" w:pos="1085"/>
                    </w:tabs>
                    <w:spacing w:line="240" w:lineRule="auto"/>
                    <w:ind w:firstLine="0" w:firstLineChars="0"/>
                    <w:jc w:val="center"/>
                    <w:rPr>
                      <w:color w:val="000000"/>
                      <w:sz w:val="21"/>
                    </w:rPr>
                  </w:pPr>
                  <w:r>
                    <w:rPr>
                      <w:rFonts w:hint="eastAsia"/>
                      <w:color w:val="000000"/>
                      <w:sz w:val="21"/>
                    </w:rPr>
                    <w:t>0</w:t>
                  </w:r>
                </w:p>
              </w:tc>
            </w:tr>
            <w:tr w14:paraId="771C1E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c>
                <w:tcPr>
                  <w:tcW w:w="638" w:type="pct"/>
                  <w:vAlign w:val="center"/>
                </w:tcPr>
                <w:p w14:paraId="2C8188F2">
                  <w:pPr>
                    <w:widowControl/>
                    <w:tabs>
                      <w:tab w:val="left" w:pos="1085"/>
                    </w:tabs>
                    <w:spacing w:line="240" w:lineRule="auto"/>
                    <w:ind w:firstLine="0" w:firstLineChars="0"/>
                    <w:jc w:val="center"/>
                    <w:rPr>
                      <w:color w:val="000000"/>
                      <w:sz w:val="21"/>
                    </w:rPr>
                  </w:pPr>
                  <w:r>
                    <w:rPr>
                      <w:rFonts w:hint="eastAsia"/>
                      <w:color w:val="000000"/>
                      <w:sz w:val="21"/>
                    </w:rPr>
                    <w:t>无集气设施</w:t>
                  </w:r>
                </w:p>
              </w:tc>
              <w:tc>
                <w:tcPr>
                  <w:tcW w:w="1517" w:type="pct"/>
                  <w:vAlign w:val="center"/>
                </w:tcPr>
                <w:p w14:paraId="73BF25CD">
                  <w:pPr>
                    <w:widowControl/>
                    <w:tabs>
                      <w:tab w:val="left" w:pos="1085"/>
                    </w:tabs>
                    <w:spacing w:line="240" w:lineRule="auto"/>
                    <w:ind w:firstLine="0" w:firstLineChars="0"/>
                    <w:jc w:val="center"/>
                    <w:rPr>
                      <w:color w:val="000000"/>
                      <w:sz w:val="21"/>
                    </w:rPr>
                  </w:pPr>
                  <w:r>
                    <w:rPr>
                      <w:rFonts w:hint="eastAsia"/>
                      <w:color w:val="000000"/>
                      <w:sz w:val="21"/>
                    </w:rPr>
                    <w:t>/</w:t>
                  </w:r>
                </w:p>
              </w:tc>
              <w:tc>
                <w:tcPr>
                  <w:tcW w:w="2343" w:type="pct"/>
                  <w:vAlign w:val="center"/>
                </w:tcPr>
                <w:p w14:paraId="6FEEFE9B">
                  <w:pPr>
                    <w:widowControl/>
                    <w:tabs>
                      <w:tab w:val="left" w:pos="1085"/>
                    </w:tabs>
                    <w:spacing w:line="240" w:lineRule="auto"/>
                    <w:ind w:firstLine="0" w:firstLineChars="0"/>
                    <w:jc w:val="center"/>
                    <w:rPr>
                      <w:color w:val="000000"/>
                      <w:sz w:val="21"/>
                    </w:rPr>
                  </w:pPr>
                  <w:r>
                    <w:rPr>
                      <w:rFonts w:hint="eastAsia"/>
                      <w:color w:val="000000"/>
                      <w:sz w:val="21"/>
                    </w:rPr>
                    <w:t>1、无集气设施；2、集气设施运行不正常</w:t>
                  </w:r>
                </w:p>
              </w:tc>
              <w:tc>
                <w:tcPr>
                  <w:tcW w:w="499" w:type="pct"/>
                  <w:vAlign w:val="center"/>
                </w:tcPr>
                <w:p w14:paraId="3B0DB6B4">
                  <w:pPr>
                    <w:widowControl/>
                    <w:tabs>
                      <w:tab w:val="left" w:pos="1085"/>
                    </w:tabs>
                    <w:spacing w:line="240" w:lineRule="auto"/>
                    <w:ind w:firstLine="0" w:firstLineChars="0"/>
                    <w:jc w:val="center"/>
                    <w:rPr>
                      <w:color w:val="000000"/>
                      <w:sz w:val="21"/>
                    </w:rPr>
                  </w:pPr>
                  <w:r>
                    <w:rPr>
                      <w:rFonts w:hint="eastAsia"/>
                      <w:color w:val="000000"/>
                      <w:sz w:val="21"/>
                    </w:rPr>
                    <w:t>0</w:t>
                  </w:r>
                </w:p>
              </w:tc>
            </w:tr>
            <w:tr w14:paraId="6C8D57A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37" w:hRule="atLeast"/>
              </w:trPr>
              <w:tc>
                <w:tcPr>
                  <w:tcW w:w="5000" w:type="pct"/>
                  <w:gridSpan w:val="4"/>
                  <w:vAlign w:val="center"/>
                </w:tcPr>
                <w:p w14:paraId="0737EA39">
                  <w:pPr>
                    <w:widowControl/>
                    <w:tabs>
                      <w:tab w:val="left" w:pos="1085"/>
                    </w:tabs>
                    <w:spacing w:line="240" w:lineRule="auto"/>
                    <w:ind w:firstLine="0" w:firstLineChars="0"/>
                    <w:jc w:val="both"/>
                    <w:rPr>
                      <w:color w:val="000000"/>
                      <w:sz w:val="21"/>
                    </w:rPr>
                  </w:pPr>
                  <w:r>
                    <w:rPr>
                      <w:rFonts w:hint="eastAsia"/>
                      <w:color w:val="000000"/>
                      <w:sz w:val="21"/>
                    </w:rPr>
                    <w:t>备注：同一工序具有多种废气收集类型的，该工序按照废气收集效率最高的类型取值</w:t>
                  </w:r>
                </w:p>
              </w:tc>
            </w:tr>
          </w:tbl>
          <w:p w14:paraId="51C5F895">
            <w:pPr>
              <w:autoSpaceDE w:val="0"/>
              <w:autoSpaceDN w:val="0"/>
              <w:ind w:firstLine="482"/>
              <w:jc w:val="both"/>
              <w:rPr>
                <w:rFonts w:cs="宋体"/>
                <w:kern w:val="0"/>
                <w:szCs w:val="21"/>
              </w:rPr>
            </w:pPr>
            <w:r>
              <w:rPr>
                <w:rFonts w:hint="eastAsia" w:cs="宋体"/>
                <w:b/>
              </w:rPr>
              <w:t>4、处理措施可行性及处理效率</w:t>
            </w:r>
          </w:p>
          <w:p w14:paraId="42E3A579">
            <w:pPr>
              <w:pStyle w:val="10"/>
              <w:ind w:firstLine="480"/>
              <w:jc w:val="both"/>
              <w:rPr>
                <w:rFonts w:eastAsia="宋体" w:cs="宋体"/>
                <w:kern w:val="0"/>
                <w:sz w:val="24"/>
              </w:rPr>
            </w:pPr>
            <w:r>
              <w:rPr>
                <w:rFonts w:hint="eastAsia" w:eastAsia="宋体" w:cs="宋体"/>
                <w:kern w:val="0"/>
                <w:sz w:val="24"/>
              </w:rPr>
              <w:t>根据</w:t>
            </w:r>
            <w:bookmarkStart w:id="259" w:name="OLE_LINK298"/>
            <w:r>
              <w:rPr>
                <w:rFonts w:hint="eastAsia" w:eastAsia="宋体" w:cs="宋体"/>
                <w:kern w:val="0"/>
                <w:sz w:val="24"/>
              </w:rPr>
              <w:t>《</w:t>
            </w:r>
            <w:bookmarkStart w:id="260" w:name="OLE_LINK296"/>
            <w:r>
              <w:rPr>
                <w:rFonts w:hint="eastAsia" w:eastAsia="宋体" w:cs="宋体"/>
                <w:kern w:val="0"/>
                <w:sz w:val="24"/>
              </w:rPr>
              <w:t>排污许可证申请与核发技术规范 橡胶和塑料制品工业</w:t>
            </w:r>
            <w:bookmarkEnd w:id="260"/>
            <w:r>
              <w:rPr>
                <w:rFonts w:hint="eastAsia" w:eastAsia="宋体" w:cs="宋体"/>
                <w:kern w:val="0"/>
                <w:sz w:val="24"/>
              </w:rPr>
              <w:t>》（</w:t>
            </w:r>
            <w:r>
              <w:rPr>
                <w:rFonts w:eastAsia="宋体" w:cs="宋体"/>
                <w:kern w:val="0"/>
                <w:sz w:val="24"/>
              </w:rPr>
              <w:t>HJ1122</w:t>
            </w:r>
            <w:r>
              <w:rPr>
                <w:rFonts w:hint="eastAsia" w:eastAsia="宋体" w:cs="宋体"/>
                <w:kern w:val="0"/>
                <w:sz w:val="24"/>
              </w:rPr>
              <w:t>—</w:t>
            </w:r>
            <w:r>
              <w:rPr>
                <w:rFonts w:eastAsia="宋体" w:cs="宋体"/>
                <w:kern w:val="0"/>
                <w:sz w:val="24"/>
              </w:rPr>
              <w:t>2020</w:t>
            </w:r>
            <w:r>
              <w:rPr>
                <w:rFonts w:hint="eastAsia" w:eastAsia="宋体" w:cs="宋体"/>
                <w:kern w:val="0"/>
                <w:sz w:val="24"/>
              </w:rPr>
              <w:t>）</w:t>
            </w:r>
            <w:bookmarkEnd w:id="259"/>
            <w:r>
              <w:rPr>
                <w:rFonts w:hint="eastAsia" w:eastAsia="宋体" w:cs="宋体"/>
                <w:kern w:val="0"/>
                <w:sz w:val="24"/>
              </w:rPr>
              <w:t>表</w:t>
            </w:r>
            <w:bookmarkStart w:id="261" w:name="OLE_LINK299"/>
            <w:r>
              <w:rPr>
                <w:rFonts w:eastAsia="宋体" w:cs="宋体"/>
                <w:kern w:val="0"/>
                <w:sz w:val="24"/>
              </w:rPr>
              <w:t>A.2</w:t>
            </w:r>
            <w:bookmarkEnd w:id="261"/>
            <w:r>
              <w:rPr>
                <w:rFonts w:hint="eastAsia" w:eastAsia="宋体" w:cs="宋体"/>
                <w:kern w:val="0"/>
                <w:sz w:val="24"/>
              </w:rPr>
              <w:t>可知，本项目颗粒物、有机废气及臭气浓度采用的“水喷淋+干式过滤器+二级活性炭”为可行技术。</w:t>
            </w:r>
          </w:p>
          <w:p w14:paraId="009AD25E">
            <w:pPr>
              <w:pStyle w:val="10"/>
              <w:ind w:firstLine="480"/>
              <w:jc w:val="both"/>
              <w:rPr>
                <w:rFonts w:eastAsia="宋体" w:cs="宋体"/>
                <w:color w:val="auto"/>
                <w:kern w:val="0"/>
                <w:sz w:val="24"/>
              </w:rPr>
            </w:pPr>
            <w:r>
              <w:rPr>
                <w:rFonts w:hint="eastAsia" w:eastAsia="宋体" w:cs="宋体"/>
                <w:kern w:val="0"/>
                <w:sz w:val="24"/>
              </w:rPr>
              <w:t>参考</w:t>
            </w:r>
            <w:bookmarkStart w:id="262" w:name="OLE_LINK318"/>
            <w:r>
              <w:rPr>
                <w:rFonts w:hint="eastAsia" w:eastAsia="宋体" w:cs="宋体"/>
                <w:kern w:val="0"/>
                <w:sz w:val="24"/>
              </w:rPr>
              <w:t>《</w:t>
            </w:r>
            <w:bookmarkStart w:id="263" w:name="OLE_LINK41"/>
            <w:r>
              <w:rPr>
                <w:rFonts w:hint="eastAsia" w:eastAsia="宋体" w:cs="宋体"/>
                <w:kern w:val="0"/>
                <w:sz w:val="24"/>
              </w:rPr>
              <w:t>排放源统计调查产排污核算方法和系数手册</w:t>
            </w:r>
            <w:bookmarkEnd w:id="263"/>
            <w:r>
              <w:rPr>
                <w:rFonts w:hint="eastAsia" w:eastAsia="宋体" w:cs="宋体"/>
                <w:kern w:val="0"/>
                <w:sz w:val="24"/>
              </w:rPr>
              <w:t>》（生态环境部公告2021年第24号）中</w:t>
            </w:r>
            <w:bookmarkEnd w:id="262"/>
            <w:r>
              <w:rPr>
                <w:rFonts w:hint="eastAsia" w:eastAsia="宋体" w:cs="宋体"/>
                <w:kern w:val="0"/>
                <w:sz w:val="24"/>
              </w:rPr>
              <w:t>的“42废弃资源综合利用行业系数手册”，干法破</w:t>
            </w:r>
            <w:r>
              <w:rPr>
                <w:rFonts w:hint="eastAsia" w:eastAsia="宋体" w:cs="宋体"/>
                <w:color w:val="auto"/>
                <w:kern w:val="0"/>
                <w:sz w:val="24"/>
              </w:rPr>
              <w:t>碎废PE、废PET、废ABS等废塑料时，喷淋塔对产生的颗粒物去除效率一般为75%；参考《排放源统计调查产排污核算方法和系数手册》（生态环境部公告2021年第24号）中211木质家具制造行业中水性涂料喷漆工序产生的颗粒物，采用其他(化学纤维过滤)作作为末端治理技术的处理效率可到80%，本项目颗粒物采取水喷淋+干式过滤器处理，总处理效率可达95%。</w:t>
            </w:r>
          </w:p>
          <w:p w14:paraId="27D2E606">
            <w:pPr>
              <w:pStyle w:val="10"/>
              <w:ind w:firstLine="480"/>
              <w:jc w:val="both"/>
              <w:rPr>
                <w:rFonts w:eastAsia="宋体" w:cs="宋体"/>
                <w:kern w:val="0"/>
                <w:sz w:val="24"/>
              </w:rPr>
            </w:pPr>
            <w:r>
              <w:rPr>
                <w:rFonts w:hint="eastAsia" w:eastAsia="宋体" w:cs="宋体"/>
                <w:color w:val="auto"/>
                <w:kern w:val="0"/>
                <w:sz w:val="24"/>
              </w:rPr>
              <w:t>参考《广东省家具制造业挥发性有机化合物废气治理技术指南》</w:t>
            </w:r>
            <w:r>
              <w:rPr>
                <w:rFonts w:hint="eastAsia" w:eastAsia="宋体" w:cs="宋体"/>
                <w:kern w:val="0"/>
                <w:sz w:val="24"/>
              </w:rPr>
              <w:t>（粤环[2013]79号）中活性炭吸附治理效率50~80%，本项目拟采用二级活性炭处理有机废气，单级活性炭装置处理效率取</w:t>
            </w:r>
            <w:r>
              <w:rPr>
                <w:rFonts w:eastAsia="宋体" w:cs="宋体"/>
                <w:kern w:val="0"/>
                <w:sz w:val="24"/>
              </w:rPr>
              <w:t>6</w:t>
            </w:r>
            <w:r>
              <w:rPr>
                <w:rFonts w:hint="eastAsia" w:eastAsia="宋体" w:cs="宋体"/>
                <w:kern w:val="0"/>
                <w:sz w:val="24"/>
              </w:rPr>
              <w:t>5</w:t>
            </w:r>
            <w:r>
              <w:rPr>
                <w:rFonts w:eastAsia="宋体" w:cs="宋体"/>
                <w:kern w:val="0"/>
                <w:sz w:val="24"/>
              </w:rPr>
              <w:t>%</w:t>
            </w:r>
            <w:r>
              <w:rPr>
                <w:rFonts w:hint="eastAsia" w:eastAsia="宋体" w:cs="宋体"/>
                <w:kern w:val="0"/>
                <w:sz w:val="24"/>
              </w:rPr>
              <w:t>，综合处理效率采用η</w:t>
            </w:r>
            <w:r>
              <w:rPr>
                <w:rFonts w:eastAsia="宋体" w:cs="宋体"/>
                <w:kern w:val="0"/>
                <w:sz w:val="24"/>
              </w:rPr>
              <w:t>=1-</w:t>
            </w:r>
            <w:r>
              <w:rPr>
                <w:rFonts w:hint="eastAsia" w:eastAsia="宋体" w:cs="宋体"/>
                <w:kern w:val="0"/>
                <w:sz w:val="24"/>
              </w:rPr>
              <w:t>（</w:t>
            </w:r>
            <w:r>
              <w:rPr>
                <w:rFonts w:eastAsia="宋体" w:cs="宋体"/>
                <w:kern w:val="0"/>
                <w:sz w:val="24"/>
              </w:rPr>
              <w:t>1-</w:t>
            </w:r>
            <w:r>
              <w:rPr>
                <w:rFonts w:hint="eastAsia" w:eastAsia="宋体" w:cs="宋体"/>
                <w:kern w:val="0"/>
                <w:sz w:val="24"/>
              </w:rPr>
              <w:t>η</w:t>
            </w:r>
            <w:r>
              <w:rPr>
                <w:rFonts w:eastAsia="宋体" w:cs="宋体"/>
                <w:kern w:val="0"/>
                <w:sz w:val="24"/>
                <w:vertAlign w:val="subscript"/>
              </w:rPr>
              <w:t>1</w:t>
            </w:r>
            <w:r>
              <w:rPr>
                <w:rFonts w:hint="eastAsia" w:eastAsia="宋体" w:cs="宋体"/>
                <w:kern w:val="0"/>
                <w:sz w:val="24"/>
              </w:rPr>
              <w:t>）</w:t>
            </w:r>
            <w:r>
              <w:rPr>
                <w:rFonts w:eastAsia="宋体" w:cs="宋体"/>
                <w:kern w:val="0"/>
                <w:sz w:val="24"/>
              </w:rPr>
              <w:t>*</w:t>
            </w:r>
            <w:r>
              <w:rPr>
                <w:rFonts w:hint="eastAsia" w:eastAsia="宋体" w:cs="宋体"/>
                <w:kern w:val="0"/>
                <w:sz w:val="24"/>
              </w:rPr>
              <w:t>（</w:t>
            </w:r>
            <w:r>
              <w:rPr>
                <w:rFonts w:eastAsia="宋体" w:cs="宋体"/>
                <w:kern w:val="0"/>
                <w:sz w:val="24"/>
              </w:rPr>
              <w:t>1-</w:t>
            </w:r>
            <w:r>
              <w:rPr>
                <w:rFonts w:hint="eastAsia" w:eastAsia="宋体" w:cs="宋体"/>
                <w:kern w:val="0"/>
                <w:sz w:val="24"/>
              </w:rPr>
              <w:t>η</w:t>
            </w:r>
            <w:r>
              <w:rPr>
                <w:rFonts w:eastAsia="宋体" w:cs="宋体"/>
                <w:kern w:val="0"/>
                <w:sz w:val="24"/>
                <w:vertAlign w:val="subscript"/>
              </w:rPr>
              <w:t>2</w:t>
            </w:r>
            <w:r>
              <w:rPr>
                <w:rFonts w:hint="eastAsia" w:eastAsia="宋体" w:cs="宋体"/>
                <w:kern w:val="0"/>
                <w:sz w:val="24"/>
              </w:rPr>
              <w:t>）公示计算，则综合处理效率η</w:t>
            </w:r>
            <w:r>
              <w:rPr>
                <w:rFonts w:eastAsia="宋体" w:cs="宋体"/>
                <w:kern w:val="0"/>
                <w:sz w:val="24"/>
              </w:rPr>
              <w:t>=1-</w:t>
            </w:r>
            <w:r>
              <w:rPr>
                <w:rFonts w:hint="eastAsia" w:eastAsia="宋体" w:cs="宋体"/>
                <w:kern w:val="0"/>
                <w:sz w:val="24"/>
              </w:rPr>
              <w:t>（</w:t>
            </w:r>
            <w:r>
              <w:rPr>
                <w:rFonts w:eastAsia="宋体" w:cs="宋体"/>
                <w:kern w:val="0"/>
                <w:sz w:val="24"/>
              </w:rPr>
              <w:t>1-6</w:t>
            </w:r>
            <w:r>
              <w:rPr>
                <w:rFonts w:hint="eastAsia" w:eastAsia="宋体" w:cs="宋体"/>
                <w:kern w:val="0"/>
                <w:sz w:val="24"/>
              </w:rPr>
              <w:t>5</w:t>
            </w:r>
            <w:r>
              <w:rPr>
                <w:rFonts w:eastAsia="宋体" w:cs="宋体"/>
                <w:kern w:val="0"/>
                <w:sz w:val="24"/>
              </w:rPr>
              <w:t>%</w:t>
            </w:r>
            <w:r>
              <w:rPr>
                <w:rFonts w:hint="eastAsia" w:eastAsia="宋体" w:cs="宋体"/>
                <w:kern w:val="0"/>
                <w:sz w:val="24"/>
              </w:rPr>
              <w:t>）*（</w:t>
            </w:r>
            <w:r>
              <w:rPr>
                <w:rFonts w:eastAsia="宋体" w:cs="宋体"/>
                <w:kern w:val="0"/>
                <w:sz w:val="24"/>
              </w:rPr>
              <w:t>1-6</w:t>
            </w:r>
            <w:r>
              <w:rPr>
                <w:rFonts w:hint="eastAsia" w:eastAsia="宋体" w:cs="宋体"/>
                <w:kern w:val="0"/>
                <w:sz w:val="24"/>
              </w:rPr>
              <w:t>5</w:t>
            </w:r>
            <w:r>
              <w:rPr>
                <w:rFonts w:eastAsia="宋体" w:cs="宋体"/>
                <w:kern w:val="0"/>
                <w:sz w:val="24"/>
              </w:rPr>
              <w:t>%</w:t>
            </w:r>
            <w:r>
              <w:rPr>
                <w:rFonts w:hint="eastAsia" w:eastAsia="宋体" w:cs="宋体"/>
                <w:kern w:val="0"/>
                <w:sz w:val="24"/>
              </w:rPr>
              <w:t>）</w:t>
            </w:r>
            <w:r>
              <w:rPr>
                <w:rFonts w:eastAsia="宋体" w:cs="宋体"/>
                <w:kern w:val="0"/>
                <w:sz w:val="24"/>
              </w:rPr>
              <w:t>=8</w:t>
            </w:r>
            <w:r>
              <w:rPr>
                <w:rFonts w:hint="eastAsia" w:eastAsia="宋体" w:cs="宋体"/>
                <w:kern w:val="0"/>
                <w:sz w:val="24"/>
              </w:rPr>
              <w:t>8</w:t>
            </w:r>
            <w:r>
              <w:rPr>
                <w:rFonts w:eastAsia="宋体" w:cs="宋体"/>
                <w:kern w:val="0"/>
                <w:sz w:val="24"/>
              </w:rPr>
              <w:t>%</w:t>
            </w:r>
            <w:r>
              <w:rPr>
                <w:rFonts w:hint="eastAsia" w:eastAsia="宋体" w:cs="宋体"/>
                <w:kern w:val="0"/>
                <w:sz w:val="24"/>
              </w:rPr>
              <w:t>，本项目废气处理设施处理效率保守取</w:t>
            </w:r>
            <w:r>
              <w:rPr>
                <w:rFonts w:eastAsia="宋体" w:cs="宋体"/>
                <w:kern w:val="0"/>
                <w:sz w:val="24"/>
              </w:rPr>
              <w:t>8</w:t>
            </w:r>
            <w:r>
              <w:rPr>
                <w:rFonts w:hint="eastAsia" w:eastAsia="宋体" w:cs="宋体"/>
                <w:kern w:val="0"/>
                <w:sz w:val="24"/>
              </w:rPr>
              <w:t>5</w:t>
            </w:r>
            <w:r>
              <w:rPr>
                <w:rFonts w:eastAsia="宋体" w:cs="宋体"/>
                <w:kern w:val="0"/>
                <w:sz w:val="24"/>
              </w:rPr>
              <w:t>%</w:t>
            </w:r>
            <w:r>
              <w:rPr>
                <w:rFonts w:hint="eastAsia" w:eastAsia="宋体" w:cs="宋体"/>
                <w:kern w:val="0"/>
                <w:sz w:val="24"/>
              </w:rPr>
              <w:t>。</w:t>
            </w:r>
          </w:p>
          <w:p w14:paraId="1C649882">
            <w:pPr>
              <w:autoSpaceDE w:val="0"/>
              <w:autoSpaceDN w:val="0"/>
              <w:ind w:firstLine="482"/>
              <w:jc w:val="both"/>
              <w:rPr>
                <w:b/>
                <w:kern w:val="0"/>
                <w:szCs w:val="20"/>
              </w:rPr>
            </w:pPr>
            <w:r>
              <w:rPr>
                <w:rFonts w:hint="eastAsia"/>
                <w:b/>
                <w:kern w:val="0"/>
                <w:szCs w:val="20"/>
              </w:rPr>
              <w:t>5、废气排放口基本情况</w:t>
            </w:r>
          </w:p>
          <w:p w14:paraId="61E3E1DF">
            <w:pPr>
              <w:autoSpaceDE w:val="0"/>
              <w:autoSpaceDN w:val="0"/>
              <w:ind w:firstLine="480"/>
              <w:jc w:val="both"/>
              <w:rPr>
                <w:b/>
                <w:kern w:val="0"/>
                <w:szCs w:val="20"/>
              </w:rPr>
            </w:pPr>
            <w:r>
              <w:rPr>
                <w:rFonts w:hint="eastAsia"/>
              </w:rPr>
              <w:t>项目废气排放口基本情况见下表：</w:t>
            </w:r>
          </w:p>
          <w:p w14:paraId="6C0C9538">
            <w:pPr>
              <w:adjustRightInd w:val="0"/>
              <w:snapToGrid w:val="0"/>
              <w:spacing w:line="240" w:lineRule="auto"/>
              <w:ind w:firstLine="0" w:firstLineChars="0"/>
              <w:jc w:val="center"/>
              <w:rPr>
                <w:rFonts w:eastAsia="Times New Roman" w:cs="宋体"/>
                <w:b/>
                <w:spacing w:val="-10"/>
                <w:sz w:val="21"/>
                <w:szCs w:val="21"/>
              </w:rPr>
            </w:pPr>
            <w:bookmarkStart w:id="264" w:name="OLE_LINK295"/>
            <w:r>
              <w:rPr>
                <w:rFonts w:eastAsia="Times New Roman" w:cs="宋体"/>
                <w:b/>
                <w:spacing w:val="-10"/>
                <w:sz w:val="21"/>
                <w:szCs w:val="21"/>
              </w:rPr>
              <w:t>表4-</w:t>
            </w:r>
            <w:r>
              <w:rPr>
                <w:rFonts w:hint="eastAsia" w:cs="宋体"/>
                <w:b/>
                <w:spacing w:val="-10"/>
                <w:sz w:val="21"/>
                <w:szCs w:val="21"/>
              </w:rPr>
              <w:t>4</w:t>
            </w:r>
            <w:r>
              <w:rPr>
                <w:rFonts w:eastAsia="Times New Roman" w:cs="宋体"/>
                <w:b/>
                <w:spacing w:val="-10"/>
                <w:sz w:val="21"/>
                <w:szCs w:val="21"/>
              </w:rPr>
              <w:t xml:space="preserve">  废气排放</w:t>
            </w:r>
            <w:r>
              <w:rPr>
                <w:rFonts w:hint="eastAsia" w:eastAsia="Times New Roman" w:cs="宋体"/>
                <w:b/>
                <w:spacing w:val="-10"/>
                <w:sz w:val="21"/>
                <w:szCs w:val="21"/>
              </w:rPr>
              <w:t>口基本情况</w:t>
            </w:r>
            <w:r>
              <w:rPr>
                <w:rFonts w:hint="eastAsia" w:cs="宋体"/>
                <w:b/>
                <w:spacing w:val="-10"/>
                <w:sz w:val="21"/>
                <w:szCs w:val="21"/>
              </w:rPr>
              <w:t>一览</w:t>
            </w:r>
            <w:r>
              <w:rPr>
                <w:rFonts w:hint="eastAsia" w:eastAsia="Times New Roman" w:cs="宋体"/>
                <w:b/>
                <w:spacing w:val="-10"/>
                <w:sz w:val="21"/>
                <w:szCs w:val="21"/>
              </w:rPr>
              <w:t>表</w:t>
            </w:r>
          </w:p>
          <w:tbl>
            <w:tblPr>
              <w:tblStyle w:val="34"/>
              <w:tblW w:w="4997"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974"/>
              <w:gridCol w:w="1187"/>
              <w:gridCol w:w="1442"/>
              <w:gridCol w:w="929"/>
              <w:gridCol w:w="809"/>
              <w:gridCol w:w="840"/>
              <w:gridCol w:w="840"/>
              <w:gridCol w:w="847"/>
              <w:gridCol w:w="651"/>
            </w:tblGrid>
            <w:tr w14:paraId="6D65095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06" w:hRule="atLeast"/>
              </w:trPr>
              <w:tc>
                <w:tcPr>
                  <w:tcW w:w="571" w:type="pct"/>
                  <w:vMerge w:val="restart"/>
                  <w:tcBorders>
                    <w:tl2br w:val="nil"/>
                    <w:tr2bl w:val="nil"/>
                  </w:tcBorders>
                  <w:vAlign w:val="center"/>
                </w:tcPr>
                <w:p w14:paraId="6D1AAC14">
                  <w:pPr>
                    <w:adjustRightInd w:val="0"/>
                    <w:snapToGrid w:val="0"/>
                    <w:spacing w:line="240" w:lineRule="auto"/>
                    <w:ind w:firstLine="0" w:firstLineChars="0"/>
                    <w:jc w:val="center"/>
                    <w:rPr>
                      <w:rFonts w:cs="宋体"/>
                      <w:b/>
                      <w:spacing w:val="-10"/>
                      <w:sz w:val="21"/>
                      <w:szCs w:val="21"/>
                    </w:rPr>
                  </w:pPr>
                  <w:r>
                    <w:rPr>
                      <w:rFonts w:hint="eastAsia" w:eastAsia="Times New Roman" w:cs="宋体"/>
                      <w:b/>
                      <w:spacing w:val="-10"/>
                      <w:sz w:val="21"/>
                      <w:szCs w:val="21"/>
                    </w:rPr>
                    <w:t>排放口</w:t>
                  </w:r>
                  <w:r>
                    <w:rPr>
                      <w:rFonts w:eastAsia="Times New Roman" w:cs="宋体"/>
                      <w:b/>
                      <w:spacing w:val="-10"/>
                      <w:sz w:val="21"/>
                      <w:szCs w:val="21"/>
                    </w:rPr>
                    <w:t>编号</w:t>
                  </w:r>
                  <w:r>
                    <w:rPr>
                      <w:rFonts w:hint="eastAsia" w:cs="宋体"/>
                      <w:b/>
                      <w:spacing w:val="-10"/>
                      <w:sz w:val="21"/>
                      <w:szCs w:val="21"/>
                    </w:rPr>
                    <w:t>及名称</w:t>
                  </w:r>
                </w:p>
              </w:tc>
              <w:tc>
                <w:tcPr>
                  <w:tcW w:w="695" w:type="pct"/>
                  <w:vMerge w:val="restart"/>
                  <w:tcBorders>
                    <w:tl2br w:val="nil"/>
                    <w:tr2bl w:val="nil"/>
                  </w:tcBorders>
                  <w:shd w:val="clear" w:color="auto" w:fill="auto"/>
                  <w:vAlign w:val="center"/>
                </w:tcPr>
                <w:p w14:paraId="5BF93C21">
                  <w:pPr>
                    <w:adjustRightInd w:val="0"/>
                    <w:snapToGrid w:val="0"/>
                    <w:spacing w:line="240" w:lineRule="auto"/>
                    <w:ind w:firstLine="0" w:firstLineChars="0"/>
                    <w:jc w:val="center"/>
                    <w:rPr>
                      <w:rFonts w:cs="宋体"/>
                      <w:b/>
                      <w:spacing w:val="-10"/>
                      <w:sz w:val="21"/>
                      <w:szCs w:val="21"/>
                    </w:rPr>
                  </w:pPr>
                  <w:r>
                    <w:rPr>
                      <w:rFonts w:eastAsia="Times New Roman" w:cs="宋体"/>
                      <w:b/>
                      <w:spacing w:val="-10"/>
                      <w:sz w:val="21"/>
                      <w:szCs w:val="21"/>
                    </w:rPr>
                    <w:t>污染物</w:t>
                  </w:r>
                  <w:r>
                    <w:rPr>
                      <w:rFonts w:hint="eastAsia" w:cs="宋体"/>
                      <w:b/>
                      <w:spacing w:val="-10"/>
                      <w:sz w:val="21"/>
                      <w:szCs w:val="21"/>
                    </w:rPr>
                    <w:t>种类</w:t>
                  </w:r>
                </w:p>
              </w:tc>
              <w:tc>
                <w:tcPr>
                  <w:tcW w:w="845" w:type="pct"/>
                  <w:vMerge w:val="restart"/>
                  <w:tcBorders>
                    <w:tl2br w:val="nil"/>
                    <w:tr2bl w:val="nil"/>
                  </w:tcBorders>
                  <w:shd w:val="clear" w:color="auto" w:fill="auto"/>
                  <w:vAlign w:val="center"/>
                </w:tcPr>
                <w:p w14:paraId="53332303">
                  <w:pPr>
                    <w:adjustRightInd w:val="0"/>
                    <w:snapToGrid w:val="0"/>
                    <w:spacing w:line="240" w:lineRule="auto"/>
                    <w:ind w:firstLine="0" w:firstLineChars="0"/>
                    <w:jc w:val="center"/>
                    <w:rPr>
                      <w:rFonts w:cs="宋体"/>
                      <w:b/>
                      <w:spacing w:val="-10"/>
                      <w:sz w:val="21"/>
                      <w:szCs w:val="21"/>
                      <w:highlight w:val="yellow"/>
                    </w:rPr>
                  </w:pPr>
                  <w:r>
                    <w:rPr>
                      <w:rFonts w:hint="eastAsia" w:cs="宋体"/>
                      <w:b/>
                      <w:spacing w:val="-10"/>
                      <w:sz w:val="21"/>
                      <w:szCs w:val="21"/>
                    </w:rPr>
                    <w:t>地理坐标</w:t>
                  </w:r>
                </w:p>
              </w:tc>
              <w:tc>
                <w:tcPr>
                  <w:tcW w:w="545" w:type="pct"/>
                  <w:vMerge w:val="restart"/>
                  <w:tcBorders>
                    <w:tl2br w:val="nil"/>
                    <w:tr2bl w:val="nil"/>
                  </w:tcBorders>
                  <w:vAlign w:val="center"/>
                </w:tcPr>
                <w:p w14:paraId="5A554882">
                  <w:pPr>
                    <w:adjustRightInd w:val="0"/>
                    <w:snapToGrid w:val="0"/>
                    <w:spacing w:line="240" w:lineRule="auto"/>
                    <w:ind w:firstLine="0" w:firstLineChars="0"/>
                    <w:jc w:val="center"/>
                    <w:rPr>
                      <w:rFonts w:cs="宋体"/>
                      <w:b/>
                      <w:spacing w:val="-10"/>
                      <w:sz w:val="21"/>
                      <w:szCs w:val="21"/>
                    </w:rPr>
                  </w:pPr>
                  <w:r>
                    <w:rPr>
                      <w:rFonts w:hint="eastAsia" w:cs="宋体"/>
                      <w:b/>
                      <w:spacing w:val="-10"/>
                      <w:sz w:val="21"/>
                      <w:szCs w:val="21"/>
                    </w:rPr>
                    <w:t>风量（m</w:t>
                  </w:r>
                  <w:r>
                    <w:rPr>
                      <w:rFonts w:hint="eastAsia" w:cs="宋体"/>
                      <w:b/>
                      <w:spacing w:val="-10"/>
                      <w:sz w:val="21"/>
                      <w:szCs w:val="21"/>
                      <w:vertAlign w:val="superscript"/>
                    </w:rPr>
                    <w:t>3</w:t>
                  </w:r>
                  <w:r>
                    <w:rPr>
                      <w:rFonts w:hint="eastAsia" w:cs="宋体"/>
                      <w:b/>
                      <w:spacing w:val="-10"/>
                      <w:sz w:val="21"/>
                      <w:szCs w:val="21"/>
                    </w:rPr>
                    <w:t>/h）</w:t>
                  </w:r>
                </w:p>
              </w:tc>
              <w:tc>
                <w:tcPr>
                  <w:tcW w:w="475" w:type="pct"/>
                  <w:vMerge w:val="restart"/>
                  <w:tcBorders>
                    <w:tl2br w:val="nil"/>
                    <w:tr2bl w:val="nil"/>
                  </w:tcBorders>
                  <w:vAlign w:val="center"/>
                </w:tcPr>
                <w:p w14:paraId="25E45E34">
                  <w:pPr>
                    <w:adjustRightInd w:val="0"/>
                    <w:snapToGrid w:val="0"/>
                    <w:spacing w:line="240" w:lineRule="auto"/>
                    <w:ind w:firstLine="0" w:firstLineChars="0"/>
                    <w:jc w:val="center"/>
                    <w:rPr>
                      <w:rFonts w:eastAsia="Times New Roman" w:cs="宋体"/>
                      <w:b/>
                      <w:spacing w:val="-10"/>
                      <w:sz w:val="21"/>
                      <w:szCs w:val="21"/>
                    </w:rPr>
                  </w:pPr>
                  <w:r>
                    <w:rPr>
                      <w:rFonts w:hint="eastAsia" w:cs="宋体"/>
                      <w:b/>
                      <w:spacing w:val="-10"/>
                      <w:sz w:val="21"/>
                      <w:szCs w:val="21"/>
                    </w:rPr>
                    <w:t>排气筒</w:t>
                  </w:r>
                  <w:r>
                    <w:rPr>
                      <w:rFonts w:eastAsia="Times New Roman" w:cs="宋体"/>
                      <w:b/>
                      <w:spacing w:val="-10"/>
                      <w:sz w:val="21"/>
                      <w:szCs w:val="21"/>
                    </w:rPr>
                    <w:t>高度（m）</w:t>
                  </w:r>
                </w:p>
              </w:tc>
              <w:tc>
                <w:tcPr>
                  <w:tcW w:w="493" w:type="pct"/>
                  <w:vMerge w:val="restart"/>
                  <w:tcBorders>
                    <w:tl2br w:val="nil"/>
                    <w:tr2bl w:val="nil"/>
                  </w:tcBorders>
                  <w:vAlign w:val="center"/>
                </w:tcPr>
                <w:p w14:paraId="16349BF6">
                  <w:pPr>
                    <w:adjustRightInd w:val="0"/>
                    <w:snapToGrid w:val="0"/>
                    <w:spacing w:line="240" w:lineRule="auto"/>
                    <w:ind w:firstLine="0" w:firstLineChars="0"/>
                    <w:jc w:val="center"/>
                    <w:rPr>
                      <w:rFonts w:eastAsia="Times New Roman" w:cs="宋体"/>
                      <w:b/>
                      <w:spacing w:val="-10"/>
                      <w:sz w:val="21"/>
                      <w:szCs w:val="21"/>
                    </w:rPr>
                  </w:pPr>
                  <w:r>
                    <w:rPr>
                      <w:rFonts w:hint="eastAsia" w:cs="宋体"/>
                      <w:b/>
                      <w:spacing w:val="-10"/>
                      <w:sz w:val="21"/>
                      <w:szCs w:val="21"/>
                    </w:rPr>
                    <w:t>排气筒</w:t>
                  </w:r>
                  <w:r>
                    <w:rPr>
                      <w:rFonts w:eastAsia="Times New Roman" w:cs="宋体"/>
                      <w:b/>
                      <w:spacing w:val="-10"/>
                      <w:sz w:val="21"/>
                      <w:szCs w:val="21"/>
                    </w:rPr>
                    <w:t>内径（m）</w:t>
                  </w:r>
                </w:p>
              </w:tc>
              <w:tc>
                <w:tcPr>
                  <w:tcW w:w="493" w:type="pct"/>
                  <w:vMerge w:val="restart"/>
                  <w:tcBorders>
                    <w:right w:val="single" w:color="auto" w:sz="4" w:space="0"/>
                    <w:tl2br w:val="nil"/>
                    <w:tr2bl w:val="nil"/>
                  </w:tcBorders>
                  <w:vAlign w:val="center"/>
                </w:tcPr>
                <w:p w14:paraId="2D439CD1">
                  <w:pPr>
                    <w:adjustRightInd w:val="0"/>
                    <w:snapToGrid w:val="0"/>
                    <w:spacing w:line="240" w:lineRule="auto"/>
                    <w:ind w:firstLine="0" w:firstLineChars="0"/>
                    <w:jc w:val="center"/>
                    <w:rPr>
                      <w:rFonts w:cs="宋体"/>
                      <w:b/>
                      <w:spacing w:val="-10"/>
                      <w:sz w:val="21"/>
                      <w:szCs w:val="21"/>
                    </w:rPr>
                  </w:pPr>
                  <w:r>
                    <w:rPr>
                      <w:rFonts w:hint="eastAsia" w:cs="宋体"/>
                      <w:b/>
                      <w:spacing w:val="-10"/>
                      <w:sz w:val="21"/>
                      <w:szCs w:val="21"/>
                    </w:rPr>
                    <w:t>烟气流速（m/s）</w:t>
                  </w:r>
                </w:p>
              </w:tc>
              <w:tc>
                <w:tcPr>
                  <w:tcW w:w="497" w:type="pct"/>
                  <w:vMerge w:val="restart"/>
                  <w:tcBorders>
                    <w:left w:val="single" w:color="auto" w:sz="4" w:space="0"/>
                    <w:tl2br w:val="nil"/>
                    <w:tr2bl w:val="nil"/>
                  </w:tcBorders>
                  <w:vAlign w:val="center"/>
                </w:tcPr>
                <w:p w14:paraId="6452E68C">
                  <w:pPr>
                    <w:adjustRightInd w:val="0"/>
                    <w:snapToGrid w:val="0"/>
                    <w:spacing w:line="240" w:lineRule="auto"/>
                    <w:ind w:firstLine="0" w:firstLineChars="0"/>
                    <w:jc w:val="center"/>
                    <w:rPr>
                      <w:rFonts w:eastAsia="Times New Roman" w:cs="宋体"/>
                      <w:b/>
                      <w:spacing w:val="-10"/>
                      <w:sz w:val="21"/>
                      <w:szCs w:val="21"/>
                    </w:rPr>
                  </w:pPr>
                  <w:r>
                    <w:rPr>
                      <w:rFonts w:hint="eastAsia" w:cs="宋体"/>
                      <w:b/>
                      <w:spacing w:val="-10"/>
                      <w:sz w:val="21"/>
                      <w:szCs w:val="21"/>
                    </w:rPr>
                    <w:t>排气筒</w:t>
                  </w:r>
                  <w:r>
                    <w:rPr>
                      <w:rFonts w:eastAsia="Times New Roman" w:cs="宋体"/>
                      <w:b/>
                      <w:spacing w:val="-10"/>
                      <w:sz w:val="21"/>
                      <w:szCs w:val="21"/>
                    </w:rPr>
                    <w:t>温度（℃）</w:t>
                  </w:r>
                </w:p>
                <w:p w14:paraId="14695FCC">
                  <w:pPr>
                    <w:adjustRightInd w:val="0"/>
                    <w:snapToGrid w:val="0"/>
                    <w:spacing w:line="240" w:lineRule="auto"/>
                    <w:ind w:firstLine="0" w:firstLineChars="0"/>
                    <w:jc w:val="center"/>
                    <w:rPr>
                      <w:rFonts w:cs="宋体"/>
                      <w:b/>
                      <w:spacing w:val="-10"/>
                      <w:sz w:val="21"/>
                      <w:szCs w:val="21"/>
                    </w:rPr>
                  </w:pPr>
                </w:p>
              </w:tc>
              <w:tc>
                <w:tcPr>
                  <w:tcW w:w="382" w:type="pct"/>
                  <w:vMerge w:val="restart"/>
                  <w:tcBorders>
                    <w:tl2br w:val="nil"/>
                    <w:tr2bl w:val="nil"/>
                  </w:tcBorders>
                  <w:vAlign w:val="center"/>
                </w:tcPr>
                <w:p w14:paraId="5C621FAF">
                  <w:pPr>
                    <w:adjustRightInd w:val="0"/>
                    <w:snapToGrid w:val="0"/>
                    <w:spacing w:line="240" w:lineRule="auto"/>
                    <w:ind w:firstLine="0" w:firstLineChars="0"/>
                    <w:jc w:val="center"/>
                    <w:rPr>
                      <w:rFonts w:eastAsia="Times New Roman" w:cs="宋体"/>
                      <w:b/>
                      <w:spacing w:val="-10"/>
                      <w:sz w:val="21"/>
                      <w:szCs w:val="21"/>
                    </w:rPr>
                  </w:pPr>
                  <w:r>
                    <w:rPr>
                      <w:rFonts w:hint="eastAsia" w:eastAsia="Times New Roman" w:cs="宋体"/>
                      <w:b/>
                      <w:spacing w:val="-10"/>
                      <w:sz w:val="21"/>
                      <w:szCs w:val="21"/>
                    </w:rPr>
                    <w:t>类型</w:t>
                  </w:r>
                </w:p>
              </w:tc>
            </w:tr>
            <w:tr w14:paraId="21B5333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7" w:hRule="atLeast"/>
              </w:trPr>
              <w:tc>
                <w:tcPr>
                  <w:tcW w:w="571" w:type="pct"/>
                  <w:vMerge w:val="continue"/>
                  <w:tcBorders>
                    <w:tl2br w:val="nil"/>
                    <w:tr2bl w:val="nil"/>
                  </w:tcBorders>
                  <w:vAlign w:val="center"/>
                </w:tcPr>
                <w:p w14:paraId="7BBCFDBD">
                  <w:pPr>
                    <w:adjustRightInd w:val="0"/>
                    <w:snapToGrid w:val="0"/>
                    <w:spacing w:line="240" w:lineRule="auto"/>
                    <w:ind w:firstLine="0" w:firstLineChars="0"/>
                    <w:jc w:val="center"/>
                    <w:rPr>
                      <w:rFonts w:eastAsia="Times New Roman" w:cs="宋体"/>
                      <w:b/>
                      <w:spacing w:val="-10"/>
                      <w:sz w:val="21"/>
                      <w:szCs w:val="21"/>
                    </w:rPr>
                  </w:pPr>
                </w:p>
              </w:tc>
              <w:tc>
                <w:tcPr>
                  <w:tcW w:w="695" w:type="pct"/>
                  <w:vMerge w:val="continue"/>
                  <w:tcBorders>
                    <w:tl2br w:val="nil"/>
                    <w:tr2bl w:val="nil"/>
                  </w:tcBorders>
                  <w:shd w:val="clear" w:color="auto" w:fill="auto"/>
                  <w:vAlign w:val="center"/>
                </w:tcPr>
                <w:p w14:paraId="2057337C">
                  <w:pPr>
                    <w:adjustRightInd w:val="0"/>
                    <w:snapToGrid w:val="0"/>
                    <w:spacing w:line="240" w:lineRule="auto"/>
                    <w:ind w:firstLine="0" w:firstLineChars="0"/>
                    <w:jc w:val="center"/>
                    <w:rPr>
                      <w:rFonts w:eastAsia="Times New Roman" w:cs="宋体"/>
                      <w:b/>
                      <w:spacing w:val="-10"/>
                      <w:sz w:val="21"/>
                      <w:szCs w:val="21"/>
                    </w:rPr>
                  </w:pPr>
                </w:p>
              </w:tc>
              <w:tc>
                <w:tcPr>
                  <w:tcW w:w="845" w:type="pct"/>
                  <w:vMerge w:val="continue"/>
                  <w:tcBorders>
                    <w:tl2br w:val="nil"/>
                    <w:tr2bl w:val="nil"/>
                  </w:tcBorders>
                  <w:shd w:val="clear" w:color="auto" w:fill="auto"/>
                  <w:vAlign w:val="center"/>
                </w:tcPr>
                <w:p w14:paraId="714B852C">
                  <w:pPr>
                    <w:adjustRightInd w:val="0"/>
                    <w:snapToGrid w:val="0"/>
                    <w:spacing w:line="240" w:lineRule="auto"/>
                    <w:ind w:firstLine="0" w:firstLineChars="0"/>
                    <w:jc w:val="center"/>
                    <w:rPr>
                      <w:rFonts w:cs="宋体"/>
                      <w:b/>
                      <w:spacing w:val="-10"/>
                      <w:sz w:val="21"/>
                      <w:szCs w:val="21"/>
                    </w:rPr>
                  </w:pPr>
                </w:p>
              </w:tc>
              <w:tc>
                <w:tcPr>
                  <w:tcW w:w="545" w:type="pct"/>
                  <w:vMerge w:val="continue"/>
                  <w:tcBorders>
                    <w:tl2br w:val="nil"/>
                    <w:tr2bl w:val="nil"/>
                  </w:tcBorders>
                  <w:vAlign w:val="center"/>
                </w:tcPr>
                <w:p w14:paraId="7557200B">
                  <w:pPr>
                    <w:adjustRightInd w:val="0"/>
                    <w:snapToGrid w:val="0"/>
                    <w:spacing w:line="240" w:lineRule="auto"/>
                    <w:ind w:firstLine="0" w:firstLineChars="0"/>
                    <w:jc w:val="center"/>
                    <w:rPr>
                      <w:rFonts w:cs="宋体"/>
                      <w:b/>
                      <w:spacing w:val="-10"/>
                      <w:sz w:val="21"/>
                      <w:szCs w:val="21"/>
                    </w:rPr>
                  </w:pPr>
                </w:p>
              </w:tc>
              <w:tc>
                <w:tcPr>
                  <w:tcW w:w="475" w:type="pct"/>
                  <w:vMerge w:val="continue"/>
                  <w:tcBorders>
                    <w:tl2br w:val="nil"/>
                    <w:tr2bl w:val="nil"/>
                  </w:tcBorders>
                  <w:vAlign w:val="center"/>
                </w:tcPr>
                <w:p w14:paraId="67FF34E3">
                  <w:pPr>
                    <w:adjustRightInd w:val="0"/>
                    <w:snapToGrid w:val="0"/>
                    <w:spacing w:line="240" w:lineRule="auto"/>
                    <w:ind w:firstLine="0" w:firstLineChars="0"/>
                    <w:jc w:val="center"/>
                    <w:rPr>
                      <w:rFonts w:cs="宋体"/>
                      <w:b/>
                      <w:spacing w:val="-10"/>
                      <w:sz w:val="21"/>
                      <w:szCs w:val="21"/>
                    </w:rPr>
                  </w:pPr>
                </w:p>
              </w:tc>
              <w:tc>
                <w:tcPr>
                  <w:tcW w:w="493" w:type="pct"/>
                  <w:vMerge w:val="continue"/>
                  <w:tcBorders>
                    <w:tl2br w:val="nil"/>
                    <w:tr2bl w:val="nil"/>
                  </w:tcBorders>
                  <w:vAlign w:val="center"/>
                </w:tcPr>
                <w:p w14:paraId="223E122E">
                  <w:pPr>
                    <w:adjustRightInd w:val="0"/>
                    <w:snapToGrid w:val="0"/>
                    <w:spacing w:line="240" w:lineRule="auto"/>
                    <w:ind w:firstLine="0" w:firstLineChars="0"/>
                    <w:jc w:val="center"/>
                    <w:rPr>
                      <w:rFonts w:cs="宋体"/>
                      <w:b/>
                      <w:spacing w:val="-10"/>
                      <w:sz w:val="21"/>
                      <w:szCs w:val="21"/>
                    </w:rPr>
                  </w:pPr>
                </w:p>
              </w:tc>
              <w:tc>
                <w:tcPr>
                  <w:tcW w:w="493" w:type="pct"/>
                  <w:vMerge w:val="continue"/>
                  <w:tcBorders>
                    <w:right w:val="single" w:color="auto" w:sz="4" w:space="0"/>
                    <w:tl2br w:val="nil"/>
                    <w:tr2bl w:val="nil"/>
                  </w:tcBorders>
                  <w:vAlign w:val="center"/>
                </w:tcPr>
                <w:p w14:paraId="0C9C79E9">
                  <w:pPr>
                    <w:adjustRightInd w:val="0"/>
                    <w:snapToGrid w:val="0"/>
                    <w:spacing w:line="240" w:lineRule="auto"/>
                    <w:ind w:firstLine="0" w:firstLineChars="0"/>
                    <w:jc w:val="center"/>
                    <w:rPr>
                      <w:rFonts w:cs="宋体"/>
                      <w:b/>
                      <w:spacing w:val="-10"/>
                      <w:sz w:val="21"/>
                      <w:szCs w:val="21"/>
                    </w:rPr>
                  </w:pPr>
                </w:p>
              </w:tc>
              <w:tc>
                <w:tcPr>
                  <w:tcW w:w="497" w:type="pct"/>
                  <w:vMerge w:val="continue"/>
                  <w:tcBorders>
                    <w:left w:val="single" w:color="auto" w:sz="4" w:space="0"/>
                    <w:tl2br w:val="nil"/>
                    <w:tr2bl w:val="nil"/>
                  </w:tcBorders>
                  <w:vAlign w:val="center"/>
                </w:tcPr>
                <w:p w14:paraId="420A81F8">
                  <w:pPr>
                    <w:adjustRightInd w:val="0"/>
                    <w:snapToGrid w:val="0"/>
                    <w:spacing w:line="240" w:lineRule="auto"/>
                    <w:ind w:firstLine="0" w:firstLineChars="0"/>
                    <w:jc w:val="center"/>
                    <w:rPr>
                      <w:rFonts w:cs="宋体"/>
                      <w:b/>
                      <w:spacing w:val="-10"/>
                      <w:sz w:val="21"/>
                      <w:szCs w:val="21"/>
                    </w:rPr>
                  </w:pPr>
                </w:p>
              </w:tc>
              <w:tc>
                <w:tcPr>
                  <w:tcW w:w="382" w:type="pct"/>
                  <w:vMerge w:val="continue"/>
                  <w:tcBorders>
                    <w:tl2br w:val="nil"/>
                    <w:tr2bl w:val="nil"/>
                  </w:tcBorders>
                  <w:vAlign w:val="center"/>
                </w:tcPr>
                <w:p w14:paraId="7B33A7B8">
                  <w:pPr>
                    <w:adjustRightInd w:val="0"/>
                    <w:snapToGrid w:val="0"/>
                    <w:spacing w:line="240" w:lineRule="auto"/>
                    <w:ind w:firstLine="0" w:firstLineChars="0"/>
                    <w:jc w:val="center"/>
                    <w:rPr>
                      <w:rFonts w:eastAsia="Times New Roman" w:cs="宋体"/>
                      <w:b/>
                      <w:spacing w:val="-10"/>
                      <w:sz w:val="21"/>
                      <w:szCs w:val="21"/>
                    </w:rPr>
                  </w:pPr>
                </w:p>
              </w:tc>
            </w:tr>
            <w:tr w14:paraId="5BAC97B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06" w:hRule="atLeast"/>
              </w:trPr>
              <w:tc>
                <w:tcPr>
                  <w:tcW w:w="571" w:type="pct"/>
                  <w:vMerge w:val="restart"/>
                  <w:tcBorders>
                    <w:tl2br w:val="nil"/>
                    <w:tr2bl w:val="nil"/>
                  </w:tcBorders>
                  <w:vAlign w:val="center"/>
                </w:tcPr>
                <w:p w14:paraId="725017A2">
                  <w:pPr>
                    <w:adjustRightInd w:val="0"/>
                    <w:snapToGrid w:val="0"/>
                    <w:spacing w:line="240" w:lineRule="auto"/>
                    <w:ind w:firstLine="0" w:firstLineChars="0"/>
                    <w:jc w:val="center"/>
                    <w:rPr>
                      <w:rFonts w:cs="宋体"/>
                      <w:bCs/>
                      <w:spacing w:val="-10"/>
                      <w:sz w:val="21"/>
                      <w:szCs w:val="21"/>
                    </w:rPr>
                  </w:pPr>
                  <w:r>
                    <w:rPr>
                      <w:rFonts w:hint="eastAsia" w:eastAsia="Times New Roman" w:cs="宋体"/>
                      <w:sz w:val="21"/>
                      <w:szCs w:val="21"/>
                    </w:rPr>
                    <w:t>DA001废气排放口</w:t>
                  </w:r>
                </w:p>
              </w:tc>
              <w:tc>
                <w:tcPr>
                  <w:tcW w:w="695" w:type="pct"/>
                  <w:tcBorders>
                    <w:tl2br w:val="nil"/>
                    <w:tr2bl w:val="nil"/>
                  </w:tcBorders>
                  <w:shd w:val="clear" w:color="auto" w:fill="auto"/>
                  <w:vAlign w:val="center"/>
                </w:tcPr>
                <w:p w14:paraId="490C2918">
                  <w:pPr>
                    <w:adjustRightInd w:val="0"/>
                    <w:snapToGrid w:val="0"/>
                    <w:spacing w:line="240" w:lineRule="auto"/>
                    <w:ind w:firstLine="0" w:firstLineChars="0"/>
                    <w:jc w:val="center"/>
                    <w:rPr>
                      <w:rFonts w:cs="宋体"/>
                      <w:bCs/>
                      <w:spacing w:val="-10"/>
                      <w:sz w:val="21"/>
                      <w:szCs w:val="21"/>
                    </w:rPr>
                  </w:pPr>
                  <w:r>
                    <w:rPr>
                      <w:rFonts w:hint="eastAsia" w:eastAsia="Times New Roman" w:cs="宋体"/>
                      <w:bCs/>
                      <w:spacing w:val="-10"/>
                      <w:sz w:val="21"/>
                      <w:szCs w:val="21"/>
                    </w:rPr>
                    <w:t>非甲烷总烃</w:t>
                  </w:r>
                </w:p>
              </w:tc>
              <w:tc>
                <w:tcPr>
                  <w:tcW w:w="845" w:type="pct"/>
                  <w:vMerge w:val="restart"/>
                  <w:tcBorders>
                    <w:tl2br w:val="nil"/>
                    <w:tr2bl w:val="nil"/>
                  </w:tcBorders>
                  <w:shd w:val="clear" w:color="auto" w:fill="auto"/>
                  <w:vAlign w:val="center"/>
                </w:tcPr>
                <w:p w14:paraId="3C00B2EF">
                  <w:pPr>
                    <w:adjustRightInd w:val="0"/>
                    <w:snapToGrid w:val="0"/>
                    <w:spacing w:line="240" w:lineRule="auto"/>
                    <w:ind w:firstLine="0" w:firstLineChars="0"/>
                    <w:jc w:val="center"/>
                    <w:rPr>
                      <w:rFonts w:eastAsia="Times New Roman" w:cs="宋体"/>
                      <w:sz w:val="21"/>
                      <w:szCs w:val="21"/>
                    </w:rPr>
                  </w:pPr>
                  <w:r>
                    <w:rPr>
                      <w:rFonts w:hint="eastAsia" w:eastAsia="Times New Roman" w:cs="宋体"/>
                      <w:sz w:val="21"/>
                      <w:szCs w:val="21"/>
                    </w:rPr>
                    <w:t>E114.012544°</w:t>
                  </w:r>
                </w:p>
                <w:p w14:paraId="18ABECCA">
                  <w:pPr>
                    <w:adjustRightInd w:val="0"/>
                    <w:snapToGrid w:val="0"/>
                    <w:spacing w:line="240" w:lineRule="auto"/>
                    <w:ind w:firstLine="0" w:firstLineChars="0"/>
                    <w:jc w:val="center"/>
                    <w:rPr>
                      <w:rFonts w:eastAsia="Times New Roman" w:cs="宋体"/>
                      <w:sz w:val="21"/>
                      <w:szCs w:val="21"/>
                    </w:rPr>
                  </w:pPr>
                  <w:r>
                    <w:rPr>
                      <w:rFonts w:hint="eastAsia" w:eastAsia="Times New Roman" w:cs="宋体"/>
                      <w:sz w:val="21"/>
                      <w:szCs w:val="21"/>
                    </w:rPr>
                    <w:t>N23.10852°</w:t>
                  </w:r>
                </w:p>
              </w:tc>
              <w:tc>
                <w:tcPr>
                  <w:tcW w:w="545" w:type="pct"/>
                  <w:vMerge w:val="restart"/>
                  <w:tcBorders>
                    <w:tl2br w:val="nil"/>
                    <w:tr2bl w:val="nil"/>
                  </w:tcBorders>
                  <w:vAlign w:val="center"/>
                </w:tcPr>
                <w:p w14:paraId="22FD90B9">
                  <w:pPr>
                    <w:adjustRightInd w:val="0"/>
                    <w:snapToGrid w:val="0"/>
                    <w:spacing w:line="240" w:lineRule="auto"/>
                    <w:ind w:firstLine="0" w:firstLineChars="0"/>
                    <w:jc w:val="center"/>
                    <w:rPr>
                      <w:rFonts w:cs="宋体"/>
                      <w:bCs/>
                      <w:spacing w:val="-10"/>
                      <w:sz w:val="21"/>
                      <w:szCs w:val="21"/>
                    </w:rPr>
                  </w:pPr>
                  <w:r>
                    <w:rPr>
                      <w:rFonts w:hint="eastAsia" w:cs="宋体"/>
                      <w:bCs/>
                      <w:spacing w:val="-10"/>
                      <w:sz w:val="21"/>
                      <w:szCs w:val="21"/>
                    </w:rPr>
                    <w:t>11500</w:t>
                  </w:r>
                </w:p>
              </w:tc>
              <w:tc>
                <w:tcPr>
                  <w:tcW w:w="475" w:type="pct"/>
                  <w:vMerge w:val="restart"/>
                  <w:tcBorders>
                    <w:tl2br w:val="nil"/>
                    <w:tr2bl w:val="nil"/>
                  </w:tcBorders>
                  <w:vAlign w:val="center"/>
                </w:tcPr>
                <w:p w14:paraId="1CF8FF9F">
                  <w:pPr>
                    <w:adjustRightInd w:val="0"/>
                    <w:snapToGrid w:val="0"/>
                    <w:spacing w:line="240" w:lineRule="auto"/>
                    <w:ind w:firstLine="0" w:firstLineChars="0"/>
                    <w:jc w:val="center"/>
                    <w:rPr>
                      <w:rFonts w:cs="宋体"/>
                      <w:bCs/>
                      <w:color w:val="auto"/>
                      <w:spacing w:val="-10"/>
                      <w:sz w:val="21"/>
                      <w:szCs w:val="21"/>
                    </w:rPr>
                  </w:pPr>
                  <w:r>
                    <w:rPr>
                      <w:rFonts w:hint="eastAsia" w:cs="宋体"/>
                      <w:bCs/>
                      <w:color w:val="auto"/>
                      <w:spacing w:val="-10"/>
                      <w:sz w:val="21"/>
                      <w:szCs w:val="21"/>
                    </w:rPr>
                    <w:t>30</w:t>
                  </w:r>
                </w:p>
              </w:tc>
              <w:tc>
                <w:tcPr>
                  <w:tcW w:w="493" w:type="pct"/>
                  <w:vMerge w:val="restart"/>
                  <w:tcBorders>
                    <w:tl2br w:val="nil"/>
                    <w:tr2bl w:val="nil"/>
                  </w:tcBorders>
                  <w:vAlign w:val="center"/>
                </w:tcPr>
                <w:p w14:paraId="2C6B0733">
                  <w:pPr>
                    <w:adjustRightInd w:val="0"/>
                    <w:snapToGrid w:val="0"/>
                    <w:spacing w:line="240" w:lineRule="auto"/>
                    <w:ind w:firstLine="0" w:firstLineChars="0"/>
                    <w:jc w:val="center"/>
                    <w:rPr>
                      <w:rFonts w:cs="宋体"/>
                      <w:bCs/>
                      <w:color w:val="auto"/>
                      <w:spacing w:val="-10"/>
                      <w:sz w:val="21"/>
                      <w:szCs w:val="21"/>
                    </w:rPr>
                  </w:pPr>
                  <w:r>
                    <w:rPr>
                      <w:rFonts w:eastAsia="Times New Roman" w:cs="宋体"/>
                      <w:bCs/>
                      <w:color w:val="auto"/>
                      <w:spacing w:val="-10"/>
                      <w:sz w:val="21"/>
                      <w:szCs w:val="21"/>
                    </w:rPr>
                    <w:t>0</w:t>
                  </w:r>
                  <w:r>
                    <w:rPr>
                      <w:rFonts w:hint="eastAsia" w:eastAsia="Times New Roman" w:cs="宋体"/>
                      <w:bCs/>
                      <w:color w:val="auto"/>
                      <w:spacing w:val="-10"/>
                      <w:sz w:val="21"/>
                      <w:szCs w:val="21"/>
                    </w:rPr>
                    <w:t>.</w:t>
                  </w:r>
                  <w:r>
                    <w:rPr>
                      <w:rFonts w:hint="eastAsia" w:cs="宋体"/>
                      <w:bCs/>
                      <w:color w:val="auto"/>
                      <w:spacing w:val="-10"/>
                      <w:sz w:val="21"/>
                      <w:szCs w:val="21"/>
                    </w:rPr>
                    <w:t>5</w:t>
                  </w:r>
                </w:p>
              </w:tc>
              <w:tc>
                <w:tcPr>
                  <w:tcW w:w="493" w:type="pct"/>
                  <w:vMerge w:val="restart"/>
                  <w:tcBorders>
                    <w:right w:val="single" w:color="auto" w:sz="4" w:space="0"/>
                    <w:tl2br w:val="nil"/>
                    <w:tr2bl w:val="nil"/>
                  </w:tcBorders>
                  <w:vAlign w:val="center"/>
                </w:tcPr>
                <w:p w14:paraId="7E7FC60E">
                  <w:pPr>
                    <w:adjustRightInd w:val="0"/>
                    <w:snapToGrid w:val="0"/>
                    <w:spacing w:line="240" w:lineRule="auto"/>
                    <w:ind w:firstLine="0" w:firstLineChars="0"/>
                    <w:jc w:val="center"/>
                    <w:rPr>
                      <w:rFonts w:cs="宋体"/>
                      <w:bCs/>
                      <w:color w:val="auto"/>
                      <w:spacing w:val="-10"/>
                      <w:sz w:val="21"/>
                      <w:szCs w:val="21"/>
                    </w:rPr>
                  </w:pPr>
                  <w:r>
                    <w:rPr>
                      <w:rFonts w:hint="eastAsia" w:cs="宋体"/>
                      <w:bCs/>
                      <w:color w:val="auto"/>
                      <w:spacing w:val="-10"/>
                      <w:sz w:val="21"/>
                      <w:szCs w:val="21"/>
                    </w:rPr>
                    <w:t>16</w:t>
                  </w:r>
                </w:p>
              </w:tc>
              <w:tc>
                <w:tcPr>
                  <w:tcW w:w="497" w:type="pct"/>
                  <w:vMerge w:val="restart"/>
                  <w:tcBorders>
                    <w:left w:val="single" w:color="auto" w:sz="4" w:space="0"/>
                    <w:tl2br w:val="nil"/>
                    <w:tr2bl w:val="nil"/>
                  </w:tcBorders>
                  <w:vAlign w:val="center"/>
                </w:tcPr>
                <w:p w14:paraId="2787B6F6">
                  <w:pPr>
                    <w:adjustRightInd w:val="0"/>
                    <w:snapToGrid w:val="0"/>
                    <w:spacing w:line="240" w:lineRule="auto"/>
                    <w:ind w:firstLine="0" w:firstLineChars="0"/>
                    <w:jc w:val="center"/>
                    <w:rPr>
                      <w:rFonts w:cs="宋体"/>
                      <w:bCs/>
                      <w:spacing w:val="-10"/>
                      <w:sz w:val="21"/>
                      <w:szCs w:val="21"/>
                    </w:rPr>
                  </w:pPr>
                  <w:r>
                    <w:rPr>
                      <w:rFonts w:hint="eastAsia" w:cs="宋体"/>
                      <w:bCs/>
                      <w:spacing w:val="-10"/>
                      <w:sz w:val="21"/>
                      <w:szCs w:val="21"/>
                    </w:rPr>
                    <w:t>常温</w:t>
                  </w:r>
                </w:p>
              </w:tc>
              <w:tc>
                <w:tcPr>
                  <w:tcW w:w="382" w:type="pct"/>
                  <w:vMerge w:val="restart"/>
                  <w:tcBorders>
                    <w:tl2br w:val="nil"/>
                    <w:tr2bl w:val="nil"/>
                  </w:tcBorders>
                  <w:vAlign w:val="center"/>
                </w:tcPr>
                <w:p w14:paraId="0E3714DD">
                  <w:pPr>
                    <w:adjustRightInd w:val="0"/>
                    <w:snapToGrid w:val="0"/>
                    <w:spacing w:line="240" w:lineRule="auto"/>
                    <w:ind w:firstLine="0" w:firstLineChars="0"/>
                    <w:jc w:val="center"/>
                    <w:rPr>
                      <w:rFonts w:cs="宋体"/>
                      <w:bCs/>
                      <w:spacing w:val="-10"/>
                      <w:sz w:val="21"/>
                      <w:szCs w:val="21"/>
                    </w:rPr>
                  </w:pPr>
                  <w:r>
                    <w:rPr>
                      <w:rFonts w:hint="eastAsia" w:cs="宋体"/>
                      <w:bCs/>
                      <w:spacing w:val="-10"/>
                      <w:sz w:val="21"/>
                      <w:szCs w:val="21"/>
                    </w:rPr>
                    <w:t>一般排放口</w:t>
                  </w:r>
                </w:p>
              </w:tc>
            </w:tr>
            <w:bookmarkEnd w:id="264"/>
            <w:tr w14:paraId="262A157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417" w:hRule="atLeast"/>
              </w:trPr>
              <w:tc>
                <w:tcPr>
                  <w:tcW w:w="571" w:type="pct"/>
                  <w:vMerge w:val="continue"/>
                  <w:tcBorders>
                    <w:tl2br w:val="nil"/>
                    <w:tr2bl w:val="nil"/>
                  </w:tcBorders>
                  <w:vAlign w:val="center"/>
                </w:tcPr>
                <w:p w14:paraId="0B3EC2D5">
                  <w:pPr>
                    <w:adjustRightInd w:val="0"/>
                    <w:snapToGrid w:val="0"/>
                    <w:spacing w:line="240" w:lineRule="auto"/>
                    <w:ind w:firstLine="0" w:firstLineChars="0"/>
                    <w:jc w:val="center"/>
                    <w:rPr>
                      <w:rFonts w:eastAsia="Times New Roman" w:cs="宋体"/>
                      <w:sz w:val="21"/>
                      <w:szCs w:val="21"/>
                    </w:rPr>
                  </w:pPr>
                </w:p>
              </w:tc>
              <w:tc>
                <w:tcPr>
                  <w:tcW w:w="695" w:type="pct"/>
                  <w:tcBorders>
                    <w:tl2br w:val="nil"/>
                    <w:tr2bl w:val="nil"/>
                  </w:tcBorders>
                  <w:shd w:val="clear" w:color="auto" w:fill="auto"/>
                  <w:vAlign w:val="center"/>
                </w:tcPr>
                <w:p w14:paraId="3F724851">
                  <w:pPr>
                    <w:adjustRightInd w:val="0"/>
                    <w:snapToGrid w:val="0"/>
                    <w:spacing w:line="240" w:lineRule="auto"/>
                    <w:ind w:firstLine="0" w:firstLineChars="0"/>
                    <w:jc w:val="center"/>
                    <w:rPr>
                      <w:rFonts w:eastAsia="Times New Roman" w:cs="宋体"/>
                      <w:bCs/>
                      <w:spacing w:val="-10"/>
                      <w:sz w:val="21"/>
                      <w:szCs w:val="21"/>
                    </w:rPr>
                  </w:pPr>
                  <w:r>
                    <w:rPr>
                      <w:rFonts w:hint="eastAsia" w:cs="宋体"/>
                      <w:bCs/>
                      <w:spacing w:val="-10"/>
                      <w:sz w:val="21"/>
                      <w:szCs w:val="21"/>
                    </w:rPr>
                    <w:t>臭气浓度</w:t>
                  </w:r>
                </w:p>
              </w:tc>
              <w:tc>
                <w:tcPr>
                  <w:tcW w:w="845" w:type="pct"/>
                  <w:vMerge w:val="continue"/>
                  <w:tcBorders>
                    <w:tl2br w:val="nil"/>
                    <w:tr2bl w:val="nil"/>
                  </w:tcBorders>
                  <w:shd w:val="clear" w:color="auto" w:fill="auto"/>
                  <w:vAlign w:val="center"/>
                </w:tcPr>
                <w:p w14:paraId="2F6AC10A">
                  <w:pPr>
                    <w:adjustRightInd w:val="0"/>
                    <w:snapToGrid w:val="0"/>
                    <w:spacing w:line="240" w:lineRule="auto"/>
                    <w:ind w:firstLine="0" w:firstLineChars="0"/>
                    <w:jc w:val="center"/>
                    <w:rPr>
                      <w:rFonts w:eastAsia="Times New Roman" w:cs="宋体"/>
                      <w:bCs/>
                      <w:spacing w:val="-10"/>
                      <w:sz w:val="21"/>
                      <w:szCs w:val="21"/>
                    </w:rPr>
                  </w:pPr>
                </w:p>
              </w:tc>
              <w:tc>
                <w:tcPr>
                  <w:tcW w:w="545" w:type="pct"/>
                  <w:vMerge w:val="continue"/>
                  <w:tcBorders>
                    <w:tl2br w:val="nil"/>
                    <w:tr2bl w:val="nil"/>
                  </w:tcBorders>
                  <w:vAlign w:val="center"/>
                </w:tcPr>
                <w:p w14:paraId="3E8E8C4B">
                  <w:pPr>
                    <w:adjustRightInd w:val="0"/>
                    <w:snapToGrid w:val="0"/>
                    <w:spacing w:line="240" w:lineRule="auto"/>
                    <w:ind w:firstLine="0" w:firstLineChars="0"/>
                    <w:jc w:val="center"/>
                    <w:rPr>
                      <w:rFonts w:eastAsia="Times New Roman" w:cs="宋体"/>
                      <w:bCs/>
                      <w:spacing w:val="-10"/>
                      <w:sz w:val="21"/>
                      <w:szCs w:val="21"/>
                    </w:rPr>
                  </w:pPr>
                </w:p>
              </w:tc>
              <w:tc>
                <w:tcPr>
                  <w:tcW w:w="475" w:type="pct"/>
                  <w:vMerge w:val="continue"/>
                  <w:tcBorders>
                    <w:tl2br w:val="nil"/>
                    <w:tr2bl w:val="nil"/>
                  </w:tcBorders>
                  <w:vAlign w:val="center"/>
                </w:tcPr>
                <w:p w14:paraId="349602BB">
                  <w:pPr>
                    <w:adjustRightInd w:val="0"/>
                    <w:snapToGrid w:val="0"/>
                    <w:spacing w:line="240" w:lineRule="auto"/>
                    <w:ind w:firstLine="0" w:firstLineChars="0"/>
                    <w:jc w:val="center"/>
                    <w:rPr>
                      <w:rFonts w:eastAsia="Times New Roman" w:cs="宋体"/>
                      <w:bCs/>
                      <w:spacing w:val="-10"/>
                      <w:sz w:val="21"/>
                      <w:szCs w:val="21"/>
                    </w:rPr>
                  </w:pPr>
                </w:p>
              </w:tc>
              <w:tc>
                <w:tcPr>
                  <w:tcW w:w="493" w:type="pct"/>
                  <w:vMerge w:val="continue"/>
                  <w:tcBorders>
                    <w:tl2br w:val="nil"/>
                    <w:tr2bl w:val="nil"/>
                  </w:tcBorders>
                  <w:vAlign w:val="center"/>
                </w:tcPr>
                <w:p w14:paraId="76755756">
                  <w:pPr>
                    <w:adjustRightInd w:val="0"/>
                    <w:snapToGrid w:val="0"/>
                    <w:spacing w:line="240" w:lineRule="auto"/>
                    <w:ind w:firstLine="0" w:firstLineChars="0"/>
                    <w:jc w:val="center"/>
                    <w:rPr>
                      <w:rFonts w:eastAsia="Times New Roman" w:cs="宋体"/>
                      <w:bCs/>
                      <w:spacing w:val="-10"/>
                      <w:sz w:val="21"/>
                      <w:szCs w:val="21"/>
                    </w:rPr>
                  </w:pPr>
                </w:p>
              </w:tc>
              <w:tc>
                <w:tcPr>
                  <w:tcW w:w="493" w:type="pct"/>
                  <w:vMerge w:val="continue"/>
                  <w:tcBorders>
                    <w:right w:val="single" w:color="auto" w:sz="4" w:space="0"/>
                    <w:tl2br w:val="nil"/>
                    <w:tr2bl w:val="nil"/>
                  </w:tcBorders>
                  <w:vAlign w:val="center"/>
                </w:tcPr>
                <w:p w14:paraId="57B721BC">
                  <w:pPr>
                    <w:adjustRightInd w:val="0"/>
                    <w:snapToGrid w:val="0"/>
                    <w:spacing w:line="240" w:lineRule="auto"/>
                    <w:ind w:firstLine="0" w:firstLineChars="0"/>
                    <w:jc w:val="center"/>
                    <w:rPr>
                      <w:rFonts w:cs="宋体"/>
                      <w:bCs/>
                      <w:spacing w:val="-10"/>
                      <w:sz w:val="21"/>
                      <w:szCs w:val="21"/>
                    </w:rPr>
                  </w:pPr>
                </w:p>
              </w:tc>
              <w:tc>
                <w:tcPr>
                  <w:tcW w:w="497" w:type="pct"/>
                  <w:vMerge w:val="continue"/>
                  <w:tcBorders>
                    <w:left w:val="single" w:color="auto" w:sz="4" w:space="0"/>
                    <w:tl2br w:val="nil"/>
                    <w:tr2bl w:val="nil"/>
                  </w:tcBorders>
                  <w:vAlign w:val="center"/>
                </w:tcPr>
                <w:p w14:paraId="35D43942">
                  <w:pPr>
                    <w:adjustRightInd w:val="0"/>
                    <w:snapToGrid w:val="0"/>
                    <w:spacing w:line="240" w:lineRule="auto"/>
                    <w:ind w:firstLine="0" w:firstLineChars="0"/>
                    <w:jc w:val="center"/>
                    <w:rPr>
                      <w:rFonts w:cs="宋体"/>
                      <w:bCs/>
                      <w:spacing w:val="-10"/>
                      <w:sz w:val="21"/>
                      <w:szCs w:val="21"/>
                    </w:rPr>
                  </w:pPr>
                </w:p>
              </w:tc>
              <w:tc>
                <w:tcPr>
                  <w:tcW w:w="382" w:type="pct"/>
                  <w:vMerge w:val="continue"/>
                  <w:tcBorders>
                    <w:tl2br w:val="nil"/>
                    <w:tr2bl w:val="nil"/>
                  </w:tcBorders>
                  <w:vAlign w:val="center"/>
                </w:tcPr>
                <w:p w14:paraId="6BE1D2F7">
                  <w:pPr>
                    <w:adjustRightInd w:val="0"/>
                    <w:snapToGrid w:val="0"/>
                    <w:spacing w:line="240" w:lineRule="auto"/>
                    <w:ind w:firstLine="0" w:firstLineChars="0"/>
                    <w:jc w:val="center"/>
                    <w:rPr>
                      <w:rFonts w:cs="宋体"/>
                      <w:bCs/>
                      <w:spacing w:val="-10"/>
                      <w:sz w:val="21"/>
                      <w:szCs w:val="21"/>
                    </w:rPr>
                  </w:pPr>
                </w:p>
              </w:tc>
            </w:tr>
            <w:tr w14:paraId="0E81709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417" w:hRule="atLeast"/>
              </w:trPr>
              <w:tc>
                <w:tcPr>
                  <w:tcW w:w="571" w:type="pct"/>
                  <w:vMerge w:val="continue"/>
                  <w:tcBorders>
                    <w:tl2br w:val="nil"/>
                    <w:tr2bl w:val="nil"/>
                  </w:tcBorders>
                  <w:vAlign w:val="center"/>
                </w:tcPr>
                <w:p w14:paraId="6F99710F">
                  <w:pPr>
                    <w:adjustRightInd w:val="0"/>
                    <w:snapToGrid w:val="0"/>
                    <w:spacing w:line="240" w:lineRule="auto"/>
                    <w:ind w:firstLine="0" w:firstLineChars="0"/>
                    <w:jc w:val="center"/>
                    <w:rPr>
                      <w:rFonts w:eastAsia="Times New Roman" w:cs="宋体"/>
                      <w:sz w:val="21"/>
                      <w:szCs w:val="21"/>
                    </w:rPr>
                  </w:pPr>
                </w:p>
              </w:tc>
              <w:tc>
                <w:tcPr>
                  <w:tcW w:w="695" w:type="pct"/>
                  <w:tcBorders>
                    <w:tl2br w:val="nil"/>
                    <w:tr2bl w:val="nil"/>
                  </w:tcBorders>
                  <w:shd w:val="clear" w:color="auto" w:fill="auto"/>
                  <w:vAlign w:val="center"/>
                </w:tcPr>
                <w:p w14:paraId="6396BEDE">
                  <w:pPr>
                    <w:adjustRightInd w:val="0"/>
                    <w:snapToGrid w:val="0"/>
                    <w:spacing w:line="240" w:lineRule="auto"/>
                    <w:ind w:firstLine="0" w:firstLineChars="0"/>
                    <w:jc w:val="center"/>
                    <w:rPr>
                      <w:rFonts w:cs="宋体"/>
                      <w:bCs/>
                      <w:spacing w:val="-10"/>
                      <w:sz w:val="21"/>
                      <w:szCs w:val="21"/>
                    </w:rPr>
                  </w:pPr>
                  <w:r>
                    <w:rPr>
                      <w:rFonts w:hint="eastAsia" w:cs="宋体"/>
                      <w:bCs/>
                      <w:spacing w:val="-10"/>
                      <w:sz w:val="21"/>
                      <w:szCs w:val="21"/>
                    </w:rPr>
                    <w:t>颗粒物</w:t>
                  </w:r>
                </w:p>
              </w:tc>
              <w:tc>
                <w:tcPr>
                  <w:tcW w:w="845" w:type="pct"/>
                  <w:vMerge w:val="continue"/>
                  <w:tcBorders>
                    <w:tl2br w:val="nil"/>
                    <w:tr2bl w:val="nil"/>
                  </w:tcBorders>
                  <w:shd w:val="clear" w:color="auto" w:fill="auto"/>
                  <w:vAlign w:val="center"/>
                </w:tcPr>
                <w:p w14:paraId="188EB20A">
                  <w:pPr>
                    <w:adjustRightInd w:val="0"/>
                    <w:snapToGrid w:val="0"/>
                    <w:spacing w:line="240" w:lineRule="auto"/>
                    <w:ind w:firstLine="0" w:firstLineChars="0"/>
                    <w:jc w:val="center"/>
                    <w:rPr>
                      <w:rFonts w:eastAsia="Times New Roman" w:cs="宋体"/>
                      <w:bCs/>
                      <w:spacing w:val="-10"/>
                      <w:sz w:val="21"/>
                      <w:szCs w:val="21"/>
                    </w:rPr>
                  </w:pPr>
                </w:p>
              </w:tc>
              <w:tc>
                <w:tcPr>
                  <w:tcW w:w="545" w:type="pct"/>
                  <w:vMerge w:val="continue"/>
                  <w:tcBorders>
                    <w:tl2br w:val="nil"/>
                    <w:tr2bl w:val="nil"/>
                  </w:tcBorders>
                  <w:vAlign w:val="center"/>
                </w:tcPr>
                <w:p w14:paraId="4386898E">
                  <w:pPr>
                    <w:adjustRightInd w:val="0"/>
                    <w:snapToGrid w:val="0"/>
                    <w:spacing w:line="240" w:lineRule="auto"/>
                    <w:ind w:firstLine="0" w:firstLineChars="0"/>
                    <w:jc w:val="center"/>
                    <w:rPr>
                      <w:rFonts w:eastAsia="Times New Roman" w:cs="宋体"/>
                      <w:bCs/>
                      <w:spacing w:val="-10"/>
                      <w:sz w:val="21"/>
                      <w:szCs w:val="21"/>
                    </w:rPr>
                  </w:pPr>
                </w:p>
              </w:tc>
              <w:tc>
                <w:tcPr>
                  <w:tcW w:w="475" w:type="pct"/>
                  <w:vMerge w:val="continue"/>
                  <w:tcBorders>
                    <w:tl2br w:val="nil"/>
                    <w:tr2bl w:val="nil"/>
                  </w:tcBorders>
                  <w:vAlign w:val="center"/>
                </w:tcPr>
                <w:p w14:paraId="435B0F23">
                  <w:pPr>
                    <w:adjustRightInd w:val="0"/>
                    <w:snapToGrid w:val="0"/>
                    <w:spacing w:line="240" w:lineRule="auto"/>
                    <w:ind w:firstLine="0" w:firstLineChars="0"/>
                    <w:jc w:val="center"/>
                    <w:rPr>
                      <w:rFonts w:eastAsia="Times New Roman" w:cs="宋体"/>
                      <w:bCs/>
                      <w:spacing w:val="-10"/>
                      <w:sz w:val="21"/>
                      <w:szCs w:val="21"/>
                    </w:rPr>
                  </w:pPr>
                </w:p>
              </w:tc>
              <w:tc>
                <w:tcPr>
                  <w:tcW w:w="493" w:type="pct"/>
                  <w:vMerge w:val="continue"/>
                  <w:tcBorders>
                    <w:tl2br w:val="nil"/>
                    <w:tr2bl w:val="nil"/>
                  </w:tcBorders>
                  <w:vAlign w:val="center"/>
                </w:tcPr>
                <w:p w14:paraId="09A54E7C">
                  <w:pPr>
                    <w:adjustRightInd w:val="0"/>
                    <w:snapToGrid w:val="0"/>
                    <w:spacing w:line="240" w:lineRule="auto"/>
                    <w:ind w:firstLine="0" w:firstLineChars="0"/>
                    <w:jc w:val="center"/>
                    <w:rPr>
                      <w:rFonts w:eastAsia="Times New Roman" w:cs="宋体"/>
                      <w:bCs/>
                      <w:spacing w:val="-10"/>
                      <w:sz w:val="21"/>
                      <w:szCs w:val="21"/>
                    </w:rPr>
                  </w:pPr>
                </w:p>
              </w:tc>
              <w:tc>
                <w:tcPr>
                  <w:tcW w:w="493" w:type="pct"/>
                  <w:vMerge w:val="continue"/>
                  <w:tcBorders>
                    <w:right w:val="single" w:color="auto" w:sz="4" w:space="0"/>
                    <w:tl2br w:val="nil"/>
                    <w:tr2bl w:val="nil"/>
                  </w:tcBorders>
                  <w:vAlign w:val="center"/>
                </w:tcPr>
                <w:p w14:paraId="7FB5DCC7">
                  <w:pPr>
                    <w:adjustRightInd w:val="0"/>
                    <w:snapToGrid w:val="0"/>
                    <w:spacing w:line="240" w:lineRule="auto"/>
                    <w:ind w:firstLine="0" w:firstLineChars="0"/>
                    <w:jc w:val="center"/>
                    <w:rPr>
                      <w:rFonts w:cs="宋体"/>
                      <w:bCs/>
                      <w:spacing w:val="-10"/>
                      <w:sz w:val="21"/>
                      <w:szCs w:val="21"/>
                    </w:rPr>
                  </w:pPr>
                </w:p>
              </w:tc>
              <w:tc>
                <w:tcPr>
                  <w:tcW w:w="497" w:type="pct"/>
                  <w:vMerge w:val="continue"/>
                  <w:tcBorders>
                    <w:left w:val="single" w:color="auto" w:sz="4" w:space="0"/>
                    <w:tl2br w:val="nil"/>
                    <w:tr2bl w:val="nil"/>
                  </w:tcBorders>
                  <w:vAlign w:val="center"/>
                </w:tcPr>
                <w:p w14:paraId="00C3D8C5">
                  <w:pPr>
                    <w:adjustRightInd w:val="0"/>
                    <w:snapToGrid w:val="0"/>
                    <w:spacing w:line="240" w:lineRule="auto"/>
                    <w:ind w:firstLine="0" w:firstLineChars="0"/>
                    <w:jc w:val="center"/>
                    <w:rPr>
                      <w:rFonts w:cs="宋体"/>
                      <w:bCs/>
                      <w:spacing w:val="-10"/>
                      <w:sz w:val="21"/>
                      <w:szCs w:val="21"/>
                    </w:rPr>
                  </w:pPr>
                </w:p>
              </w:tc>
              <w:tc>
                <w:tcPr>
                  <w:tcW w:w="382" w:type="pct"/>
                  <w:vMerge w:val="continue"/>
                  <w:tcBorders>
                    <w:tl2br w:val="nil"/>
                    <w:tr2bl w:val="nil"/>
                  </w:tcBorders>
                  <w:vAlign w:val="center"/>
                </w:tcPr>
                <w:p w14:paraId="78200EFE">
                  <w:pPr>
                    <w:adjustRightInd w:val="0"/>
                    <w:snapToGrid w:val="0"/>
                    <w:spacing w:line="240" w:lineRule="auto"/>
                    <w:ind w:firstLine="0" w:firstLineChars="0"/>
                    <w:jc w:val="center"/>
                    <w:rPr>
                      <w:rFonts w:cs="宋体"/>
                      <w:bCs/>
                      <w:spacing w:val="-10"/>
                      <w:sz w:val="21"/>
                      <w:szCs w:val="21"/>
                    </w:rPr>
                  </w:pPr>
                </w:p>
              </w:tc>
            </w:tr>
          </w:tbl>
          <w:p w14:paraId="3F0CE5DB">
            <w:pPr>
              <w:pStyle w:val="9"/>
              <w:widowControl w:val="0"/>
              <w:snapToGrid/>
              <w:spacing w:before="0" w:after="0" w:line="360" w:lineRule="auto"/>
              <w:ind w:right="0" w:firstLine="482"/>
              <w:jc w:val="both"/>
              <w:rPr>
                <w:b/>
                <w:bCs/>
                <w:sz w:val="24"/>
              </w:rPr>
            </w:pPr>
            <w:r>
              <w:rPr>
                <w:rFonts w:hint="eastAsia"/>
                <w:b/>
                <w:bCs/>
                <w:sz w:val="24"/>
              </w:rPr>
              <w:t>6、</w:t>
            </w:r>
            <w:r>
              <w:rPr>
                <w:b/>
                <w:bCs/>
                <w:sz w:val="24"/>
              </w:rPr>
              <w:t>非正常工况</w:t>
            </w:r>
          </w:p>
          <w:p w14:paraId="124A7F40">
            <w:pPr>
              <w:autoSpaceDE w:val="0"/>
              <w:autoSpaceDN w:val="0"/>
              <w:ind w:firstLine="480"/>
              <w:jc w:val="both"/>
              <w:textAlignment w:val="baseline"/>
            </w:pPr>
            <w:r>
              <w:rPr>
                <w:rFonts w:hint="eastAsia"/>
              </w:rPr>
              <w:t>项目废气</w:t>
            </w:r>
            <w:r>
              <w:t>非正常工况</w:t>
            </w:r>
            <w:r>
              <w:rPr>
                <w:rFonts w:hint="eastAsia"/>
              </w:rPr>
              <w:t>排放主要为废气处理设施出现故障，但废气收集系统可以正常运行，废气通过排气筒排放的情况。废气处理设施故障不能正常运行时，应立即停产进行检修，避免对周围环境造成污染，参考</w:t>
            </w:r>
            <w:r>
              <w:t>同类型项目</w:t>
            </w:r>
            <w:r>
              <w:rPr>
                <w:rFonts w:hint="eastAsia"/>
              </w:rPr>
              <w:t>，</w:t>
            </w:r>
            <w:r>
              <w:t>非正常工况平均频次及持续时间为1次/年，1h/次</w:t>
            </w:r>
            <w:r>
              <w:rPr>
                <w:rFonts w:hint="eastAsia"/>
              </w:rPr>
              <w:t>，项目废气非正常工况情况见下表</w:t>
            </w:r>
            <w:r>
              <w:t>。</w:t>
            </w:r>
          </w:p>
          <w:p w14:paraId="3A5FFC6E">
            <w:pPr>
              <w:pStyle w:val="16"/>
              <w:rPr>
                <w:kern w:val="2"/>
                <w:szCs w:val="24"/>
              </w:rPr>
            </w:pPr>
            <w:r>
              <w:rPr>
                <w:kern w:val="2"/>
                <w:szCs w:val="24"/>
              </w:rPr>
              <w:t>表4-</w:t>
            </w:r>
            <w:r>
              <w:rPr>
                <w:rFonts w:hint="eastAsia"/>
                <w:kern w:val="2"/>
                <w:szCs w:val="24"/>
              </w:rPr>
              <w:t>5</w:t>
            </w:r>
            <w:r>
              <w:rPr>
                <w:kern w:val="2"/>
                <w:szCs w:val="24"/>
              </w:rPr>
              <w:t xml:space="preserve"> 项目废气</w:t>
            </w:r>
            <w:r>
              <w:rPr>
                <w:rFonts w:hint="eastAsia"/>
                <w:kern w:val="2"/>
                <w:szCs w:val="24"/>
              </w:rPr>
              <w:t>非正常工况情况表</w:t>
            </w:r>
          </w:p>
          <w:tbl>
            <w:tblPr>
              <w:tblStyle w:val="3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
              <w:gridCol w:w="1320"/>
              <w:gridCol w:w="1713"/>
              <w:gridCol w:w="1170"/>
              <w:gridCol w:w="930"/>
              <w:gridCol w:w="745"/>
              <w:gridCol w:w="720"/>
              <w:gridCol w:w="1100"/>
            </w:tblGrid>
            <w:tr w14:paraId="6E95E5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487" w:type="pct"/>
                  <w:tcBorders>
                    <w:bottom w:val="single" w:color="auto" w:sz="4" w:space="0"/>
                  </w:tcBorders>
                  <w:vAlign w:val="center"/>
                </w:tcPr>
                <w:p w14:paraId="1804D0BC">
                  <w:pPr>
                    <w:pStyle w:val="8"/>
                    <w:rPr>
                      <w:b/>
                      <w:bCs/>
                    </w:rPr>
                  </w:pPr>
                  <w:r>
                    <w:rPr>
                      <w:rFonts w:hint="eastAsia"/>
                      <w:b/>
                      <w:bCs/>
                    </w:rPr>
                    <w:t>产污工序</w:t>
                  </w:r>
                </w:p>
              </w:tc>
              <w:tc>
                <w:tcPr>
                  <w:tcW w:w="773" w:type="pct"/>
                  <w:vAlign w:val="center"/>
                </w:tcPr>
                <w:p w14:paraId="1FE81911">
                  <w:pPr>
                    <w:pStyle w:val="8"/>
                    <w:rPr>
                      <w:b/>
                      <w:bCs/>
                    </w:rPr>
                  </w:pPr>
                  <w:r>
                    <w:rPr>
                      <w:b/>
                      <w:bCs/>
                    </w:rPr>
                    <w:t>污染物种类</w:t>
                  </w:r>
                </w:p>
              </w:tc>
              <w:tc>
                <w:tcPr>
                  <w:tcW w:w="1003" w:type="pct"/>
                  <w:vAlign w:val="center"/>
                </w:tcPr>
                <w:p w14:paraId="5A94DFCE">
                  <w:pPr>
                    <w:pStyle w:val="8"/>
                    <w:rPr>
                      <w:b/>
                      <w:bCs/>
                    </w:rPr>
                  </w:pPr>
                  <w:r>
                    <w:rPr>
                      <w:rFonts w:hint="eastAsia"/>
                      <w:b/>
                      <w:bCs/>
                    </w:rPr>
                    <w:t>非正常排放原因</w:t>
                  </w:r>
                </w:p>
              </w:tc>
              <w:tc>
                <w:tcPr>
                  <w:tcW w:w="685" w:type="pct"/>
                  <w:vAlign w:val="center"/>
                </w:tcPr>
                <w:p w14:paraId="45F7120A">
                  <w:pPr>
                    <w:pStyle w:val="8"/>
                    <w:rPr>
                      <w:b/>
                      <w:bCs/>
                    </w:rPr>
                  </w:pPr>
                  <w:r>
                    <w:rPr>
                      <w:rFonts w:hint="eastAsia"/>
                      <w:b/>
                      <w:bCs/>
                    </w:rPr>
                    <w:t>非正常排放浓度（mg/m</w:t>
                  </w:r>
                  <w:r>
                    <w:rPr>
                      <w:rFonts w:hint="eastAsia"/>
                      <w:b/>
                      <w:bCs/>
                      <w:vertAlign w:val="superscript"/>
                    </w:rPr>
                    <w:t>3</w:t>
                  </w:r>
                  <w:r>
                    <w:rPr>
                      <w:rFonts w:hint="eastAsia"/>
                      <w:b/>
                      <w:bCs/>
                    </w:rPr>
                    <w:t>）</w:t>
                  </w:r>
                </w:p>
              </w:tc>
              <w:tc>
                <w:tcPr>
                  <w:tcW w:w="545" w:type="pct"/>
                  <w:vAlign w:val="center"/>
                </w:tcPr>
                <w:p w14:paraId="4F704629">
                  <w:pPr>
                    <w:pStyle w:val="8"/>
                    <w:rPr>
                      <w:b/>
                      <w:bCs/>
                    </w:rPr>
                  </w:pPr>
                  <w:r>
                    <w:rPr>
                      <w:rFonts w:hint="eastAsia"/>
                      <w:b/>
                      <w:bCs/>
                    </w:rPr>
                    <w:t>非正常排放速率(kg/h)</w:t>
                  </w:r>
                </w:p>
              </w:tc>
              <w:tc>
                <w:tcPr>
                  <w:tcW w:w="437" w:type="pct"/>
                  <w:vAlign w:val="center"/>
                </w:tcPr>
                <w:p w14:paraId="2C18C43C">
                  <w:pPr>
                    <w:pStyle w:val="8"/>
                    <w:rPr>
                      <w:b/>
                      <w:bCs/>
                    </w:rPr>
                  </w:pPr>
                  <w:r>
                    <w:rPr>
                      <w:rFonts w:hint="eastAsia"/>
                      <w:b/>
                      <w:bCs/>
                    </w:rPr>
                    <w:t>单次持续时间/h</w:t>
                  </w:r>
                </w:p>
              </w:tc>
              <w:tc>
                <w:tcPr>
                  <w:tcW w:w="422" w:type="pct"/>
                  <w:vAlign w:val="center"/>
                </w:tcPr>
                <w:p w14:paraId="4F33BC9A">
                  <w:pPr>
                    <w:pStyle w:val="8"/>
                    <w:rPr>
                      <w:b/>
                      <w:bCs/>
                    </w:rPr>
                  </w:pPr>
                  <w:r>
                    <w:rPr>
                      <w:rFonts w:hint="eastAsia"/>
                      <w:b/>
                      <w:bCs/>
                    </w:rPr>
                    <w:t>年发生频次/次</w:t>
                  </w:r>
                </w:p>
              </w:tc>
              <w:tc>
                <w:tcPr>
                  <w:tcW w:w="644" w:type="pct"/>
                  <w:vAlign w:val="center"/>
                </w:tcPr>
                <w:p w14:paraId="612F62AB">
                  <w:pPr>
                    <w:pStyle w:val="8"/>
                    <w:rPr>
                      <w:b/>
                      <w:bCs/>
                    </w:rPr>
                  </w:pPr>
                  <w:r>
                    <w:rPr>
                      <w:rFonts w:hint="eastAsia"/>
                      <w:b/>
                      <w:bCs/>
                    </w:rPr>
                    <w:t>应对措施</w:t>
                  </w:r>
                </w:p>
              </w:tc>
            </w:tr>
            <w:tr w14:paraId="7BDB2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487" w:type="pct"/>
                  <w:vAlign w:val="center"/>
                </w:tcPr>
                <w:p w14:paraId="5CCACB9F">
                  <w:pPr>
                    <w:pStyle w:val="8"/>
                  </w:pPr>
                  <w:r>
                    <w:rPr>
                      <w:rFonts w:hint="eastAsia"/>
                    </w:rPr>
                    <w:t>挤出、溶胶</w:t>
                  </w:r>
                </w:p>
              </w:tc>
              <w:tc>
                <w:tcPr>
                  <w:tcW w:w="773" w:type="pct"/>
                  <w:vAlign w:val="center"/>
                </w:tcPr>
                <w:p w14:paraId="39CBDFD9">
                  <w:pPr>
                    <w:pStyle w:val="8"/>
                  </w:pPr>
                  <w:r>
                    <w:t>非甲烷总烃</w:t>
                  </w:r>
                </w:p>
              </w:tc>
              <w:tc>
                <w:tcPr>
                  <w:tcW w:w="1003" w:type="pct"/>
                  <w:vMerge w:val="restart"/>
                  <w:vAlign w:val="center"/>
                </w:tcPr>
                <w:p w14:paraId="52C7D3EF">
                  <w:pPr>
                    <w:pStyle w:val="8"/>
                  </w:pPr>
                  <w:r>
                    <w:rPr>
                      <w:rFonts w:hint="eastAsia"/>
                    </w:rPr>
                    <w:t>“水喷淋+干式过滤器+二级活性炭吸附装置”故障</w:t>
                  </w:r>
                </w:p>
              </w:tc>
              <w:tc>
                <w:tcPr>
                  <w:tcW w:w="685" w:type="pct"/>
                  <w:vAlign w:val="center"/>
                </w:tcPr>
                <w:p w14:paraId="57A14C62">
                  <w:pPr>
                    <w:pStyle w:val="8"/>
                  </w:pPr>
                  <w:r>
                    <w:rPr>
                      <w:rFonts w:hint="eastAsia"/>
                    </w:rPr>
                    <w:t>143.5</w:t>
                  </w:r>
                </w:p>
              </w:tc>
              <w:tc>
                <w:tcPr>
                  <w:tcW w:w="545" w:type="pct"/>
                  <w:vAlign w:val="center"/>
                </w:tcPr>
                <w:p w14:paraId="61050FB5">
                  <w:pPr>
                    <w:pStyle w:val="8"/>
                  </w:pPr>
                  <w:r>
                    <w:rPr>
                      <w:rFonts w:hint="eastAsia"/>
                    </w:rPr>
                    <w:t>1.65</w:t>
                  </w:r>
                </w:p>
              </w:tc>
              <w:tc>
                <w:tcPr>
                  <w:tcW w:w="437" w:type="pct"/>
                  <w:vAlign w:val="center"/>
                </w:tcPr>
                <w:p w14:paraId="2DFF1053">
                  <w:pPr>
                    <w:pStyle w:val="8"/>
                  </w:pPr>
                  <w:r>
                    <w:rPr>
                      <w:rFonts w:hint="eastAsia"/>
                    </w:rPr>
                    <w:t>1</w:t>
                  </w:r>
                </w:p>
              </w:tc>
              <w:tc>
                <w:tcPr>
                  <w:tcW w:w="422" w:type="pct"/>
                  <w:vAlign w:val="center"/>
                </w:tcPr>
                <w:p w14:paraId="107A1F7D">
                  <w:pPr>
                    <w:pStyle w:val="8"/>
                  </w:pPr>
                  <w:r>
                    <w:rPr>
                      <w:rFonts w:hint="eastAsia"/>
                    </w:rPr>
                    <w:t>1</w:t>
                  </w:r>
                </w:p>
              </w:tc>
              <w:tc>
                <w:tcPr>
                  <w:tcW w:w="644" w:type="pct"/>
                  <w:vMerge w:val="restart"/>
                  <w:vAlign w:val="center"/>
                </w:tcPr>
                <w:p w14:paraId="32F16160">
                  <w:pPr>
                    <w:pStyle w:val="8"/>
                  </w:pPr>
                  <w:r>
                    <w:rPr>
                      <w:rFonts w:hint="eastAsia"/>
                    </w:rPr>
                    <w:t>立即停止生产进行维修</w:t>
                  </w:r>
                </w:p>
              </w:tc>
            </w:tr>
            <w:tr w14:paraId="0868DA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487" w:type="pct"/>
                  <w:vAlign w:val="center"/>
                </w:tcPr>
                <w:p w14:paraId="2C795259">
                  <w:pPr>
                    <w:pStyle w:val="8"/>
                  </w:pPr>
                  <w:r>
                    <w:rPr>
                      <w:rFonts w:hint="eastAsia"/>
                    </w:rPr>
                    <w:t>投料、破碎</w:t>
                  </w:r>
                </w:p>
              </w:tc>
              <w:tc>
                <w:tcPr>
                  <w:tcW w:w="773" w:type="pct"/>
                  <w:vAlign w:val="center"/>
                </w:tcPr>
                <w:p w14:paraId="2CDD850B">
                  <w:pPr>
                    <w:pStyle w:val="8"/>
                  </w:pPr>
                  <w:r>
                    <w:rPr>
                      <w:rFonts w:hint="eastAsia"/>
                    </w:rPr>
                    <w:t>颗粒物</w:t>
                  </w:r>
                </w:p>
              </w:tc>
              <w:tc>
                <w:tcPr>
                  <w:tcW w:w="1003" w:type="pct"/>
                  <w:vMerge w:val="continue"/>
                  <w:vAlign w:val="center"/>
                </w:tcPr>
                <w:p w14:paraId="22E9DA50">
                  <w:pPr>
                    <w:pStyle w:val="8"/>
                  </w:pPr>
                </w:p>
              </w:tc>
              <w:tc>
                <w:tcPr>
                  <w:tcW w:w="685" w:type="pct"/>
                  <w:vAlign w:val="center"/>
                </w:tcPr>
                <w:p w14:paraId="53640030">
                  <w:pPr>
                    <w:pStyle w:val="8"/>
                  </w:pPr>
                  <w:r>
                    <w:rPr>
                      <w:rFonts w:hint="eastAsia"/>
                    </w:rPr>
                    <w:t>57.34</w:t>
                  </w:r>
                </w:p>
              </w:tc>
              <w:tc>
                <w:tcPr>
                  <w:tcW w:w="545" w:type="pct"/>
                  <w:vAlign w:val="center"/>
                </w:tcPr>
                <w:p w14:paraId="30A34653">
                  <w:pPr>
                    <w:pStyle w:val="8"/>
                  </w:pPr>
                  <w:r>
                    <w:rPr>
                      <w:rFonts w:hint="eastAsia"/>
                    </w:rPr>
                    <w:t>0.6594</w:t>
                  </w:r>
                </w:p>
              </w:tc>
              <w:tc>
                <w:tcPr>
                  <w:tcW w:w="437" w:type="pct"/>
                  <w:vAlign w:val="center"/>
                </w:tcPr>
                <w:p w14:paraId="7C0E64C9">
                  <w:pPr>
                    <w:pStyle w:val="8"/>
                  </w:pPr>
                  <w:r>
                    <w:rPr>
                      <w:rFonts w:hint="eastAsia"/>
                    </w:rPr>
                    <w:t>1</w:t>
                  </w:r>
                </w:p>
              </w:tc>
              <w:tc>
                <w:tcPr>
                  <w:tcW w:w="422" w:type="pct"/>
                  <w:vAlign w:val="center"/>
                </w:tcPr>
                <w:p w14:paraId="3F767940">
                  <w:pPr>
                    <w:pStyle w:val="8"/>
                  </w:pPr>
                  <w:r>
                    <w:rPr>
                      <w:rFonts w:hint="eastAsia"/>
                    </w:rPr>
                    <w:t>1</w:t>
                  </w:r>
                </w:p>
              </w:tc>
              <w:tc>
                <w:tcPr>
                  <w:tcW w:w="644" w:type="pct"/>
                  <w:vMerge w:val="continue"/>
                  <w:vAlign w:val="center"/>
                </w:tcPr>
                <w:p w14:paraId="43A8BF4C">
                  <w:pPr>
                    <w:pStyle w:val="8"/>
                  </w:pPr>
                </w:p>
              </w:tc>
            </w:tr>
          </w:tbl>
          <w:p w14:paraId="0E5A2962">
            <w:pPr>
              <w:ind w:firstLine="480"/>
              <w:jc w:val="both"/>
            </w:pPr>
            <w:r>
              <w:rPr>
                <w:rFonts w:hint="eastAsia"/>
              </w:rPr>
              <w:t>根据上表</w:t>
            </w:r>
            <w:r>
              <w:t>可知，在非正常工况下</w:t>
            </w:r>
            <w:r>
              <w:rPr>
                <w:rFonts w:hint="eastAsia"/>
              </w:rPr>
              <w:t>，</w:t>
            </w:r>
            <w:r>
              <w:t>各个</w:t>
            </w:r>
            <w:r>
              <w:rPr>
                <w:rFonts w:hint="eastAsia"/>
              </w:rPr>
              <w:t>工序的</w:t>
            </w:r>
            <w:r>
              <w:t>污染物的排放大幅增加</w:t>
            </w:r>
            <w:r>
              <w:rPr>
                <w:rFonts w:hint="eastAsia"/>
              </w:rPr>
              <w:t>，</w:t>
            </w:r>
            <w:r>
              <w:t>为防止废气非正常工况排放，企业应采取以下措施确保废气达标排放：①安排专人负责环保设备的日常维护和管理，每</w:t>
            </w:r>
            <w:r>
              <w:rPr>
                <w:rFonts w:hint="eastAsia"/>
              </w:rPr>
              <w:t>隔</w:t>
            </w:r>
            <w:r>
              <w:t>固定时间检查、汇报情况，及时发现废气处理设备的隐患，确保废气处理系统正常运行；②建立健全的环保管理机构，对环保管理人员和技术人员进行岗位培训，委托具有专业资质的环境检测单位对项目排放的各类污染物进行定期检测；</w:t>
            </w:r>
          </w:p>
          <w:p w14:paraId="4425BCB1">
            <w:pPr>
              <w:ind w:firstLine="482"/>
              <w:jc w:val="both"/>
              <w:rPr>
                <w:b/>
                <w:bCs/>
              </w:rPr>
            </w:pPr>
            <w:r>
              <w:rPr>
                <w:rFonts w:hint="eastAsia"/>
                <w:b/>
                <w:bCs/>
              </w:rPr>
              <w:t>7、</w:t>
            </w:r>
            <w:r>
              <w:rPr>
                <w:b/>
                <w:bCs/>
              </w:rPr>
              <w:t>监测计划</w:t>
            </w:r>
          </w:p>
          <w:p w14:paraId="418AFF06">
            <w:pPr>
              <w:ind w:firstLine="480"/>
              <w:jc w:val="both"/>
              <w:rPr>
                <w:b/>
                <w:bCs/>
              </w:rPr>
            </w:pPr>
            <w:r>
              <w:t>根据《排污单位自行监测技术指南 总则》（HJ819-2017）</w:t>
            </w:r>
            <w:r>
              <w:rPr>
                <w:rFonts w:hint="eastAsia"/>
              </w:rPr>
              <w:t>、</w:t>
            </w:r>
            <w:r>
              <w:rPr>
                <w:szCs w:val="28"/>
              </w:rPr>
              <w:t>《排污许可证申请与核发技术规范 橡胶和塑料制品工业》（HJ1122—2020）</w:t>
            </w:r>
            <w:r>
              <w:rPr>
                <w:rFonts w:hint="eastAsia"/>
                <w:szCs w:val="28"/>
              </w:rPr>
              <w:t>，</w:t>
            </w:r>
            <w:r>
              <w:rPr>
                <w:spacing w:val="-1"/>
              </w:rPr>
              <w:t>本</w:t>
            </w:r>
            <w:r>
              <w:rPr>
                <w:rFonts w:hint="eastAsia"/>
                <w:spacing w:val="-1"/>
              </w:rPr>
              <w:t>项目废气</w:t>
            </w:r>
            <w:r>
              <w:t>监测计划见下表：</w:t>
            </w:r>
          </w:p>
          <w:p w14:paraId="038944BC">
            <w:pPr>
              <w:pStyle w:val="16"/>
              <w:rPr>
                <w:kern w:val="2"/>
                <w:szCs w:val="24"/>
              </w:rPr>
            </w:pPr>
            <w:r>
              <w:rPr>
                <w:kern w:val="2"/>
                <w:szCs w:val="24"/>
              </w:rPr>
              <w:t>表4-</w:t>
            </w:r>
            <w:r>
              <w:rPr>
                <w:rFonts w:hint="eastAsia"/>
                <w:kern w:val="2"/>
                <w:szCs w:val="24"/>
              </w:rPr>
              <w:t>6</w:t>
            </w:r>
            <w:r>
              <w:rPr>
                <w:kern w:val="2"/>
                <w:szCs w:val="24"/>
              </w:rPr>
              <w:t xml:space="preserve"> 项目废气监测计划表</w:t>
            </w:r>
          </w:p>
          <w:tbl>
            <w:tblPr>
              <w:tblStyle w:val="34"/>
              <w:tblW w:w="4994"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218"/>
              <w:gridCol w:w="1787"/>
              <w:gridCol w:w="1168"/>
              <w:gridCol w:w="4351"/>
            </w:tblGrid>
            <w:tr w14:paraId="218FCFA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15" w:type="pct"/>
                  <w:vAlign w:val="center"/>
                </w:tcPr>
                <w:p w14:paraId="6A1ECE29">
                  <w:pPr>
                    <w:pStyle w:val="8"/>
                    <w:rPr>
                      <w:b/>
                      <w:bCs/>
                    </w:rPr>
                  </w:pPr>
                  <w:r>
                    <w:rPr>
                      <w:b/>
                      <w:bCs/>
                    </w:rPr>
                    <w:t>监测点位</w:t>
                  </w:r>
                </w:p>
              </w:tc>
              <w:tc>
                <w:tcPr>
                  <w:tcW w:w="1048" w:type="pct"/>
                  <w:vAlign w:val="center"/>
                </w:tcPr>
                <w:p w14:paraId="25B3E74B">
                  <w:pPr>
                    <w:pStyle w:val="8"/>
                    <w:rPr>
                      <w:b/>
                      <w:bCs/>
                    </w:rPr>
                  </w:pPr>
                  <w:r>
                    <w:rPr>
                      <w:b/>
                      <w:bCs/>
                    </w:rPr>
                    <w:t>监测指标</w:t>
                  </w:r>
                </w:p>
              </w:tc>
              <w:tc>
                <w:tcPr>
                  <w:tcW w:w="685" w:type="pct"/>
                  <w:vAlign w:val="center"/>
                </w:tcPr>
                <w:p w14:paraId="440C5298">
                  <w:pPr>
                    <w:pStyle w:val="8"/>
                    <w:rPr>
                      <w:b/>
                      <w:bCs/>
                    </w:rPr>
                  </w:pPr>
                  <w:r>
                    <w:rPr>
                      <w:b/>
                      <w:bCs/>
                    </w:rPr>
                    <w:t>监测频率</w:t>
                  </w:r>
                </w:p>
              </w:tc>
              <w:tc>
                <w:tcPr>
                  <w:tcW w:w="2551" w:type="pct"/>
                  <w:vAlign w:val="center"/>
                </w:tcPr>
                <w:p w14:paraId="00E07736">
                  <w:pPr>
                    <w:pStyle w:val="8"/>
                    <w:rPr>
                      <w:b/>
                      <w:bCs/>
                    </w:rPr>
                  </w:pPr>
                  <w:r>
                    <w:rPr>
                      <w:b/>
                      <w:bCs/>
                    </w:rPr>
                    <w:t>执行排放标准</w:t>
                  </w:r>
                </w:p>
              </w:tc>
            </w:tr>
            <w:tr w14:paraId="7248375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62" w:hRule="atLeast"/>
                <w:jc w:val="center"/>
              </w:trPr>
              <w:tc>
                <w:tcPr>
                  <w:tcW w:w="715" w:type="pct"/>
                  <w:vMerge w:val="restart"/>
                  <w:vAlign w:val="center"/>
                </w:tcPr>
                <w:p w14:paraId="4DAEDB2C">
                  <w:pPr>
                    <w:pStyle w:val="8"/>
                  </w:pPr>
                  <w:r>
                    <w:t>DA001</w:t>
                  </w:r>
                </w:p>
              </w:tc>
              <w:tc>
                <w:tcPr>
                  <w:tcW w:w="1048" w:type="pct"/>
                  <w:vAlign w:val="center"/>
                </w:tcPr>
                <w:p w14:paraId="49A39787">
                  <w:pPr>
                    <w:pStyle w:val="8"/>
                  </w:pPr>
                  <w:r>
                    <w:t>非甲烷总烃</w:t>
                  </w:r>
                </w:p>
              </w:tc>
              <w:tc>
                <w:tcPr>
                  <w:tcW w:w="685" w:type="pct"/>
                  <w:vAlign w:val="center"/>
                </w:tcPr>
                <w:p w14:paraId="7637C7C3">
                  <w:pPr>
                    <w:pStyle w:val="8"/>
                  </w:pPr>
                  <w:r>
                    <w:t>1次/</w:t>
                  </w:r>
                  <w:r>
                    <w:rPr>
                      <w:rFonts w:hint="eastAsia"/>
                    </w:rPr>
                    <w:t>半</w:t>
                  </w:r>
                  <w:r>
                    <w:t>年</w:t>
                  </w:r>
                </w:p>
              </w:tc>
              <w:tc>
                <w:tcPr>
                  <w:tcW w:w="2551" w:type="pct"/>
                  <w:tcBorders>
                    <w:bottom w:val="single" w:color="auto" w:sz="4" w:space="0"/>
                  </w:tcBorders>
                  <w:vAlign w:val="center"/>
                </w:tcPr>
                <w:p w14:paraId="2F0C00D4">
                  <w:pPr>
                    <w:pStyle w:val="8"/>
                  </w:pPr>
                  <w:r>
                    <w:rPr>
                      <w:rFonts w:hint="eastAsia"/>
                    </w:rPr>
                    <w:t>《合成树脂工业污染物排放标准（含2024年修改单）》</w:t>
                  </w:r>
                  <w:r>
                    <w:t>（GB31572-2015）</w:t>
                  </w:r>
                  <w:bookmarkStart w:id="265" w:name="OLE_LINK71"/>
                  <w:r>
                    <w:rPr>
                      <w:rFonts w:hint="eastAsia"/>
                    </w:rPr>
                    <w:t>表5大气污染物特别排放限值</w:t>
                  </w:r>
                  <w:bookmarkEnd w:id="265"/>
                </w:p>
              </w:tc>
            </w:tr>
            <w:tr w14:paraId="6FC5CF3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627" w:hRule="atLeast"/>
                <w:jc w:val="center"/>
              </w:trPr>
              <w:tc>
                <w:tcPr>
                  <w:tcW w:w="715" w:type="pct"/>
                  <w:vMerge w:val="continue"/>
                  <w:vAlign w:val="center"/>
                </w:tcPr>
                <w:p w14:paraId="2B4F0E7A">
                  <w:pPr>
                    <w:pStyle w:val="8"/>
                  </w:pPr>
                </w:p>
              </w:tc>
              <w:tc>
                <w:tcPr>
                  <w:tcW w:w="1048" w:type="pct"/>
                  <w:vAlign w:val="center"/>
                </w:tcPr>
                <w:p w14:paraId="41C60E98">
                  <w:pPr>
                    <w:pStyle w:val="8"/>
                  </w:pPr>
                  <w:r>
                    <w:t>臭气浓度</w:t>
                  </w:r>
                </w:p>
              </w:tc>
              <w:tc>
                <w:tcPr>
                  <w:tcW w:w="685" w:type="pct"/>
                  <w:vAlign w:val="center"/>
                </w:tcPr>
                <w:p w14:paraId="39564AC8">
                  <w:pPr>
                    <w:pStyle w:val="8"/>
                  </w:pPr>
                  <w:r>
                    <w:t>1次/年</w:t>
                  </w:r>
                </w:p>
              </w:tc>
              <w:tc>
                <w:tcPr>
                  <w:tcW w:w="2551" w:type="pct"/>
                  <w:tcBorders>
                    <w:top w:val="single" w:color="auto" w:sz="4" w:space="0"/>
                    <w:bottom w:val="single" w:color="auto" w:sz="4" w:space="0"/>
                  </w:tcBorders>
                  <w:vAlign w:val="center"/>
                </w:tcPr>
                <w:p w14:paraId="3FD3FCEA">
                  <w:pPr>
                    <w:pStyle w:val="8"/>
                  </w:pPr>
                  <w:r>
                    <w:t>《恶臭污染物排放标准》（GB14554-1993）表2恶臭污染物排放标准值</w:t>
                  </w:r>
                </w:p>
              </w:tc>
            </w:tr>
            <w:tr w14:paraId="0BE038D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72" w:hRule="atLeast"/>
                <w:jc w:val="center"/>
              </w:trPr>
              <w:tc>
                <w:tcPr>
                  <w:tcW w:w="715" w:type="pct"/>
                  <w:vMerge w:val="continue"/>
                  <w:shd w:val="clear" w:color="auto" w:fill="auto"/>
                  <w:vAlign w:val="center"/>
                </w:tcPr>
                <w:p w14:paraId="30B51545">
                  <w:pPr>
                    <w:pStyle w:val="8"/>
                  </w:pPr>
                </w:p>
              </w:tc>
              <w:tc>
                <w:tcPr>
                  <w:tcW w:w="1048" w:type="pct"/>
                  <w:shd w:val="clear" w:color="auto" w:fill="auto"/>
                  <w:vAlign w:val="center"/>
                </w:tcPr>
                <w:p w14:paraId="2233CAEA">
                  <w:pPr>
                    <w:pStyle w:val="8"/>
                  </w:pPr>
                  <w:r>
                    <w:rPr>
                      <w:rFonts w:hint="eastAsia"/>
                    </w:rPr>
                    <w:t>颗粒物</w:t>
                  </w:r>
                </w:p>
              </w:tc>
              <w:tc>
                <w:tcPr>
                  <w:tcW w:w="685" w:type="pct"/>
                  <w:shd w:val="clear" w:color="auto" w:fill="auto"/>
                  <w:vAlign w:val="center"/>
                </w:tcPr>
                <w:p w14:paraId="3A23CC5B">
                  <w:pPr>
                    <w:pStyle w:val="8"/>
                  </w:pPr>
                  <w:r>
                    <w:t>1次/年</w:t>
                  </w:r>
                </w:p>
              </w:tc>
              <w:tc>
                <w:tcPr>
                  <w:tcW w:w="2551" w:type="pct"/>
                  <w:shd w:val="clear" w:color="auto" w:fill="auto"/>
                  <w:vAlign w:val="center"/>
                </w:tcPr>
                <w:p w14:paraId="6A01D853">
                  <w:pPr>
                    <w:pStyle w:val="8"/>
                  </w:pPr>
                  <w:r>
                    <w:rPr>
                      <w:rFonts w:hint="eastAsia"/>
                    </w:rPr>
                    <w:t>《合成树脂工业污染物排放标准（含2024年修改单）》（GB31572-2015）表5大气污染物特别排放限值</w:t>
                  </w:r>
                </w:p>
              </w:tc>
            </w:tr>
            <w:tr w14:paraId="4B5EFBF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45" w:hRule="atLeast"/>
                <w:jc w:val="center"/>
              </w:trPr>
              <w:tc>
                <w:tcPr>
                  <w:tcW w:w="715" w:type="pct"/>
                  <w:vMerge w:val="restart"/>
                  <w:vAlign w:val="center"/>
                </w:tcPr>
                <w:p w14:paraId="46B50886">
                  <w:pPr>
                    <w:pStyle w:val="8"/>
                  </w:pPr>
                  <w:r>
                    <w:t>厂界上、下风向</w:t>
                  </w:r>
                </w:p>
              </w:tc>
              <w:tc>
                <w:tcPr>
                  <w:tcW w:w="1048" w:type="pct"/>
                  <w:tcBorders>
                    <w:bottom w:val="single" w:color="auto" w:sz="4" w:space="0"/>
                  </w:tcBorders>
                  <w:vAlign w:val="center"/>
                </w:tcPr>
                <w:p w14:paraId="3D24E052">
                  <w:pPr>
                    <w:pStyle w:val="8"/>
                  </w:pPr>
                  <w:r>
                    <w:t>非甲烷总烃</w:t>
                  </w:r>
                </w:p>
              </w:tc>
              <w:tc>
                <w:tcPr>
                  <w:tcW w:w="685" w:type="pct"/>
                  <w:tcBorders>
                    <w:top w:val="single" w:color="auto" w:sz="4" w:space="0"/>
                    <w:bottom w:val="single" w:color="auto" w:sz="4" w:space="0"/>
                  </w:tcBorders>
                  <w:vAlign w:val="center"/>
                </w:tcPr>
                <w:p w14:paraId="17A9EEB4">
                  <w:pPr>
                    <w:pStyle w:val="8"/>
                  </w:pPr>
                  <w:r>
                    <w:t>1次/年</w:t>
                  </w:r>
                </w:p>
              </w:tc>
              <w:tc>
                <w:tcPr>
                  <w:tcW w:w="2551" w:type="pct"/>
                  <w:tcBorders>
                    <w:top w:val="single" w:color="auto" w:sz="4" w:space="0"/>
                    <w:bottom w:val="single" w:color="auto" w:sz="4" w:space="0"/>
                  </w:tcBorders>
                  <w:vAlign w:val="center"/>
                </w:tcPr>
                <w:p w14:paraId="7FC9E7DC">
                  <w:pPr>
                    <w:pStyle w:val="8"/>
                  </w:pPr>
                  <w:r>
                    <w:rPr>
                      <w:rFonts w:hint="eastAsia"/>
                    </w:rPr>
                    <w:t>《合成树脂工业污染物排放标准（含2024年修改单）》</w:t>
                  </w:r>
                  <w:r>
                    <w:t>（GB31572-2015）表9大气污染物排放限值</w:t>
                  </w:r>
                </w:p>
              </w:tc>
            </w:tr>
            <w:tr w14:paraId="5547548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804" w:hRule="atLeast"/>
                <w:jc w:val="center"/>
              </w:trPr>
              <w:tc>
                <w:tcPr>
                  <w:tcW w:w="715" w:type="pct"/>
                  <w:vMerge w:val="continue"/>
                  <w:vAlign w:val="center"/>
                </w:tcPr>
                <w:p w14:paraId="77C0FE51">
                  <w:pPr>
                    <w:pStyle w:val="8"/>
                  </w:pPr>
                </w:p>
              </w:tc>
              <w:tc>
                <w:tcPr>
                  <w:tcW w:w="1048" w:type="pct"/>
                  <w:tcBorders>
                    <w:top w:val="single" w:color="auto" w:sz="4" w:space="0"/>
                    <w:bottom w:val="single" w:color="auto" w:sz="4" w:space="0"/>
                  </w:tcBorders>
                  <w:vAlign w:val="center"/>
                </w:tcPr>
                <w:p w14:paraId="2502AC2D">
                  <w:pPr>
                    <w:pStyle w:val="8"/>
                  </w:pPr>
                  <w:r>
                    <w:t>臭气浓度</w:t>
                  </w:r>
                </w:p>
              </w:tc>
              <w:tc>
                <w:tcPr>
                  <w:tcW w:w="685" w:type="pct"/>
                  <w:tcBorders>
                    <w:top w:val="single" w:color="auto" w:sz="4" w:space="0"/>
                    <w:bottom w:val="single" w:color="auto" w:sz="4" w:space="0"/>
                  </w:tcBorders>
                  <w:vAlign w:val="center"/>
                </w:tcPr>
                <w:p w14:paraId="12ABB6C4">
                  <w:pPr>
                    <w:pStyle w:val="8"/>
                  </w:pPr>
                  <w:r>
                    <w:t>1次/年</w:t>
                  </w:r>
                </w:p>
              </w:tc>
              <w:tc>
                <w:tcPr>
                  <w:tcW w:w="2551" w:type="pct"/>
                  <w:tcBorders>
                    <w:top w:val="single" w:color="auto" w:sz="4" w:space="0"/>
                    <w:bottom w:val="single" w:color="auto" w:sz="4" w:space="0"/>
                  </w:tcBorders>
                  <w:vAlign w:val="center"/>
                </w:tcPr>
                <w:p w14:paraId="2C3582B7">
                  <w:pPr>
                    <w:pStyle w:val="8"/>
                  </w:pPr>
                  <w:r>
                    <w:t>《恶臭污染物排放标准》（GB14554-1993）</w:t>
                  </w:r>
                  <w:r>
                    <w:rPr>
                      <w:rFonts w:hint="eastAsia"/>
                    </w:rPr>
                    <w:t>表</w:t>
                  </w:r>
                  <w:r>
                    <w:t>1</w:t>
                  </w:r>
                  <w:r>
                    <w:rPr>
                      <w:rFonts w:hint="eastAsia"/>
                    </w:rPr>
                    <w:t>恶臭污染物厂界标准值二级新改扩建排放标准</w:t>
                  </w:r>
                </w:p>
              </w:tc>
            </w:tr>
            <w:tr w14:paraId="4EC6945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739" w:hRule="atLeast"/>
                <w:jc w:val="center"/>
              </w:trPr>
              <w:tc>
                <w:tcPr>
                  <w:tcW w:w="715" w:type="pct"/>
                  <w:vMerge w:val="continue"/>
                  <w:vAlign w:val="center"/>
                </w:tcPr>
                <w:p w14:paraId="73ACE590">
                  <w:pPr>
                    <w:pStyle w:val="8"/>
                  </w:pPr>
                </w:p>
              </w:tc>
              <w:tc>
                <w:tcPr>
                  <w:tcW w:w="1048" w:type="pct"/>
                  <w:tcBorders>
                    <w:top w:val="single" w:color="auto" w:sz="4" w:space="0"/>
                  </w:tcBorders>
                  <w:vAlign w:val="center"/>
                </w:tcPr>
                <w:p w14:paraId="2C8214F3">
                  <w:pPr>
                    <w:pStyle w:val="8"/>
                  </w:pPr>
                  <w:r>
                    <w:rPr>
                      <w:rFonts w:hint="eastAsia"/>
                    </w:rPr>
                    <w:t>颗粒物</w:t>
                  </w:r>
                </w:p>
              </w:tc>
              <w:tc>
                <w:tcPr>
                  <w:tcW w:w="685" w:type="pct"/>
                  <w:tcBorders>
                    <w:top w:val="single" w:color="auto" w:sz="4" w:space="0"/>
                  </w:tcBorders>
                  <w:vAlign w:val="center"/>
                </w:tcPr>
                <w:p w14:paraId="486ADC1E">
                  <w:pPr>
                    <w:pStyle w:val="8"/>
                  </w:pPr>
                  <w:r>
                    <w:t>1次/年</w:t>
                  </w:r>
                </w:p>
              </w:tc>
              <w:tc>
                <w:tcPr>
                  <w:tcW w:w="2551" w:type="pct"/>
                  <w:tcBorders>
                    <w:top w:val="single" w:color="auto" w:sz="4" w:space="0"/>
                  </w:tcBorders>
                  <w:vAlign w:val="center"/>
                </w:tcPr>
                <w:p w14:paraId="237F24E0">
                  <w:pPr>
                    <w:pStyle w:val="8"/>
                  </w:pPr>
                  <w:r>
                    <w:rPr>
                      <w:rFonts w:hint="eastAsia"/>
                    </w:rPr>
                    <w:t>《合成树脂工业污染物排放标准（含2024年修改单）》</w:t>
                  </w:r>
                  <w:r>
                    <w:t>（GB31572-2015）表9大气污染物排放限值</w:t>
                  </w:r>
                </w:p>
              </w:tc>
            </w:tr>
            <w:tr w14:paraId="63EBCE5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3" w:hRule="atLeast"/>
                <w:jc w:val="center"/>
              </w:trPr>
              <w:tc>
                <w:tcPr>
                  <w:tcW w:w="715" w:type="pct"/>
                  <w:vAlign w:val="center"/>
                </w:tcPr>
                <w:p w14:paraId="2750F530">
                  <w:pPr>
                    <w:pStyle w:val="8"/>
                  </w:pPr>
                  <w:r>
                    <w:t>厂区内</w:t>
                  </w:r>
                </w:p>
              </w:tc>
              <w:tc>
                <w:tcPr>
                  <w:tcW w:w="1048" w:type="pct"/>
                  <w:vAlign w:val="center"/>
                </w:tcPr>
                <w:p w14:paraId="22FAEEB3">
                  <w:pPr>
                    <w:pStyle w:val="8"/>
                  </w:pPr>
                  <w:r>
                    <w:t>NMHC</w:t>
                  </w:r>
                </w:p>
              </w:tc>
              <w:tc>
                <w:tcPr>
                  <w:tcW w:w="685" w:type="pct"/>
                  <w:vAlign w:val="center"/>
                </w:tcPr>
                <w:p w14:paraId="413A38DE">
                  <w:pPr>
                    <w:pStyle w:val="8"/>
                  </w:pPr>
                  <w:r>
                    <w:t>1次/年</w:t>
                  </w:r>
                </w:p>
              </w:tc>
              <w:tc>
                <w:tcPr>
                  <w:tcW w:w="2551" w:type="pct"/>
                  <w:vAlign w:val="center"/>
                </w:tcPr>
                <w:p w14:paraId="4D5AFE06">
                  <w:pPr>
                    <w:pStyle w:val="8"/>
                  </w:pPr>
                  <w:r>
                    <w:t>广东省地方标准《固定污染源挥发性有机物综合排放标准》（DB44 2367-2022）表3厂区内VOCs无组织排放限值</w:t>
                  </w:r>
                </w:p>
              </w:tc>
            </w:tr>
          </w:tbl>
          <w:p w14:paraId="782B94C1">
            <w:pPr>
              <w:autoSpaceDE w:val="0"/>
              <w:autoSpaceDN w:val="0"/>
              <w:ind w:firstLine="482"/>
              <w:jc w:val="both"/>
              <w:rPr>
                <w:b/>
                <w:kern w:val="0"/>
                <w:szCs w:val="20"/>
              </w:rPr>
            </w:pPr>
            <w:r>
              <w:rPr>
                <w:rFonts w:hint="eastAsia"/>
                <w:b/>
                <w:kern w:val="0"/>
                <w:szCs w:val="20"/>
              </w:rPr>
              <w:t>8、卫生防护距离</w:t>
            </w:r>
          </w:p>
          <w:p w14:paraId="01B5E863">
            <w:pPr>
              <w:autoSpaceDE w:val="0"/>
              <w:autoSpaceDN w:val="0"/>
              <w:ind w:firstLine="480"/>
              <w:jc w:val="both"/>
              <w:rPr>
                <w:kern w:val="0"/>
                <w:szCs w:val="20"/>
              </w:rPr>
            </w:pPr>
            <w:r>
              <w:rPr>
                <w:rFonts w:hint="eastAsia"/>
                <w:kern w:val="0"/>
                <w:szCs w:val="20"/>
              </w:rPr>
              <w:t>（1）卫生防护距离污染物确定</w:t>
            </w:r>
          </w:p>
          <w:p w14:paraId="4391B874">
            <w:pPr>
              <w:autoSpaceDE w:val="0"/>
              <w:autoSpaceDN w:val="0"/>
              <w:ind w:firstLine="480"/>
              <w:jc w:val="both"/>
              <w:rPr>
                <w:kern w:val="0"/>
                <w:szCs w:val="20"/>
              </w:rPr>
            </w:pPr>
            <w:r>
              <w:rPr>
                <w:rFonts w:hint="eastAsia"/>
                <w:kern w:val="0"/>
                <w:szCs w:val="20"/>
              </w:rPr>
              <w:t>项目生产车间主要特征大气有害物质为颗粒物、非甲烷总烃，根据《大气有害物质无组织排放卫生防护距离推导技术导则》(GB/T39499-2020)规定，当目标企业无组织排放存在多种有毒有害污染物时，基于单个污染物的等标排放量计算结果，优先选择等标排放量最大的污染物为企业无组织排放的主要特征大气有害物质。当前两种污染物的等标排放量相差在10%以内时，需要同时选择这两种特征大气有害物质分别计算卫生防护距离初值。根据《大气有害物质无组织排放卫生防护距离推导技术导则》(GB/T39499-2020)规定，等标排放量公式：Q</w:t>
            </w:r>
            <w:r>
              <w:rPr>
                <w:rFonts w:hint="eastAsia"/>
                <w:kern w:val="0"/>
                <w:szCs w:val="20"/>
                <w:vertAlign w:val="subscript"/>
              </w:rPr>
              <w:t>C</w:t>
            </w:r>
            <w:r>
              <w:rPr>
                <w:rFonts w:hint="eastAsia"/>
                <w:kern w:val="0"/>
                <w:szCs w:val="20"/>
              </w:rPr>
              <w:t>/C</w:t>
            </w:r>
            <w:r>
              <w:rPr>
                <w:rFonts w:hint="eastAsia"/>
                <w:kern w:val="0"/>
                <w:szCs w:val="20"/>
                <w:vertAlign w:val="subscript"/>
              </w:rPr>
              <w:t>m</w:t>
            </w:r>
            <w:r>
              <w:rPr>
                <w:rFonts w:hint="eastAsia"/>
                <w:kern w:val="0"/>
                <w:szCs w:val="20"/>
              </w:rPr>
              <w:t>，污染物的等标排放量计算详见下表。</w:t>
            </w:r>
          </w:p>
          <w:p w14:paraId="10FE2FF7">
            <w:pPr>
              <w:widowControl/>
              <w:kinsoku w:val="0"/>
              <w:autoSpaceDE w:val="0"/>
              <w:autoSpaceDN w:val="0"/>
              <w:spacing w:line="240" w:lineRule="auto"/>
              <w:ind w:firstLine="434"/>
              <w:jc w:val="center"/>
              <w:textAlignment w:val="baseline"/>
              <w:rPr>
                <w:rFonts w:cs="宋体"/>
                <w:b/>
                <w:snapToGrid w:val="0"/>
                <w:color w:val="000000"/>
                <w:kern w:val="0"/>
                <w:sz w:val="21"/>
                <w:szCs w:val="20"/>
              </w:rPr>
            </w:pPr>
            <w:r>
              <w:rPr>
                <w:rFonts w:cs="宋体"/>
                <w:b/>
                <w:bCs/>
                <w:snapToGrid w:val="0"/>
                <w:color w:val="000000"/>
                <w:spacing w:val="3"/>
                <w:kern w:val="0"/>
                <w:sz w:val="21"/>
                <w:szCs w:val="20"/>
              </w:rPr>
              <w:t>表</w:t>
            </w:r>
            <w:r>
              <w:rPr>
                <w:rFonts w:cs="宋体"/>
                <w:b/>
                <w:snapToGrid w:val="0"/>
                <w:color w:val="000000"/>
                <w:spacing w:val="-31"/>
                <w:kern w:val="0"/>
                <w:sz w:val="21"/>
                <w:szCs w:val="20"/>
              </w:rPr>
              <w:t xml:space="preserve"> </w:t>
            </w:r>
            <w:r>
              <w:rPr>
                <w:b/>
                <w:bCs/>
                <w:snapToGrid w:val="0"/>
                <w:color w:val="000000"/>
                <w:spacing w:val="3"/>
                <w:kern w:val="0"/>
                <w:sz w:val="21"/>
                <w:szCs w:val="20"/>
              </w:rPr>
              <w:t>4-</w:t>
            </w:r>
            <w:r>
              <w:rPr>
                <w:rFonts w:hint="eastAsia"/>
                <w:b/>
                <w:bCs/>
                <w:snapToGrid w:val="0"/>
                <w:color w:val="000000"/>
                <w:spacing w:val="3"/>
                <w:kern w:val="0"/>
                <w:sz w:val="21"/>
                <w:szCs w:val="20"/>
              </w:rPr>
              <w:t>7 项目生产</w:t>
            </w:r>
            <w:r>
              <w:rPr>
                <w:rFonts w:cs="宋体"/>
                <w:b/>
                <w:bCs/>
                <w:snapToGrid w:val="0"/>
                <w:color w:val="000000"/>
                <w:spacing w:val="3"/>
                <w:kern w:val="0"/>
                <w:sz w:val="21"/>
                <w:szCs w:val="20"/>
              </w:rPr>
              <w:t>厂房</w:t>
            </w:r>
            <w:r>
              <w:rPr>
                <w:rFonts w:hint="eastAsia" w:cs="宋体"/>
                <w:b/>
                <w:bCs/>
                <w:snapToGrid w:val="0"/>
                <w:color w:val="000000"/>
                <w:spacing w:val="3"/>
                <w:kern w:val="0"/>
                <w:sz w:val="21"/>
                <w:szCs w:val="20"/>
              </w:rPr>
              <w:t>主要特征大气有害物质</w:t>
            </w:r>
            <w:r>
              <w:rPr>
                <w:rFonts w:cs="宋体"/>
                <w:b/>
                <w:bCs/>
                <w:snapToGrid w:val="0"/>
                <w:color w:val="000000"/>
                <w:spacing w:val="3"/>
                <w:kern w:val="0"/>
                <w:sz w:val="21"/>
                <w:szCs w:val="20"/>
              </w:rPr>
              <w:t>一览表</w:t>
            </w:r>
          </w:p>
          <w:tbl>
            <w:tblPr>
              <w:tblStyle w:val="110"/>
              <w:tblW w:w="8497" w:type="dxa"/>
              <w:tblInd w:w="10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457"/>
              <w:gridCol w:w="784"/>
              <w:gridCol w:w="1335"/>
              <w:gridCol w:w="1209"/>
              <w:gridCol w:w="1331"/>
              <w:gridCol w:w="1013"/>
              <w:gridCol w:w="1207"/>
              <w:gridCol w:w="1161"/>
            </w:tblGrid>
            <w:tr w14:paraId="2F949F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0" w:hRule="atLeast"/>
              </w:trPr>
              <w:tc>
                <w:tcPr>
                  <w:tcW w:w="457" w:type="dxa"/>
                  <w:vMerge w:val="restart"/>
                  <w:tcBorders>
                    <w:top w:val="single" w:color="auto" w:sz="4" w:space="0"/>
                    <w:bottom w:val="single" w:color="auto" w:sz="4" w:space="0"/>
                    <w:right w:val="single" w:color="auto" w:sz="4" w:space="0"/>
                  </w:tcBorders>
                  <w:textDirection w:val="tbRlV"/>
                  <w:vAlign w:val="center"/>
                </w:tcPr>
                <w:p w14:paraId="52EA122B">
                  <w:pPr>
                    <w:widowControl/>
                    <w:kinsoku w:val="0"/>
                    <w:autoSpaceDE w:val="0"/>
                    <w:autoSpaceDN w:val="0"/>
                    <w:spacing w:line="240" w:lineRule="auto"/>
                    <w:ind w:firstLine="0" w:firstLineChars="0"/>
                    <w:jc w:val="center"/>
                    <w:textAlignment w:val="baseline"/>
                    <w:rPr>
                      <w:rFonts w:cs="宋体"/>
                      <w:b/>
                      <w:snapToGrid w:val="0"/>
                      <w:color w:val="000000"/>
                      <w:kern w:val="0"/>
                      <w:sz w:val="21"/>
                      <w:szCs w:val="20"/>
                      <w:lang w:eastAsia="en-US"/>
                    </w:rPr>
                  </w:pPr>
                  <w:r>
                    <w:rPr>
                      <w:rFonts w:cs="宋体"/>
                      <w:b/>
                      <w:snapToGrid w:val="0"/>
                      <w:color w:val="000000"/>
                      <w:spacing w:val="7"/>
                      <w:kern w:val="0"/>
                      <w:sz w:val="21"/>
                      <w:szCs w:val="20"/>
                      <w:lang w:eastAsia="en-US"/>
                    </w:rPr>
                    <w:t>序号</w:t>
                  </w:r>
                </w:p>
              </w:tc>
              <w:tc>
                <w:tcPr>
                  <w:tcW w:w="784" w:type="dxa"/>
                  <w:vMerge w:val="restart"/>
                  <w:tcBorders>
                    <w:top w:val="single" w:color="auto" w:sz="4" w:space="0"/>
                    <w:left w:val="single" w:color="auto" w:sz="4" w:space="0"/>
                    <w:bottom w:val="single" w:color="auto" w:sz="4" w:space="0"/>
                    <w:right w:val="single" w:color="auto" w:sz="4" w:space="0"/>
                  </w:tcBorders>
                  <w:vAlign w:val="center"/>
                </w:tcPr>
                <w:p w14:paraId="7EF6E8A1">
                  <w:pPr>
                    <w:widowControl/>
                    <w:kinsoku w:val="0"/>
                    <w:autoSpaceDE w:val="0"/>
                    <w:autoSpaceDN w:val="0"/>
                    <w:spacing w:line="240" w:lineRule="auto"/>
                    <w:ind w:firstLine="0" w:firstLineChars="0"/>
                    <w:jc w:val="center"/>
                    <w:textAlignment w:val="baseline"/>
                    <w:rPr>
                      <w:rFonts w:cs="宋体"/>
                      <w:b/>
                      <w:snapToGrid w:val="0"/>
                      <w:color w:val="000000"/>
                      <w:kern w:val="0"/>
                      <w:sz w:val="21"/>
                      <w:szCs w:val="20"/>
                      <w:lang w:eastAsia="en-US"/>
                    </w:rPr>
                  </w:pPr>
                  <w:r>
                    <w:rPr>
                      <w:rFonts w:cs="宋体"/>
                      <w:b/>
                      <w:snapToGrid w:val="0"/>
                      <w:color w:val="000000"/>
                      <w:spacing w:val="5"/>
                      <w:kern w:val="0"/>
                      <w:sz w:val="21"/>
                      <w:szCs w:val="20"/>
                      <w:lang w:eastAsia="en-US"/>
                    </w:rPr>
                    <w:t>无组织排放源</w:t>
                  </w:r>
                </w:p>
              </w:tc>
              <w:tc>
                <w:tcPr>
                  <w:tcW w:w="1335" w:type="dxa"/>
                  <w:vMerge w:val="restart"/>
                  <w:tcBorders>
                    <w:left w:val="single" w:color="auto" w:sz="4" w:space="0"/>
                    <w:bottom w:val="nil"/>
                  </w:tcBorders>
                  <w:vAlign w:val="center"/>
                </w:tcPr>
                <w:p w14:paraId="0EB76603">
                  <w:pPr>
                    <w:widowControl/>
                    <w:kinsoku w:val="0"/>
                    <w:autoSpaceDE w:val="0"/>
                    <w:autoSpaceDN w:val="0"/>
                    <w:spacing w:line="240" w:lineRule="auto"/>
                    <w:ind w:firstLine="0" w:firstLineChars="0"/>
                    <w:jc w:val="center"/>
                    <w:textAlignment w:val="baseline"/>
                    <w:rPr>
                      <w:rFonts w:cs="宋体"/>
                      <w:b/>
                      <w:snapToGrid w:val="0"/>
                      <w:color w:val="000000"/>
                      <w:kern w:val="0"/>
                      <w:sz w:val="21"/>
                      <w:szCs w:val="20"/>
                      <w:lang w:eastAsia="en-US"/>
                    </w:rPr>
                  </w:pPr>
                  <w:r>
                    <w:rPr>
                      <w:rFonts w:cs="宋体"/>
                      <w:b/>
                      <w:snapToGrid w:val="0"/>
                      <w:color w:val="000000"/>
                      <w:spacing w:val="5"/>
                      <w:kern w:val="0"/>
                      <w:sz w:val="21"/>
                      <w:szCs w:val="20"/>
                      <w:lang w:eastAsia="en-US"/>
                    </w:rPr>
                    <w:t>污染物</w:t>
                  </w:r>
                </w:p>
              </w:tc>
              <w:tc>
                <w:tcPr>
                  <w:tcW w:w="1209" w:type="dxa"/>
                  <w:vMerge w:val="restart"/>
                  <w:tcBorders>
                    <w:bottom w:val="nil"/>
                  </w:tcBorders>
                  <w:vAlign w:val="center"/>
                </w:tcPr>
                <w:p w14:paraId="37756942">
                  <w:pPr>
                    <w:widowControl/>
                    <w:kinsoku w:val="0"/>
                    <w:autoSpaceDE w:val="0"/>
                    <w:autoSpaceDN w:val="0"/>
                    <w:spacing w:line="240" w:lineRule="auto"/>
                    <w:ind w:firstLine="0" w:firstLineChars="0"/>
                    <w:jc w:val="center"/>
                    <w:textAlignment w:val="baseline"/>
                    <w:rPr>
                      <w:b/>
                      <w:snapToGrid w:val="0"/>
                      <w:color w:val="000000"/>
                      <w:kern w:val="0"/>
                      <w:sz w:val="21"/>
                      <w:szCs w:val="20"/>
                      <w:lang w:eastAsia="en-US"/>
                    </w:rPr>
                  </w:pPr>
                  <w:r>
                    <w:rPr>
                      <w:rFonts w:cs="宋体"/>
                      <w:b/>
                      <w:snapToGrid w:val="0"/>
                      <w:color w:val="000000"/>
                      <w:spacing w:val="6"/>
                      <w:kern w:val="0"/>
                      <w:sz w:val="21"/>
                      <w:szCs w:val="20"/>
                      <w:lang w:eastAsia="en-US"/>
                    </w:rPr>
                    <w:t>排放速率</w:t>
                  </w:r>
                  <w:r>
                    <w:rPr>
                      <w:b/>
                      <w:snapToGrid w:val="0"/>
                      <w:color w:val="000000"/>
                      <w:kern w:val="0"/>
                      <w:sz w:val="21"/>
                      <w:lang w:eastAsia="en-US"/>
                    </w:rPr>
                    <w:t>Q</w:t>
                  </w:r>
                  <w:r>
                    <w:rPr>
                      <w:b/>
                      <w:snapToGrid w:val="0"/>
                      <w:color w:val="000000"/>
                      <w:kern w:val="0"/>
                      <w:position w:val="-1"/>
                      <w:sz w:val="21"/>
                      <w:szCs w:val="15"/>
                      <w:vertAlign w:val="subscript"/>
                      <w:lang w:eastAsia="en-US"/>
                    </w:rPr>
                    <w:t>C</w:t>
                  </w:r>
                  <w:r>
                    <w:rPr>
                      <w:b/>
                      <w:snapToGrid w:val="0"/>
                      <w:color w:val="000000"/>
                      <w:spacing w:val="4"/>
                      <w:kern w:val="0"/>
                      <w:sz w:val="21"/>
                      <w:szCs w:val="20"/>
                      <w:lang w:eastAsia="en-US"/>
                    </w:rPr>
                    <w:t>(</w:t>
                  </w:r>
                  <w:r>
                    <w:rPr>
                      <w:b/>
                      <w:snapToGrid w:val="0"/>
                      <w:color w:val="000000"/>
                      <w:kern w:val="0"/>
                      <w:sz w:val="21"/>
                      <w:szCs w:val="20"/>
                      <w:lang w:eastAsia="en-US"/>
                    </w:rPr>
                    <w:t>kg</w:t>
                  </w:r>
                  <w:r>
                    <w:rPr>
                      <w:b/>
                      <w:snapToGrid w:val="0"/>
                      <w:color w:val="000000"/>
                      <w:spacing w:val="4"/>
                      <w:kern w:val="0"/>
                      <w:sz w:val="21"/>
                      <w:szCs w:val="20"/>
                      <w:lang w:eastAsia="en-US"/>
                    </w:rPr>
                    <w:t>/h)</w:t>
                  </w:r>
                </w:p>
              </w:tc>
              <w:tc>
                <w:tcPr>
                  <w:tcW w:w="1331" w:type="dxa"/>
                  <w:vMerge w:val="restart"/>
                  <w:tcBorders>
                    <w:bottom w:val="nil"/>
                  </w:tcBorders>
                  <w:vAlign w:val="center"/>
                </w:tcPr>
                <w:p w14:paraId="0CE4769A">
                  <w:pPr>
                    <w:widowControl/>
                    <w:kinsoku w:val="0"/>
                    <w:autoSpaceDE w:val="0"/>
                    <w:autoSpaceDN w:val="0"/>
                    <w:spacing w:line="240" w:lineRule="auto"/>
                    <w:ind w:firstLine="0" w:firstLineChars="0"/>
                    <w:jc w:val="center"/>
                    <w:textAlignment w:val="baseline"/>
                    <w:rPr>
                      <w:b/>
                      <w:snapToGrid w:val="0"/>
                      <w:color w:val="000000"/>
                      <w:kern w:val="0"/>
                      <w:sz w:val="21"/>
                      <w:szCs w:val="20"/>
                      <w:lang w:eastAsia="en-US"/>
                    </w:rPr>
                  </w:pPr>
                  <w:r>
                    <w:rPr>
                      <w:rFonts w:cs="宋体"/>
                      <w:b/>
                      <w:snapToGrid w:val="0"/>
                      <w:color w:val="000000"/>
                      <w:spacing w:val="7"/>
                      <w:kern w:val="0"/>
                      <w:sz w:val="21"/>
                      <w:szCs w:val="20"/>
                      <w:lang w:eastAsia="en-US"/>
                    </w:rPr>
                    <w:t>标准值</w:t>
                  </w:r>
                  <w:r>
                    <w:rPr>
                      <w:b/>
                      <w:snapToGrid w:val="0"/>
                      <w:color w:val="000000"/>
                      <w:kern w:val="0"/>
                      <w:sz w:val="21"/>
                      <w:szCs w:val="20"/>
                      <w:lang w:eastAsia="en-US"/>
                    </w:rPr>
                    <w:t>C</w:t>
                  </w:r>
                  <w:r>
                    <w:rPr>
                      <w:b/>
                      <w:snapToGrid w:val="0"/>
                      <w:color w:val="000000"/>
                      <w:kern w:val="0"/>
                      <w:position w:val="-1"/>
                      <w:sz w:val="21"/>
                      <w:szCs w:val="13"/>
                      <w:vertAlign w:val="subscript"/>
                      <w:lang w:eastAsia="en-US"/>
                    </w:rPr>
                    <w:t>m</w:t>
                  </w:r>
                  <w:r>
                    <w:rPr>
                      <w:b/>
                      <w:snapToGrid w:val="0"/>
                      <w:color w:val="000000"/>
                      <w:spacing w:val="3"/>
                      <w:kern w:val="0"/>
                      <w:sz w:val="21"/>
                      <w:szCs w:val="20"/>
                      <w:lang w:eastAsia="en-US"/>
                    </w:rPr>
                    <w:t>(</w:t>
                  </w:r>
                  <w:r>
                    <w:rPr>
                      <w:b/>
                      <w:snapToGrid w:val="0"/>
                      <w:color w:val="000000"/>
                      <w:kern w:val="0"/>
                      <w:sz w:val="21"/>
                      <w:szCs w:val="20"/>
                      <w:lang w:eastAsia="en-US"/>
                    </w:rPr>
                    <w:t>mg</w:t>
                  </w:r>
                  <w:r>
                    <w:rPr>
                      <w:b/>
                      <w:snapToGrid w:val="0"/>
                      <w:color w:val="000000"/>
                      <w:spacing w:val="3"/>
                      <w:kern w:val="0"/>
                      <w:sz w:val="21"/>
                      <w:szCs w:val="20"/>
                      <w:lang w:eastAsia="en-US"/>
                    </w:rPr>
                    <w:t>/m</w:t>
                  </w:r>
                  <w:r>
                    <w:rPr>
                      <w:rFonts w:hint="eastAsia"/>
                      <w:b/>
                      <w:snapToGrid w:val="0"/>
                      <w:color w:val="000000"/>
                      <w:spacing w:val="3"/>
                      <w:kern w:val="0"/>
                      <w:sz w:val="21"/>
                      <w:szCs w:val="20"/>
                      <w:vertAlign w:val="superscript"/>
                    </w:rPr>
                    <w:t>3</w:t>
                  </w:r>
                  <w:r>
                    <w:rPr>
                      <w:b/>
                      <w:snapToGrid w:val="0"/>
                      <w:color w:val="000000"/>
                      <w:spacing w:val="3"/>
                      <w:kern w:val="0"/>
                      <w:sz w:val="21"/>
                      <w:szCs w:val="20"/>
                      <w:lang w:eastAsia="en-US"/>
                    </w:rPr>
                    <w:t>)</w:t>
                  </w:r>
                </w:p>
              </w:tc>
              <w:tc>
                <w:tcPr>
                  <w:tcW w:w="1013" w:type="dxa"/>
                  <w:vMerge w:val="restart"/>
                  <w:tcBorders>
                    <w:bottom w:val="nil"/>
                  </w:tcBorders>
                  <w:vAlign w:val="center"/>
                </w:tcPr>
                <w:p w14:paraId="1BDD1361">
                  <w:pPr>
                    <w:widowControl/>
                    <w:kinsoku w:val="0"/>
                    <w:autoSpaceDE w:val="0"/>
                    <w:autoSpaceDN w:val="0"/>
                    <w:spacing w:line="240" w:lineRule="auto"/>
                    <w:ind w:firstLine="0" w:firstLineChars="0"/>
                    <w:jc w:val="center"/>
                    <w:textAlignment w:val="baseline"/>
                    <w:rPr>
                      <w:b/>
                      <w:snapToGrid w:val="0"/>
                      <w:color w:val="000000"/>
                      <w:kern w:val="0"/>
                      <w:sz w:val="21"/>
                      <w:szCs w:val="20"/>
                      <w:lang w:eastAsia="en-US"/>
                    </w:rPr>
                  </w:pPr>
                  <w:r>
                    <w:rPr>
                      <w:rFonts w:cs="宋体"/>
                      <w:b/>
                      <w:snapToGrid w:val="0"/>
                      <w:color w:val="000000"/>
                      <w:spacing w:val="6"/>
                      <w:kern w:val="0"/>
                      <w:sz w:val="21"/>
                      <w:szCs w:val="20"/>
                      <w:lang w:eastAsia="en-US"/>
                    </w:rPr>
                    <w:t>等标排放</w:t>
                  </w:r>
                  <w:r>
                    <w:rPr>
                      <w:rFonts w:cs="宋体"/>
                      <w:b/>
                      <w:snapToGrid w:val="0"/>
                      <w:color w:val="000000"/>
                      <w:spacing w:val="2"/>
                      <w:kern w:val="0"/>
                      <w:sz w:val="21"/>
                      <w:szCs w:val="20"/>
                      <w:lang w:eastAsia="en-US"/>
                    </w:rPr>
                    <w:t>量</w:t>
                  </w:r>
                  <w:r>
                    <w:rPr>
                      <w:b/>
                      <w:snapToGrid w:val="0"/>
                      <w:color w:val="000000"/>
                      <w:spacing w:val="2"/>
                      <w:kern w:val="0"/>
                      <w:sz w:val="21"/>
                      <w:szCs w:val="20"/>
                      <w:lang w:eastAsia="en-US"/>
                    </w:rPr>
                    <w:t>(m</w:t>
                  </w:r>
                  <w:r>
                    <w:rPr>
                      <w:rFonts w:hint="eastAsia"/>
                      <w:b/>
                      <w:snapToGrid w:val="0"/>
                      <w:color w:val="000000"/>
                      <w:spacing w:val="3"/>
                      <w:kern w:val="0"/>
                      <w:sz w:val="21"/>
                      <w:szCs w:val="20"/>
                      <w:vertAlign w:val="superscript"/>
                    </w:rPr>
                    <w:t>3</w:t>
                  </w:r>
                  <w:r>
                    <w:rPr>
                      <w:b/>
                      <w:snapToGrid w:val="0"/>
                      <w:color w:val="000000"/>
                      <w:spacing w:val="2"/>
                      <w:kern w:val="0"/>
                      <w:sz w:val="21"/>
                      <w:szCs w:val="20"/>
                      <w:lang w:eastAsia="en-US"/>
                    </w:rPr>
                    <w:t>/h)</w:t>
                  </w:r>
                </w:p>
              </w:tc>
              <w:tc>
                <w:tcPr>
                  <w:tcW w:w="2368" w:type="dxa"/>
                  <w:gridSpan w:val="2"/>
                  <w:tcBorders>
                    <w:bottom w:val="single" w:color="auto" w:sz="4" w:space="0"/>
                  </w:tcBorders>
                  <w:vAlign w:val="center"/>
                </w:tcPr>
                <w:p w14:paraId="2C2EFF43">
                  <w:pPr>
                    <w:widowControl/>
                    <w:kinsoku w:val="0"/>
                    <w:autoSpaceDE w:val="0"/>
                    <w:autoSpaceDN w:val="0"/>
                    <w:spacing w:line="240" w:lineRule="auto"/>
                    <w:ind w:firstLine="0" w:firstLineChars="0"/>
                    <w:jc w:val="center"/>
                    <w:textAlignment w:val="baseline"/>
                    <w:rPr>
                      <w:rFonts w:cs="宋体"/>
                      <w:b/>
                      <w:snapToGrid w:val="0"/>
                      <w:color w:val="000000"/>
                      <w:kern w:val="0"/>
                      <w:sz w:val="21"/>
                      <w:szCs w:val="20"/>
                      <w:lang w:eastAsia="en-US"/>
                    </w:rPr>
                  </w:pPr>
                  <w:r>
                    <w:rPr>
                      <w:rFonts w:cs="宋体"/>
                      <w:b/>
                      <w:snapToGrid w:val="0"/>
                      <w:color w:val="000000"/>
                      <w:spacing w:val="7"/>
                      <w:kern w:val="0"/>
                      <w:sz w:val="21"/>
                      <w:szCs w:val="20"/>
                      <w:lang w:eastAsia="en-US"/>
                    </w:rPr>
                    <w:t>等标排放量差值</w:t>
                  </w:r>
                </w:p>
              </w:tc>
            </w:tr>
            <w:tr w14:paraId="66641F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2" w:hRule="atLeast"/>
              </w:trPr>
              <w:tc>
                <w:tcPr>
                  <w:tcW w:w="457" w:type="dxa"/>
                  <w:vMerge w:val="continue"/>
                  <w:tcBorders>
                    <w:top w:val="single" w:color="auto" w:sz="4" w:space="0"/>
                    <w:left w:val="single" w:color="auto" w:sz="4" w:space="0"/>
                    <w:bottom w:val="single" w:color="auto" w:sz="4" w:space="0"/>
                    <w:right w:val="single" w:color="auto" w:sz="4" w:space="0"/>
                  </w:tcBorders>
                  <w:textDirection w:val="tbRlV"/>
                  <w:vAlign w:val="center"/>
                </w:tcPr>
                <w:p w14:paraId="5B7540CA">
                  <w:pPr>
                    <w:widowControl/>
                    <w:kinsoku w:val="0"/>
                    <w:autoSpaceDE w:val="0"/>
                    <w:autoSpaceDN w:val="0"/>
                    <w:spacing w:line="240" w:lineRule="auto"/>
                    <w:ind w:firstLine="0" w:firstLineChars="0"/>
                    <w:jc w:val="center"/>
                    <w:textAlignment w:val="baseline"/>
                    <w:rPr>
                      <w:rFonts w:cs="Arial"/>
                      <w:b/>
                      <w:snapToGrid w:val="0"/>
                      <w:color w:val="000000"/>
                      <w:kern w:val="0"/>
                      <w:sz w:val="21"/>
                      <w:szCs w:val="21"/>
                      <w:lang w:eastAsia="en-US"/>
                    </w:rPr>
                  </w:pPr>
                </w:p>
              </w:tc>
              <w:tc>
                <w:tcPr>
                  <w:tcW w:w="784" w:type="dxa"/>
                  <w:vMerge w:val="continue"/>
                  <w:tcBorders>
                    <w:top w:val="single" w:color="auto" w:sz="4" w:space="0"/>
                    <w:left w:val="single" w:color="auto" w:sz="4" w:space="0"/>
                    <w:bottom w:val="single" w:color="auto" w:sz="4" w:space="0"/>
                    <w:right w:val="single" w:color="auto" w:sz="4" w:space="0"/>
                  </w:tcBorders>
                  <w:vAlign w:val="center"/>
                </w:tcPr>
                <w:p w14:paraId="141B863C">
                  <w:pPr>
                    <w:widowControl/>
                    <w:kinsoku w:val="0"/>
                    <w:autoSpaceDE w:val="0"/>
                    <w:autoSpaceDN w:val="0"/>
                    <w:spacing w:line="240" w:lineRule="auto"/>
                    <w:ind w:firstLine="0" w:firstLineChars="0"/>
                    <w:jc w:val="center"/>
                    <w:textAlignment w:val="baseline"/>
                    <w:rPr>
                      <w:rFonts w:cs="Arial"/>
                      <w:b/>
                      <w:snapToGrid w:val="0"/>
                      <w:color w:val="000000"/>
                      <w:kern w:val="0"/>
                      <w:sz w:val="21"/>
                      <w:szCs w:val="21"/>
                      <w:lang w:eastAsia="en-US"/>
                    </w:rPr>
                  </w:pPr>
                </w:p>
              </w:tc>
              <w:tc>
                <w:tcPr>
                  <w:tcW w:w="1335" w:type="dxa"/>
                  <w:vMerge w:val="continue"/>
                  <w:tcBorders>
                    <w:top w:val="nil"/>
                    <w:left w:val="single" w:color="auto" w:sz="4" w:space="0"/>
                    <w:bottom w:val="single" w:color="auto" w:sz="4" w:space="0"/>
                  </w:tcBorders>
                  <w:vAlign w:val="center"/>
                </w:tcPr>
                <w:p w14:paraId="7E43AF5E">
                  <w:pPr>
                    <w:widowControl/>
                    <w:kinsoku w:val="0"/>
                    <w:autoSpaceDE w:val="0"/>
                    <w:autoSpaceDN w:val="0"/>
                    <w:spacing w:line="240" w:lineRule="auto"/>
                    <w:ind w:firstLine="0" w:firstLineChars="0"/>
                    <w:jc w:val="center"/>
                    <w:textAlignment w:val="baseline"/>
                    <w:rPr>
                      <w:rFonts w:cs="Arial"/>
                      <w:b/>
                      <w:snapToGrid w:val="0"/>
                      <w:color w:val="000000"/>
                      <w:kern w:val="0"/>
                      <w:sz w:val="21"/>
                      <w:szCs w:val="21"/>
                      <w:lang w:eastAsia="en-US"/>
                    </w:rPr>
                  </w:pPr>
                </w:p>
              </w:tc>
              <w:tc>
                <w:tcPr>
                  <w:tcW w:w="1209" w:type="dxa"/>
                  <w:vMerge w:val="continue"/>
                  <w:tcBorders>
                    <w:top w:val="nil"/>
                  </w:tcBorders>
                  <w:vAlign w:val="center"/>
                </w:tcPr>
                <w:p w14:paraId="29CE68D1">
                  <w:pPr>
                    <w:widowControl/>
                    <w:kinsoku w:val="0"/>
                    <w:autoSpaceDE w:val="0"/>
                    <w:autoSpaceDN w:val="0"/>
                    <w:spacing w:line="240" w:lineRule="auto"/>
                    <w:ind w:firstLine="0" w:firstLineChars="0"/>
                    <w:jc w:val="center"/>
                    <w:textAlignment w:val="baseline"/>
                    <w:rPr>
                      <w:rFonts w:cs="Arial"/>
                      <w:b/>
                      <w:snapToGrid w:val="0"/>
                      <w:color w:val="000000"/>
                      <w:kern w:val="0"/>
                      <w:sz w:val="21"/>
                      <w:szCs w:val="21"/>
                      <w:lang w:eastAsia="en-US"/>
                    </w:rPr>
                  </w:pPr>
                </w:p>
              </w:tc>
              <w:tc>
                <w:tcPr>
                  <w:tcW w:w="1331" w:type="dxa"/>
                  <w:vMerge w:val="continue"/>
                  <w:tcBorders>
                    <w:top w:val="nil"/>
                  </w:tcBorders>
                  <w:vAlign w:val="center"/>
                </w:tcPr>
                <w:p w14:paraId="462308CE">
                  <w:pPr>
                    <w:widowControl/>
                    <w:kinsoku w:val="0"/>
                    <w:autoSpaceDE w:val="0"/>
                    <w:autoSpaceDN w:val="0"/>
                    <w:spacing w:line="240" w:lineRule="auto"/>
                    <w:ind w:firstLine="0" w:firstLineChars="0"/>
                    <w:jc w:val="center"/>
                    <w:textAlignment w:val="baseline"/>
                    <w:rPr>
                      <w:rFonts w:cs="Arial"/>
                      <w:b/>
                      <w:snapToGrid w:val="0"/>
                      <w:color w:val="000000"/>
                      <w:kern w:val="0"/>
                      <w:sz w:val="21"/>
                      <w:szCs w:val="21"/>
                      <w:lang w:eastAsia="en-US"/>
                    </w:rPr>
                  </w:pPr>
                </w:p>
              </w:tc>
              <w:tc>
                <w:tcPr>
                  <w:tcW w:w="1013" w:type="dxa"/>
                  <w:vMerge w:val="continue"/>
                  <w:tcBorders>
                    <w:top w:val="nil"/>
                    <w:right w:val="single" w:color="auto" w:sz="4" w:space="0"/>
                  </w:tcBorders>
                  <w:vAlign w:val="center"/>
                </w:tcPr>
                <w:p w14:paraId="0105C651">
                  <w:pPr>
                    <w:widowControl/>
                    <w:kinsoku w:val="0"/>
                    <w:autoSpaceDE w:val="0"/>
                    <w:autoSpaceDN w:val="0"/>
                    <w:spacing w:line="240" w:lineRule="auto"/>
                    <w:ind w:firstLine="0" w:firstLineChars="0"/>
                    <w:jc w:val="center"/>
                    <w:textAlignment w:val="baseline"/>
                    <w:rPr>
                      <w:rFonts w:cs="Arial"/>
                      <w:b/>
                      <w:snapToGrid w:val="0"/>
                      <w:color w:val="000000"/>
                      <w:kern w:val="0"/>
                      <w:sz w:val="21"/>
                      <w:szCs w:val="21"/>
                      <w:lang w:eastAsia="en-US"/>
                    </w:rPr>
                  </w:pPr>
                </w:p>
              </w:tc>
              <w:tc>
                <w:tcPr>
                  <w:tcW w:w="1207" w:type="dxa"/>
                  <w:tcBorders>
                    <w:top w:val="single" w:color="auto" w:sz="4" w:space="0"/>
                    <w:left w:val="single" w:color="auto" w:sz="4" w:space="0"/>
                    <w:bottom w:val="single" w:color="auto" w:sz="4" w:space="0"/>
                    <w:right w:val="single" w:color="auto" w:sz="4" w:space="0"/>
                  </w:tcBorders>
                  <w:vAlign w:val="center"/>
                </w:tcPr>
                <w:p w14:paraId="1A90AE11">
                  <w:pPr>
                    <w:widowControl/>
                    <w:kinsoku w:val="0"/>
                    <w:autoSpaceDE w:val="0"/>
                    <w:autoSpaceDN w:val="0"/>
                    <w:spacing w:line="240" w:lineRule="auto"/>
                    <w:ind w:firstLine="0" w:firstLineChars="0"/>
                    <w:jc w:val="center"/>
                    <w:textAlignment w:val="baseline"/>
                    <w:rPr>
                      <w:b/>
                      <w:snapToGrid w:val="0"/>
                      <w:color w:val="000000"/>
                      <w:kern w:val="0"/>
                      <w:sz w:val="21"/>
                      <w:szCs w:val="20"/>
                      <w:lang w:eastAsia="en-US"/>
                    </w:rPr>
                  </w:pPr>
                  <w:r>
                    <w:rPr>
                      <w:rFonts w:cs="宋体"/>
                      <w:b/>
                      <w:snapToGrid w:val="0"/>
                      <w:color w:val="000000"/>
                      <w:spacing w:val="3"/>
                      <w:kern w:val="0"/>
                      <w:sz w:val="21"/>
                      <w:szCs w:val="20"/>
                      <w:lang w:eastAsia="en-US"/>
                    </w:rPr>
                    <w:t>差值</w:t>
                  </w:r>
                  <w:r>
                    <w:rPr>
                      <w:b/>
                      <w:snapToGrid w:val="0"/>
                      <w:color w:val="000000"/>
                      <w:spacing w:val="3"/>
                      <w:kern w:val="0"/>
                      <w:sz w:val="21"/>
                      <w:szCs w:val="20"/>
                      <w:lang w:eastAsia="en-US"/>
                    </w:rPr>
                    <w:t>(m</w:t>
                  </w:r>
                  <w:r>
                    <w:rPr>
                      <w:rFonts w:hint="eastAsia"/>
                      <w:b/>
                      <w:snapToGrid w:val="0"/>
                      <w:color w:val="000000"/>
                      <w:spacing w:val="3"/>
                      <w:kern w:val="0"/>
                      <w:sz w:val="21"/>
                      <w:szCs w:val="20"/>
                      <w:vertAlign w:val="superscript"/>
                    </w:rPr>
                    <w:t>3</w:t>
                  </w:r>
                  <w:r>
                    <w:rPr>
                      <w:b/>
                      <w:snapToGrid w:val="0"/>
                      <w:color w:val="000000"/>
                      <w:spacing w:val="3"/>
                      <w:kern w:val="0"/>
                      <w:sz w:val="21"/>
                      <w:szCs w:val="20"/>
                      <w:lang w:eastAsia="en-US"/>
                    </w:rPr>
                    <w:t>/h)</w:t>
                  </w:r>
                </w:p>
              </w:tc>
              <w:tc>
                <w:tcPr>
                  <w:tcW w:w="1161" w:type="dxa"/>
                  <w:tcBorders>
                    <w:top w:val="single" w:color="auto" w:sz="4" w:space="0"/>
                    <w:left w:val="single" w:color="auto" w:sz="4" w:space="0"/>
                    <w:bottom w:val="single" w:color="auto" w:sz="4" w:space="0"/>
                    <w:right w:val="single" w:color="auto" w:sz="4" w:space="0"/>
                  </w:tcBorders>
                  <w:vAlign w:val="center"/>
                </w:tcPr>
                <w:p w14:paraId="007BE129">
                  <w:pPr>
                    <w:widowControl/>
                    <w:kinsoku w:val="0"/>
                    <w:autoSpaceDE w:val="0"/>
                    <w:autoSpaceDN w:val="0"/>
                    <w:spacing w:line="240" w:lineRule="auto"/>
                    <w:ind w:firstLine="0" w:firstLineChars="0"/>
                    <w:jc w:val="center"/>
                    <w:textAlignment w:val="baseline"/>
                    <w:rPr>
                      <w:b/>
                      <w:snapToGrid w:val="0"/>
                      <w:color w:val="000000"/>
                      <w:kern w:val="0"/>
                      <w:sz w:val="21"/>
                      <w:szCs w:val="20"/>
                      <w:lang w:eastAsia="en-US"/>
                    </w:rPr>
                  </w:pPr>
                  <w:r>
                    <w:rPr>
                      <w:rFonts w:cs="宋体"/>
                      <w:b/>
                      <w:snapToGrid w:val="0"/>
                      <w:color w:val="000000"/>
                      <w:spacing w:val="2"/>
                      <w:kern w:val="0"/>
                      <w:sz w:val="21"/>
                      <w:szCs w:val="20"/>
                      <w:lang w:eastAsia="en-US"/>
                    </w:rPr>
                    <w:t>差值</w:t>
                  </w:r>
                  <w:r>
                    <w:rPr>
                      <w:b/>
                      <w:snapToGrid w:val="0"/>
                      <w:color w:val="000000"/>
                      <w:spacing w:val="2"/>
                      <w:kern w:val="0"/>
                      <w:sz w:val="21"/>
                      <w:szCs w:val="20"/>
                      <w:lang w:eastAsia="en-US"/>
                    </w:rPr>
                    <w:t>(%)</w:t>
                  </w:r>
                </w:p>
              </w:tc>
            </w:tr>
            <w:tr w14:paraId="2E4069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trPr>
              <w:tc>
                <w:tcPr>
                  <w:tcW w:w="457" w:type="dxa"/>
                  <w:vMerge w:val="restart"/>
                  <w:tcBorders>
                    <w:top w:val="single" w:color="auto" w:sz="4" w:space="0"/>
                    <w:left w:val="single" w:color="auto" w:sz="4" w:space="0"/>
                    <w:bottom w:val="single" w:color="auto" w:sz="4" w:space="0"/>
                    <w:right w:val="single" w:color="auto" w:sz="4" w:space="0"/>
                  </w:tcBorders>
                  <w:vAlign w:val="center"/>
                </w:tcPr>
                <w:p w14:paraId="47FCCC0F">
                  <w:pPr>
                    <w:widowControl/>
                    <w:kinsoku w:val="0"/>
                    <w:autoSpaceDE w:val="0"/>
                    <w:autoSpaceDN w:val="0"/>
                    <w:spacing w:line="240" w:lineRule="auto"/>
                    <w:ind w:firstLine="0" w:firstLineChars="0"/>
                    <w:jc w:val="center"/>
                    <w:textAlignment w:val="baseline"/>
                    <w:rPr>
                      <w:snapToGrid w:val="0"/>
                      <w:color w:val="000000"/>
                      <w:kern w:val="0"/>
                      <w:sz w:val="21"/>
                      <w:szCs w:val="20"/>
                      <w:lang w:eastAsia="en-US"/>
                    </w:rPr>
                  </w:pPr>
                  <w:r>
                    <w:rPr>
                      <w:snapToGrid w:val="0"/>
                      <w:color w:val="000000"/>
                      <w:kern w:val="0"/>
                      <w:sz w:val="21"/>
                      <w:szCs w:val="20"/>
                      <w:lang w:eastAsia="en-US"/>
                    </w:rPr>
                    <w:t>1</w:t>
                  </w:r>
                </w:p>
              </w:tc>
              <w:tc>
                <w:tcPr>
                  <w:tcW w:w="784" w:type="dxa"/>
                  <w:vMerge w:val="restart"/>
                  <w:tcBorders>
                    <w:top w:val="single" w:color="auto" w:sz="4" w:space="0"/>
                    <w:left w:val="single" w:color="auto" w:sz="4" w:space="0"/>
                    <w:bottom w:val="single" w:color="auto" w:sz="4" w:space="0"/>
                    <w:right w:val="single" w:color="auto" w:sz="4" w:space="0"/>
                  </w:tcBorders>
                  <w:vAlign w:val="center"/>
                </w:tcPr>
                <w:p w14:paraId="34EAEF12">
                  <w:pPr>
                    <w:widowControl/>
                    <w:kinsoku w:val="0"/>
                    <w:autoSpaceDE w:val="0"/>
                    <w:autoSpaceDN w:val="0"/>
                    <w:spacing w:line="240" w:lineRule="auto"/>
                    <w:ind w:firstLine="0" w:firstLineChars="0"/>
                    <w:jc w:val="center"/>
                    <w:textAlignment w:val="baseline"/>
                    <w:rPr>
                      <w:rFonts w:cs="宋体"/>
                      <w:snapToGrid w:val="0"/>
                      <w:color w:val="000000"/>
                      <w:kern w:val="0"/>
                      <w:sz w:val="21"/>
                      <w:szCs w:val="20"/>
                    </w:rPr>
                  </w:pPr>
                  <w:r>
                    <w:rPr>
                      <w:rFonts w:hint="eastAsia"/>
                      <w:snapToGrid w:val="0"/>
                      <w:color w:val="000000"/>
                      <w:spacing w:val="4"/>
                      <w:kern w:val="0"/>
                      <w:sz w:val="21"/>
                      <w:szCs w:val="20"/>
                    </w:rPr>
                    <w:t>生产</w:t>
                  </w:r>
                  <w:r>
                    <w:rPr>
                      <w:rFonts w:hint="eastAsia" w:cs="宋体"/>
                      <w:snapToGrid w:val="0"/>
                      <w:color w:val="000000"/>
                      <w:spacing w:val="4"/>
                      <w:kern w:val="0"/>
                      <w:sz w:val="21"/>
                      <w:szCs w:val="20"/>
                    </w:rPr>
                    <w:t>车间</w:t>
                  </w:r>
                </w:p>
              </w:tc>
              <w:tc>
                <w:tcPr>
                  <w:tcW w:w="1335" w:type="dxa"/>
                  <w:tcBorders>
                    <w:top w:val="single" w:color="auto" w:sz="4" w:space="0"/>
                    <w:left w:val="single" w:color="auto" w:sz="4" w:space="0"/>
                    <w:bottom w:val="single" w:color="auto" w:sz="4" w:space="0"/>
                    <w:right w:val="single" w:color="auto" w:sz="4" w:space="0"/>
                  </w:tcBorders>
                  <w:vAlign w:val="center"/>
                </w:tcPr>
                <w:p w14:paraId="5BDDD7FF">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7"/>
                      <w:kern w:val="0"/>
                      <w:sz w:val="21"/>
                      <w:szCs w:val="20"/>
                      <w:lang w:eastAsia="en-US"/>
                    </w:rPr>
                    <w:t>非甲烷总烃</w:t>
                  </w:r>
                </w:p>
              </w:tc>
              <w:tc>
                <w:tcPr>
                  <w:tcW w:w="1209" w:type="dxa"/>
                  <w:tcBorders>
                    <w:left w:val="single" w:color="auto" w:sz="4" w:space="0"/>
                  </w:tcBorders>
                  <w:vAlign w:val="center"/>
                </w:tcPr>
                <w:p w14:paraId="2C0AD786">
                  <w:pPr>
                    <w:widowControl/>
                    <w:kinsoku w:val="0"/>
                    <w:autoSpaceDE w:val="0"/>
                    <w:autoSpaceDN w:val="0"/>
                    <w:spacing w:line="240" w:lineRule="auto"/>
                    <w:ind w:firstLine="0" w:firstLineChars="0"/>
                    <w:jc w:val="center"/>
                    <w:textAlignment w:val="baseline"/>
                    <w:rPr>
                      <w:snapToGrid w:val="0"/>
                      <w:color w:val="000000"/>
                      <w:kern w:val="0"/>
                      <w:sz w:val="21"/>
                      <w:szCs w:val="20"/>
                    </w:rPr>
                  </w:pPr>
                  <w:r>
                    <w:rPr>
                      <w:rFonts w:hint="eastAsia"/>
                      <w:snapToGrid w:val="0"/>
                      <w:color w:val="000000"/>
                      <w:kern w:val="0"/>
                      <w:sz w:val="21"/>
                      <w:szCs w:val="20"/>
                    </w:rPr>
                    <w:t>0.888</w:t>
                  </w:r>
                </w:p>
              </w:tc>
              <w:tc>
                <w:tcPr>
                  <w:tcW w:w="1331" w:type="dxa"/>
                  <w:vAlign w:val="center"/>
                </w:tcPr>
                <w:p w14:paraId="107C3633">
                  <w:pPr>
                    <w:widowControl/>
                    <w:kinsoku w:val="0"/>
                    <w:autoSpaceDE w:val="0"/>
                    <w:autoSpaceDN w:val="0"/>
                    <w:spacing w:line="240" w:lineRule="auto"/>
                    <w:ind w:firstLine="0" w:firstLineChars="0"/>
                    <w:jc w:val="center"/>
                    <w:textAlignment w:val="baseline"/>
                    <w:rPr>
                      <w:snapToGrid w:val="0"/>
                      <w:color w:val="000000"/>
                      <w:kern w:val="0"/>
                      <w:sz w:val="21"/>
                      <w:szCs w:val="20"/>
                      <w:lang w:eastAsia="en-US"/>
                    </w:rPr>
                  </w:pPr>
                  <w:r>
                    <w:rPr>
                      <w:snapToGrid w:val="0"/>
                      <w:color w:val="000000"/>
                      <w:kern w:val="0"/>
                      <w:sz w:val="21"/>
                      <w:szCs w:val="20"/>
                      <w:lang w:eastAsia="en-US"/>
                    </w:rPr>
                    <w:t>2</w:t>
                  </w:r>
                </w:p>
              </w:tc>
              <w:tc>
                <w:tcPr>
                  <w:tcW w:w="1013" w:type="dxa"/>
                  <w:tcBorders>
                    <w:right w:val="single" w:color="auto" w:sz="4" w:space="0"/>
                  </w:tcBorders>
                  <w:vAlign w:val="center"/>
                </w:tcPr>
                <w:p w14:paraId="2FE2C8F8">
                  <w:pPr>
                    <w:widowControl/>
                    <w:kinsoku w:val="0"/>
                    <w:autoSpaceDE w:val="0"/>
                    <w:autoSpaceDN w:val="0"/>
                    <w:spacing w:line="240" w:lineRule="auto"/>
                    <w:ind w:firstLine="0" w:firstLineChars="0"/>
                    <w:jc w:val="center"/>
                    <w:textAlignment w:val="baseline"/>
                    <w:rPr>
                      <w:snapToGrid w:val="0"/>
                      <w:color w:val="000000"/>
                      <w:kern w:val="0"/>
                      <w:sz w:val="21"/>
                      <w:szCs w:val="20"/>
                    </w:rPr>
                  </w:pPr>
                  <w:r>
                    <w:rPr>
                      <w:rFonts w:hint="eastAsia"/>
                      <w:snapToGrid w:val="0"/>
                      <w:color w:val="000000"/>
                      <w:kern w:val="0"/>
                      <w:sz w:val="21"/>
                      <w:szCs w:val="20"/>
                    </w:rPr>
                    <w:t>444000</w:t>
                  </w:r>
                </w:p>
              </w:tc>
              <w:tc>
                <w:tcPr>
                  <w:tcW w:w="1207" w:type="dxa"/>
                  <w:vMerge w:val="restart"/>
                  <w:tcBorders>
                    <w:top w:val="single" w:color="auto" w:sz="4" w:space="0"/>
                    <w:left w:val="single" w:color="auto" w:sz="4" w:space="0"/>
                    <w:bottom w:val="single" w:color="auto" w:sz="4" w:space="0"/>
                    <w:right w:val="single" w:color="auto" w:sz="4" w:space="0"/>
                  </w:tcBorders>
                  <w:vAlign w:val="center"/>
                </w:tcPr>
                <w:p w14:paraId="110DD11B">
                  <w:pPr>
                    <w:widowControl/>
                    <w:kinsoku w:val="0"/>
                    <w:autoSpaceDE w:val="0"/>
                    <w:autoSpaceDN w:val="0"/>
                    <w:spacing w:line="240" w:lineRule="auto"/>
                    <w:ind w:firstLine="0" w:firstLineChars="0"/>
                    <w:jc w:val="center"/>
                    <w:textAlignment w:val="baseline"/>
                    <w:rPr>
                      <w:snapToGrid w:val="0"/>
                      <w:color w:val="000000"/>
                      <w:kern w:val="0"/>
                      <w:sz w:val="21"/>
                      <w:szCs w:val="20"/>
                    </w:rPr>
                  </w:pPr>
                  <w:r>
                    <w:rPr>
                      <w:rFonts w:hint="eastAsia"/>
                      <w:snapToGrid w:val="0"/>
                      <w:color w:val="000000"/>
                      <w:kern w:val="0"/>
                      <w:sz w:val="21"/>
                      <w:szCs w:val="20"/>
                    </w:rPr>
                    <w:t>49555.6</w:t>
                  </w:r>
                </w:p>
              </w:tc>
              <w:tc>
                <w:tcPr>
                  <w:tcW w:w="1161" w:type="dxa"/>
                  <w:vMerge w:val="restart"/>
                  <w:tcBorders>
                    <w:top w:val="single" w:color="auto" w:sz="4" w:space="0"/>
                    <w:left w:val="single" w:color="auto" w:sz="4" w:space="0"/>
                    <w:bottom w:val="single" w:color="auto" w:sz="4" w:space="0"/>
                    <w:right w:val="single" w:color="auto" w:sz="4" w:space="0"/>
                  </w:tcBorders>
                  <w:vAlign w:val="center"/>
                </w:tcPr>
                <w:p w14:paraId="73D8577F">
                  <w:pPr>
                    <w:widowControl/>
                    <w:kinsoku w:val="0"/>
                    <w:autoSpaceDE w:val="0"/>
                    <w:autoSpaceDN w:val="0"/>
                    <w:spacing w:line="240" w:lineRule="auto"/>
                    <w:ind w:firstLine="0" w:firstLineChars="0"/>
                    <w:jc w:val="center"/>
                    <w:textAlignment w:val="baseline"/>
                    <w:rPr>
                      <w:snapToGrid w:val="0"/>
                      <w:color w:val="000000"/>
                      <w:kern w:val="0"/>
                      <w:sz w:val="21"/>
                      <w:szCs w:val="20"/>
                      <w:lang w:eastAsia="en-US"/>
                    </w:rPr>
                  </w:pPr>
                  <w:r>
                    <w:rPr>
                      <w:rFonts w:hint="eastAsia"/>
                      <w:snapToGrid w:val="0"/>
                      <w:color w:val="000000"/>
                      <w:kern w:val="0"/>
                      <w:position w:val="2"/>
                      <w:sz w:val="21"/>
                      <w:szCs w:val="20"/>
                    </w:rPr>
                    <w:t>11.2</w:t>
                  </w:r>
                  <w:r>
                    <w:rPr>
                      <w:snapToGrid w:val="0"/>
                      <w:color w:val="000000"/>
                      <w:kern w:val="0"/>
                      <w:position w:val="2"/>
                      <w:sz w:val="21"/>
                      <w:szCs w:val="20"/>
                      <w:lang w:eastAsia="en-US"/>
                    </w:rPr>
                    <w:t>%</w:t>
                  </w:r>
                </w:p>
              </w:tc>
            </w:tr>
            <w:tr w14:paraId="32DCB2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7" w:hRule="atLeast"/>
              </w:trPr>
              <w:tc>
                <w:tcPr>
                  <w:tcW w:w="457" w:type="dxa"/>
                  <w:vMerge w:val="continue"/>
                  <w:tcBorders>
                    <w:top w:val="single" w:color="auto" w:sz="4" w:space="0"/>
                    <w:left w:val="single" w:color="auto" w:sz="4" w:space="0"/>
                    <w:bottom w:val="single" w:color="auto" w:sz="4" w:space="0"/>
                    <w:right w:val="single" w:color="auto" w:sz="4" w:space="0"/>
                  </w:tcBorders>
                  <w:vAlign w:val="center"/>
                </w:tcPr>
                <w:p w14:paraId="177354C6">
                  <w:pPr>
                    <w:widowControl/>
                    <w:kinsoku w:val="0"/>
                    <w:autoSpaceDE w:val="0"/>
                    <w:autoSpaceDN w:val="0"/>
                    <w:spacing w:line="240" w:lineRule="auto"/>
                    <w:ind w:firstLine="0" w:firstLineChars="0"/>
                    <w:jc w:val="center"/>
                    <w:textAlignment w:val="baseline"/>
                    <w:rPr>
                      <w:rFonts w:ascii="Arial" w:hAnsi="Arial" w:eastAsia="Arial" w:cs="Arial"/>
                      <w:snapToGrid w:val="0"/>
                      <w:color w:val="000000"/>
                      <w:kern w:val="0"/>
                      <w:sz w:val="21"/>
                      <w:szCs w:val="21"/>
                      <w:lang w:eastAsia="en-US"/>
                    </w:rPr>
                  </w:pPr>
                </w:p>
              </w:tc>
              <w:tc>
                <w:tcPr>
                  <w:tcW w:w="784" w:type="dxa"/>
                  <w:vMerge w:val="continue"/>
                  <w:tcBorders>
                    <w:top w:val="single" w:color="auto" w:sz="4" w:space="0"/>
                    <w:left w:val="single" w:color="auto" w:sz="4" w:space="0"/>
                    <w:bottom w:val="single" w:color="auto" w:sz="4" w:space="0"/>
                    <w:right w:val="single" w:color="auto" w:sz="4" w:space="0"/>
                  </w:tcBorders>
                  <w:vAlign w:val="center"/>
                </w:tcPr>
                <w:p w14:paraId="6C029767">
                  <w:pPr>
                    <w:widowControl/>
                    <w:kinsoku w:val="0"/>
                    <w:autoSpaceDE w:val="0"/>
                    <w:autoSpaceDN w:val="0"/>
                    <w:spacing w:line="240" w:lineRule="auto"/>
                    <w:ind w:firstLine="0" w:firstLineChars="0"/>
                    <w:jc w:val="center"/>
                    <w:textAlignment w:val="baseline"/>
                    <w:rPr>
                      <w:rFonts w:cs="Arial"/>
                      <w:snapToGrid w:val="0"/>
                      <w:color w:val="000000"/>
                      <w:kern w:val="0"/>
                      <w:sz w:val="21"/>
                      <w:szCs w:val="21"/>
                      <w:lang w:eastAsia="en-US"/>
                    </w:rPr>
                  </w:pPr>
                </w:p>
              </w:tc>
              <w:tc>
                <w:tcPr>
                  <w:tcW w:w="1335" w:type="dxa"/>
                  <w:tcBorders>
                    <w:top w:val="single" w:color="auto" w:sz="4" w:space="0"/>
                    <w:left w:val="single" w:color="auto" w:sz="4" w:space="0"/>
                    <w:bottom w:val="single" w:color="auto" w:sz="4" w:space="0"/>
                    <w:right w:val="single" w:color="auto" w:sz="4" w:space="0"/>
                  </w:tcBorders>
                  <w:vAlign w:val="center"/>
                </w:tcPr>
                <w:p w14:paraId="7F60751F">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7"/>
                      <w:kern w:val="0"/>
                      <w:sz w:val="21"/>
                      <w:szCs w:val="20"/>
                      <w:lang w:eastAsia="en-US"/>
                    </w:rPr>
                    <w:t>颗粒物</w:t>
                  </w:r>
                </w:p>
              </w:tc>
              <w:tc>
                <w:tcPr>
                  <w:tcW w:w="1209" w:type="dxa"/>
                  <w:tcBorders>
                    <w:left w:val="single" w:color="auto" w:sz="4" w:space="0"/>
                  </w:tcBorders>
                  <w:vAlign w:val="center"/>
                </w:tcPr>
                <w:p w14:paraId="39D33E31">
                  <w:pPr>
                    <w:widowControl/>
                    <w:kinsoku w:val="0"/>
                    <w:autoSpaceDE w:val="0"/>
                    <w:autoSpaceDN w:val="0"/>
                    <w:spacing w:line="240" w:lineRule="auto"/>
                    <w:ind w:firstLine="0" w:firstLineChars="0"/>
                    <w:jc w:val="center"/>
                    <w:textAlignment w:val="baseline"/>
                    <w:rPr>
                      <w:snapToGrid w:val="0"/>
                      <w:color w:val="000000"/>
                      <w:kern w:val="0"/>
                      <w:sz w:val="21"/>
                      <w:szCs w:val="20"/>
                    </w:rPr>
                  </w:pPr>
                  <w:r>
                    <w:rPr>
                      <w:rFonts w:hint="eastAsia"/>
                      <w:snapToGrid w:val="0"/>
                      <w:color w:val="000000"/>
                      <w:kern w:val="0"/>
                      <w:sz w:val="21"/>
                      <w:szCs w:val="20"/>
                    </w:rPr>
                    <w:t>0.355</w:t>
                  </w:r>
                </w:p>
              </w:tc>
              <w:tc>
                <w:tcPr>
                  <w:tcW w:w="1331" w:type="dxa"/>
                  <w:vAlign w:val="center"/>
                </w:tcPr>
                <w:p w14:paraId="2E97976F">
                  <w:pPr>
                    <w:widowControl/>
                    <w:kinsoku w:val="0"/>
                    <w:autoSpaceDE w:val="0"/>
                    <w:autoSpaceDN w:val="0"/>
                    <w:spacing w:line="240" w:lineRule="auto"/>
                    <w:ind w:firstLine="0" w:firstLineChars="0"/>
                    <w:jc w:val="center"/>
                    <w:textAlignment w:val="baseline"/>
                    <w:rPr>
                      <w:snapToGrid w:val="0"/>
                      <w:color w:val="000000"/>
                      <w:kern w:val="0"/>
                      <w:sz w:val="21"/>
                      <w:szCs w:val="20"/>
                      <w:lang w:eastAsia="en-US"/>
                    </w:rPr>
                  </w:pPr>
                  <w:r>
                    <w:rPr>
                      <w:snapToGrid w:val="0"/>
                      <w:color w:val="000000"/>
                      <w:spacing w:val="1"/>
                      <w:kern w:val="0"/>
                      <w:sz w:val="21"/>
                      <w:szCs w:val="20"/>
                      <w:lang w:eastAsia="en-US"/>
                    </w:rPr>
                    <w:t>0.9</w:t>
                  </w:r>
                </w:p>
              </w:tc>
              <w:tc>
                <w:tcPr>
                  <w:tcW w:w="1013" w:type="dxa"/>
                  <w:tcBorders>
                    <w:right w:val="single" w:color="auto" w:sz="4" w:space="0"/>
                  </w:tcBorders>
                  <w:vAlign w:val="center"/>
                </w:tcPr>
                <w:p w14:paraId="5883EDF5">
                  <w:pPr>
                    <w:widowControl/>
                    <w:kinsoku w:val="0"/>
                    <w:autoSpaceDE w:val="0"/>
                    <w:autoSpaceDN w:val="0"/>
                    <w:spacing w:line="240" w:lineRule="auto"/>
                    <w:ind w:firstLine="0" w:firstLineChars="0"/>
                    <w:jc w:val="center"/>
                    <w:textAlignment w:val="baseline"/>
                    <w:rPr>
                      <w:snapToGrid w:val="0"/>
                      <w:color w:val="000000"/>
                      <w:kern w:val="0"/>
                      <w:sz w:val="21"/>
                      <w:szCs w:val="20"/>
                    </w:rPr>
                  </w:pPr>
                  <w:r>
                    <w:rPr>
                      <w:rFonts w:hint="eastAsia"/>
                      <w:snapToGrid w:val="0"/>
                      <w:color w:val="000000"/>
                      <w:kern w:val="0"/>
                      <w:sz w:val="21"/>
                      <w:szCs w:val="20"/>
                    </w:rPr>
                    <w:t>394444.4</w:t>
                  </w:r>
                </w:p>
              </w:tc>
              <w:tc>
                <w:tcPr>
                  <w:tcW w:w="1207" w:type="dxa"/>
                  <w:vMerge w:val="continue"/>
                  <w:tcBorders>
                    <w:top w:val="single" w:color="auto" w:sz="4" w:space="0"/>
                    <w:left w:val="single" w:color="auto" w:sz="4" w:space="0"/>
                    <w:bottom w:val="single" w:color="auto" w:sz="4" w:space="0"/>
                    <w:right w:val="single" w:color="auto" w:sz="4" w:space="0"/>
                  </w:tcBorders>
                  <w:vAlign w:val="center"/>
                </w:tcPr>
                <w:p w14:paraId="4D9C2E04">
                  <w:pPr>
                    <w:widowControl/>
                    <w:kinsoku w:val="0"/>
                    <w:autoSpaceDE w:val="0"/>
                    <w:autoSpaceDN w:val="0"/>
                    <w:spacing w:line="240" w:lineRule="auto"/>
                    <w:ind w:firstLine="0" w:firstLineChars="0"/>
                    <w:jc w:val="center"/>
                    <w:textAlignment w:val="baseline"/>
                    <w:rPr>
                      <w:rFonts w:ascii="Arial" w:hAnsi="Arial" w:eastAsia="Arial" w:cs="Arial"/>
                      <w:snapToGrid w:val="0"/>
                      <w:color w:val="000000"/>
                      <w:kern w:val="0"/>
                      <w:sz w:val="21"/>
                      <w:szCs w:val="21"/>
                      <w:lang w:eastAsia="en-US"/>
                    </w:rPr>
                  </w:pPr>
                </w:p>
              </w:tc>
              <w:tc>
                <w:tcPr>
                  <w:tcW w:w="1161" w:type="dxa"/>
                  <w:vMerge w:val="continue"/>
                  <w:tcBorders>
                    <w:top w:val="single" w:color="auto" w:sz="4" w:space="0"/>
                    <w:left w:val="single" w:color="auto" w:sz="4" w:space="0"/>
                    <w:bottom w:val="single" w:color="auto" w:sz="4" w:space="0"/>
                    <w:right w:val="single" w:color="auto" w:sz="4" w:space="0"/>
                  </w:tcBorders>
                  <w:vAlign w:val="center"/>
                </w:tcPr>
                <w:p w14:paraId="6C5303ED">
                  <w:pPr>
                    <w:widowControl/>
                    <w:kinsoku w:val="0"/>
                    <w:autoSpaceDE w:val="0"/>
                    <w:autoSpaceDN w:val="0"/>
                    <w:spacing w:line="240" w:lineRule="auto"/>
                    <w:ind w:firstLine="0" w:firstLineChars="0"/>
                    <w:jc w:val="center"/>
                    <w:textAlignment w:val="baseline"/>
                    <w:rPr>
                      <w:rFonts w:ascii="Arial" w:hAnsi="Arial" w:eastAsia="Arial" w:cs="Arial"/>
                      <w:snapToGrid w:val="0"/>
                      <w:color w:val="000000"/>
                      <w:kern w:val="0"/>
                      <w:sz w:val="21"/>
                      <w:szCs w:val="21"/>
                      <w:lang w:eastAsia="en-US"/>
                    </w:rPr>
                  </w:pPr>
                </w:p>
              </w:tc>
            </w:tr>
            <w:tr w14:paraId="45FE57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5" w:hRule="atLeast"/>
              </w:trPr>
              <w:tc>
                <w:tcPr>
                  <w:tcW w:w="8497" w:type="dxa"/>
                  <w:gridSpan w:val="8"/>
                  <w:tcBorders>
                    <w:top w:val="single" w:color="auto" w:sz="4" w:space="0"/>
                    <w:left w:val="single" w:color="auto" w:sz="4" w:space="0"/>
                    <w:bottom w:val="single" w:color="auto" w:sz="4" w:space="0"/>
                    <w:right w:val="single" w:color="auto" w:sz="4" w:space="0"/>
                  </w:tcBorders>
                  <w:vAlign w:val="center"/>
                </w:tcPr>
                <w:p w14:paraId="09BDEBFB">
                  <w:pPr>
                    <w:widowControl/>
                    <w:kinsoku w:val="0"/>
                    <w:autoSpaceDE w:val="0"/>
                    <w:autoSpaceDN w:val="0"/>
                    <w:spacing w:line="240" w:lineRule="auto"/>
                    <w:ind w:firstLine="0" w:firstLineChars="0"/>
                    <w:jc w:val="center"/>
                    <w:textAlignment w:val="baseline"/>
                    <w:rPr>
                      <w:rFonts w:ascii="Arial" w:hAnsi="Arial" w:eastAsia="Arial" w:cs="Arial"/>
                      <w:snapToGrid w:val="0"/>
                      <w:color w:val="000000"/>
                      <w:kern w:val="0"/>
                      <w:sz w:val="21"/>
                      <w:szCs w:val="21"/>
                    </w:rPr>
                  </w:pPr>
                  <w:r>
                    <w:rPr>
                      <w:rFonts w:hint="eastAsia" w:cs="宋体"/>
                      <w:snapToGrid w:val="0"/>
                      <w:color w:val="000000"/>
                      <w:kern w:val="0"/>
                      <w:sz w:val="21"/>
                      <w:szCs w:val="21"/>
                    </w:rPr>
                    <w:t>注：非甲烷总烃标准值按《大气污染物综合排放标准详解》浓度限值计，颗粒物标准值按《环境空气质量标准》（GB3095-2012）二级标准中日均浓度三倍值计。</w:t>
                  </w:r>
                </w:p>
              </w:tc>
            </w:tr>
          </w:tbl>
          <w:p w14:paraId="6D7905B0">
            <w:pPr>
              <w:autoSpaceDE w:val="0"/>
              <w:autoSpaceDN w:val="0"/>
              <w:ind w:firstLine="480"/>
              <w:jc w:val="both"/>
              <w:rPr>
                <w:kern w:val="0"/>
                <w:szCs w:val="20"/>
              </w:rPr>
            </w:pPr>
            <w:r>
              <w:rPr>
                <w:rFonts w:hint="eastAsia"/>
                <w:kern w:val="0"/>
                <w:szCs w:val="20"/>
              </w:rPr>
              <w:t>根据上表可知，项目生产车间两种污染物的等标排放量相差在10%以上，因此仅选择等标排放量最大的污染物，即非甲烷总烃作为项目生产车间的主要特征大气有害物质，计算其卫生防护距离初值。</w:t>
            </w:r>
          </w:p>
          <w:p w14:paraId="1AC46B68">
            <w:pPr>
              <w:autoSpaceDE w:val="0"/>
              <w:autoSpaceDN w:val="0"/>
              <w:ind w:firstLine="480"/>
              <w:jc w:val="both"/>
              <w:rPr>
                <w:kern w:val="0"/>
                <w:szCs w:val="20"/>
              </w:rPr>
            </w:pPr>
            <w:r>
              <w:rPr>
                <w:rFonts w:hint="eastAsia"/>
                <w:kern w:val="0"/>
                <w:szCs w:val="20"/>
              </w:rPr>
              <w:t>（2）卫生防护距离计算</w:t>
            </w:r>
          </w:p>
          <w:p w14:paraId="60E6B395">
            <w:pPr>
              <w:autoSpaceDE w:val="0"/>
              <w:autoSpaceDN w:val="0"/>
              <w:ind w:firstLine="480"/>
              <w:jc w:val="both"/>
              <w:rPr>
                <w:kern w:val="0"/>
                <w:szCs w:val="20"/>
              </w:rPr>
            </w:pPr>
            <w:r>
              <w:rPr>
                <w:rFonts w:hint="eastAsia"/>
                <w:kern w:val="0"/>
                <w:szCs w:val="20"/>
              </w:rPr>
              <w:t>根据《</w:t>
            </w:r>
            <w:bookmarkStart w:id="266" w:name="OLE_LINK228"/>
            <w:r>
              <w:rPr>
                <w:rFonts w:hint="eastAsia"/>
                <w:kern w:val="0"/>
                <w:szCs w:val="20"/>
              </w:rPr>
              <w:t>大气有害物质无组织排放卫生防护距离推导技术导则</w:t>
            </w:r>
            <w:bookmarkEnd w:id="266"/>
            <w:r>
              <w:rPr>
                <w:rFonts w:hint="eastAsia"/>
                <w:kern w:val="0"/>
                <w:szCs w:val="20"/>
              </w:rPr>
              <w:t>》（GB/T39499-2020），项目卫生防护距离初值计算公式如下：</w:t>
            </w:r>
          </w:p>
          <w:p w14:paraId="2372F182">
            <w:pPr>
              <w:autoSpaceDE w:val="0"/>
              <w:autoSpaceDN w:val="0"/>
              <w:ind w:firstLine="480"/>
              <w:jc w:val="center"/>
              <w:rPr>
                <w:rFonts w:eastAsiaTheme="minorEastAsia"/>
              </w:rPr>
            </w:pPr>
            <w:r>
              <w:rPr>
                <w:rFonts w:eastAsiaTheme="minorEastAsia"/>
              </w:rPr>
              <w:drawing>
                <wp:inline distT="0" distB="0" distL="114300" distR="114300">
                  <wp:extent cx="1828800" cy="457200"/>
                  <wp:effectExtent l="0" t="0" r="0" b="0"/>
                  <wp:docPr id="19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图片 13"/>
                          <pic:cNvPicPr>
                            <a:picLocks noChangeAspect="1"/>
                          </pic:cNvPicPr>
                        </pic:nvPicPr>
                        <pic:blipFill>
                          <a:blip r:embed="rId27"/>
                          <a:stretch>
                            <a:fillRect/>
                          </a:stretch>
                        </pic:blipFill>
                        <pic:spPr>
                          <a:xfrm>
                            <a:off x="0" y="0"/>
                            <a:ext cx="1828800" cy="457200"/>
                          </a:xfrm>
                          <a:prstGeom prst="rect">
                            <a:avLst/>
                          </a:prstGeom>
                          <a:noFill/>
                          <a:ln>
                            <a:noFill/>
                          </a:ln>
                        </pic:spPr>
                      </pic:pic>
                    </a:graphicData>
                  </a:graphic>
                </wp:inline>
              </w:drawing>
            </w:r>
          </w:p>
          <w:p w14:paraId="6FEBCD2A">
            <w:pPr>
              <w:autoSpaceDE w:val="0"/>
              <w:autoSpaceDN w:val="0"/>
              <w:ind w:firstLine="480"/>
              <w:jc w:val="both"/>
              <w:rPr>
                <w:kern w:val="0"/>
                <w:szCs w:val="20"/>
              </w:rPr>
            </w:pPr>
            <w:r>
              <w:rPr>
                <w:rFonts w:hint="eastAsia"/>
                <w:kern w:val="0"/>
                <w:szCs w:val="20"/>
              </w:rPr>
              <w:t>式中：</w:t>
            </w:r>
          </w:p>
          <w:p w14:paraId="64EE63B3">
            <w:pPr>
              <w:autoSpaceDE w:val="0"/>
              <w:autoSpaceDN w:val="0"/>
              <w:ind w:firstLine="480"/>
              <w:jc w:val="both"/>
              <w:rPr>
                <w:kern w:val="0"/>
                <w:szCs w:val="20"/>
              </w:rPr>
            </w:pPr>
            <w:r>
              <w:rPr>
                <w:rFonts w:hint="eastAsia"/>
                <w:kern w:val="0"/>
                <w:szCs w:val="20"/>
              </w:rPr>
              <w:t>Q</w:t>
            </w:r>
            <w:r>
              <w:rPr>
                <w:rFonts w:hint="eastAsia"/>
                <w:kern w:val="0"/>
                <w:szCs w:val="20"/>
                <w:vertAlign w:val="subscript"/>
              </w:rPr>
              <w:t>c</w:t>
            </w:r>
            <w:r>
              <w:rPr>
                <w:rFonts w:hint="eastAsia"/>
                <w:kern w:val="0"/>
                <w:szCs w:val="20"/>
              </w:rPr>
              <w:t>—无组织排放量，kg/h；</w:t>
            </w:r>
          </w:p>
          <w:p w14:paraId="232039FC">
            <w:pPr>
              <w:autoSpaceDE w:val="0"/>
              <w:autoSpaceDN w:val="0"/>
              <w:ind w:firstLine="480"/>
              <w:jc w:val="both"/>
              <w:rPr>
                <w:kern w:val="0"/>
                <w:szCs w:val="20"/>
              </w:rPr>
            </w:pPr>
            <w:r>
              <w:rPr>
                <w:rFonts w:hint="eastAsia"/>
                <w:kern w:val="0"/>
                <w:szCs w:val="20"/>
              </w:rPr>
              <w:t>C</w:t>
            </w:r>
            <w:r>
              <w:rPr>
                <w:rFonts w:hint="eastAsia"/>
                <w:kern w:val="0"/>
                <w:szCs w:val="20"/>
                <w:vertAlign w:val="subscript"/>
              </w:rPr>
              <w:t>m</w:t>
            </w:r>
            <w:r>
              <w:rPr>
                <w:rFonts w:hint="eastAsia"/>
                <w:kern w:val="0"/>
                <w:szCs w:val="20"/>
              </w:rPr>
              <w:t>—环境空气质量的标准限值，mg/m</w:t>
            </w:r>
            <w:r>
              <w:rPr>
                <w:rFonts w:hint="eastAsia"/>
                <w:kern w:val="0"/>
                <w:szCs w:val="20"/>
                <w:vertAlign w:val="superscript"/>
              </w:rPr>
              <w:t>3</w:t>
            </w:r>
            <w:r>
              <w:rPr>
                <w:rFonts w:hint="eastAsia"/>
                <w:kern w:val="0"/>
                <w:szCs w:val="20"/>
              </w:rPr>
              <w:t>；</w:t>
            </w:r>
          </w:p>
          <w:p w14:paraId="6070F11A">
            <w:pPr>
              <w:autoSpaceDE w:val="0"/>
              <w:autoSpaceDN w:val="0"/>
              <w:ind w:firstLine="480"/>
              <w:jc w:val="both"/>
              <w:rPr>
                <w:kern w:val="0"/>
                <w:szCs w:val="20"/>
              </w:rPr>
            </w:pPr>
            <w:r>
              <w:rPr>
                <w:rFonts w:hint="eastAsia"/>
                <w:kern w:val="0"/>
                <w:szCs w:val="20"/>
              </w:rPr>
              <w:t>L—卫生防护距离初值，m；</w:t>
            </w:r>
          </w:p>
          <w:p w14:paraId="6AD978F1">
            <w:pPr>
              <w:autoSpaceDE w:val="0"/>
              <w:autoSpaceDN w:val="0"/>
              <w:ind w:firstLine="480"/>
              <w:jc w:val="both"/>
              <w:rPr>
                <w:kern w:val="0"/>
                <w:szCs w:val="20"/>
              </w:rPr>
            </w:pPr>
            <w:r>
              <w:rPr>
                <w:rFonts w:hint="eastAsia"/>
                <w:kern w:val="0"/>
                <w:szCs w:val="20"/>
              </w:rPr>
              <w:t>r—有害气体无组织排放源所在生产单元的等效半径，m；根据该生产单元占地面积S（m</w:t>
            </w:r>
            <w:r>
              <w:rPr>
                <w:rFonts w:hint="eastAsia"/>
                <w:kern w:val="0"/>
                <w:szCs w:val="20"/>
                <w:vertAlign w:val="superscript"/>
              </w:rPr>
              <w:t>2</w:t>
            </w:r>
            <w:r>
              <w:rPr>
                <w:rFonts w:hint="eastAsia"/>
                <w:kern w:val="0"/>
                <w:szCs w:val="20"/>
              </w:rPr>
              <w:t>）计算，r＝(S/π)</w:t>
            </w:r>
            <w:r>
              <w:rPr>
                <w:rFonts w:hint="eastAsia"/>
                <w:kern w:val="0"/>
                <w:szCs w:val="20"/>
                <w:vertAlign w:val="superscript"/>
              </w:rPr>
              <w:t>0.5</w:t>
            </w:r>
            <w:r>
              <w:rPr>
                <w:rFonts w:hint="eastAsia"/>
                <w:kern w:val="0"/>
                <w:szCs w:val="20"/>
              </w:rPr>
              <w:t>；</w:t>
            </w:r>
          </w:p>
          <w:p w14:paraId="3E14B660">
            <w:pPr>
              <w:autoSpaceDE w:val="0"/>
              <w:autoSpaceDN w:val="0"/>
              <w:ind w:firstLine="480"/>
              <w:jc w:val="both"/>
              <w:rPr>
                <w:kern w:val="0"/>
                <w:szCs w:val="20"/>
              </w:rPr>
            </w:pPr>
            <w:r>
              <w:rPr>
                <w:rFonts w:hint="eastAsia"/>
                <w:kern w:val="0"/>
                <w:szCs w:val="20"/>
              </w:rPr>
              <w:t>A、B、C、D——卫生防护距离初值计算系数，无因次，根据工业企业所在地区近5年平均风速及大气污染源构成类别从下表查取。</w:t>
            </w:r>
          </w:p>
          <w:p w14:paraId="063E287B">
            <w:pPr>
              <w:spacing w:line="240" w:lineRule="auto"/>
              <w:ind w:firstLine="0" w:firstLineChars="0"/>
              <w:jc w:val="center"/>
              <w:rPr>
                <w:b/>
                <w:bCs/>
                <w:sz w:val="21"/>
                <w:szCs w:val="21"/>
              </w:rPr>
            </w:pPr>
            <w:r>
              <w:rPr>
                <w:b/>
                <w:bCs/>
                <w:sz w:val="21"/>
                <w:szCs w:val="21"/>
              </w:rPr>
              <w:t>表</w:t>
            </w:r>
            <w:r>
              <w:rPr>
                <w:rFonts w:hint="eastAsia"/>
                <w:b/>
                <w:bCs/>
                <w:sz w:val="21"/>
                <w:szCs w:val="21"/>
              </w:rPr>
              <w:t xml:space="preserve">4-8 </w:t>
            </w:r>
            <w:bookmarkStart w:id="267" w:name="OLE_LINK226"/>
            <w:r>
              <w:rPr>
                <w:b/>
                <w:bCs/>
                <w:sz w:val="21"/>
                <w:szCs w:val="21"/>
              </w:rPr>
              <w:t>卫生防护距离</w:t>
            </w:r>
            <w:bookmarkEnd w:id="267"/>
            <w:r>
              <w:rPr>
                <w:b/>
                <w:bCs/>
                <w:sz w:val="21"/>
                <w:szCs w:val="21"/>
              </w:rPr>
              <w:t>初值计算系数</w:t>
            </w:r>
          </w:p>
          <w:tbl>
            <w:tblPr>
              <w:tblStyle w:val="34"/>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1402"/>
              <w:gridCol w:w="856"/>
              <w:gridCol w:w="720"/>
              <w:gridCol w:w="778"/>
              <w:gridCol w:w="653"/>
              <w:gridCol w:w="587"/>
              <w:gridCol w:w="665"/>
              <w:gridCol w:w="629"/>
              <w:gridCol w:w="541"/>
              <w:gridCol w:w="563"/>
            </w:tblGrid>
            <w:tr w14:paraId="6E256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pct"/>
                  <w:vMerge w:val="restart"/>
                  <w:noWrap/>
                  <w:vAlign w:val="center"/>
                </w:tcPr>
                <w:p w14:paraId="5FCE75E0">
                  <w:pPr>
                    <w:spacing w:line="240" w:lineRule="auto"/>
                    <w:ind w:firstLine="0" w:firstLineChars="0"/>
                    <w:jc w:val="center"/>
                    <w:rPr>
                      <w:sz w:val="21"/>
                      <w:szCs w:val="21"/>
                    </w:rPr>
                  </w:pPr>
                  <w:bookmarkStart w:id="268" w:name="OLE_LINK258"/>
                  <w:r>
                    <w:rPr>
                      <w:sz w:val="21"/>
                      <w:szCs w:val="21"/>
                    </w:rPr>
                    <w:t>卫生防护</w:t>
                  </w:r>
                  <w:bookmarkEnd w:id="268"/>
                  <w:r>
                    <w:rPr>
                      <w:sz w:val="21"/>
                      <w:szCs w:val="21"/>
                    </w:rPr>
                    <w:t>距离初值计算系数</w:t>
                  </w:r>
                </w:p>
              </w:tc>
              <w:tc>
                <w:tcPr>
                  <w:tcW w:w="822" w:type="pct"/>
                  <w:vMerge w:val="restart"/>
                  <w:noWrap/>
                  <w:vAlign w:val="center"/>
                </w:tcPr>
                <w:p w14:paraId="2CB37D9B">
                  <w:pPr>
                    <w:spacing w:line="240" w:lineRule="auto"/>
                    <w:ind w:firstLine="0" w:firstLineChars="0"/>
                    <w:jc w:val="center"/>
                    <w:rPr>
                      <w:sz w:val="21"/>
                      <w:szCs w:val="21"/>
                    </w:rPr>
                  </w:pPr>
                  <w:r>
                    <w:rPr>
                      <w:sz w:val="21"/>
                      <w:szCs w:val="21"/>
                    </w:rPr>
                    <w:t>工业企业所在地区近5年平均风速/（m/s）</w:t>
                  </w:r>
                </w:p>
              </w:tc>
              <w:tc>
                <w:tcPr>
                  <w:tcW w:w="3511" w:type="pct"/>
                  <w:gridSpan w:val="9"/>
                  <w:noWrap/>
                  <w:vAlign w:val="center"/>
                </w:tcPr>
                <w:p w14:paraId="2BC48865">
                  <w:pPr>
                    <w:spacing w:line="240" w:lineRule="auto"/>
                    <w:ind w:firstLine="0" w:firstLineChars="0"/>
                    <w:jc w:val="center"/>
                    <w:rPr>
                      <w:sz w:val="21"/>
                      <w:szCs w:val="21"/>
                    </w:rPr>
                  </w:pPr>
                  <w:r>
                    <w:rPr>
                      <w:sz w:val="21"/>
                      <w:szCs w:val="21"/>
                    </w:rPr>
                    <w:t>卫生防护距离L/m</w:t>
                  </w:r>
                </w:p>
              </w:tc>
            </w:tr>
            <w:tr w14:paraId="73DD5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pct"/>
                  <w:vMerge w:val="continue"/>
                  <w:noWrap/>
                  <w:vAlign w:val="center"/>
                </w:tcPr>
                <w:p w14:paraId="13B0829B">
                  <w:pPr>
                    <w:spacing w:line="240" w:lineRule="auto"/>
                    <w:ind w:firstLine="0" w:firstLineChars="0"/>
                    <w:jc w:val="center"/>
                    <w:rPr>
                      <w:sz w:val="21"/>
                      <w:szCs w:val="21"/>
                    </w:rPr>
                  </w:pPr>
                </w:p>
              </w:tc>
              <w:tc>
                <w:tcPr>
                  <w:tcW w:w="822" w:type="pct"/>
                  <w:vMerge w:val="continue"/>
                  <w:noWrap/>
                  <w:vAlign w:val="center"/>
                </w:tcPr>
                <w:p w14:paraId="548FE237">
                  <w:pPr>
                    <w:spacing w:line="240" w:lineRule="auto"/>
                    <w:ind w:firstLine="0" w:firstLineChars="0"/>
                    <w:jc w:val="center"/>
                    <w:rPr>
                      <w:sz w:val="21"/>
                      <w:szCs w:val="21"/>
                    </w:rPr>
                  </w:pPr>
                </w:p>
              </w:tc>
              <w:tc>
                <w:tcPr>
                  <w:tcW w:w="1380" w:type="pct"/>
                  <w:gridSpan w:val="3"/>
                  <w:noWrap/>
                  <w:vAlign w:val="center"/>
                </w:tcPr>
                <w:p w14:paraId="5A1724A2">
                  <w:pPr>
                    <w:spacing w:line="240" w:lineRule="auto"/>
                    <w:ind w:firstLine="0" w:firstLineChars="0"/>
                    <w:jc w:val="center"/>
                    <w:rPr>
                      <w:sz w:val="21"/>
                      <w:szCs w:val="21"/>
                    </w:rPr>
                  </w:pPr>
                  <w:r>
                    <w:rPr>
                      <w:sz w:val="21"/>
                      <w:szCs w:val="21"/>
                    </w:rPr>
                    <w:t>L≤1000</w:t>
                  </w:r>
                </w:p>
              </w:tc>
              <w:tc>
                <w:tcPr>
                  <w:tcW w:w="1117" w:type="pct"/>
                  <w:gridSpan w:val="3"/>
                  <w:noWrap/>
                  <w:vAlign w:val="center"/>
                </w:tcPr>
                <w:p w14:paraId="2F7189DB">
                  <w:pPr>
                    <w:spacing w:line="240" w:lineRule="auto"/>
                    <w:ind w:firstLine="0" w:firstLineChars="0"/>
                    <w:jc w:val="center"/>
                    <w:rPr>
                      <w:sz w:val="21"/>
                      <w:szCs w:val="21"/>
                    </w:rPr>
                  </w:pPr>
                  <w:r>
                    <w:rPr>
                      <w:sz w:val="21"/>
                      <w:szCs w:val="21"/>
                    </w:rPr>
                    <w:t>1000＜L≤2000</w:t>
                  </w:r>
                </w:p>
              </w:tc>
              <w:tc>
                <w:tcPr>
                  <w:tcW w:w="1014" w:type="pct"/>
                  <w:gridSpan w:val="3"/>
                  <w:noWrap/>
                  <w:vAlign w:val="center"/>
                </w:tcPr>
                <w:p w14:paraId="0FC343D9">
                  <w:pPr>
                    <w:spacing w:line="240" w:lineRule="auto"/>
                    <w:ind w:firstLine="0" w:firstLineChars="0"/>
                    <w:jc w:val="center"/>
                    <w:rPr>
                      <w:sz w:val="21"/>
                      <w:szCs w:val="21"/>
                    </w:rPr>
                  </w:pPr>
                  <w:r>
                    <w:rPr>
                      <w:sz w:val="21"/>
                      <w:szCs w:val="21"/>
                    </w:rPr>
                    <w:t>L＞2000</w:t>
                  </w:r>
                </w:p>
              </w:tc>
            </w:tr>
            <w:tr w14:paraId="3E5EB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pct"/>
                  <w:vMerge w:val="continue"/>
                  <w:noWrap/>
                  <w:vAlign w:val="center"/>
                </w:tcPr>
                <w:p w14:paraId="1C79850F">
                  <w:pPr>
                    <w:spacing w:line="240" w:lineRule="auto"/>
                    <w:ind w:firstLine="0" w:firstLineChars="0"/>
                    <w:jc w:val="center"/>
                    <w:rPr>
                      <w:sz w:val="21"/>
                      <w:szCs w:val="21"/>
                    </w:rPr>
                  </w:pPr>
                </w:p>
              </w:tc>
              <w:tc>
                <w:tcPr>
                  <w:tcW w:w="822" w:type="pct"/>
                  <w:vMerge w:val="continue"/>
                  <w:noWrap/>
                  <w:vAlign w:val="center"/>
                </w:tcPr>
                <w:p w14:paraId="0895329A">
                  <w:pPr>
                    <w:spacing w:line="240" w:lineRule="auto"/>
                    <w:ind w:firstLine="0" w:firstLineChars="0"/>
                    <w:jc w:val="center"/>
                    <w:rPr>
                      <w:sz w:val="21"/>
                      <w:szCs w:val="21"/>
                    </w:rPr>
                  </w:pPr>
                </w:p>
              </w:tc>
              <w:tc>
                <w:tcPr>
                  <w:tcW w:w="3511" w:type="pct"/>
                  <w:gridSpan w:val="9"/>
                  <w:noWrap/>
                  <w:vAlign w:val="center"/>
                </w:tcPr>
                <w:p w14:paraId="11F31CEC">
                  <w:pPr>
                    <w:spacing w:line="240" w:lineRule="auto"/>
                    <w:ind w:firstLine="0" w:firstLineChars="0"/>
                    <w:jc w:val="center"/>
                    <w:rPr>
                      <w:sz w:val="21"/>
                      <w:szCs w:val="21"/>
                    </w:rPr>
                  </w:pPr>
                  <w:r>
                    <w:rPr>
                      <w:sz w:val="21"/>
                      <w:szCs w:val="21"/>
                    </w:rPr>
                    <w:t>工业企业大气污染源构成类型</w:t>
                  </w:r>
                </w:p>
              </w:tc>
            </w:tr>
            <w:tr w14:paraId="6CE3C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pct"/>
                  <w:vMerge w:val="continue"/>
                  <w:noWrap/>
                  <w:vAlign w:val="center"/>
                </w:tcPr>
                <w:p w14:paraId="4E919726">
                  <w:pPr>
                    <w:spacing w:line="240" w:lineRule="auto"/>
                    <w:ind w:firstLine="0" w:firstLineChars="0"/>
                    <w:jc w:val="center"/>
                    <w:rPr>
                      <w:sz w:val="21"/>
                      <w:szCs w:val="21"/>
                    </w:rPr>
                  </w:pPr>
                </w:p>
              </w:tc>
              <w:tc>
                <w:tcPr>
                  <w:tcW w:w="822" w:type="pct"/>
                  <w:vMerge w:val="continue"/>
                  <w:noWrap/>
                  <w:vAlign w:val="center"/>
                </w:tcPr>
                <w:p w14:paraId="7A1F1524">
                  <w:pPr>
                    <w:spacing w:line="240" w:lineRule="auto"/>
                    <w:ind w:firstLine="0" w:firstLineChars="0"/>
                    <w:jc w:val="center"/>
                    <w:rPr>
                      <w:sz w:val="21"/>
                      <w:szCs w:val="21"/>
                    </w:rPr>
                  </w:pPr>
                </w:p>
              </w:tc>
              <w:tc>
                <w:tcPr>
                  <w:tcW w:w="502" w:type="pct"/>
                  <w:noWrap/>
                  <w:vAlign w:val="center"/>
                </w:tcPr>
                <w:p w14:paraId="0E08368E">
                  <w:pPr>
                    <w:spacing w:line="240" w:lineRule="auto"/>
                    <w:ind w:firstLine="0" w:firstLineChars="0"/>
                    <w:jc w:val="center"/>
                    <w:rPr>
                      <w:sz w:val="21"/>
                      <w:szCs w:val="21"/>
                    </w:rPr>
                  </w:pPr>
                  <w:r>
                    <w:rPr>
                      <w:sz w:val="21"/>
                      <w:szCs w:val="21"/>
                    </w:rPr>
                    <w:t>Ⅰ</w:t>
                  </w:r>
                </w:p>
              </w:tc>
              <w:tc>
                <w:tcPr>
                  <w:tcW w:w="422" w:type="pct"/>
                  <w:noWrap/>
                  <w:vAlign w:val="center"/>
                </w:tcPr>
                <w:p w14:paraId="58C78AFE">
                  <w:pPr>
                    <w:spacing w:line="240" w:lineRule="auto"/>
                    <w:ind w:firstLine="0" w:firstLineChars="0"/>
                    <w:jc w:val="center"/>
                    <w:rPr>
                      <w:sz w:val="21"/>
                      <w:szCs w:val="21"/>
                    </w:rPr>
                  </w:pPr>
                  <w:r>
                    <w:rPr>
                      <w:sz w:val="21"/>
                      <w:szCs w:val="21"/>
                    </w:rPr>
                    <w:t>Ⅱ</w:t>
                  </w:r>
                </w:p>
              </w:tc>
              <w:tc>
                <w:tcPr>
                  <w:tcW w:w="454" w:type="pct"/>
                  <w:noWrap/>
                  <w:vAlign w:val="center"/>
                </w:tcPr>
                <w:p w14:paraId="6EA83AD5">
                  <w:pPr>
                    <w:spacing w:line="240" w:lineRule="auto"/>
                    <w:ind w:firstLine="0" w:firstLineChars="0"/>
                    <w:jc w:val="center"/>
                    <w:rPr>
                      <w:sz w:val="21"/>
                      <w:szCs w:val="21"/>
                    </w:rPr>
                  </w:pPr>
                  <w:r>
                    <w:rPr>
                      <w:sz w:val="21"/>
                      <w:szCs w:val="21"/>
                    </w:rPr>
                    <w:t>Ⅲ</w:t>
                  </w:r>
                </w:p>
              </w:tc>
              <w:tc>
                <w:tcPr>
                  <w:tcW w:w="383" w:type="pct"/>
                  <w:noWrap/>
                  <w:vAlign w:val="center"/>
                </w:tcPr>
                <w:p w14:paraId="2FC7A26A">
                  <w:pPr>
                    <w:spacing w:line="240" w:lineRule="auto"/>
                    <w:ind w:firstLine="0" w:firstLineChars="0"/>
                    <w:jc w:val="center"/>
                    <w:rPr>
                      <w:sz w:val="21"/>
                      <w:szCs w:val="21"/>
                    </w:rPr>
                  </w:pPr>
                  <w:r>
                    <w:rPr>
                      <w:sz w:val="21"/>
                      <w:szCs w:val="21"/>
                    </w:rPr>
                    <w:t>Ⅰ</w:t>
                  </w:r>
                </w:p>
              </w:tc>
              <w:tc>
                <w:tcPr>
                  <w:tcW w:w="344" w:type="pct"/>
                  <w:noWrap/>
                  <w:vAlign w:val="center"/>
                </w:tcPr>
                <w:p w14:paraId="35E5A3A3">
                  <w:pPr>
                    <w:spacing w:line="240" w:lineRule="auto"/>
                    <w:ind w:firstLine="0" w:firstLineChars="0"/>
                    <w:jc w:val="center"/>
                    <w:rPr>
                      <w:sz w:val="21"/>
                      <w:szCs w:val="21"/>
                    </w:rPr>
                  </w:pPr>
                  <w:r>
                    <w:rPr>
                      <w:sz w:val="21"/>
                      <w:szCs w:val="21"/>
                    </w:rPr>
                    <w:t>Ⅱ</w:t>
                  </w:r>
                </w:p>
              </w:tc>
              <w:tc>
                <w:tcPr>
                  <w:tcW w:w="389" w:type="pct"/>
                  <w:noWrap/>
                  <w:vAlign w:val="center"/>
                </w:tcPr>
                <w:p w14:paraId="19AF755B">
                  <w:pPr>
                    <w:spacing w:line="240" w:lineRule="auto"/>
                    <w:ind w:firstLine="0" w:firstLineChars="0"/>
                    <w:jc w:val="center"/>
                    <w:rPr>
                      <w:sz w:val="21"/>
                      <w:szCs w:val="21"/>
                    </w:rPr>
                  </w:pPr>
                  <w:r>
                    <w:rPr>
                      <w:sz w:val="21"/>
                      <w:szCs w:val="21"/>
                    </w:rPr>
                    <w:t>Ⅲ</w:t>
                  </w:r>
                </w:p>
              </w:tc>
              <w:tc>
                <w:tcPr>
                  <w:tcW w:w="369" w:type="pct"/>
                  <w:noWrap/>
                  <w:vAlign w:val="center"/>
                </w:tcPr>
                <w:p w14:paraId="6D775123">
                  <w:pPr>
                    <w:spacing w:line="240" w:lineRule="auto"/>
                    <w:ind w:firstLine="0" w:firstLineChars="0"/>
                    <w:jc w:val="center"/>
                    <w:rPr>
                      <w:sz w:val="21"/>
                      <w:szCs w:val="21"/>
                    </w:rPr>
                  </w:pPr>
                  <w:r>
                    <w:rPr>
                      <w:sz w:val="21"/>
                      <w:szCs w:val="21"/>
                    </w:rPr>
                    <w:t>Ⅰ</w:t>
                  </w:r>
                </w:p>
              </w:tc>
              <w:tc>
                <w:tcPr>
                  <w:tcW w:w="317" w:type="pct"/>
                  <w:noWrap/>
                  <w:vAlign w:val="center"/>
                </w:tcPr>
                <w:p w14:paraId="24758F60">
                  <w:pPr>
                    <w:spacing w:line="240" w:lineRule="auto"/>
                    <w:ind w:firstLine="0" w:firstLineChars="0"/>
                    <w:jc w:val="center"/>
                    <w:rPr>
                      <w:sz w:val="21"/>
                      <w:szCs w:val="21"/>
                    </w:rPr>
                  </w:pPr>
                  <w:r>
                    <w:rPr>
                      <w:sz w:val="21"/>
                      <w:szCs w:val="21"/>
                    </w:rPr>
                    <w:t>Ⅱ</w:t>
                  </w:r>
                </w:p>
              </w:tc>
              <w:tc>
                <w:tcPr>
                  <w:tcW w:w="327" w:type="pct"/>
                  <w:noWrap/>
                  <w:vAlign w:val="center"/>
                </w:tcPr>
                <w:p w14:paraId="0FAA2716">
                  <w:pPr>
                    <w:spacing w:line="240" w:lineRule="auto"/>
                    <w:ind w:firstLine="0" w:firstLineChars="0"/>
                    <w:jc w:val="center"/>
                    <w:rPr>
                      <w:sz w:val="21"/>
                      <w:szCs w:val="21"/>
                    </w:rPr>
                  </w:pPr>
                  <w:r>
                    <w:rPr>
                      <w:sz w:val="21"/>
                      <w:szCs w:val="21"/>
                    </w:rPr>
                    <w:t>Ⅲ</w:t>
                  </w:r>
                </w:p>
              </w:tc>
            </w:tr>
            <w:tr w14:paraId="46516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pct"/>
                  <w:vMerge w:val="restart"/>
                  <w:noWrap/>
                  <w:vAlign w:val="center"/>
                </w:tcPr>
                <w:p w14:paraId="32162398">
                  <w:pPr>
                    <w:spacing w:line="240" w:lineRule="auto"/>
                    <w:ind w:firstLine="0" w:firstLineChars="0"/>
                    <w:jc w:val="center"/>
                    <w:rPr>
                      <w:sz w:val="21"/>
                      <w:szCs w:val="21"/>
                    </w:rPr>
                  </w:pPr>
                  <w:r>
                    <w:rPr>
                      <w:sz w:val="21"/>
                      <w:szCs w:val="21"/>
                    </w:rPr>
                    <w:t>A</w:t>
                  </w:r>
                </w:p>
              </w:tc>
              <w:tc>
                <w:tcPr>
                  <w:tcW w:w="822" w:type="pct"/>
                  <w:noWrap/>
                  <w:vAlign w:val="center"/>
                </w:tcPr>
                <w:p w14:paraId="1A3CEF2D">
                  <w:pPr>
                    <w:spacing w:line="240" w:lineRule="auto"/>
                    <w:ind w:firstLine="0" w:firstLineChars="0"/>
                    <w:jc w:val="center"/>
                    <w:rPr>
                      <w:sz w:val="21"/>
                      <w:szCs w:val="21"/>
                    </w:rPr>
                  </w:pPr>
                  <w:r>
                    <w:rPr>
                      <w:sz w:val="21"/>
                      <w:szCs w:val="21"/>
                    </w:rPr>
                    <w:t>&lt;2</w:t>
                  </w:r>
                </w:p>
              </w:tc>
              <w:tc>
                <w:tcPr>
                  <w:tcW w:w="502" w:type="pct"/>
                  <w:noWrap/>
                  <w:vAlign w:val="center"/>
                </w:tcPr>
                <w:p w14:paraId="4A45CBB9">
                  <w:pPr>
                    <w:spacing w:line="240" w:lineRule="auto"/>
                    <w:ind w:firstLine="0" w:firstLineChars="0"/>
                    <w:jc w:val="center"/>
                    <w:rPr>
                      <w:sz w:val="21"/>
                      <w:szCs w:val="21"/>
                    </w:rPr>
                  </w:pPr>
                  <w:r>
                    <w:rPr>
                      <w:sz w:val="21"/>
                      <w:szCs w:val="21"/>
                    </w:rPr>
                    <w:t>400</w:t>
                  </w:r>
                </w:p>
              </w:tc>
              <w:tc>
                <w:tcPr>
                  <w:tcW w:w="422" w:type="pct"/>
                  <w:noWrap/>
                  <w:vAlign w:val="center"/>
                </w:tcPr>
                <w:p w14:paraId="0685897A">
                  <w:pPr>
                    <w:spacing w:line="240" w:lineRule="auto"/>
                    <w:ind w:firstLine="0" w:firstLineChars="0"/>
                    <w:jc w:val="center"/>
                    <w:rPr>
                      <w:sz w:val="21"/>
                      <w:szCs w:val="21"/>
                    </w:rPr>
                  </w:pPr>
                  <w:r>
                    <w:rPr>
                      <w:sz w:val="21"/>
                      <w:szCs w:val="21"/>
                    </w:rPr>
                    <w:t>400</w:t>
                  </w:r>
                </w:p>
              </w:tc>
              <w:tc>
                <w:tcPr>
                  <w:tcW w:w="454" w:type="pct"/>
                  <w:noWrap/>
                  <w:vAlign w:val="center"/>
                </w:tcPr>
                <w:p w14:paraId="06A3FD0F">
                  <w:pPr>
                    <w:spacing w:line="240" w:lineRule="auto"/>
                    <w:ind w:firstLine="0" w:firstLineChars="0"/>
                    <w:jc w:val="center"/>
                    <w:rPr>
                      <w:sz w:val="21"/>
                      <w:szCs w:val="21"/>
                    </w:rPr>
                  </w:pPr>
                  <w:r>
                    <w:rPr>
                      <w:sz w:val="21"/>
                      <w:szCs w:val="21"/>
                    </w:rPr>
                    <w:t>400</w:t>
                  </w:r>
                </w:p>
              </w:tc>
              <w:tc>
                <w:tcPr>
                  <w:tcW w:w="383" w:type="pct"/>
                  <w:noWrap/>
                  <w:vAlign w:val="center"/>
                </w:tcPr>
                <w:p w14:paraId="7B7A4DA7">
                  <w:pPr>
                    <w:spacing w:line="240" w:lineRule="auto"/>
                    <w:ind w:firstLine="0" w:firstLineChars="0"/>
                    <w:jc w:val="center"/>
                    <w:rPr>
                      <w:sz w:val="21"/>
                      <w:szCs w:val="21"/>
                    </w:rPr>
                  </w:pPr>
                  <w:r>
                    <w:rPr>
                      <w:sz w:val="21"/>
                      <w:szCs w:val="21"/>
                    </w:rPr>
                    <w:t>400</w:t>
                  </w:r>
                </w:p>
              </w:tc>
              <w:tc>
                <w:tcPr>
                  <w:tcW w:w="344" w:type="pct"/>
                  <w:noWrap/>
                  <w:vAlign w:val="center"/>
                </w:tcPr>
                <w:p w14:paraId="531161A7">
                  <w:pPr>
                    <w:spacing w:line="240" w:lineRule="auto"/>
                    <w:ind w:firstLine="0" w:firstLineChars="0"/>
                    <w:jc w:val="center"/>
                    <w:rPr>
                      <w:sz w:val="21"/>
                      <w:szCs w:val="21"/>
                    </w:rPr>
                  </w:pPr>
                  <w:r>
                    <w:rPr>
                      <w:sz w:val="21"/>
                      <w:szCs w:val="21"/>
                    </w:rPr>
                    <w:t>400</w:t>
                  </w:r>
                </w:p>
              </w:tc>
              <w:tc>
                <w:tcPr>
                  <w:tcW w:w="389" w:type="pct"/>
                  <w:noWrap/>
                  <w:vAlign w:val="center"/>
                </w:tcPr>
                <w:p w14:paraId="076EB2BE">
                  <w:pPr>
                    <w:spacing w:line="240" w:lineRule="auto"/>
                    <w:ind w:firstLine="0" w:firstLineChars="0"/>
                    <w:jc w:val="center"/>
                    <w:rPr>
                      <w:sz w:val="21"/>
                      <w:szCs w:val="21"/>
                    </w:rPr>
                  </w:pPr>
                  <w:r>
                    <w:rPr>
                      <w:sz w:val="21"/>
                      <w:szCs w:val="21"/>
                    </w:rPr>
                    <w:t>400</w:t>
                  </w:r>
                </w:p>
              </w:tc>
              <w:tc>
                <w:tcPr>
                  <w:tcW w:w="369" w:type="pct"/>
                  <w:noWrap/>
                  <w:vAlign w:val="center"/>
                </w:tcPr>
                <w:p w14:paraId="74329BCB">
                  <w:pPr>
                    <w:spacing w:line="240" w:lineRule="auto"/>
                    <w:ind w:firstLine="0" w:firstLineChars="0"/>
                    <w:jc w:val="center"/>
                    <w:rPr>
                      <w:sz w:val="21"/>
                      <w:szCs w:val="21"/>
                    </w:rPr>
                  </w:pPr>
                  <w:r>
                    <w:rPr>
                      <w:sz w:val="21"/>
                      <w:szCs w:val="21"/>
                    </w:rPr>
                    <w:t>80</w:t>
                  </w:r>
                </w:p>
              </w:tc>
              <w:tc>
                <w:tcPr>
                  <w:tcW w:w="317" w:type="pct"/>
                  <w:noWrap/>
                  <w:vAlign w:val="center"/>
                </w:tcPr>
                <w:p w14:paraId="54B97A87">
                  <w:pPr>
                    <w:spacing w:line="240" w:lineRule="auto"/>
                    <w:ind w:firstLine="0" w:firstLineChars="0"/>
                    <w:jc w:val="center"/>
                    <w:rPr>
                      <w:sz w:val="21"/>
                      <w:szCs w:val="21"/>
                    </w:rPr>
                  </w:pPr>
                  <w:r>
                    <w:rPr>
                      <w:sz w:val="21"/>
                      <w:szCs w:val="21"/>
                    </w:rPr>
                    <w:t>80</w:t>
                  </w:r>
                </w:p>
              </w:tc>
              <w:tc>
                <w:tcPr>
                  <w:tcW w:w="327" w:type="pct"/>
                  <w:noWrap/>
                  <w:vAlign w:val="center"/>
                </w:tcPr>
                <w:p w14:paraId="63BED895">
                  <w:pPr>
                    <w:spacing w:line="240" w:lineRule="auto"/>
                    <w:ind w:firstLine="0" w:firstLineChars="0"/>
                    <w:jc w:val="center"/>
                    <w:rPr>
                      <w:sz w:val="21"/>
                      <w:szCs w:val="21"/>
                    </w:rPr>
                  </w:pPr>
                  <w:r>
                    <w:rPr>
                      <w:sz w:val="21"/>
                      <w:szCs w:val="21"/>
                    </w:rPr>
                    <w:t>80</w:t>
                  </w:r>
                </w:p>
              </w:tc>
            </w:tr>
            <w:tr w14:paraId="1CAE6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pct"/>
                  <w:vMerge w:val="continue"/>
                  <w:noWrap/>
                  <w:vAlign w:val="center"/>
                </w:tcPr>
                <w:p w14:paraId="273ED808">
                  <w:pPr>
                    <w:spacing w:line="240" w:lineRule="auto"/>
                    <w:ind w:firstLine="0" w:firstLineChars="0"/>
                    <w:jc w:val="center"/>
                    <w:rPr>
                      <w:sz w:val="21"/>
                      <w:szCs w:val="21"/>
                    </w:rPr>
                  </w:pPr>
                </w:p>
              </w:tc>
              <w:tc>
                <w:tcPr>
                  <w:tcW w:w="822" w:type="pct"/>
                  <w:noWrap/>
                  <w:vAlign w:val="center"/>
                </w:tcPr>
                <w:p w14:paraId="675E0C3F">
                  <w:pPr>
                    <w:spacing w:line="240" w:lineRule="auto"/>
                    <w:ind w:firstLine="0" w:firstLineChars="0"/>
                    <w:jc w:val="center"/>
                    <w:rPr>
                      <w:sz w:val="21"/>
                      <w:szCs w:val="21"/>
                    </w:rPr>
                  </w:pPr>
                  <w:r>
                    <w:rPr>
                      <w:sz w:val="21"/>
                      <w:szCs w:val="21"/>
                    </w:rPr>
                    <w:t>2～4</w:t>
                  </w:r>
                </w:p>
              </w:tc>
              <w:tc>
                <w:tcPr>
                  <w:tcW w:w="502" w:type="pct"/>
                  <w:noWrap/>
                  <w:vAlign w:val="center"/>
                </w:tcPr>
                <w:p w14:paraId="4ADCA9E6">
                  <w:pPr>
                    <w:spacing w:line="240" w:lineRule="auto"/>
                    <w:ind w:firstLine="0" w:firstLineChars="0"/>
                    <w:jc w:val="center"/>
                    <w:rPr>
                      <w:sz w:val="21"/>
                      <w:szCs w:val="21"/>
                    </w:rPr>
                  </w:pPr>
                  <w:r>
                    <w:rPr>
                      <w:sz w:val="21"/>
                      <w:szCs w:val="21"/>
                    </w:rPr>
                    <w:t>700</w:t>
                  </w:r>
                </w:p>
              </w:tc>
              <w:tc>
                <w:tcPr>
                  <w:tcW w:w="422" w:type="pct"/>
                  <w:noWrap/>
                  <w:vAlign w:val="center"/>
                </w:tcPr>
                <w:p w14:paraId="091B1717">
                  <w:pPr>
                    <w:spacing w:line="240" w:lineRule="auto"/>
                    <w:ind w:firstLine="0" w:firstLineChars="0"/>
                    <w:jc w:val="center"/>
                    <w:rPr>
                      <w:sz w:val="21"/>
                      <w:szCs w:val="21"/>
                    </w:rPr>
                  </w:pPr>
                  <w:r>
                    <w:rPr>
                      <w:sz w:val="21"/>
                      <w:szCs w:val="21"/>
                    </w:rPr>
                    <w:t>470</w:t>
                  </w:r>
                </w:p>
              </w:tc>
              <w:tc>
                <w:tcPr>
                  <w:tcW w:w="454" w:type="pct"/>
                  <w:noWrap/>
                  <w:vAlign w:val="center"/>
                </w:tcPr>
                <w:p w14:paraId="0E426904">
                  <w:pPr>
                    <w:spacing w:line="240" w:lineRule="auto"/>
                    <w:ind w:firstLine="0" w:firstLineChars="0"/>
                    <w:jc w:val="center"/>
                    <w:rPr>
                      <w:sz w:val="21"/>
                      <w:szCs w:val="21"/>
                    </w:rPr>
                  </w:pPr>
                  <w:r>
                    <w:rPr>
                      <w:sz w:val="21"/>
                      <w:szCs w:val="21"/>
                    </w:rPr>
                    <w:t>350</w:t>
                  </w:r>
                </w:p>
              </w:tc>
              <w:tc>
                <w:tcPr>
                  <w:tcW w:w="383" w:type="pct"/>
                  <w:noWrap/>
                  <w:vAlign w:val="center"/>
                </w:tcPr>
                <w:p w14:paraId="0710D197">
                  <w:pPr>
                    <w:spacing w:line="240" w:lineRule="auto"/>
                    <w:ind w:firstLine="0" w:firstLineChars="0"/>
                    <w:jc w:val="center"/>
                    <w:rPr>
                      <w:sz w:val="21"/>
                      <w:szCs w:val="21"/>
                    </w:rPr>
                  </w:pPr>
                  <w:r>
                    <w:rPr>
                      <w:sz w:val="21"/>
                      <w:szCs w:val="21"/>
                    </w:rPr>
                    <w:t>700</w:t>
                  </w:r>
                </w:p>
              </w:tc>
              <w:tc>
                <w:tcPr>
                  <w:tcW w:w="344" w:type="pct"/>
                  <w:noWrap/>
                  <w:vAlign w:val="center"/>
                </w:tcPr>
                <w:p w14:paraId="094D5A4E">
                  <w:pPr>
                    <w:spacing w:line="240" w:lineRule="auto"/>
                    <w:ind w:firstLine="0" w:firstLineChars="0"/>
                    <w:jc w:val="center"/>
                    <w:rPr>
                      <w:sz w:val="21"/>
                      <w:szCs w:val="21"/>
                    </w:rPr>
                  </w:pPr>
                  <w:r>
                    <w:rPr>
                      <w:sz w:val="21"/>
                      <w:szCs w:val="21"/>
                    </w:rPr>
                    <w:t>470</w:t>
                  </w:r>
                </w:p>
              </w:tc>
              <w:tc>
                <w:tcPr>
                  <w:tcW w:w="389" w:type="pct"/>
                  <w:noWrap/>
                  <w:vAlign w:val="center"/>
                </w:tcPr>
                <w:p w14:paraId="2042B249">
                  <w:pPr>
                    <w:spacing w:line="240" w:lineRule="auto"/>
                    <w:ind w:firstLine="0" w:firstLineChars="0"/>
                    <w:jc w:val="center"/>
                    <w:rPr>
                      <w:sz w:val="21"/>
                      <w:szCs w:val="21"/>
                    </w:rPr>
                  </w:pPr>
                  <w:r>
                    <w:rPr>
                      <w:sz w:val="21"/>
                      <w:szCs w:val="21"/>
                    </w:rPr>
                    <w:t>350</w:t>
                  </w:r>
                </w:p>
              </w:tc>
              <w:tc>
                <w:tcPr>
                  <w:tcW w:w="369" w:type="pct"/>
                  <w:noWrap/>
                  <w:vAlign w:val="center"/>
                </w:tcPr>
                <w:p w14:paraId="1DD2FC56">
                  <w:pPr>
                    <w:spacing w:line="240" w:lineRule="auto"/>
                    <w:ind w:firstLine="0" w:firstLineChars="0"/>
                    <w:jc w:val="center"/>
                    <w:rPr>
                      <w:sz w:val="21"/>
                      <w:szCs w:val="21"/>
                    </w:rPr>
                  </w:pPr>
                  <w:r>
                    <w:rPr>
                      <w:sz w:val="21"/>
                      <w:szCs w:val="21"/>
                    </w:rPr>
                    <w:t>380</w:t>
                  </w:r>
                </w:p>
              </w:tc>
              <w:tc>
                <w:tcPr>
                  <w:tcW w:w="317" w:type="pct"/>
                  <w:noWrap/>
                  <w:vAlign w:val="center"/>
                </w:tcPr>
                <w:p w14:paraId="1D4FDBF8">
                  <w:pPr>
                    <w:spacing w:line="240" w:lineRule="auto"/>
                    <w:ind w:firstLine="0" w:firstLineChars="0"/>
                    <w:jc w:val="center"/>
                    <w:rPr>
                      <w:sz w:val="21"/>
                      <w:szCs w:val="21"/>
                    </w:rPr>
                  </w:pPr>
                  <w:r>
                    <w:rPr>
                      <w:sz w:val="21"/>
                      <w:szCs w:val="21"/>
                    </w:rPr>
                    <w:t>250</w:t>
                  </w:r>
                </w:p>
              </w:tc>
              <w:tc>
                <w:tcPr>
                  <w:tcW w:w="327" w:type="pct"/>
                  <w:noWrap/>
                  <w:vAlign w:val="center"/>
                </w:tcPr>
                <w:p w14:paraId="0297C2C9">
                  <w:pPr>
                    <w:spacing w:line="240" w:lineRule="auto"/>
                    <w:ind w:firstLine="0" w:firstLineChars="0"/>
                    <w:jc w:val="center"/>
                    <w:rPr>
                      <w:sz w:val="21"/>
                      <w:szCs w:val="21"/>
                    </w:rPr>
                  </w:pPr>
                  <w:r>
                    <w:rPr>
                      <w:sz w:val="21"/>
                      <w:szCs w:val="21"/>
                    </w:rPr>
                    <w:t>190</w:t>
                  </w:r>
                </w:p>
              </w:tc>
            </w:tr>
            <w:tr w14:paraId="02F3BD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pct"/>
                  <w:vMerge w:val="continue"/>
                  <w:noWrap/>
                  <w:vAlign w:val="center"/>
                </w:tcPr>
                <w:p w14:paraId="0EFBE21A">
                  <w:pPr>
                    <w:spacing w:line="240" w:lineRule="auto"/>
                    <w:ind w:firstLine="0" w:firstLineChars="0"/>
                    <w:jc w:val="center"/>
                    <w:rPr>
                      <w:sz w:val="21"/>
                      <w:szCs w:val="21"/>
                    </w:rPr>
                  </w:pPr>
                </w:p>
              </w:tc>
              <w:tc>
                <w:tcPr>
                  <w:tcW w:w="822" w:type="pct"/>
                  <w:noWrap/>
                  <w:vAlign w:val="center"/>
                </w:tcPr>
                <w:p w14:paraId="26C53A38">
                  <w:pPr>
                    <w:spacing w:line="240" w:lineRule="auto"/>
                    <w:ind w:firstLine="0" w:firstLineChars="0"/>
                    <w:jc w:val="center"/>
                    <w:rPr>
                      <w:sz w:val="21"/>
                      <w:szCs w:val="21"/>
                    </w:rPr>
                  </w:pPr>
                  <w:r>
                    <w:rPr>
                      <w:sz w:val="21"/>
                      <w:szCs w:val="21"/>
                    </w:rPr>
                    <w:t>&gt;4</w:t>
                  </w:r>
                </w:p>
              </w:tc>
              <w:tc>
                <w:tcPr>
                  <w:tcW w:w="502" w:type="pct"/>
                  <w:noWrap/>
                  <w:vAlign w:val="center"/>
                </w:tcPr>
                <w:p w14:paraId="6F4C105A">
                  <w:pPr>
                    <w:spacing w:line="240" w:lineRule="auto"/>
                    <w:ind w:firstLine="0" w:firstLineChars="0"/>
                    <w:jc w:val="center"/>
                    <w:rPr>
                      <w:sz w:val="21"/>
                      <w:szCs w:val="21"/>
                    </w:rPr>
                  </w:pPr>
                  <w:r>
                    <w:rPr>
                      <w:sz w:val="21"/>
                      <w:szCs w:val="21"/>
                    </w:rPr>
                    <w:t>530</w:t>
                  </w:r>
                </w:p>
              </w:tc>
              <w:tc>
                <w:tcPr>
                  <w:tcW w:w="422" w:type="pct"/>
                  <w:noWrap/>
                  <w:vAlign w:val="center"/>
                </w:tcPr>
                <w:p w14:paraId="7DC9DFB1">
                  <w:pPr>
                    <w:spacing w:line="240" w:lineRule="auto"/>
                    <w:ind w:firstLine="0" w:firstLineChars="0"/>
                    <w:jc w:val="center"/>
                    <w:rPr>
                      <w:sz w:val="21"/>
                      <w:szCs w:val="21"/>
                    </w:rPr>
                  </w:pPr>
                  <w:r>
                    <w:rPr>
                      <w:sz w:val="21"/>
                      <w:szCs w:val="21"/>
                    </w:rPr>
                    <w:t>350</w:t>
                  </w:r>
                </w:p>
              </w:tc>
              <w:tc>
                <w:tcPr>
                  <w:tcW w:w="454" w:type="pct"/>
                  <w:noWrap/>
                  <w:vAlign w:val="center"/>
                </w:tcPr>
                <w:p w14:paraId="39C5C236">
                  <w:pPr>
                    <w:spacing w:line="240" w:lineRule="auto"/>
                    <w:ind w:firstLine="0" w:firstLineChars="0"/>
                    <w:jc w:val="center"/>
                    <w:rPr>
                      <w:sz w:val="21"/>
                      <w:szCs w:val="21"/>
                    </w:rPr>
                  </w:pPr>
                  <w:r>
                    <w:rPr>
                      <w:sz w:val="21"/>
                      <w:szCs w:val="21"/>
                    </w:rPr>
                    <w:t>260</w:t>
                  </w:r>
                </w:p>
              </w:tc>
              <w:tc>
                <w:tcPr>
                  <w:tcW w:w="383" w:type="pct"/>
                  <w:noWrap/>
                  <w:vAlign w:val="center"/>
                </w:tcPr>
                <w:p w14:paraId="787C2BDD">
                  <w:pPr>
                    <w:spacing w:line="240" w:lineRule="auto"/>
                    <w:ind w:firstLine="0" w:firstLineChars="0"/>
                    <w:jc w:val="center"/>
                    <w:rPr>
                      <w:sz w:val="21"/>
                      <w:szCs w:val="21"/>
                    </w:rPr>
                  </w:pPr>
                  <w:r>
                    <w:rPr>
                      <w:sz w:val="21"/>
                      <w:szCs w:val="21"/>
                    </w:rPr>
                    <w:t>530</w:t>
                  </w:r>
                </w:p>
              </w:tc>
              <w:tc>
                <w:tcPr>
                  <w:tcW w:w="344" w:type="pct"/>
                  <w:noWrap/>
                  <w:vAlign w:val="center"/>
                </w:tcPr>
                <w:p w14:paraId="4B7D5C66">
                  <w:pPr>
                    <w:spacing w:line="240" w:lineRule="auto"/>
                    <w:ind w:firstLine="0" w:firstLineChars="0"/>
                    <w:jc w:val="center"/>
                    <w:rPr>
                      <w:sz w:val="21"/>
                      <w:szCs w:val="21"/>
                    </w:rPr>
                  </w:pPr>
                  <w:r>
                    <w:rPr>
                      <w:sz w:val="21"/>
                      <w:szCs w:val="21"/>
                    </w:rPr>
                    <w:t>350</w:t>
                  </w:r>
                </w:p>
              </w:tc>
              <w:tc>
                <w:tcPr>
                  <w:tcW w:w="389" w:type="pct"/>
                  <w:noWrap/>
                  <w:vAlign w:val="center"/>
                </w:tcPr>
                <w:p w14:paraId="6BF2A157">
                  <w:pPr>
                    <w:spacing w:line="240" w:lineRule="auto"/>
                    <w:ind w:firstLine="0" w:firstLineChars="0"/>
                    <w:jc w:val="center"/>
                    <w:rPr>
                      <w:sz w:val="21"/>
                      <w:szCs w:val="21"/>
                    </w:rPr>
                  </w:pPr>
                  <w:r>
                    <w:rPr>
                      <w:sz w:val="21"/>
                      <w:szCs w:val="21"/>
                    </w:rPr>
                    <w:t>260</w:t>
                  </w:r>
                </w:p>
              </w:tc>
              <w:tc>
                <w:tcPr>
                  <w:tcW w:w="369" w:type="pct"/>
                  <w:noWrap/>
                  <w:vAlign w:val="center"/>
                </w:tcPr>
                <w:p w14:paraId="71007F9E">
                  <w:pPr>
                    <w:spacing w:line="240" w:lineRule="auto"/>
                    <w:ind w:firstLine="0" w:firstLineChars="0"/>
                    <w:jc w:val="center"/>
                    <w:rPr>
                      <w:sz w:val="21"/>
                      <w:szCs w:val="21"/>
                    </w:rPr>
                  </w:pPr>
                  <w:r>
                    <w:rPr>
                      <w:sz w:val="21"/>
                      <w:szCs w:val="21"/>
                    </w:rPr>
                    <w:t>290</w:t>
                  </w:r>
                </w:p>
              </w:tc>
              <w:tc>
                <w:tcPr>
                  <w:tcW w:w="317" w:type="pct"/>
                  <w:noWrap/>
                  <w:vAlign w:val="center"/>
                </w:tcPr>
                <w:p w14:paraId="3B894A09">
                  <w:pPr>
                    <w:spacing w:line="240" w:lineRule="auto"/>
                    <w:ind w:firstLine="0" w:firstLineChars="0"/>
                    <w:jc w:val="center"/>
                    <w:rPr>
                      <w:sz w:val="21"/>
                      <w:szCs w:val="21"/>
                    </w:rPr>
                  </w:pPr>
                  <w:r>
                    <w:rPr>
                      <w:sz w:val="21"/>
                      <w:szCs w:val="21"/>
                    </w:rPr>
                    <w:t>190</w:t>
                  </w:r>
                </w:p>
              </w:tc>
              <w:tc>
                <w:tcPr>
                  <w:tcW w:w="327" w:type="pct"/>
                  <w:noWrap/>
                  <w:vAlign w:val="center"/>
                </w:tcPr>
                <w:p w14:paraId="2A1DDC16">
                  <w:pPr>
                    <w:spacing w:line="240" w:lineRule="auto"/>
                    <w:ind w:firstLine="0" w:firstLineChars="0"/>
                    <w:jc w:val="center"/>
                    <w:rPr>
                      <w:sz w:val="21"/>
                      <w:szCs w:val="21"/>
                    </w:rPr>
                  </w:pPr>
                  <w:r>
                    <w:rPr>
                      <w:sz w:val="21"/>
                      <w:szCs w:val="21"/>
                    </w:rPr>
                    <w:t>140</w:t>
                  </w:r>
                </w:p>
              </w:tc>
            </w:tr>
            <w:tr w14:paraId="7BF321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pct"/>
                  <w:vMerge w:val="restart"/>
                  <w:noWrap/>
                  <w:vAlign w:val="center"/>
                </w:tcPr>
                <w:p w14:paraId="1DC41AC3">
                  <w:pPr>
                    <w:spacing w:line="240" w:lineRule="auto"/>
                    <w:ind w:firstLine="0" w:firstLineChars="0"/>
                    <w:jc w:val="center"/>
                    <w:rPr>
                      <w:sz w:val="21"/>
                      <w:szCs w:val="21"/>
                    </w:rPr>
                  </w:pPr>
                  <w:r>
                    <w:rPr>
                      <w:sz w:val="21"/>
                      <w:szCs w:val="21"/>
                    </w:rPr>
                    <w:t>B</w:t>
                  </w:r>
                </w:p>
              </w:tc>
              <w:tc>
                <w:tcPr>
                  <w:tcW w:w="822" w:type="pct"/>
                  <w:noWrap/>
                  <w:vAlign w:val="center"/>
                </w:tcPr>
                <w:p w14:paraId="63B7205E">
                  <w:pPr>
                    <w:spacing w:line="240" w:lineRule="auto"/>
                    <w:ind w:firstLine="0" w:firstLineChars="0"/>
                    <w:jc w:val="center"/>
                    <w:rPr>
                      <w:sz w:val="21"/>
                      <w:szCs w:val="21"/>
                    </w:rPr>
                  </w:pPr>
                  <w:r>
                    <w:rPr>
                      <w:sz w:val="21"/>
                      <w:szCs w:val="21"/>
                    </w:rPr>
                    <w:t>&lt;2</w:t>
                  </w:r>
                </w:p>
              </w:tc>
              <w:tc>
                <w:tcPr>
                  <w:tcW w:w="1380" w:type="pct"/>
                  <w:gridSpan w:val="3"/>
                  <w:noWrap/>
                  <w:vAlign w:val="center"/>
                </w:tcPr>
                <w:p w14:paraId="0CBF9F0F">
                  <w:pPr>
                    <w:spacing w:line="240" w:lineRule="auto"/>
                    <w:ind w:firstLine="0" w:firstLineChars="0"/>
                    <w:jc w:val="center"/>
                    <w:rPr>
                      <w:sz w:val="21"/>
                      <w:szCs w:val="21"/>
                    </w:rPr>
                  </w:pPr>
                  <w:r>
                    <w:rPr>
                      <w:sz w:val="21"/>
                      <w:szCs w:val="21"/>
                    </w:rPr>
                    <w:t>0.01</w:t>
                  </w:r>
                </w:p>
              </w:tc>
              <w:tc>
                <w:tcPr>
                  <w:tcW w:w="1117" w:type="pct"/>
                  <w:gridSpan w:val="3"/>
                  <w:noWrap/>
                  <w:vAlign w:val="center"/>
                </w:tcPr>
                <w:p w14:paraId="1E1224F9">
                  <w:pPr>
                    <w:spacing w:line="240" w:lineRule="auto"/>
                    <w:ind w:firstLine="0" w:firstLineChars="0"/>
                    <w:jc w:val="center"/>
                    <w:rPr>
                      <w:sz w:val="21"/>
                      <w:szCs w:val="21"/>
                    </w:rPr>
                  </w:pPr>
                  <w:r>
                    <w:rPr>
                      <w:sz w:val="21"/>
                      <w:szCs w:val="21"/>
                    </w:rPr>
                    <w:t>0.015</w:t>
                  </w:r>
                </w:p>
              </w:tc>
              <w:tc>
                <w:tcPr>
                  <w:tcW w:w="1014" w:type="pct"/>
                  <w:gridSpan w:val="3"/>
                  <w:noWrap/>
                  <w:vAlign w:val="center"/>
                </w:tcPr>
                <w:p w14:paraId="35BE7CE2">
                  <w:pPr>
                    <w:spacing w:line="240" w:lineRule="auto"/>
                    <w:ind w:firstLine="0" w:firstLineChars="0"/>
                    <w:jc w:val="center"/>
                    <w:rPr>
                      <w:sz w:val="21"/>
                      <w:szCs w:val="21"/>
                    </w:rPr>
                  </w:pPr>
                  <w:r>
                    <w:rPr>
                      <w:sz w:val="21"/>
                      <w:szCs w:val="21"/>
                    </w:rPr>
                    <w:t>0.015</w:t>
                  </w:r>
                </w:p>
              </w:tc>
            </w:tr>
            <w:tr w14:paraId="719A5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pct"/>
                  <w:vMerge w:val="continue"/>
                  <w:noWrap/>
                  <w:vAlign w:val="center"/>
                </w:tcPr>
                <w:p w14:paraId="77698B03">
                  <w:pPr>
                    <w:spacing w:line="240" w:lineRule="auto"/>
                    <w:ind w:firstLine="0" w:firstLineChars="0"/>
                    <w:jc w:val="center"/>
                    <w:rPr>
                      <w:sz w:val="21"/>
                      <w:szCs w:val="21"/>
                    </w:rPr>
                  </w:pPr>
                </w:p>
              </w:tc>
              <w:tc>
                <w:tcPr>
                  <w:tcW w:w="822" w:type="pct"/>
                  <w:noWrap/>
                  <w:vAlign w:val="center"/>
                </w:tcPr>
                <w:p w14:paraId="27AC6025">
                  <w:pPr>
                    <w:spacing w:line="240" w:lineRule="auto"/>
                    <w:ind w:firstLine="0" w:firstLineChars="0"/>
                    <w:jc w:val="center"/>
                    <w:rPr>
                      <w:sz w:val="21"/>
                      <w:szCs w:val="21"/>
                    </w:rPr>
                  </w:pPr>
                  <w:r>
                    <w:rPr>
                      <w:sz w:val="21"/>
                      <w:szCs w:val="21"/>
                    </w:rPr>
                    <w:t>&gt;2</w:t>
                  </w:r>
                </w:p>
              </w:tc>
              <w:tc>
                <w:tcPr>
                  <w:tcW w:w="1380" w:type="pct"/>
                  <w:gridSpan w:val="3"/>
                  <w:noWrap/>
                  <w:vAlign w:val="center"/>
                </w:tcPr>
                <w:p w14:paraId="66A59768">
                  <w:pPr>
                    <w:spacing w:line="240" w:lineRule="auto"/>
                    <w:ind w:firstLine="0" w:firstLineChars="0"/>
                    <w:jc w:val="center"/>
                    <w:rPr>
                      <w:sz w:val="21"/>
                      <w:szCs w:val="21"/>
                    </w:rPr>
                  </w:pPr>
                  <w:r>
                    <w:rPr>
                      <w:sz w:val="21"/>
                      <w:szCs w:val="21"/>
                    </w:rPr>
                    <w:t>0.021</w:t>
                  </w:r>
                </w:p>
              </w:tc>
              <w:tc>
                <w:tcPr>
                  <w:tcW w:w="1117" w:type="pct"/>
                  <w:gridSpan w:val="3"/>
                  <w:noWrap/>
                  <w:vAlign w:val="center"/>
                </w:tcPr>
                <w:p w14:paraId="3117C123">
                  <w:pPr>
                    <w:spacing w:line="240" w:lineRule="auto"/>
                    <w:ind w:firstLine="0" w:firstLineChars="0"/>
                    <w:jc w:val="center"/>
                    <w:rPr>
                      <w:sz w:val="21"/>
                      <w:szCs w:val="21"/>
                    </w:rPr>
                  </w:pPr>
                  <w:r>
                    <w:rPr>
                      <w:sz w:val="21"/>
                      <w:szCs w:val="21"/>
                    </w:rPr>
                    <w:t>0.036</w:t>
                  </w:r>
                </w:p>
              </w:tc>
              <w:tc>
                <w:tcPr>
                  <w:tcW w:w="1014" w:type="pct"/>
                  <w:gridSpan w:val="3"/>
                  <w:noWrap/>
                  <w:vAlign w:val="center"/>
                </w:tcPr>
                <w:p w14:paraId="38B9F988">
                  <w:pPr>
                    <w:spacing w:line="240" w:lineRule="auto"/>
                    <w:ind w:firstLine="0" w:firstLineChars="0"/>
                    <w:jc w:val="center"/>
                    <w:rPr>
                      <w:sz w:val="21"/>
                      <w:szCs w:val="21"/>
                    </w:rPr>
                  </w:pPr>
                  <w:r>
                    <w:rPr>
                      <w:sz w:val="21"/>
                      <w:szCs w:val="21"/>
                    </w:rPr>
                    <w:t>0.036</w:t>
                  </w:r>
                </w:p>
              </w:tc>
            </w:tr>
            <w:tr w14:paraId="5A92F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pct"/>
                  <w:vMerge w:val="restart"/>
                  <w:noWrap/>
                  <w:vAlign w:val="center"/>
                </w:tcPr>
                <w:p w14:paraId="1380CDF8">
                  <w:pPr>
                    <w:spacing w:line="240" w:lineRule="auto"/>
                    <w:ind w:firstLine="0" w:firstLineChars="0"/>
                    <w:jc w:val="center"/>
                    <w:rPr>
                      <w:sz w:val="21"/>
                      <w:szCs w:val="21"/>
                    </w:rPr>
                  </w:pPr>
                  <w:r>
                    <w:rPr>
                      <w:sz w:val="21"/>
                      <w:szCs w:val="21"/>
                    </w:rPr>
                    <w:t>C</w:t>
                  </w:r>
                </w:p>
              </w:tc>
              <w:tc>
                <w:tcPr>
                  <w:tcW w:w="822" w:type="pct"/>
                  <w:noWrap/>
                  <w:vAlign w:val="center"/>
                </w:tcPr>
                <w:p w14:paraId="11177543">
                  <w:pPr>
                    <w:spacing w:line="240" w:lineRule="auto"/>
                    <w:ind w:firstLine="0" w:firstLineChars="0"/>
                    <w:jc w:val="center"/>
                    <w:rPr>
                      <w:sz w:val="21"/>
                      <w:szCs w:val="21"/>
                    </w:rPr>
                  </w:pPr>
                  <w:r>
                    <w:rPr>
                      <w:sz w:val="21"/>
                      <w:szCs w:val="21"/>
                    </w:rPr>
                    <w:t>&gt;2</w:t>
                  </w:r>
                </w:p>
              </w:tc>
              <w:tc>
                <w:tcPr>
                  <w:tcW w:w="1380" w:type="pct"/>
                  <w:gridSpan w:val="3"/>
                  <w:noWrap/>
                  <w:vAlign w:val="center"/>
                </w:tcPr>
                <w:p w14:paraId="599161BC">
                  <w:pPr>
                    <w:spacing w:line="240" w:lineRule="auto"/>
                    <w:ind w:firstLine="0" w:firstLineChars="0"/>
                    <w:jc w:val="center"/>
                    <w:rPr>
                      <w:sz w:val="21"/>
                      <w:szCs w:val="21"/>
                    </w:rPr>
                  </w:pPr>
                  <w:r>
                    <w:rPr>
                      <w:sz w:val="21"/>
                      <w:szCs w:val="21"/>
                    </w:rPr>
                    <w:t>1.85</w:t>
                  </w:r>
                </w:p>
              </w:tc>
              <w:tc>
                <w:tcPr>
                  <w:tcW w:w="1117" w:type="pct"/>
                  <w:gridSpan w:val="3"/>
                  <w:noWrap/>
                  <w:vAlign w:val="center"/>
                </w:tcPr>
                <w:p w14:paraId="02352478">
                  <w:pPr>
                    <w:spacing w:line="240" w:lineRule="auto"/>
                    <w:ind w:firstLine="0" w:firstLineChars="0"/>
                    <w:jc w:val="center"/>
                    <w:rPr>
                      <w:sz w:val="21"/>
                      <w:szCs w:val="21"/>
                    </w:rPr>
                  </w:pPr>
                  <w:r>
                    <w:rPr>
                      <w:sz w:val="21"/>
                      <w:szCs w:val="21"/>
                    </w:rPr>
                    <w:t>1.79</w:t>
                  </w:r>
                </w:p>
              </w:tc>
              <w:tc>
                <w:tcPr>
                  <w:tcW w:w="1014" w:type="pct"/>
                  <w:gridSpan w:val="3"/>
                  <w:noWrap/>
                  <w:vAlign w:val="center"/>
                </w:tcPr>
                <w:p w14:paraId="094DE66C">
                  <w:pPr>
                    <w:spacing w:line="240" w:lineRule="auto"/>
                    <w:ind w:firstLine="0" w:firstLineChars="0"/>
                    <w:jc w:val="center"/>
                    <w:rPr>
                      <w:sz w:val="21"/>
                      <w:szCs w:val="21"/>
                    </w:rPr>
                  </w:pPr>
                  <w:r>
                    <w:rPr>
                      <w:sz w:val="21"/>
                      <w:szCs w:val="21"/>
                    </w:rPr>
                    <w:t>1.79</w:t>
                  </w:r>
                </w:p>
              </w:tc>
            </w:tr>
            <w:tr w14:paraId="537AD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pct"/>
                  <w:vMerge w:val="continue"/>
                  <w:noWrap/>
                  <w:vAlign w:val="center"/>
                </w:tcPr>
                <w:p w14:paraId="109417CA">
                  <w:pPr>
                    <w:spacing w:line="240" w:lineRule="auto"/>
                    <w:ind w:firstLine="0" w:firstLineChars="0"/>
                    <w:jc w:val="center"/>
                    <w:rPr>
                      <w:sz w:val="21"/>
                      <w:szCs w:val="21"/>
                    </w:rPr>
                  </w:pPr>
                </w:p>
              </w:tc>
              <w:tc>
                <w:tcPr>
                  <w:tcW w:w="822" w:type="pct"/>
                  <w:noWrap/>
                  <w:vAlign w:val="center"/>
                </w:tcPr>
                <w:p w14:paraId="389E7766">
                  <w:pPr>
                    <w:spacing w:line="240" w:lineRule="auto"/>
                    <w:ind w:firstLine="0" w:firstLineChars="0"/>
                    <w:jc w:val="center"/>
                    <w:rPr>
                      <w:sz w:val="21"/>
                      <w:szCs w:val="21"/>
                    </w:rPr>
                  </w:pPr>
                  <w:r>
                    <w:rPr>
                      <w:sz w:val="21"/>
                      <w:szCs w:val="21"/>
                    </w:rPr>
                    <w:t>&lt;2</w:t>
                  </w:r>
                </w:p>
              </w:tc>
              <w:tc>
                <w:tcPr>
                  <w:tcW w:w="1380" w:type="pct"/>
                  <w:gridSpan w:val="3"/>
                  <w:noWrap/>
                  <w:vAlign w:val="center"/>
                </w:tcPr>
                <w:p w14:paraId="73483004">
                  <w:pPr>
                    <w:spacing w:line="240" w:lineRule="auto"/>
                    <w:ind w:firstLine="0" w:firstLineChars="0"/>
                    <w:jc w:val="center"/>
                    <w:rPr>
                      <w:sz w:val="21"/>
                      <w:szCs w:val="21"/>
                    </w:rPr>
                  </w:pPr>
                  <w:r>
                    <w:rPr>
                      <w:sz w:val="21"/>
                      <w:szCs w:val="21"/>
                    </w:rPr>
                    <w:t>1.85</w:t>
                  </w:r>
                </w:p>
              </w:tc>
              <w:tc>
                <w:tcPr>
                  <w:tcW w:w="1117" w:type="pct"/>
                  <w:gridSpan w:val="3"/>
                  <w:noWrap/>
                  <w:vAlign w:val="center"/>
                </w:tcPr>
                <w:p w14:paraId="1149925C">
                  <w:pPr>
                    <w:spacing w:line="240" w:lineRule="auto"/>
                    <w:ind w:firstLine="0" w:firstLineChars="0"/>
                    <w:jc w:val="center"/>
                    <w:rPr>
                      <w:sz w:val="21"/>
                      <w:szCs w:val="21"/>
                    </w:rPr>
                  </w:pPr>
                  <w:r>
                    <w:rPr>
                      <w:sz w:val="21"/>
                      <w:szCs w:val="21"/>
                    </w:rPr>
                    <w:t>1.77</w:t>
                  </w:r>
                </w:p>
              </w:tc>
              <w:tc>
                <w:tcPr>
                  <w:tcW w:w="1014" w:type="pct"/>
                  <w:gridSpan w:val="3"/>
                  <w:noWrap/>
                  <w:vAlign w:val="center"/>
                </w:tcPr>
                <w:p w14:paraId="5905252F">
                  <w:pPr>
                    <w:spacing w:line="240" w:lineRule="auto"/>
                    <w:ind w:firstLine="0" w:firstLineChars="0"/>
                    <w:jc w:val="center"/>
                    <w:rPr>
                      <w:sz w:val="21"/>
                      <w:szCs w:val="21"/>
                    </w:rPr>
                  </w:pPr>
                  <w:r>
                    <w:rPr>
                      <w:sz w:val="21"/>
                      <w:szCs w:val="21"/>
                    </w:rPr>
                    <w:t>1.77</w:t>
                  </w:r>
                </w:p>
              </w:tc>
            </w:tr>
            <w:tr w14:paraId="06F41D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pct"/>
                  <w:vMerge w:val="restart"/>
                  <w:noWrap/>
                  <w:vAlign w:val="center"/>
                </w:tcPr>
                <w:p w14:paraId="3052B80A">
                  <w:pPr>
                    <w:spacing w:line="240" w:lineRule="auto"/>
                    <w:ind w:firstLine="0" w:firstLineChars="0"/>
                    <w:jc w:val="center"/>
                    <w:rPr>
                      <w:sz w:val="21"/>
                      <w:szCs w:val="21"/>
                    </w:rPr>
                  </w:pPr>
                  <w:r>
                    <w:rPr>
                      <w:sz w:val="21"/>
                      <w:szCs w:val="21"/>
                    </w:rPr>
                    <w:t>D</w:t>
                  </w:r>
                </w:p>
              </w:tc>
              <w:tc>
                <w:tcPr>
                  <w:tcW w:w="822" w:type="pct"/>
                  <w:noWrap/>
                  <w:vAlign w:val="center"/>
                </w:tcPr>
                <w:p w14:paraId="5DADCF0D">
                  <w:pPr>
                    <w:spacing w:line="240" w:lineRule="auto"/>
                    <w:ind w:firstLine="0" w:firstLineChars="0"/>
                    <w:jc w:val="center"/>
                    <w:rPr>
                      <w:sz w:val="21"/>
                      <w:szCs w:val="21"/>
                    </w:rPr>
                  </w:pPr>
                  <w:r>
                    <w:rPr>
                      <w:sz w:val="21"/>
                      <w:szCs w:val="21"/>
                    </w:rPr>
                    <w:t>&lt;2</w:t>
                  </w:r>
                </w:p>
              </w:tc>
              <w:tc>
                <w:tcPr>
                  <w:tcW w:w="1380" w:type="pct"/>
                  <w:gridSpan w:val="3"/>
                  <w:noWrap/>
                  <w:vAlign w:val="center"/>
                </w:tcPr>
                <w:p w14:paraId="69D094A8">
                  <w:pPr>
                    <w:spacing w:line="240" w:lineRule="auto"/>
                    <w:ind w:firstLine="0" w:firstLineChars="0"/>
                    <w:jc w:val="center"/>
                    <w:rPr>
                      <w:sz w:val="21"/>
                      <w:szCs w:val="21"/>
                    </w:rPr>
                  </w:pPr>
                  <w:r>
                    <w:rPr>
                      <w:sz w:val="21"/>
                      <w:szCs w:val="21"/>
                    </w:rPr>
                    <w:t>0.78</w:t>
                  </w:r>
                </w:p>
              </w:tc>
              <w:tc>
                <w:tcPr>
                  <w:tcW w:w="1117" w:type="pct"/>
                  <w:gridSpan w:val="3"/>
                  <w:noWrap/>
                  <w:vAlign w:val="center"/>
                </w:tcPr>
                <w:p w14:paraId="642EF882">
                  <w:pPr>
                    <w:spacing w:line="240" w:lineRule="auto"/>
                    <w:ind w:firstLine="0" w:firstLineChars="0"/>
                    <w:jc w:val="center"/>
                    <w:rPr>
                      <w:sz w:val="21"/>
                      <w:szCs w:val="21"/>
                    </w:rPr>
                  </w:pPr>
                  <w:r>
                    <w:rPr>
                      <w:sz w:val="21"/>
                      <w:szCs w:val="21"/>
                    </w:rPr>
                    <w:t>0.78</w:t>
                  </w:r>
                </w:p>
              </w:tc>
              <w:tc>
                <w:tcPr>
                  <w:tcW w:w="1014" w:type="pct"/>
                  <w:gridSpan w:val="3"/>
                  <w:noWrap/>
                  <w:vAlign w:val="center"/>
                </w:tcPr>
                <w:p w14:paraId="0CF68F8D">
                  <w:pPr>
                    <w:spacing w:line="240" w:lineRule="auto"/>
                    <w:ind w:firstLine="0" w:firstLineChars="0"/>
                    <w:jc w:val="center"/>
                    <w:rPr>
                      <w:sz w:val="21"/>
                      <w:szCs w:val="21"/>
                    </w:rPr>
                  </w:pPr>
                  <w:r>
                    <w:rPr>
                      <w:sz w:val="21"/>
                      <w:szCs w:val="21"/>
                    </w:rPr>
                    <w:t>0.57</w:t>
                  </w:r>
                </w:p>
              </w:tc>
            </w:tr>
            <w:tr w14:paraId="06D0E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5" w:type="pct"/>
                  <w:vMerge w:val="continue"/>
                  <w:noWrap/>
                </w:tcPr>
                <w:p w14:paraId="72B0B1D5">
                  <w:pPr>
                    <w:spacing w:line="240" w:lineRule="auto"/>
                    <w:ind w:firstLine="0" w:firstLineChars="0"/>
                    <w:jc w:val="both"/>
                    <w:rPr>
                      <w:sz w:val="21"/>
                      <w:szCs w:val="21"/>
                    </w:rPr>
                  </w:pPr>
                </w:p>
              </w:tc>
              <w:tc>
                <w:tcPr>
                  <w:tcW w:w="822" w:type="pct"/>
                  <w:noWrap/>
                  <w:vAlign w:val="center"/>
                </w:tcPr>
                <w:p w14:paraId="00379F1C">
                  <w:pPr>
                    <w:spacing w:line="240" w:lineRule="auto"/>
                    <w:ind w:firstLine="0" w:firstLineChars="0"/>
                    <w:jc w:val="center"/>
                    <w:rPr>
                      <w:sz w:val="21"/>
                      <w:szCs w:val="21"/>
                    </w:rPr>
                  </w:pPr>
                  <w:r>
                    <w:rPr>
                      <w:sz w:val="21"/>
                      <w:szCs w:val="21"/>
                    </w:rPr>
                    <w:t>&gt;2</w:t>
                  </w:r>
                </w:p>
              </w:tc>
              <w:tc>
                <w:tcPr>
                  <w:tcW w:w="1380" w:type="pct"/>
                  <w:gridSpan w:val="3"/>
                  <w:noWrap/>
                  <w:vAlign w:val="center"/>
                </w:tcPr>
                <w:p w14:paraId="06E854A9">
                  <w:pPr>
                    <w:spacing w:line="240" w:lineRule="auto"/>
                    <w:ind w:firstLine="0" w:firstLineChars="0"/>
                    <w:jc w:val="center"/>
                    <w:rPr>
                      <w:sz w:val="21"/>
                      <w:szCs w:val="21"/>
                    </w:rPr>
                  </w:pPr>
                  <w:r>
                    <w:rPr>
                      <w:sz w:val="21"/>
                      <w:szCs w:val="21"/>
                    </w:rPr>
                    <w:t>0.84</w:t>
                  </w:r>
                </w:p>
              </w:tc>
              <w:tc>
                <w:tcPr>
                  <w:tcW w:w="1117" w:type="pct"/>
                  <w:gridSpan w:val="3"/>
                  <w:noWrap/>
                  <w:vAlign w:val="center"/>
                </w:tcPr>
                <w:p w14:paraId="35AA55F8">
                  <w:pPr>
                    <w:spacing w:line="240" w:lineRule="auto"/>
                    <w:ind w:firstLine="0" w:firstLineChars="0"/>
                    <w:jc w:val="center"/>
                    <w:rPr>
                      <w:sz w:val="21"/>
                      <w:szCs w:val="21"/>
                    </w:rPr>
                  </w:pPr>
                  <w:r>
                    <w:rPr>
                      <w:sz w:val="21"/>
                      <w:szCs w:val="21"/>
                    </w:rPr>
                    <w:t>0.84</w:t>
                  </w:r>
                </w:p>
              </w:tc>
              <w:tc>
                <w:tcPr>
                  <w:tcW w:w="1014" w:type="pct"/>
                  <w:gridSpan w:val="3"/>
                  <w:noWrap/>
                  <w:vAlign w:val="center"/>
                </w:tcPr>
                <w:p w14:paraId="7244ECD3">
                  <w:pPr>
                    <w:spacing w:line="240" w:lineRule="auto"/>
                    <w:ind w:firstLine="0" w:firstLineChars="0"/>
                    <w:jc w:val="center"/>
                    <w:rPr>
                      <w:sz w:val="21"/>
                      <w:szCs w:val="21"/>
                    </w:rPr>
                  </w:pPr>
                  <w:r>
                    <w:rPr>
                      <w:sz w:val="21"/>
                      <w:szCs w:val="21"/>
                    </w:rPr>
                    <w:t>0.76</w:t>
                  </w:r>
                </w:p>
              </w:tc>
            </w:tr>
            <w:tr w14:paraId="5592F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11"/>
                  <w:noWrap/>
                </w:tcPr>
                <w:p w14:paraId="5A300E6A">
                  <w:pPr>
                    <w:spacing w:line="240" w:lineRule="auto"/>
                    <w:ind w:firstLine="0" w:firstLineChars="0"/>
                    <w:jc w:val="both"/>
                    <w:rPr>
                      <w:sz w:val="21"/>
                      <w:szCs w:val="21"/>
                    </w:rPr>
                  </w:pPr>
                  <w:r>
                    <w:rPr>
                      <w:rFonts w:hint="eastAsia"/>
                      <w:sz w:val="21"/>
                      <w:szCs w:val="21"/>
                    </w:rPr>
                    <w:t>注：</w:t>
                  </w:r>
                  <w:bookmarkStart w:id="269" w:name="OLE_LINK227"/>
                  <w:r>
                    <w:rPr>
                      <w:sz w:val="21"/>
                      <w:szCs w:val="21"/>
                    </w:rPr>
                    <w:t>Ⅰ</w:t>
                  </w:r>
                  <w:bookmarkEnd w:id="269"/>
                  <w:r>
                    <w:rPr>
                      <w:sz w:val="21"/>
                      <w:szCs w:val="21"/>
                    </w:rPr>
                    <w:t>类：</w:t>
                  </w:r>
                  <w:bookmarkStart w:id="270" w:name="OLE_LINK72"/>
                  <w:r>
                    <w:rPr>
                      <w:sz w:val="21"/>
                      <w:szCs w:val="21"/>
                    </w:rPr>
                    <w:t>与无组织排放源共存的排放同种有害气体的排气筒的排放量，大于或等于标准规定的允许排放量的1/3者</w:t>
                  </w:r>
                  <w:bookmarkEnd w:id="270"/>
                  <w:r>
                    <w:rPr>
                      <w:sz w:val="21"/>
                      <w:szCs w:val="21"/>
                    </w:rPr>
                    <w:t>。</w:t>
                  </w:r>
                </w:p>
                <w:p w14:paraId="6B85D23A">
                  <w:pPr>
                    <w:spacing w:line="240" w:lineRule="auto"/>
                    <w:ind w:firstLine="0" w:firstLineChars="0"/>
                    <w:jc w:val="both"/>
                    <w:rPr>
                      <w:sz w:val="21"/>
                      <w:szCs w:val="21"/>
                    </w:rPr>
                  </w:pPr>
                  <w:r>
                    <w:rPr>
                      <w:sz w:val="21"/>
                      <w:szCs w:val="21"/>
                    </w:rPr>
                    <w:t>Ⅱ类：与无组织排放源共存的排放同种有害气体的排气筒的排放量，小于标准规定的允许排放量的1/3，或虽无排放同种大气污染物之排气筒共存，但无组织排放的有害物质的容许浓度指标是按急性反应指标确定者。</w:t>
                  </w:r>
                </w:p>
                <w:p w14:paraId="1C28E998">
                  <w:pPr>
                    <w:spacing w:line="240" w:lineRule="auto"/>
                    <w:ind w:firstLine="0" w:firstLineChars="0"/>
                    <w:jc w:val="both"/>
                    <w:rPr>
                      <w:sz w:val="21"/>
                      <w:szCs w:val="21"/>
                    </w:rPr>
                  </w:pPr>
                  <w:r>
                    <w:rPr>
                      <w:sz w:val="21"/>
                      <w:szCs w:val="21"/>
                    </w:rPr>
                    <w:t>Ⅲ类：无排放同种有害物质的排气筒与无组织排放源共存，但无组织排放的有害物质的容许浓度是按慢性反应指标确定者。</w:t>
                  </w:r>
                </w:p>
              </w:tc>
            </w:tr>
          </w:tbl>
          <w:p w14:paraId="21F41158">
            <w:pPr>
              <w:autoSpaceDE w:val="0"/>
              <w:autoSpaceDN w:val="0"/>
              <w:ind w:firstLine="480"/>
              <w:jc w:val="both"/>
              <w:rPr>
                <w:kern w:val="0"/>
                <w:szCs w:val="20"/>
              </w:rPr>
            </w:pPr>
            <w:r>
              <w:rPr>
                <w:rFonts w:hint="eastAsia"/>
                <w:kern w:val="0"/>
                <w:szCs w:val="20"/>
              </w:rPr>
              <w:t>本项目所在地区近5年平均风速为2.2m/s，且大气污染源属于</w:t>
            </w:r>
            <w:r>
              <w:rPr>
                <w:sz w:val="21"/>
                <w:szCs w:val="21"/>
              </w:rPr>
              <w:t>Ⅰ</w:t>
            </w:r>
            <w:r>
              <w:rPr>
                <w:rFonts w:hint="eastAsia"/>
                <w:kern w:val="0"/>
                <w:szCs w:val="20"/>
              </w:rPr>
              <w:t>类，项目生产车间占地面积为2000m</w:t>
            </w:r>
            <w:r>
              <w:rPr>
                <w:rFonts w:hint="eastAsia"/>
                <w:kern w:val="0"/>
                <w:szCs w:val="20"/>
                <w:vertAlign w:val="superscript"/>
              </w:rPr>
              <w:t>2</w:t>
            </w:r>
            <w:r>
              <w:rPr>
                <w:rFonts w:hint="eastAsia"/>
                <w:kern w:val="0"/>
                <w:szCs w:val="20"/>
              </w:rPr>
              <w:t>，按上述公式对本项目无组织排放的卫生防护距离进行计算，项目卫生防护距离计算参数取值及具体计算结果见下表：</w:t>
            </w:r>
          </w:p>
          <w:p w14:paraId="2F780BA8">
            <w:pPr>
              <w:autoSpaceDE w:val="0"/>
              <w:autoSpaceDN w:val="0"/>
              <w:spacing w:line="240" w:lineRule="auto"/>
              <w:ind w:firstLine="0" w:firstLineChars="0"/>
              <w:jc w:val="center"/>
              <w:rPr>
                <w:kern w:val="0"/>
                <w:szCs w:val="20"/>
              </w:rPr>
            </w:pPr>
            <w:r>
              <w:rPr>
                <w:rFonts w:cs="宋体"/>
                <w:b/>
                <w:bCs/>
                <w:snapToGrid w:val="0"/>
                <w:color w:val="000000"/>
                <w:spacing w:val="3"/>
                <w:kern w:val="0"/>
                <w:sz w:val="21"/>
                <w:szCs w:val="20"/>
              </w:rPr>
              <w:t>表</w:t>
            </w:r>
            <w:r>
              <w:rPr>
                <w:rFonts w:cs="宋体"/>
                <w:b/>
                <w:snapToGrid w:val="0"/>
                <w:color w:val="000000"/>
                <w:spacing w:val="-31"/>
                <w:kern w:val="0"/>
                <w:sz w:val="21"/>
                <w:szCs w:val="20"/>
              </w:rPr>
              <w:t xml:space="preserve"> </w:t>
            </w:r>
            <w:r>
              <w:rPr>
                <w:b/>
                <w:bCs/>
                <w:snapToGrid w:val="0"/>
                <w:color w:val="000000"/>
                <w:spacing w:val="3"/>
                <w:kern w:val="0"/>
                <w:sz w:val="21"/>
                <w:szCs w:val="20"/>
              </w:rPr>
              <w:t>4-</w:t>
            </w:r>
            <w:r>
              <w:rPr>
                <w:rFonts w:hint="eastAsia"/>
                <w:b/>
                <w:bCs/>
                <w:snapToGrid w:val="0"/>
                <w:color w:val="000000"/>
                <w:spacing w:val="3"/>
                <w:kern w:val="0"/>
                <w:sz w:val="21"/>
                <w:szCs w:val="20"/>
              </w:rPr>
              <w:t>9 项目卫生防护距离计算参数取值及计算结果</w:t>
            </w:r>
            <w:r>
              <w:rPr>
                <w:rFonts w:cs="宋体"/>
                <w:b/>
                <w:bCs/>
                <w:snapToGrid w:val="0"/>
                <w:color w:val="000000"/>
                <w:spacing w:val="3"/>
                <w:kern w:val="0"/>
                <w:sz w:val="21"/>
                <w:szCs w:val="20"/>
              </w:rPr>
              <w:t>一览表</w:t>
            </w:r>
          </w:p>
          <w:tbl>
            <w:tblPr>
              <w:tblStyle w:val="35"/>
              <w:tblW w:w="86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3"/>
              <w:gridCol w:w="722"/>
              <w:gridCol w:w="982"/>
              <w:gridCol w:w="981"/>
              <w:gridCol w:w="778"/>
              <w:gridCol w:w="709"/>
              <w:gridCol w:w="668"/>
              <w:gridCol w:w="695"/>
              <w:gridCol w:w="696"/>
              <w:gridCol w:w="709"/>
              <w:gridCol w:w="968"/>
            </w:tblGrid>
            <w:tr w14:paraId="7B1DF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trPr>
              <w:tc>
                <w:tcPr>
                  <w:tcW w:w="693" w:type="dxa"/>
                  <w:vAlign w:val="center"/>
                </w:tcPr>
                <w:p w14:paraId="02CC5E5E">
                  <w:pPr>
                    <w:autoSpaceDE w:val="0"/>
                    <w:autoSpaceDN w:val="0"/>
                    <w:spacing w:line="240" w:lineRule="auto"/>
                    <w:ind w:firstLine="0" w:firstLineChars="0"/>
                    <w:jc w:val="center"/>
                    <w:rPr>
                      <w:b/>
                      <w:bCs/>
                      <w:kern w:val="0"/>
                      <w:sz w:val="21"/>
                      <w:szCs w:val="20"/>
                    </w:rPr>
                  </w:pPr>
                  <w:r>
                    <w:rPr>
                      <w:rFonts w:hint="eastAsia"/>
                      <w:b/>
                      <w:bCs/>
                      <w:kern w:val="0"/>
                      <w:sz w:val="21"/>
                      <w:szCs w:val="20"/>
                    </w:rPr>
                    <w:t>污染源</w:t>
                  </w:r>
                </w:p>
              </w:tc>
              <w:tc>
                <w:tcPr>
                  <w:tcW w:w="722" w:type="dxa"/>
                  <w:vAlign w:val="center"/>
                </w:tcPr>
                <w:p w14:paraId="349B503E">
                  <w:pPr>
                    <w:autoSpaceDE w:val="0"/>
                    <w:autoSpaceDN w:val="0"/>
                    <w:spacing w:line="240" w:lineRule="auto"/>
                    <w:ind w:firstLine="0" w:firstLineChars="0"/>
                    <w:jc w:val="center"/>
                    <w:rPr>
                      <w:b/>
                      <w:bCs/>
                      <w:kern w:val="0"/>
                      <w:sz w:val="21"/>
                      <w:szCs w:val="20"/>
                    </w:rPr>
                  </w:pPr>
                  <w:r>
                    <w:rPr>
                      <w:rFonts w:hint="eastAsia"/>
                      <w:b/>
                      <w:bCs/>
                      <w:kern w:val="0"/>
                      <w:sz w:val="21"/>
                      <w:szCs w:val="20"/>
                    </w:rPr>
                    <w:t>污染物</w:t>
                  </w:r>
                </w:p>
              </w:tc>
              <w:tc>
                <w:tcPr>
                  <w:tcW w:w="982" w:type="dxa"/>
                  <w:vAlign w:val="center"/>
                </w:tcPr>
                <w:p w14:paraId="2087201C">
                  <w:pPr>
                    <w:autoSpaceDE w:val="0"/>
                    <w:autoSpaceDN w:val="0"/>
                    <w:spacing w:line="240" w:lineRule="auto"/>
                    <w:ind w:firstLine="0" w:firstLineChars="0"/>
                    <w:jc w:val="center"/>
                    <w:rPr>
                      <w:b/>
                      <w:bCs/>
                      <w:snapToGrid w:val="0"/>
                      <w:color w:val="000000"/>
                      <w:kern w:val="0"/>
                      <w:position w:val="-1"/>
                      <w:sz w:val="21"/>
                      <w:szCs w:val="15"/>
                      <w:vertAlign w:val="subscript"/>
                      <w:lang w:eastAsia="en-US"/>
                    </w:rPr>
                  </w:pPr>
                  <w:r>
                    <w:rPr>
                      <w:rFonts w:cs="宋体"/>
                      <w:b/>
                      <w:bCs/>
                      <w:snapToGrid w:val="0"/>
                      <w:color w:val="000000"/>
                      <w:spacing w:val="6"/>
                      <w:kern w:val="0"/>
                      <w:sz w:val="21"/>
                      <w:szCs w:val="20"/>
                      <w:lang w:eastAsia="en-US"/>
                    </w:rPr>
                    <w:t>排放速率</w:t>
                  </w:r>
                  <w:r>
                    <w:rPr>
                      <w:b/>
                      <w:bCs/>
                      <w:snapToGrid w:val="0"/>
                      <w:color w:val="000000"/>
                      <w:kern w:val="0"/>
                      <w:sz w:val="21"/>
                      <w:lang w:eastAsia="en-US"/>
                    </w:rPr>
                    <w:t>Q</w:t>
                  </w:r>
                  <w:r>
                    <w:rPr>
                      <w:b/>
                      <w:bCs/>
                      <w:snapToGrid w:val="0"/>
                      <w:color w:val="000000"/>
                      <w:kern w:val="0"/>
                      <w:position w:val="-1"/>
                      <w:sz w:val="21"/>
                      <w:szCs w:val="15"/>
                      <w:vertAlign w:val="subscript"/>
                      <w:lang w:eastAsia="en-US"/>
                    </w:rPr>
                    <w:t>C</w:t>
                  </w:r>
                </w:p>
                <w:p w14:paraId="4970BD6D">
                  <w:pPr>
                    <w:autoSpaceDE w:val="0"/>
                    <w:autoSpaceDN w:val="0"/>
                    <w:spacing w:line="240" w:lineRule="auto"/>
                    <w:ind w:firstLine="0" w:firstLineChars="0"/>
                    <w:jc w:val="center"/>
                    <w:rPr>
                      <w:b/>
                      <w:bCs/>
                      <w:kern w:val="0"/>
                      <w:sz w:val="21"/>
                      <w:szCs w:val="20"/>
                    </w:rPr>
                  </w:pPr>
                  <w:r>
                    <w:rPr>
                      <w:b/>
                      <w:bCs/>
                      <w:snapToGrid w:val="0"/>
                      <w:color w:val="000000"/>
                      <w:spacing w:val="4"/>
                      <w:kern w:val="0"/>
                      <w:sz w:val="21"/>
                      <w:szCs w:val="20"/>
                      <w:lang w:eastAsia="en-US"/>
                    </w:rPr>
                    <w:t>(</w:t>
                  </w:r>
                  <w:r>
                    <w:rPr>
                      <w:b/>
                      <w:bCs/>
                      <w:snapToGrid w:val="0"/>
                      <w:color w:val="000000"/>
                      <w:kern w:val="0"/>
                      <w:sz w:val="21"/>
                      <w:szCs w:val="20"/>
                      <w:lang w:eastAsia="en-US"/>
                    </w:rPr>
                    <w:t>kg</w:t>
                  </w:r>
                  <w:r>
                    <w:rPr>
                      <w:b/>
                      <w:bCs/>
                      <w:snapToGrid w:val="0"/>
                      <w:color w:val="000000"/>
                      <w:spacing w:val="4"/>
                      <w:kern w:val="0"/>
                      <w:sz w:val="21"/>
                      <w:szCs w:val="20"/>
                      <w:lang w:eastAsia="en-US"/>
                    </w:rPr>
                    <w:t>/h)</w:t>
                  </w:r>
                </w:p>
              </w:tc>
              <w:tc>
                <w:tcPr>
                  <w:tcW w:w="981" w:type="dxa"/>
                  <w:vAlign w:val="center"/>
                </w:tcPr>
                <w:p w14:paraId="15E674A3">
                  <w:pPr>
                    <w:autoSpaceDE w:val="0"/>
                    <w:autoSpaceDN w:val="0"/>
                    <w:spacing w:line="240" w:lineRule="auto"/>
                    <w:ind w:firstLine="0" w:firstLineChars="0"/>
                    <w:jc w:val="center"/>
                    <w:rPr>
                      <w:b/>
                      <w:bCs/>
                      <w:snapToGrid w:val="0"/>
                      <w:color w:val="000000"/>
                      <w:kern w:val="0"/>
                      <w:position w:val="-1"/>
                      <w:sz w:val="21"/>
                      <w:szCs w:val="13"/>
                      <w:vertAlign w:val="subscript"/>
                      <w:lang w:eastAsia="en-US"/>
                    </w:rPr>
                  </w:pPr>
                  <w:r>
                    <w:rPr>
                      <w:rFonts w:cs="宋体"/>
                      <w:b/>
                      <w:bCs/>
                      <w:snapToGrid w:val="0"/>
                      <w:color w:val="000000"/>
                      <w:spacing w:val="7"/>
                      <w:kern w:val="0"/>
                      <w:sz w:val="21"/>
                      <w:szCs w:val="20"/>
                      <w:lang w:eastAsia="en-US"/>
                    </w:rPr>
                    <w:t>标准值</w:t>
                  </w:r>
                  <w:r>
                    <w:rPr>
                      <w:b/>
                      <w:bCs/>
                      <w:snapToGrid w:val="0"/>
                      <w:color w:val="000000"/>
                      <w:kern w:val="0"/>
                      <w:sz w:val="21"/>
                      <w:szCs w:val="20"/>
                      <w:lang w:eastAsia="en-US"/>
                    </w:rPr>
                    <w:t>C</w:t>
                  </w:r>
                  <w:r>
                    <w:rPr>
                      <w:b/>
                      <w:bCs/>
                      <w:snapToGrid w:val="0"/>
                      <w:color w:val="000000"/>
                      <w:kern w:val="0"/>
                      <w:position w:val="-1"/>
                      <w:sz w:val="21"/>
                      <w:szCs w:val="13"/>
                      <w:vertAlign w:val="subscript"/>
                      <w:lang w:eastAsia="en-US"/>
                    </w:rPr>
                    <w:t>m</w:t>
                  </w:r>
                </w:p>
                <w:p w14:paraId="510BA02B">
                  <w:pPr>
                    <w:autoSpaceDE w:val="0"/>
                    <w:autoSpaceDN w:val="0"/>
                    <w:spacing w:line="240" w:lineRule="auto"/>
                    <w:ind w:firstLine="0" w:firstLineChars="0"/>
                    <w:jc w:val="center"/>
                    <w:rPr>
                      <w:b/>
                      <w:bCs/>
                      <w:kern w:val="0"/>
                      <w:sz w:val="21"/>
                      <w:szCs w:val="20"/>
                    </w:rPr>
                  </w:pPr>
                  <w:r>
                    <w:rPr>
                      <w:b/>
                      <w:bCs/>
                      <w:snapToGrid w:val="0"/>
                      <w:color w:val="000000"/>
                      <w:spacing w:val="3"/>
                      <w:kern w:val="0"/>
                      <w:sz w:val="21"/>
                      <w:szCs w:val="20"/>
                      <w:lang w:eastAsia="en-US"/>
                    </w:rPr>
                    <w:t>(</w:t>
                  </w:r>
                  <w:r>
                    <w:rPr>
                      <w:b/>
                      <w:bCs/>
                      <w:snapToGrid w:val="0"/>
                      <w:color w:val="000000"/>
                      <w:kern w:val="0"/>
                      <w:sz w:val="21"/>
                      <w:szCs w:val="20"/>
                      <w:lang w:eastAsia="en-US"/>
                    </w:rPr>
                    <w:t>mg</w:t>
                  </w:r>
                  <w:r>
                    <w:rPr>
                      <w:b/>
                      <w:bCs/>
                      <w:snapToGrid w:val="0"/>
                      <w:color w:val="000000"/>
                      <w:spacing w:val="3"/>
                      <w:kern w:val="0"/>
                      <w:sz w:val="21"/>
                      <w:szCs w:val="20"/>
                      <w:lang w:eastAsia="en-US"/>
                    </w:rPr>
                    <w:t>/m</w:t>
                  </w:r>
                  <w:r>
                    <w:rPr>
                      <w:rFonts w:hint="eastAsia"/>
                      <w:b/>
                      <w:bCs/>
                      <w:snapToGrid w:val="0"/>
                      <w:color w:val="000000"/>
                      <w:spacing w:val="3"/>
                      <w:kern w:val="0"/>
                      <w:sz w:val="21"/>
                      <w:szCs w:val="20"/>
                      <w:vertAlign w:val="superscript"/>
                    </w:rPr>
                    <w:t>3</w:t>
                  </w:r>
                  <w:r>
                    <w:rPr>
                      <w:b/>
                      <w:bCs/>
                      <w:snapToGrid w:val="0"/>
                      <w:color w:val="000000"/>
                      <w:spacing w:val="3"/>
                      <w:kern w:val="0"/>
                      <w:sz w:val="21"/>
                      <w:szCs w:val="20"/>
                      <w:lang w:eastAsia="en-US"/>
                    </w:rPr>
                    <w:t>)</w:t>
                  </w:r>
                </w:p>
              </w:tc>
              <w:tc>
                <w:tcPr>
                  <w:tcW w:w="778" w:type="dxa"/>
                  <w:vAlign w:val="center"/>
                </w:tcPr>
                <w:p w14:paraId="61AB5133">
                  <w:pPr>
                    <w:autoSpaceDE w:val="0"/>
                    <w:autoSpaceDN w:val="0"/>
                    <w:spacing w:line="240" w:lineRule="auto"/>
                    <w:ind w:firstLine="0" w:firstLineChars="0"/>
                    <w:jc w:val="center"/>
                    <w:rPr>
                      <w:b/>
                      <w:bCs/>
                      <w:kern w:val="0"/>
                      <w:sz w:val="21"/>
                      <w:szCs w:val="21"/>
                    </w:rPr>
                  </w:pPr>
                  <w:r>
                    <w:rPr>
                      <w:rFonts w:hint="eastAsia"/>
                      <w:b/>
                      <w:bCs/>
                      <w:kern w:val="0"/>
                      <w:sz w:val="21"/>
                      <w:szCs w:val="21"/>
                    </w:rPr>
                    <w:t>占地面积（m</w:t>
                  </w:r>
                  <w:r>
                    <w:rPr>
                      <w:rFonts w:hint="eastAsia"/>
                      <w:b/>
                      <w:bCs/>
                      <w:kern w:val="0"/>
                      <w:sz w:val="21"/>
                      <w:szCs w:val="21"/>
                      <w:vertAlign w:val="superscript"/>
                    </w:rPr>
                    <w:t>2</w:t>
                  </w:r>
                  <w:r>
                    <w:rPr>
                      <w:rFonts w:hint="eastAsia"/>
                      <w:b/>
                      <w:bCs/>
                      <w:kern w:val="0"/>
                      <w:sz w:val="21"/>
                      <w:szCs w:val="21"/>
                    </w:rPr>
                    <w:t>）</w:t>
                  </w:r>
                </w:p>
              </w:tc>
              <w:tc>
                <w:tcPr>
                  <w:tcW w:w="709" w:type="dxa"/>
                  <w:vAlign w:val="center"/>
                </w:tcPr>
                <w:p w14:paraId="5B3DC240">
                  <w:pPr>
                    <w:autoSpaceDE w:val="0"/>
                    <w:autoSpaceDN w:val="0"/>
                    <w:spacing w:line="240" w:lineRule="auto"/>
                    <w:ind w:firstLine="0" w:firstLineChars="0"/>
                    <w:jc w:val="center"/>
                    <w:rPr>
                      <w:b/>
                      <w:bCs/>
                      <w:kern w:val="0"/>
                      <w:sz w:val="21"/>
                      <w:szCs w:val="21"/>
                    </w:rPr>
                  </w:pPr>
                  <w:r>
                    <w:rPr>
                      <w:rFonts w:hint="eastAsia"/>
                      <w:b/>
                      <w:bCs/>
                      <w:kern w:val="0"/>
                      <w:sz w:val="21"/>
                      <w:szCs w:val="21"/>
                    </w:rPr>
                    <w:t>等效半径r（m）</w:t>
                  </w:r>
                </w:p>
              </w:tc>
              <w:tc>
                <w:tcPr>
                  <w:tcW w:w="668" w:type="dxa"/>
                  <w:vAlign w:val="center"/>
                </w:tcPr>
                <w:p w14:paraId="16F02862">
                  <w:pPr>
                    <w:autoSpaceDE w:val="0"/>
                    <w:autoSpaceDN w:val="0"/>
                    <w:spacing w:line="240" w:lineRule="auto"/>
                    <w:ind w:firstLine="0" w:firstLineChars="0"/>
                    <w:jc w:val="center"/>
                    <w:rPr>
                      <w:b/>
                      <w:bCs/>
                      <w:kern w:val="0"/>
                      <w:sz w:val="21"/>
                      <w:szCs w:val="20"/>
                    </w:rPr>
                  </w:pPr>
                  <w:r>
                    <w:rPr>
                      <w:rFonts w:hint="eastAsia"/>
                      <w:b/>
                      <w:bCs/>
                      <w:kern w:val="0"/>
                      <w:sz w:val="21"/>
                      <w:szCs w:val="20"/>
                    </w:rPr>
                    <w:t>A</w:t>
                  </w:r>
                </w:p>
              </w:tc>
              <w:tc>
                <w:tcPr>
                  <w:tcW w:w="695" w:type="dxa"/>
                  <w:vAlign w:val="center"/>
                </w:tcPr>
                <w:p w14:paraId="16B7FFF2">
                  <w:pPr>
                    <w:autoSpaceDE w:val="0"/>
                    <w:autoSpaceDN w:val="0"/>
                    <w:spacing w:line="240" w:lineRule="auto"/>
                    <w:ind w:firstLine="0" w:firstLineChars="0"/>
                    <w:jc w:val="center"/>
                    <w:rPr>
                      <w:b/>
                      <w:bCs/>
                      <w:kern w:val="0"/>
                      <w:sz w:val="21"/>
                      <w:szCs w:val="20"/>
                    </w:rPr>
                  </w:pPr>
                  <w:r>
                    <w:rPr>
                      <w:rFonts w:hint="eastAsia"/>
                      <w:b/>
                      <w:bCs/>
                      <w:kern w:val="0"/>
                      <w:sz w:val="21"/>
                      <w:szCs w:val="20"/>
                    </w:rPr>
                    <w:t>B</w:t>
                  </w:r>
                </w:p>
              </w:tc>
              <w:tc>
                <w:tcPr>
                  <w:tcW w:w="696" w:type="dxa"/>
                  <w:vAlign w:val="center"/>
                </w:tcPr>
                <w:p w14:paraId="1B596C80">
                  <w:pPr>
                    <w:autoSpaceDE w:val="0"/>
                    <w:autoSpaceDN w:val="0"/>
                    <w:spacing w:line="240" w:lineRule="auto"/>
                    <w:ind w:firstLine="0" w:firstLineChars="0"/>
                    <w:jc w:val="center"/>
                    <w:rPr>
                      <w:b/>
                      <w:bCs/>
                      <w:kern w:val="0"/>
                      <w:sz w:val="21"/>
                      <w:szCs w:val="20"/>
                    </w:rPr>
                  </w:pPr>
                  <w:r>
                    <w:rPr>
                      <w:rFonts w:hint="eastAsia"/>
                      <w:b/>
                      <w:bCs/>
                      <w:kern w:val="0"/>
                      <w:sz w:val="21"/>
                      <w:szCs w:val="20"/>
                    </w:rPr>
                    <w:t>C</w:t>
                  </w:r>
                </w:p>
              </w:tc>
              <w:tc>
                <w:tcPr>
                  <w:tcW w:w="709" w:type="dxa"/>
                  <w:vAlign w:val="center"/>
                </w:tcPr>
                <w:p w14:paraId="194B2A92">
                  <w:pPr>
                    <w:autoSpaceDE w:val="0"/>
                    <w:autoSpaceDN w:val="0"/>
                    <w:spacing w:line="240" w:lineRule="auto"/>
                    <w:ind w:firstLine="0" w:firstLineChars="0"/>
                    <w:jc w:val="center"/>
                    <w:rPr>
                      <w:b/>
                      <w:bCs/>
                      <w:kern w:val="0"/>
                      <w:sz w:val="21"/>
                      <w:szCs w:val="20"/>
                    </w:rPr>
                  </w:pPr>
                  <w:r>
                    <w:rPr>
                      <w:rFonts w:hint="eastAsia"/>
                      <w:b/>
                      <w:bCs/>
                      <w:kern w:val="0"/>
                      <w:sz w:val="21"/>
                      <w:szCs w:val="20"/>
                    </w:rPr>
                    <w:t>D</w:t>
                  </w:r>
                </w:p>
              </w:tc>
              <w:tc>
                <w:tcPr>
                  <w:tcW w:w="968" w:type="dxa"/>
                  <w:vAlign w:val="center"/>
                </w:tcPr>
                <w:p w14:paraId="0B6168AB">
                  <w:pPr>
                    <w:autoSpaceDE w:val="0"/>
                    <w:autoSpaceDN w:val="0"/>
                    <w:spacing w:line="240" w:lineRule="auto"/>
                    <w:ind w:firstLine="0" w:firstLineChars="0"/>
                    <w:jc w:val="center"/>
                    <w:rPr>
                      <w:b/>
                      <w:bCs/>
                      <w:kern w:val="0"/>
                      <w:sz w:val="21"/>
                      <w:szCs w:val="20"/>
                    </w:rPr>
                  </w:pPr>
                  <w:r>
                    <w:rPr>
                      <w:rFonts w:hint="eastAsia"/>
                      <w:b/>
                      <w:bCs/>
                      <w:kern w:val="0"/>
                      <w:sz w:val="21"/>
                      <w:szCs w:val="20"/>
                    </w:rPr>
                    <w:t>卫生防护距离初值（m）</w:t>
                  </w:r>
                </w:p>
              </w:tc>
            </w:tr>
            <w:tr w14:paraId="054A4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693" w:type="dxa"/>
                  <w:vAlign w:val="center"/>
                </w:tcPr>
                <w:p w14:paraId="37614497">
                  <w:pPr>
                    <w:autoSpaceDE w:val="0"/>
                    <w:autoSpaceDN w:val="0"/>
                    <w:spacing w:line="240" w:lineRule="auto"/>
                    <w:ind w:firstLine="0" w:firstLineChars="0"/>
                    <w:jc w:val="center"/>
                    <w:rPr>
                      <w:kern w:val="0"/>
                      <w:sz w:val="21"/>
                      <w:szCs w:val="20"/>
                    </w:rPr>
                  </w:pPr>
                  <w:r>
                    <w:rPr>
                      <w:rFonts w:hint="eastAsia"/>
                      <w:kern w:val="0"/>
                      <w:sz w:val="21"/>
                      <w:szCs w:val="20"/>
                    </w:rPr>
                    <w:t>生产车间</w:t>
                  </w:r>
                </w:p>
              </w:tc>
              <w:tc>
                <w:tcPr>
                  <w:tcW w:w="722" w:type="dxa"/>
                  <w:vAlign w:val="center"/>
                </w:tcPr>
                <w:p w14:paraId="4E98B6CD">
                  <w:pPr>
                    <w:autoSpaceDE w:val="0"/>
                    <w:autoSpaceDN w:val="0"/>
                    <w:spacing w:line="240" w:lineRule="auto"/>
                    <w:ind w:firstLine="0" w:firstLineChars="0"/>
                    <w:jc w:val="center"/>
                    <w:rPr>
                      <w:kern w:val="0"/>
                      <w:sz w:val="21"/>
                      <w:szCs w:val="20"/>
                    </w:rPr>
                  </w:pPr>
                  <w:r>
                    <w:rPr>
                      <w:rFonts w:hint="eastAsia"/>
                      <w:kern w:val="0"/>
                      <w:sz w:val="21"/>
                      <w:szCs w:val="20"/>
                    </w:rPr>
                    <w:t>非甲烷总烃</w:t>
                  </w:r>
                </w:p>
              </w:tc>
              <w:tc>
                <w:tcPr>
                  <w:tcW w:w="982" w:type="dxa"/>
                  <w:shd w:val="clear" w:color="auto" w:fill="auto"/>
                  <w:vAlign w:val="center"/>
                </w:tcPr>
                <w:p w14:paraId="4E515C0A">
                  <w:pPr>
                    <w:widowControl/>
                    <w:kinsoku w:val="0"/>
                    <w:autoSpaceDE w:val="0"/>
                    <w:autoSpaceDN w:val="0"/>
                    <w:spacing w:line="240" w:lineRule="auto"/>
                    <w:ind w:firstLine="0" w:firstLineChars="0"/>
                    <w:jc w:val="center"/>
                    <w:textAlignment w:val="baseline"/>
                    <w:rPr>
                      <w:snapToGrid w:val="0"/>
                      <w:color w:val="000000"/>
                      <w:kern w:val="0"/>
                      <w:sz w:val="21"/>
                      <w:szCs w:val="20"/>
                    </w:rPr>
                  </w:pPr>
                  <w:r>
                    <w:rPr>
                      <w:rFonts w:hint="eastAsia"/>
                      <w:snapToGrid w:val="0"/>
                      <w:color w:val="000000"/>
                      <w:kern w:val="0"/>
                      <w:sz w:val="21"/>
                      <w:szCs w:val="20"/>
                    </w:rPr>
                    <w:t>0.888</w:t>
                  </w:r>
                </w:p>
              </w:tc>
              <w:tc>
                <w:tcPr>
                  <w:tcW w:w="981" w:type="dxa"/>
                  <w:shd w:val="clear" w:color="auto" w:fill="auto"/>
                  <w:vAlign w:val="center"/>
                </w:tcPr>
                <w:p w14:paraId="55363B2A">
                  <w:pPr>
                    <w:widowControl/>
                    <w:kinsoku w:val="0"/>
                    <w:autoSpaceDE w:val="0"/>
                    <w:autoSpaceDN w:val="0"/>
                    <w:spacing w:line="240" w:lineRule="auto"/>
                    <w:ind w:firstLine="0" w:firstLineChars="0"/>
                    <w:jc w:val="center"/>
                    <w:textAlignment w:val="baseline"/>
                    <w:rPr>
                      <w:snapToGrid w:val="0"/>
                      <w:color w:val="000000"/>
                      <w:kern w:val="0"/>
                      <w:sz w:val="21"/>
                      <w:szCs w:val="20"/>
                    </w:rPr>
                  </w:pPr>
                  <w:r>
                    <w:rPr>
                      <w:snapToGrid w:val="0"/>
                      <w:color w:val="000000"/>
                      <w:kern w:val="0"/>
                      <w:sz w:val="21"/>
                      <w:szCs w:val="20"/>
                    </w:rPr>
                    <w:t>2</w:t>
                  </w:r>
                </w:p>
              </w:tc>
              <w:tc>
                <w:tcPr>
                  <w:tcW w:w="778" w:type="dxa"/>
                  <w:vAlign w:val="center"/>
                </w:tcPr>
                <w:p w14:paraId="3492A2B9">
                  <w:pPr>
                    <w:autoSpaceDE w:val="0"/>
                    <w:autoSpaceDN w:val="0"/>
                    <w:spacing w:line="240" w:lineRule="auto"/>
                    <w:ind w:firstLine="0" w:firstLineChars="0"/>
                    <w:jc w:val="center"/>
                    <w:rPr>
                      <w:kern w:val="0"/>
                      <w:sz w:val="21"/>
                      <w:szCs w:val="21"/>
                    </w:rPr>
                  </w:pPr>
                  <w:r>
                    <w:rPr>
                      <w:rFonts w:hint="eastAsia"/>
                      <w:kern w:val="0"/>
                      <w:sz w:val="21"/>
                      <w:szCs w:val="21"/>
                    </w:rPr>
                    <w:t>2000</w:t>
                  </w:r>
                </w:p>
              </w:tc>
              <w:tc>
                <w:tcPr>
                  <w:tcW w:w="709" w:type="dxa"/>
                  <w:vAlign w:val="center"/>
                </w:tcPr>
                <w:p w14:paraId="269DA8AF">
                  <w:pPr>
                    <w:autoSpaceDE w:val="0"/>
                    <w:autoSpaceDN w:val="0"/>
                    <w:spacing w:line="240" w:lineRule="auto"/>
                    <w:ind w:firstLine="0" w:firstLineChars="0"/>
                    <w:jc w:val="center"/>
                    <w:rPr>
                      <w:kern w:val="0"/>
                      <w:sz w:val="21"/>
                      <w:szCs w:val="21"/>
                    </w:rPr>
                  </w:pPr>
                  <w:r>
                    <w:rPr>
                      <w:rFonts w:hint="eastAsia"/>
                      <w:kern w:val="0"/>
                      <w:sz w:val="21"/>
                      <w:szCs w:val="21"/>
                    </w:rPr>
                    <w:t>25.24</w:t>
                  </w:r>
                </w:p>
              </w:tc>
              <w:tc>
                <w:tcPr>
                  <w:tcW w:w="668" w:type="dxa"/>
                  <w:vAlign w:val="center"/>
                </w:tcPr>
                <w:p w14:paraId="541EA19C">
                  <w:pPr>
                    <w:autoSpaceDE w:val="0"/>
                    <w:autoSpaceDN w:val="0"/>
                    <w:spacing w:line="240" w:lineRule="auto"/>
                    <w:ind w:firstLine="0" w:firstLineChars="0"/>
                    <w:jc w:val="center"/>
                    <w:rPr>
                      <w:kern w:val="0"/>
                      <w:sz w:val="21"/>
                      <w:szCs w:val="20"/>
                    </w:rPr>
                  </w:pPr>
                  <w:r>
                    <w:rPr>
                      <w:rFonts w:hint="eastAsia"/>
                      <w:kern w:val="0"/>
                      <w:sz w:val="21"/>
                      <w:szCs w:val="20"/>
                    </w:rPr>
                    <w:t>700</w:t>
                  </w:r>
                </w:p>
              </w:tc>
              <w:tc>
                <w:tcPr>
                  <w:tcW w:w="695" w:type="dxa"/>
                  <w:vAlign w:val="center"/>
                </w:tcPr>
                <w:p w14:paraId="3C263365">
                  <w:pPr>
                    <w:autoSpaceDE w:val="0"/>
                    <w:autoSpaceDN w:val="0"/>
                    <w:spacing w:line="240" w:lineRule="auto"/>
                    <w:ind w:firstLine="0" w:firstLineChars="0"/>
                    <w:jc w:val="center"/>
                    <w:rPr>
                      <w:kern w:val="0"/>
                      <w:sz w:val="21"/>
                      <w:szCs w:val="20"/>
                    </w:rPr>
                  </w:pPr>
                  <w:r>
                    <w:rPr>
                      <w:rFonts w:hint="eastAsia"/>
                      <w:kern w:val="0"/>
                      <w:sz w:val="21"/>
                      <w:szCs w:val="20"/>
                    </w:rPr>
                    <w:t>0.021</w:t>
                  </w:r>
                </w:p>
              </w:tc>
              <w:tc>
                <w:tcPr>
                  <w:tcW w:w="696" w:type="dxa"/>
                  <w:vAlign w:val="center"/>
                </w:tcPr>
                <w:p w14:paraId="3A8A3AB5">
                  <w:pPr>
                    <w:autoSpaceDE w:val="0"/>
                    <w:autoSpaceDN w:val="0"/>
                    <w:spacing w:line="240" w:lineRule="auto"/>
                    <w:ind w:firstLine="0" w:firstLineChars="0"/>
                    <w:jc w:val="center"/>
                    <w:rPr>
                      <w:kern w:val="0"/>
                      <w:sz w:val="21"/>
                      <w:szCs w:val="20"/>
                    </w:rPr>
                  </w:pPr>
                  <w:r>
                    <w:rPr>
                      <w:rFonts w:hint="eastAsia"/>
                      <w:kern w:val="0"/>
                      <w:sz w:val="21"/>
                      <w:szCs w:val="20"/>
                    </w:rPr>
                    <w:t>1.85</w:t>
                  </w:r>
                </w:p>
              </w:tc>
              <w:tc>
                <w:tcPr>
                  <w:tcW w:w="709" w:type="dxa"/>
                  <w:vAlign w:val="center"/>
                </w:tcPr>
                <w:p w14:paraId="38939DF6">
                  <w:pPr>
                    <w:autoSpaceDE w:val="0"/>
                    <w:autoSpaceDN w:val="0"/>
                    <w:spacing w:line="240" w:lineRule="auto"/>
                    <w:ind w:firstLine="0" w:firstLineChars="0"/>
                    <w:jc w:val="center"/>
                    <w:rPr>
                      <w:kern w:val="0"/>
                      <w:sz w:val="21"/>
                      <w:szCs w:val="20"/>
                    </w:rPr>
                  </w:pPr>
                  <w:r>
                    <w:rPr>
                      <w:rFonts w:hint="eastAsia"/>
                      <w:kern w:val="0"/>
                      <w:sz w:val="21"/>
                      <w:szCs w:val="20"/>
                    </w:rPr>
                    <w:t>0.84</w:t>
                  </w:r>
                </w:p>
              </w:tc>
              <w:tc>
                <w:tcPr>
                  <w:tcW w:w="968" w:type="dxa"/>
                  <w:vAlign w:val="center"/>
                </w:tcPr>
                <w:p w14:paraId="5D786D44">
                  <w:pPr>
                    <w:autoSpaceDE w:val="0"/>
                    <w:autoSpaceDN w:val="0"/>
                    <w:spacing w:line="240" w:lineRule="auto"/>
                    <w:ind w:firstLine="0" w:firstLineChars="0"/>
                    <w:jc w:val="center"/>
                    <w:rPr>
                      <w:kern w:val="0"/>
                      <w:sz w:val="21"/>
                      <w:szCs w:val="20"/>
                    </w:rPr>
                  </w:pPr>
                  <w:r>
                    <w:rPr>
                      <w:rFonts w:hint="eastAsia"/>
                      <w:kern w:val="0"/>
                      <w:sz w:val="21"/>
                      <w:szCs w:val="20"/>
                    </w:rPr>
                    <w:t>42</w:t>
                  </w:r>
                </w:p>
              </w:tc>
            </w:tr>
          </w:tbl>
          <w:p w14:paraId="4C4FFA77">
            <w:pPr>
              <w:autoSpaceDE w:val="0"/>
              <w:autoSpaceDN w:val="0"/>
              <w:ind w:firstLine="480"/>
              <w:jc w:val="both"/>
              <w:rPr>
                <w:kern w:val="0"/>
                <w:szCs w:val="20"/>
              </w:rPr>
            </w:pPr>
            <w:r>
              <w:rPr>
                <w:rFonts w:hint="eastAsia"/>
                <w:kern w:val="0"/>
                <w:szCs w:val="20"/>
              </w:rPr>
              <w:t>根据《大气有害物质无组织排放卫生防护距离推导技术导则》（GB/T39499-2020），本项目卫生防护距离初值小于50，级差为50米，则本项目卫生防护距离终值取50m。项目</w:t>
            </w:r>
            <w:r>
              <w:t>厂界外500</w:t>
            </w:r>
            <w:r>
              <w:rPr>
                <w:rFonts w:hint="eastAsia"/>
              </w:rPr>
              <w:t>m</w:t>
            </w:r>
            <w:r>
              <w:t>范围内</w:t>
            </w:r>
            <w:r>
              <w:rPr>
                <w:rFonts w:hint="eastAsia"/>
              </w:rPr>
              <w:t>没有</w:t>
            </w:r>
            <w:r>
              <w:rPr>
                <w:rFonts w:hint="eastAsia"/>
                <w:kern w:val="0"/>
                <w:szCs w:val="20"/>
              </w:rPr>
              <w:t>敏感点，故项目50m卫生防护距离内无敏感点，符合</w:t>
            </w:r>
            <w:r>
              <w:rPr>
                <w:rFonts w:eastAsiaTheme="minorEastAsia"/>
              </w:rPr>
              <w:t>卫生防护距离</w:t>
            </w:r>
            <w:r>
              <w:rPr>
                <w:rFonts w:hint="eastAsia"/>
                <w:kern w:val="0"/>
                <w:szCs w:val="20"/>
              </w:rPr>
              <w:t>要求，项目卫生防护距离包络线图见</w:t>
            </w:r>
            <w:bookmarkStart w:id="271" w:name="OLE_LINK229"/>
            <w:r>
              <w:rPr>
                <w:rFonts w:hint="eastAsia"/>
                <w:kern w:val="0"/>
                <w:szCs w:val="20"/>
              </w:rPr>
              <w:t>附图6</w:t>
            </w:r>
            <w:bookmarkEnd w:id="271"/>
            <w:r>
              <w:rPr>
                <w:rFonts w:hint="eastAsia"/>
                <w:kern w:val="0"/>
                <w:szCs w:val="20"/>
              </w:rPr>
              <w:t>。</w:t>
            </w:r>
          </w:p>
          <w:p w14:paraId="5C19DB2C">
            <w:pPr>
              <w:autoSpaceDE w:val="0"/>
              <w:autoSpaceDN w:val="0"/>
              <w:ind w:firstLine="482"/>
              <w:jc w:val="both"/>
              <w:rPr>
                <w:b/>
                <w:kern w:val="0"/>
                <w:szCs w:val="20"/>
              </w:rPr>
            </w:pPr>
            <w:r>
              <w:rPr>
                <w:rFonts w:hint="eastAsia"/>
                <w:b/>
                <w:kern w:val="0"/>
                <w:szCs w:val="20"/>
              </w:rPr>
              <w:t>9、大气环境影响分析</w:t>
            </w:r>
          </w:p>
          <w:p w14:paraId="683D21A8">
            <w:pPr>
              <w:autoSpaceDE w:val="0"/>
              <w:autoSpaceDN w:val="0"/>
              <w:ind w:firstLine="480"/>
              <w:jc w:val="both"/>
            </w:pPr>
            <w:r>
              <w:rPr>
                <w:rFonts w:hint="eastAsia"/>
                <w:kern w:val="0"/>
                <w:szCs w:val="20"/>
              </w:rPr>
              <w:t>本项目评价区域环境质量现状良好，项目有机废气、臭气浓度及颗粒物采用</w:t>
            </w:r>
            <w:r>
              <w:rPr>
                <w:rFonts w:hint="eastAsia"/>
              </w:rPr>
              <w:t>“水喷淋+干式过滤器+二级活性炭吸附装置”</w:t>
            </w:r>
            <w:r>
              <w:rPr>
                <w:rFonts w:hint="eastAsia"/>
                <w:kern w:val="0"/>
                <w:szCs w:val="20"/>
              </w:rPr>
              <w:t>处理后经30m排气筒DA001高空排放，非甲烷总烃、颗粒物排放可达到《合成树脂工业污染物排放标准（含2024年修改单）》（</w:t>
            </w:r>
            <w:r>
              <w:rPr>
                <w:kern w:val="0"/>
                <w:szCs w:val="20"/>
              </w:rPr>
              <w:t>GB31572-2015</w:t>
            </w:r>
            <w:r>
              <w:rPr>
                <w:rFonts w:hint="eastAsia"/>
                <w:kern w:val="0"/>
                <w:szCs w:val="20"/>
              </w:rPr>
              <w:t>）表5大气污染物特别排放限值及表9企业边界大气污染物浓度限值；臭气浓度排放可达到《恶臭污染物排放标准》</w:t>
            </w:r>
            <w:r>
              <w:rPr>
                <w:kern w:val="0"/>
                <w:szCs w:val="20"/>
              </w:rPr>
              <w:t>(GB14554-93</w:t>
            </w:r>
            <w:r>
              <w:rPr>
                <w:rFonts w:hint="eastAsia"/>
                <w:kern w:val="0"/>
                <w:szCs w:val="20"/>
              </w:rPr>
              <w:t>）表</w:t>
            </w:r>
            <w:r>
              <w:rPr>
                <w:kern w:val="0"/>
                <w:szCs w:val="20"/>
              </w:rPr>
              <w:t>2</w:t>
            </w:r>
            <w:r>
              <w:rPr>
                <w:rFonts w:hint="eastAsia"/>
                <w:kern w:val="0"/>
                <w:szCs w:val="20"/>
              </w:rPr>
              <w:t>恶臭污染物排放标准</w:t>
            </w:r>
            <w:r>
              <w:rPr>
                <w:rFonts w:hint="eastAsia"/>
              </w:rPr>
              <w:t>及表</w:t>
            </w:r>
            <w:r>
              <w:t>1</w:t>
            </w:r>
            <w:r>
              <w:rPr>
                <w:rFonts w:hint="eastAsia"/>
              </w:rPr>
              <w:t>恶臭污染物厂界标准值二级新改扩建排放标准</w:t>
            </w:r>
            <w:r>
              <w:rPr>
                <w:rFonts w:hint="eastAsia"/>
                <w:kern w:val="0"/>
                <w:szCs w:val="20"/>
              </w:rPr>
              <w:t>；厂区内</w:t>
            </w:r>
            <w:r>
              <w:rPr>
                <w:kern w:val="0"/>
                <w:szCs w:val="20"/>
              </w:rPr>
              <w:t>VOCs</w:t>
            </w:r>
            <w:r>
              <w:rPr>
                <w:rFonts w:hint="eastAsia"/>
                <w:kern w:val="0"/>
                <w:szCs w:val="20"/>
              </w:rPr>
              <w:t>无组织排放可达到广东省《固定污染源挥发性有机物综合排放标准》（</w:t>
            </w:r>
            <w:r>
              <w:rPr>
                <w:kern w:val="0"/>
                <w:szCs w:val="20"/>
              </w:rPr>
              <w:t>DB44/2367-2022</w:t>
            </w:r>
            <w:r>
              <w:rPr>
                <w:rFonts w:hint="eastAsia"/>
                <w:kern w:val="0"/>
                <w:szCs w:val="20"/>
              </w:rPr>
              <w:t>）中表</w:t>
            </w:r>
            <w:r>
              <w:rPr>
                <w:kern w:val="0"/>
                <w:szCs w:val="20"/>
              </w:rPr>
              <w:t>3</w:t>
            </w:r>
            <w:r>
              <w:rPr>
                <w:rFonts w:hint="eastAsia"/>
                <w:kern w:val="0"/>
                <w:szCs w:val="20"/>
              </w:rPr>
              <w:t>厂区内</w:t>
            </w:r>
            <w:r>
              <w:rPr>
                <w:kern w:val="0"/>
                <w:szCs w:val="20"/>
              </w:rPr>
              <w:t>VOCs</w:t>
            </w:r>
            <w:r>
              <w:rPr>
                <w:rFonts w:hint="eastAsia"/>
                <w:kern w:val="0"/>
                <w:szCs w:val="20"/>
              </w:rPr>
              <w:t>无组织排放限值要求</w:t>
            </w:r>
            <w:r>
              <w:rPr>
                <w:rFonts w:hint="eastAsia"/>
              </w:rPr>
              <w:t>。</w:t>
            </w:r>
            <w:r>
              <w:rPr>
                <w:rFonts w:hint="eastAsia"/>
                <w:kern w:val="0"/>
                <w:szCs w:val="20"/>
              </w:rPr>
              <w:t>综上所述，项目废气经处理后均可达标排放，对周围环境影响较小。</w:t>
            </w:r>
          </w:p>
          <w:p w14:paraId="5BAD85C4">
            <w:pPr>
              <w:pStyle w:val="23"/>
              <w:ind w:firstLine="482"/>
              <w:rPr>
                <w:b/>
                <w:sz w:val="24"/>
                <w:szCs w:val="24"/>
              </w:rPr>
            </w:pPr>
            <w:r>
              <w:rPr>
                <w:rFonts w:hint="eastAsia"/>
                <w:b/>
                <w:sz w:val="24"/>
                <w:szCs w:val="24"/>
              </w:rPr>
              <w:t>二、废水</w:t>
            </w:r>
          </w:p>
          <w:p w14:paraId="592E1AE5">
            <w:pPr>
              <w:pStyle w:val="23"/>
              <w:ind w:firstLine="482"/>
              <w:rPr>
                <w:b/>
                <w:sz w:val="24"/>
                <w:szCs w:val="24"/>
              </w:rPr>
            </w:pPr>
            <w:r>
              <w:rPr>
                <w:rFonts w:hint="eastAsia"/>
                <w:b/>
                <w:sz w:val="24"/>
                <w:szCs w:val="24"/>
              </w:rPr>
              <w:t>1、</w:t>
            </w:r>
            <w:r>
              <w:rPr>
                <w:b/>
                <w:sz w:val="24"/>
                <w:szCs w:val="24"/>
              </w:rPr>
              <w:t>源强分析</w:t>
            </w:r>
          </w:p>
          <w:p w14:paraId="42BD7D2A">
            <w:pPr>
              <w:ind w:firstLine="480"/>
              <w:jc w:val="both"/>
              <w:rPr>
                <w:b/>
                <w:bCs/>
                <w:sz w:val="21"/>
                <w:szCs w:val="21"/>
              </w:rPr>
            </w:pPr>
            <w:r>
              <w:rPr>
                <w:rFonts w:hint="eastAsia" w:cs="宋体"/>
              </w:rPr>
              <w:t>项目废水污染源源强核算见下表。</w:t>
            </w:r>
          </w:p>
          <w:p w14:paraId="10C0A22C">
            <w:pPr>
              <w:snapToGrid w:val="0"/>
              <w:spacing w:line="240" w:lineRule="auto"/>
              <w:ind w:firstLine="0" w:firstLineChars="0"/>
              <w:jc w:val="center"/>
              <w:rPr>
                <w:sz w:val="21"/>
                <w:szCs w:val="21"/>
              </w:rPr>
            </w:pPr>
            <w:r>
              <w:rPr>
                <w:rFonts w:hint="eastAsia"/>
                <w:b/>
                <w:bCs/>
                <w:sz w:val="21"/>
                <w:szCs w:val="21"/>
              </w:rPr>
              <w:t>表</w:t>
            </w:r>
            <w:r>
              <w:rPr>
                <w:b/>
                <w:bCs/>
                <w:sz w:val="21"/>
                <w:szCs w:val="21"/>
              </w:rPr>
              <w:t>4</w:t>
            </w:r>
            <w:r>
              <w:rPr>
                <w:rFonts w:hint="eastAsia"/>
                <w:b/>
                <w:bCs/>
                <w:sz w:val="21"/>
                <w:szCs w:val="21"/>
              </w:rPr>
              <w:t>-10 项目废水污染源源强核算结果及相关参数一览表</w:t>
            </w:r>
          </w:p>
          <w:tbl>
            <w:tblPr>
              <w:tblStyle w:val="34"/>
              <w:tblW w:w="4998" w:type="pct"/>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417"/>
              <w:gridCol w:w="845"/>
              <w:gridCol w:w="482"/>
              <w:gridCol w:w="716"/>
              <w:gridCol w:w="903"/>
              <w:gridCol w:w="1098"/>
              <w:gridCol w:w="728"/>
              <w:gridCol w:w="561"/>
              <w:gridCol w:w="682"/>
              <w:gridCol w:w="988"/>
              <w:gridCol w:w="421"/>
              <w:gridCol w:w="680"/>
            </w:tblGrid>
            <w:tr w14:paraId="2B6B773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7" w:hRule="atLeast"/>
              </w:trPr>
              <w:tc>
                <w:tcPr>
                  <w:tcW w:w="244" w:type="pct"/>
                  <w:vMerge w:val="restart"/>
                  <w:tcBorders>
                    <w:tl2br w:val="nil"/>
                    <w:tr2bl w:val="nil"/>
                  </w:tcBorders>
                  <w:vAlign w:val="center"/>
                </w:tcPr>
                <w:p w14:paraId="09B3196B">
                  <w:pPr>
                    <w:spacing w:line="240" w:lineRule="auto"/>
                    <w:ind w:firstLine="0" w:firstLineChars="0"/>
                    <w:jc w:val="center"/>
                    <w:rPr>
                      <w:b/>
                      <w:sz w:val="21"/>
                      <w:szCs w:val="21"/>
                    </w:rPr>
                  </w:pPr>
                  <w:r>
                    <w:rPr>
                      <w:b/>
                      <w:sz w:val="21"/>
                      <w:szCs w:val="21"/>
                    </w:rPr>
                    <w:t>污染源</w:t>
                  </w:r>
                </w:p>
              </w:tc>
              <w:tc>
                <w:tcPr>
                  <w:tcW w:w="495" w:type="pct"/>
                  <w:vMerge w:val="restart"/>
                  <w:tcBorders>
                    <w:tl2br w:val="nil"/>
                    <w:tr2bl w:val="nil"/>
                  </w:tcBorders>
                  <w:vAlign w:val="center"/>
                </w:tcPr>
                <w:p w14:paraId="09EEBE04">
                  <w:pPr>
                    <w:spacing w:line="240" w:lineRule="auto"/>
                    <w:ind w:firstLine="0" w:firstLineChars="0"/>
                    <w:jc w:val="center"/>
                    <w:rPr>
                      <w:b/>
                      <w:sz w:val="21"/>
                      <w:szCs w:val="21"/>
                    </w:rPr>
                  </w:pPr>
                  <w:r>
                    <w:rPr>
                      <w:b/>
                      <w:sz w:val="21"/>
                      <w:szCs w:val="21"/>
                    </w:rPr>
                    <w:t>污染物</w:t>
                  </w:r>
                </w:p>
              </w:tc>
              <w:tc>
                <w:tcPr>
                  <w:tcW w:w="1232" w:type="pct"/>
                  <w:gridSpan w:val="3"/>
                  <w:tcBorders>
                    <w:tl2br w:val="nil"/>
                    <w:tr2bl w:val="nil"/>
                  </w:tcBorders>
                  <w:vAlign w:val="center"/>
                </w:tcPr>
                <w:p w14:paraId="089BF4F4">
                  <w:pPr>
                    <w:spacing w:line="240" w:lineRule="auto"/>
                    <w:ind w:firstLine="0" w:firstLineChars="0"/>
                    <w:jc w:val="center"/>
                    <w:rPr>
                      <w:b/>
                      <w:sz w:val="21"/>
                      <w:szCs w:val="21"/>
                    </w:rPr>
                  </w:pPr>
                  <w:r>
                    <w:rPr>
                      <w:b/>
                      <w:sz w:val="21"/>
                      <w:szCs w:val="21"/>
                    </w:rPr>
                    <w:t>污染物产生</w:t>
                  </w:r>
                  <w:r>
                    <w:rPr>
                      <w:rFonts w:hint="eastAsia"/>
                      <w:b/>
                      <w:sz w:val="21"/>
                      <w:szCs w:val="21"/>
                    </w:rPr>
                    <w:t>情况</w:t>
                  </w:r>
                </w:p>
              </w:tc>
              <w:tc>
                <w:tcPr>
                  <w:tcW w:w="1070" w:type="pct"/>
                  <w:gridSpan w:val="2"/>
                  <w:tcBorders>
                    <w:tl2br w:val="nil"/>
                    <w:tr2bl w:val="nil"/>
                  </w:tcBorders>
                  <w:vAlign w:val="center"/>
                </w:tcPr>
                <w:p w14:paraId="502E3868">
                  <w:pPr>
                    <w:spacing w:line="240" w:lineRule="auto"/>
                    <w:ind w:firstLine="0" w:firstLineChars="0"/>
                    <w:jc w:val="center"/>
                    <w:rPr>
                      <w:b/>
                      <w:sz w:val="21"/>
                      <w:szCs w:val="21"/>
                    </w:rPr>
                  </w:pPr>
                  <w:r>
                    <w:rPr>
                      <w:b/>
                      <w:sz w:val="21"/>
                      <w:szCs w:val="21"/>
                    </w:rPr>
                    <w:t>治理措施</w:t>
                  </w:r>
                </w:p>
              </w:tc>
              <w:tc>
                <w:tcPr>
                  <w:tcW w:w="1309" w:type="pct"/>
                  <w:gridSpan w:val="3"/>
                  <w:tcBorders>
                    <w:tl2br w:val="nil"/>
                    <w:tr2bl w:val="nil"/>
                  </w:tcBorders>
                  <w:vAlign w:val="center"/>
                </w:tcPr>
                <w:p w14:paraId="0B359E4A">
                  <w:pPr>
                    <w:spacing w:line="240" w:lineRule="auto"/>
                    <w:ind w:firstLine="0" w:firstLineChars="0"/>
                    <w:jc w:val="center"/>
                    <w:rPr>
                      <w:b/>
                      <w:sz w:val="21"/>
                      <w:szCs w:val="21"/>
                    </w:rPr>
                  </w:pPr>
                  <w:r>
                    <w:rPr>
                      <w:b/>
                      <w:sz w:val="21"/>
                      <w:szCs w:val="21"/>
                    </w:rPr>
                    <w:t>污染物排放</w:t>
                  </w:r>
                  <w:r>
                    <w:rPr>
                      <w:rFonts w:hint="eastAsia"/>
                      <w:b/>
                      <w:sz w:val="21"/>
                      <w:szCs w:val="21"/>
                    </w:rPr>
                    <w:t>情况</w:t>
                  </w:r>
                </w:p>
              </w:tc>
              <w:tc>
                <w:tcPr>
                  <w:tcW w:w="247" w:type="pct"/>
                  <w:vMerge w:val="restart"/>
                  <w:tcBorders>
                    <w:right w:val="single" w:color="auto" w:sz="4" w:space="0"/>
                    <w:tl2br w:val="nil"/>
                    <w:tr2bl w:val="nil"/>
                  </w:tcBorders>
                  <w:vAlign w:val="center"/>
                </w:tcPr>
                <w:p w14:paraId="6FDD5D7F">
                  <w:pPr>
                    <w:spacing w:line="240" w:lineRule="auto"/>
                    <w:ind w:firstLine="0" w:firstLineChars="0"/>
                    <w:jc w:val="center"/>
                    <w:rPr>
                      <w:b/>
                      <w:sz w:val="21"/>
                      <w:szCs w:val="21"/>
                    </w:rPr>
                  </w:pPr>
                  <w:r>
                    <w:rPr>
                      <w:rFonts w:hint="eastAsia"/>
                      <w:b/>
                      <w:sz w:val="21"/>
                      <w:szCs w:val="21"/>
                    </w:rPr>
                    <w:t>排放方式</w:t>
                  </w:r>
                </w:p>
              </w:tc>
              <w:tc>
                <w:tcPr>
                  <w:tcW w:w="399" w:type="pct"/>
                  <w:vMerge w:val="restart"/>
                  <w:tcBorders>
                    <w:left w:val="single" w:color="auto" w:sz="4" w:space="0"/>
                    <w:tl2br w:val="nil"/>
                    <w:tr2bl w:val="nil"/>
                  </w:tcBorders>
                  <w:vAlign w:val="center"/>
                </w:tcPr>
                <w:p w14:paraId="1E48CBF8">
                  <w:pPr>
                    <w:spacing w:line="240" w:lineRule="auto"/>
                    <w:ind w:firstLine="0" w:firstLineChars="0"/>
                    <w:jc w:val="center"/>
                    <w:rPr>
                      <w:b/>
                      <w:sz w:val="21"/>
                      <w:szCs w:val="21"/>
                    </w:rPr>
                  </w:pPr>
                  <w:r>
                    <w:rPr>
                      <w:rFonts w:hint="eastAsia"/>
                      <w:b/>
                      <w:sz w:val="21"/>
                      <w:szCs w:val="21"/>
                    </w:rPr>
                    <w:t>排放去向</w:t>
                  </w:r>
                </w:p>
              </w:tc>
            </w:tr>
            <w:tr w14:paraId="75E07A2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17" w:hRule="atLeast"/>
              </w:trPr>
              <w:tc>
                <w:tcPr>
                  <w:tcW w:w="244" w:type="pct"/>
                  <w:vMerge w:val="continue"/>
                  <w:tcBorders>
                    <w:tl2br w:val="nil"/>
                    <w:tr2bl w:val="nil"/>
                  </w:tcBorders>
                  <w:vAlign w:val="center"/>
                </w:tcPr>
                <w:p w14:paraId="3F16D828">
                  <w:pPr>
                    <w:spacing w:line="240" w:lineRule="auto"/>
                    <w:ind w:firstLine="0" w:firstLineChars="0"/>
                    <w:jc w:val="center"/>
                    <w:rPr>
                      <w:sz w:val="21"/>
                      <w:szCs w:val="21"/>
                    </w:rPr>
                  </w:pPr>
                </w:p>
              </w:tc>
              <w:tc>
                <w:tcPr>
                  <w:tcW w:w="495" w:type="pct"/>
                  <w:vMerge w:val="continue"/>
                  <w:tcBorders>
                    <w:tl2br w:val="nil"/>
                    <w:tr2bl w:val="nil"/>
                  </w:tcBorders>
                  <w:vAlign w:val="center"/>
                </w:tcPr>
                <w:p w14:paraId="0D68E179">
                  <w:pPr>
                    <w:spacing w:line="240" w:lineRule="auto"/>
                    <w:ind w:firstLine="0" w:firstLineChars="0"/>
                    <w:jc w:val="center"/>
                    <w:rPr>
                      <w:sz w:val="21"/>
                      <w:szCs w:val="21"/>
                    </w:rPr>
                  </w:pPr>
                </w:p>
              </w:tc>
              <w:tc>
                <w:tcPr>
                  <w:tcW w:w="282" w:type="pct"/>
                  <w:tcBorders>
                    <w:tl2br w:val="nil"/>
                    <w:tr2bl w:val="nil"/>
                  </w:tcBorders>
                  <w:vAlign w:val="center"/>
                </w:tcPr>
                <w:p w14:paraId="32257A17">
                  <w:pPr>
                    <w:spacing w:line="240" w:lineRule="auto"/>
                    <w:ind w:firstLine="0" w:firstLineChars="0"/>
                    <w:jc w:val="center"/>
                    <w:rPr>
                      <w:b/>
                      <w:sz w:val="21"/>
                      <w:szCs w:val="21"/>
                    </w:rPr>
                  </w:pPr>
                  <w:r>
                    <w:rPr>
                      <w:b/>
                      <w:sz w:val="21"/>
                      <w:szCs w:val="21"/>
                    </w:rPr>
                    <w:t>废水产生量t/a</w:t>
                  </w:r>
                </w:p>
              </w:tc>
              <w:tc>
                <w:tcPr>
                  <w:tcW w:w="420" w:type="pct"/>
                  <w:tcBorders>
                    <w:tl2br w:val="nil"/>
                    <w:tr2bl w:val="nil"/>
                  </w:tcBorders>
                  <w:vAlign w:val="center"/>
                </w:tcPr>
                <w:p w14:paraId="2A0F2B7E">
                  <w:pPr>
                    <w:spacing w:line="240" w:lineRule="auto"/>
                    <w:ind w:firstLine="0" w:firstLineChars="0"/>
                    <w:jc w:val="center"/>
                    <w:rPr>
                      <w:b/>
                      <w:sz w:val="21"/>
                      <w:szCs w:val="21"/>
                    </w:rPr>
                  </w:pPr>
                  <w:r>
                    <w:rPr>
                      <w:b/>
                      <w:sz w:val="21"/>
                      <w:szCs w:val="21"/>
                    </w:rPr>
                    <w:t>产生浓度mg/L</w:t>
                  </w:r>
                </w:p>
              </w:tc>
              <w:tc>
                <w:tcPr>
                  <w:tcW w:w="529" w:type="pct"/>
                  <w:tcBorders>
                    <w:tl2br w:val="nil"/>
                    <w:tr2bl w:val="nil"/>
                  </w:tcBorders>
                  <w:vAlign w:val="center"/>
                </w:tcPr>
                <w:p w14:paraId="64142995">
                  <w:pPr>
                    <w:spacing w:line="240" w:lineRule="auto"/>
                    <w:ind w:firstLine="0" w:firstLineChars="0"/>
                    <w:jc w:val="center"/>
                    <w:rPr>
                      <w:b/>
                      <w:sz w:val="21"/>
                      <w:szCs w:val="21"/>
                    </w:rPr>
                  </w:pPr>
                  <w:r>
                    <w:rPr>
                      <w:b/>
                      <w:sz w:val="21"/>
                      <w:szCs w:val="21"/>
                    </w:rPr>
                    <w:t>产生量t/a</w:t>
                  </w:r>
                </w:p>
              </w:tc>
              <w:tc>
                <w:tcPr>
                  <w:tcW w:w="643" w:type="pct"/>
                  <w:tcBorders>
                    <w:tl2br w:val="nil"/>
                    <w:tr2bl w:val="nil"/>
                  </w:tcBorders>
                  <w:vAlign w:val="center"/>
                </w:tcPr>
                <w:p w14:paraId="694605CB">
                  <w:pPr>
                    <w:spacing w:line="240" w:lineRule="auto"/>
                    <w:ind w:firstLine="0" w:firstLineChars="0"/>
                    <w:jc w:val="center"/>
                    <w:rPr>
                      <w:b/>
                      <w:sz w:val="21"/>
                      <w:szCs w:val="21"/>
                    </w:rPr>
                  </w:pPr>
                  <w:r>
                    <w:rPr>
                      <w:rFonts w:hint="eastAsia"/>
                      <w:b/>
                      <w:sz w:val="21"/>
                      <w:szCs w:val="21"/>
                    </w:rPr>
                    <w:t>治理</w:t>
                  </w:r>
                  <w:r>
                    <w:rPr>
                      <w:b/>
                      <w:sz w:val="21"/>
                      <w:szCs w:val="21"/>
                    </w:rPr>
                    <w:t>工艺</w:t>
                  </w:r>
                </w:p>
              </w:tc>
              <w:tc>
                <w:tcPr>
                  <w:tcW w:w="427" w:type="pct"/>
                  <w:tcBorders>
                    <w:tl2br w:val="nil"/>
                    <w:tr2bl w:val="nil"/>
                  </w:tcBorders>
                  <w:vAlign w:val="center"/>
                </w:tcPr>
                <w:p w14:paraId="41CA58D2">
                  <w:pPr>
                    <w:spacing w:line="240" w:lineRule="auto"/>
                    <w:ind w:firstLine="0" w:firstLineChars="0"/>
                    <w:jc w:val="center"/>
                    <w:rPr>
                      <w:b/>
                      <w:sz w:val="21"/>
                      <w:szCs w:val="21"/>
                    </w:rPr>
                  </w:pPr>
                  <w:r>
                    <w:rPr>
                      <w:rFonts w:hint="eastAsia"/>
                      <w:b/>
                      <w:sz w:val="21"/>
                      <w:szCs w:val="21"/>
                    </w:rPr>
                    <w:t>是否为可行技术</w:t>
                  </w:r>
                </w:p>
              </w:tc>
              <w:tc>
                <w:tcPr>
                  <w:tcW w:w="329" w:type="pct"/>
                  <w:tcBorders>
                    <w:tl2br w:val="nil"/>
                    <w:tr2bl w:val="nil"/>
                  </w:tcBorders>
                  <w:vAlign w:val="center"/>
                </w:tcPr>
                <w:p w14:paraId="111EB68B">
                  <w:pPr>
                    <w:spacing w:line="240" w:lineRule="auto"/>
                    <w:ind w:firstLine="0" w:firstLineChars="0"/>
                    <w:jc w:val="center"/>
                    <w:rPr>
                      <w:b/>
                      <w:sz w:val="21"/>
                      <w:szCs w:val="21"/>
                    </w:rPr>
                  </w:pPr>
                  <w:r>
                    <w:rPr>
                      <w:b/>
                      <w:sz w:val="21"/>
                      <w:szCs w:val="21"/>
                    </w:rPr>
                    <w:t>废水排放量t/a</w:t>
                  </w:r>
                </w:p>
              </w:tc>
              <w:tc>
                <w:tcPr>
                  <w:tcW w:w="400" w:type="pct"/>
                  <w:tcBorders>
                    <w:tl2br w:val="nil"/>
                    <w:tr2bl w:val="nil"/>
                  </w:tcBorders>
                  <w:vAlign w:val="center"/>
                </w:tcPr>
                <w:p w14:paraId="125659F6">
                  <w:pPr>
                    <w:spacing w:line="240" w:lineRule="auto"/>
                    <w:ind w:firstLine="0" w:firstLineChars="0"/>
                    <w:jc w:val="center"/>
                    <w:rPr>
                      <w:b/>
                      <w:sz w:val="21"/>
                      <w:szCs w:val="21"/>
                    </w:rPr>
                  </w:pPr>
                  <w:r>
                    <w:rPr>
                      <w:b/>
                      <w:sz w:val="21"/>
                      <w:szCs w:val="21"/>
                    </w:rPr>
                    <w:t>排放浓mg/L</w:t>
                  </w:r>
                </w:p>
              </w:tc>
              <w:tc>
                <w:tcPr>
                  <w:tcW w:w="580" w:type="pct"/>
                  <w:tcBorders>
                    <w:tl2br w:val="nil"/>
                    <w:tr2bl w:val="nil"/>
                  </w:tcBorders>
                  <w:vAlign w:val="center"/>
                </w:tcPr>
                <w:p w14:paraId="61BA4C81">
                  <w:pPr>
                    <w:spacing w:line="240" w:lineRule="auto"/>
                    <w:ind w:firstLine="0" w:firstLineChars="0"/>
                    <w:jc w:val="center"/>
                    <w:rPr>
                      <w:b/>
                      <w:sz w:val="21"/>
                      <w:szCs w:val="21"/>
                    </w:rPr>
                  </w:pPr>
                  <w:r>
                    <w:rPr>
                      <w:b/>
                      <w:sz w:val="21"/>
                      <w:szCs w:val="21"/>
                    </w:rPr>
                    <w:t>排放量t/a</w:t>
                  </w:r>
                </w:p>
              </w:tc>
              <w:tc>
                <w:tcPr>
                  <w:tcW w:w="247" w:type="pct"/>
                  <w:vMerge w:val="continue"/>
                  <w:tcBorders>
                    <w:right w:val="single" w:color="auto" w:sz="4" w:space="0"/>
                    <w:tl2br w:val="nil"/>
                    <w:tr2bl w:val="nil"/>
                  </w:tcBorders>
                  <w:vAlign w:val="center"/>
                </w:tcPr>
                <w:p w14:paraId="45E5A905">
                  <w:pPr>
                    <w:spacing w:line="240" w:lineRule="auto"/>
                    <w:ind w:firstLine="0" w:firstLineChars="0"/>
                    <w:jc w:val="center"/>
                    <w:rPr>
                      <w:b/>
                      <w:sz w:val="21"/>
                      <w:szCs w:val="21"/>
                    </w:rPr>
                  </w:pPr>
                </w:p>
              </w:tc>
              <w:tc>
                <w:tcPr>
                  <w:tcW w:w="399" w:type="pct"/>
                  <w:vMerge w:val="continue"/>
                  <w:tcBorders>
                    <w:left w:val="single" w:color="auto" w:sz="4" w:space="0"/>
                    <w:tl2br w:val="nil"/>
                    <w:tr2bl w:val="nil"/>
                  </w:tcBorders>
                  <w:vAlign w:val="center"/>
                </w:tcPr>
                <w:p w14:paraId="4211CC7C">
                  <w:pPr>
                    <w:spacing w:line="240" w:lineRule="auto"/>
                    <w:ind w:firstLine="0" w:firstLineChars="0"/>
                    <w:jc w:val="center"/>
                    <w:rPr>
                      <w:b/>
                      <w:sz w:val="21"/>
                      <w:szCs w:val="21"/>
                    </w:rPr>
                  </w:pPr>
                </w:p>
              </w:tc>
            </w:tr>
            <w:tr w14:paraId="1F35A8D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8" w:hRule="atLeast"/>
              </w:trPr>
              <w:tc>
                <w:tcPr>
                  <w:tcW w:w="244" w:type="pct"/>
                  <w:vMerge w:val="restart"/>
                  <w:tcBorders>
                    <w:tl2br w:val="nil"/>
                    <w:tr2bl w:val="nil"/>
                  </w:tcBorders>
                  <w:vAlign w:val="center"/>
                </w:tcPr>
                <w:p w14:paraId="145B7E3A">
                  <w:pPr>
                    <w:spacing w:before="48" w:beforeLines="20" w:after="48" w:afterLines="20" w:line="240" w:lineRule="auto"/>
                    <w:ind w:firstLine="0" w:firstLineChars="0"/>
                    <w:jc w:val="center"/>
                    <w:rPr>
                      <w:sz w:val="21"/>
                      <w:szCs w:val="21"/>
                    </w:rPr>
                  </w:pPr>
                  <w:r>
                    <w:rPr>
                      <w:sz w:val="21"/>
                      <w:szCs w:val="21"/>
                    </w:rPr>
                    <w:t>生活污水</w:t>
                  </w:r>
                </w:p>
              </w:tc>
              <w:tc>
                <w:tcPr>
                  <w:tcW w:w="495" w:type="pct"/>
                  <w:tcBorders>
                    <w:tl2br w:val="nil"/>
                    <w:tr2bl w:val="nil"/>
                  </w:tcBorders>
                  <w:vAlign w:val="center"/>
                </w:tcPr>
                <w:p w14:paraId="2C1A8A3B">
                  <w:pPr>
                    <w:spacing w:before="48" w:beforeLines="20" w:after="48" w:afterLines="20" w:line="240" w:lineRule="auto"/>
                    <w:ind w:firstLine="0" w:firstLineChars="0"/>
                    <w:jc w:val="center"/>
                    <w:rPr>
                      <w:sz w:val="21"/>
                      <w:szCs w:val="21"/>
                    </w:rPr>
                  </w:pPr>
                  <w:r>
                    <w:rPr>
                      <w:sz w:val="21"/>
                      <w:szCs w:val="21"/>
                    </w:rPr>
                    <w:t>COD</w:t>
                  </w:r>
                  <w:r>
                    <w:rPr>
                      <w:sz w:val="21"/>
                      <w:szCs w:val="21"/>
                      <w:vertAlign w:val="subscript"/>
                    </w:rPr>
                    <w:t>Cr</w:t>
                  </w:r>
                </w:p>
              </w:tc>
              <w:tc>
                <w:tcPr>
                  <w:tcW w:w="282" w:type="pct"/>
                  <w:vMerge w:val="restart"/>
                  <w:tcBorders>
                    <w:tl2br w:val="nil"/>
                    <w:tr2bl w:val="nil"/>
                  </w:tcBorders>
                  <w:vAlign w:val="center"/>
                </w:tcPr>
                <w:p w14:paraId="5C1AA97A">
                  <w:pPr>
                    <w:spacing w:before="48" w:beforeLines="20" w:after="48" w:afterLines="20" w:line="240" w:lineRule="auto"/>
                    <w:ind w:firstLine="0" w:firstLineChars="0"/>
                    <w:jc w:val="center"/>
                    <w:rPr>
                      <w:sz w:val="21"/>
                      <w:szCs w:val="21"/>
                    </w:rPr>
                  </w:pPr>
                  <w:r>
                    <w:rPr>
                      <w:rFonts w:hint="eastAsia"/>
                      <w:sz w:val="21"/>
                      <w:szCs w:val="21"/>
                    </w:rPr>
                    <w:t>64</w:t>
                  </w:r>
                </w:p>
              </w:tc>
              <w:tc>
                <w:tcPr>
                  <w:tcW w:w="420" w:type="pct"/>
                  <w:tcBorders>
                    <w:tl2br w:val="nil"/>
                    <w:tr2bl w:val="nil"/>
                  </w:tcBorders>
                  <w:vAlign w:val="center"/>
                </w:tcPr>
                <w:p w14:paraId="16BE448C">
                  <w:pPr>
                    <w:spacing w:before="48" w:beforeLines="20" w:after="48" w:afterLines="20" w:line="240" w:lineRule="auto"/>
                    <w:ind w:firstLine="0" w:firstLineChars="0"/>
                    <w:jc w:val="center"/>
                    <w:rPr>
                      <w:sz w:val="21"/>
                      <w:szCs w:val="21"/>
                    </w:rPr>
                  </w:pPr>
                  <w:r>
                    <w:rPr>
                      <w:rFonts w:hint="eastAsia"/>
                      <w:sz w:val="21"/>
                      <w:szCs w:val="21"/>
                    </w:rPr>
                    <w:t>285</w:t>
                  </w:r>
                </w:p>
              </w:tc>
              <w:tc>
                <w:tcPr>
                  <w:tcW w:w="529" w:type="pct"/>
                  <w:tcBorders>
                    <w:tl2br w:val="nil"/>
                    <w:tr2bl w:val="nil"/>
                  </w:tcBorders>
                  <w:vAlign w:val="center"/>
                </w:tcPr>
                <w:p w14:paraId="6428E3A9">
                  <w:pPr>
                    <w:spacing w:line="240" w:lineRule="auto"/>
                    <w:ind w:firstLine="0" w:firstLineChars="0"/>
                    <w:jc w:val="center"/>
                    <w:rPr>
                      <w:rFonts w:cs="宋体"/>
                      <w:color w:val="000000"/>
                      <w:sz w:val="21"/>
                      <w:szCs w:val="22"/>
                    </w:rPr>
                  </w:pPr>
                  <w:r>
                    <w:rPr>
                      <w:rFonts w:hint="eastAsia" w:cs="宋体"/>
                      <w:color w:val="000000"/>
                      <w:sz w:val="21"/>
                      <w:szCs w:val="22"/>
                    </w:rPr>
                    <w:t>0.01824</w:t>
                  </w:r>
                </w:p>
              </w:tc>
              <w:tc>
                <w:tcPr>
                  <w:tcW w:w="643" w:type="pct"/>
                  <w:vMerge w:val="restart"/>
                  <w:tcBorders>
                    <w:tl2br w:val="nil"/>
                    <w:tr2bl w:val="nil"/>
                  </w:tcBorders>
                  <w:vAlign w:val="center"/>
                </w:tcPr>
                <w:p w14:paraId="7A71E578">
                  <w:pPr>
                    <w:spacing w:before="48" w:beforeLines="20" w:after="48" w:afterLines="20" w:line="240" w:lineRule="auto"/>
                    <w:ind w:firstLine="0" w:firstLineChars="0"/>
                    <w:jc w:val="center"/>
                    <w:rPr>
                      <w:sz w:val="21"/>
                      <w:szCs w:val="21"/>
                      <w:lang w:bidi="en-US"/>
                    </w:rPr>
                  </w:pPr>
                  <w:r>
                    <w:rPr>
                      <w:rFonts w:hint="eastAsia"/>
                      <w:sz w:val="21"/>
                      <w:szCs w:val="21"/>
                      <w:lang w:bidi="en-US"/>
                    </w:rPr>
                    <w:t>三级化粪池</w:t>
                  </w:r>
                </w:p>
              </w:tc>
              <w:tc>
                <w:tcPr>
                  <w:tcW w:w="427" w:type="pct"/>
                  <w:vMerge w:val="restart"/>
                  <w:tcBorders>
                    <w:tl2br w:val="nil"/>
                    <w:tr2bl w:val="nil"/>
                  </w:tcBorders>
                  <w:vAlign w:val="center"/>
                </w:tcPr>
                <w:p w14:paraId="46F5773C">
                  <w:pPr>
                    <w:spacing w:before="48" w:beforeLines="20" w:after="48" w:afterLines="20" w:line="240" w:lineRule="auto"/>
                    <w:ind w:firstLine="0" w:firstLineChars="0"/>
                    <w:jc w:val="center"/>
                    <w:rPr>
                      <w:sz w:val="21"/>
                      <w:szCs w:val="21"/>
                    </w:rPr>
                  </w:pPr>
                  <w:r>
                    <w:rPr>
                      <w:rFonts w:hint="eastAsia"/>
                      <w:sz w:val="21"/>
                      <w:szCs w:val="21"/>
                    </w:rPr>
                    <w:t>是</w:t>
                  </w:r>
                </w:p>
              </w:tc>
              <w:tc>
                <w:tcPr>
                  <w:tcW w:w="329" w:type="pct"/>
                  <w:vMerge w:val="restart"/>
                  <w:tcBorders>
                    <w:tl2br w:val="nil"/>
                    <w:tr2bl w:val="nil"/>
                  </w:tcBorders>
                  <w:vAlign w:val="center"/>
                </w:tcPr>
                <w:p w14:paraId="5D21B514">
                  <w:pPr>
                    <w:spacing w:before="48" w:beforeLines="20" w:after="48" w:afterLines="20" w:line="240" w:lineRule="auto"/>
                    <w:ind w:firstLine="0" w:firstLineChars="0"/>
                    <w:jc w:val="center"/>
                    <w:rPr>
                      <w:sz w:val="21"/>
                      <w:szCs w:val="21"/>
                    </w:rPr>
                  </w:pPr>
                  <w:r>
                    <w:rPr>
                      <w:rFonts w:hint="eastAsia"/>
                      <w:sz w:val="21"/>
                      <w:szCs w:val="21"/>
                    </w:rPr>
                    <w:t>64</w:t>
                  </w:r>
                </w:p>
              </w:tc>
              <w:tc>
                <w:tcPr>
                  <w:tcW w:w="400" w:type="pct"/>
                  <w:tcBorders>
                    <w:tl2br w:val="nil"/>
                    <w:tr2bl w:val="nil"/>
                  </w:tcBorders>
                  <w:vAlign w:val="center"/>
                </w:tcPr>
                <w:p w14:paraId="03327C58">
                  <w:pPr>
                    <w:spacing w:before="48" w:beforeLines="20" w:after="48" w:afterLines="20" w:line="240" w:lineRule="auto"/>
                    <w:ind w:firstLine="0" w:firstLineChars="0"/>
                    <w:jc w:val="center"/>
                    <w:rPr>
                      <w:sz w:val="21"/>
                      <w:szCs w:val="21"/>
                    </w:rPr>
                  </w:pPr>
                  <w:r>
                    <w:rPr>
                      <w:rFonts w:hint="eastAsia"/>
                      <w:sz w:val="21"/>
                      <w:szCs w:val="21"/>
                    </w:rPr>
                    <w:t>40</w:t>
                  </w:r>
                </w:p>
              </w:tc>
              <w:tc>
                <w:tcPr>
                  <w:tcW w:w="580" w:type="pct"/>
                  <w:tcBorders>
                    <w:tl2br w:val="nil"/>
                    <w:tr2bl w:val="nil"/>
                  </w:tcBorders>
                  <w:vAlign w:val="center"/>
                </w:tcPr>
                <w:p w14:paraId="2B854310">
                  <w:pPr>
                    <w:spacing w:line="240" w:lineRule="auto"/>
                    <w:ind w:firstLine="0" w:firstLineChars="0"/>
                    <w:jc w:val="center"/>
                    <w:rPr>
                      <w:rFonts w:cs="宋体"/>
                      <w:color w:val="000000"/>
                      <w:sz w:val="21"/>
                      <w:szCs w:val="22"/>
                    </w:rPr>
                  </w:pPr>
                  <w:bookmarkStart w:id="272" w:name="OLE_LINK115"/>
                  <w:r>
                    <w:rPr>
                      <w:rFonts w:hint="eastAsia" w:cs="宋体"/>
                      <w:color w:val="000000"/>
                      <w:sz w:val="21"/>
                      <w:szCs w:val="22"/>
                    </w:rPr>
                    <w:t>0.00256</w:t>
                  </w:r>
                  <w:bookmarkEnd w:id="272"/>
                </w:p>
              </w:tc>
              <w:tc>
                <w:tcPr>
                  <w:tcW w:w="247" w:type="pct"/>
                  <w:vMerge w:val="restart"/>
                  <w:tcBorders>
                    <w:right w:val="single" w:color="auto" w:sz="4" w:space="0"/>
                    <w:tl2br w:val="nil"/>
                    <w:tr2bl w:val="nil"/>
                  </w:tcBorders>
                  <w:vAlign w:val="center"/>
                </w:tcPr>
                <w:p w14:paraId="53177B91">
                  <w:pPr>
                    <w:spacing w:line="240" w:lineRule="auto"/>
                    <w:ind w:firstLine="0" w:firstLineChars="0"/>
                    <w:jc w:val="center"/>
                    <w:rPr>
                      <w:color w:val="000000"/>
                      <w:sz w:val="21"/>
                      <w:szCs w:val="22"/>
                    </w:rPr>
                  </w:pPr>
                  <w:r>
                    <w:rPr>
                      <w:rFonts w:hint="eastAsia"/>
                      <w:color w:val="000000"/>
                      <w:sz w:val="21"/>
                      <w:szCs w:val="22"/>
                    </w:rPr>
                    <w:t>间接排放</w:t>
                  </w:r>
                </w:p>
              </w:tc>
              <w:tc>
                <w:tcPr>
                  <w:tcW w:w="399" w:type="pct"/>
                  <w:vMerge w:val="restart"/>
                  <w:tcBorders>
                    <w:left w:val="single" w:color="auto" w:sz="4" w:space="0"/>
                    <w:tl2br w:val="nil"/>
                    <w:tr2bl w:val="nil"/>
                  </w:tcBorders>
                  <w:vAlign w:val="center"/>
                </w:tcPr>
                <w:p w14:paraId="18EC8FB0">
                  <w:pPr>
                    <w:spacing w:line="240" w:lineRule="auto"/>
                    <w:ind w:firstLine="0" w:firstLineChars="0"/>
                    <w:jc w:val="center"/>
                    <w:rPr>
                      <w:color w:val="000000"/>
                      <w:sz w:val="21"/>
                      <w:szCs w:val="22"/>
                    </w:rPr>
                  </w:pPr>
                  <w:r>
                    <w:rPr>
                      <w:rFonts w:hint="eastAsia"/>
                      <w:sz w:val="21"/>
                    </w:rPr>
                    <w:t>园洲镇第五污水处理厂</w:t>
                  </w:r>
                </w:p>
              </w:tc>
            </w:tr>
            <w:tr w14:paraId="7913978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8" w:hRule="atLeast"/>
              </w:trPr>
              <w:tc>
                <w:tcPr>
                  <w:tcW w:w="244" w:type="pct"/>
                  <w:vMerge w:val="continue"/>
                  <w:tcBorders>
                    <w:tl2br w:val="nil"/>
                    <w:tr2bl w:val="nil"/>
                  </w:tcBorders>
                  <w:vAlign w:val="center"/>
                </w:tcPr>
                <w:p w14:paraId="3C8C415A">
                  <w:pPr>
                    <w:spacing w:before="48" w:beforeLines="20" w:after="48" w:afterLines="20" w:line="240" w:lineRule="auto"/>
                    <w:ind w:firstLine="0" w:firstLineChars="0"/>
                    <w:jc w:val="center"/>
                    <w:rPr>
                      <w:sz w:val="21"/>
                      <w:szCs w:val="21"/>
                    </w:rPr>
                  </w:pPr>
                </w:p>
              </w:tc>
              <w:tc>
                <w:tcPr>
                  <w:tcW w:w="495" w:type="pct"/>
                  <w:tcBorders>
                    <w:tl2br w:val="nil"/>
                    <w:tr2bl w:val="nil"/>
                  </w:tcBorders>
                  <w:vAlign w:val="center"/>
                </w:tcPr>
                <w:p w14:paraId="19728018">
                  <w:pPr>
                    <w:spacing w:before="48" w:beforeLines="20" w:after="48" w:afterLines="20" w:line="240" w:lineRule="auto"/>
                    <w:ind w:firstLine="0" w:firstLineChars="0"/>
                    <w:jc w:val="center"/>
                    <w:rPr>
                      <w:sz w:val="21"/>
                      <w:szCs w:val="21"/>
                    </w:rPr>
                  </w:pPr>
                  <w:r>
                    <w:rPr>
                      <w:sz w:val="21"/>
                      <w:szCs w:val="21"/>
                    </w:rPr>
                    <w:t>BOD</w:t>
                  </w:r>
                  <w:r>
                    <w:rPr>
                      <w:sz w:val="21"/>
                      <w:szCs w:val="21"/>
                      <w:vertAlign w:val="subscript"/>
                    </w:rPr>
                    <w:t>5</w:t>
                  </w:r>
                </w:p>
              </w:tc>
              <w:tc>
                <w:tcPr>
                  <w:tcW w:w="282" w:type="pct"/>
                  <w:vMerge w:val="continue"/>
                  <w:tcBorders>
                    <w:tl2br w:val="nil"/>
                    <w:tr2bl w:val="nil"/>
                  </w:tcBorders>
                  <w:vAlign w:val="center"/>
                </w:tcPr>
                <w:p w14:paraId="019DDBBF">
                  <w:pPr>
                    <w:spacing w:before="48" w:beforeLines="20" w:after="48" w:afterLines="20" w:line="240" w:lineRule="auto"/>
                    <w:ind w:firstLine="0" w:firstLineChars="0"/>
                    <w:jc w:val="center"/>
                    <w:rPr>
                      <w:sz w:val="21"/>
                      <w:szCs w:val="21"/>
                    </w:rPr>
                  </w:pPr>
                </w:p>
              </w:tc>
              <w:tc>
                <w:tcPr>
                  <w:tcW w:w="420" w:type="pct"/>
                  <w:tcBorders>
                    <w:tl2br w:val="nil"/>
                    <w:tr2bl w:val="nil"/>
                  </w:tcBorders>
                  <w:vAlign w:val="center"/>
                </w:tcPr>
                <w:p w14:paraId="11066DF6">
                  <w:pPr>
                    <w:spacing w:before="48" w:beforeLines="20" w:after="48" w:afterLines="20" w:line="240" w:lineRule="auto"/>
                    <w:ind w:firstLine="0" w:firstLineChars="0"/>
                    <w:jc w:val="center"/>
                    <w:rPr>
                      <w:sz w:val="21"/>
                      <w:szCs w:val="21"/>
                    </w:rPr>
                  </w:pPr>
                  <w:r>
                    <w:rPr>
                      <w:rFonts w:hint="eastAsia"/>
                      <w:sz w:val="21"/>
                      <w:szCs w:val="21"/>
                    </w:rPr>
                    <w:t>160</w:t>
                  </w:r>
                </w:p>
              </w:tc>
              <w:tc>
                <w:tcPr>
                  <w:tcW w:w="529" w:type="pct"/>
                  <w:tcBorders>
                    <w:tl2br w:val="nil"/>
                    <w:tr2bl w:val="nil"/>
                  </w:tcBorders>
                  <w:vAlign w:val="center"/>
                </w:tcPr>
                <w:p w14:paraId="108E0336">
                  <w:pPr>
                    <w:spacing w:line="240" w:lineRule="auto"/>
                    <w:ind w:firstLine="0" w:firstLineChars="0"/>
                    <w:jc w:val="center"/>
                    <w:rPr>
                      <w:rFonts w:cs="宋体"/>
                      <w:color w:val="000000"/>
                      <w:sz w:val="21"/>
                      <w:szCs w:val="22"/>
                    </w:rPr>
                  </w:pPr>
                  <w:r>
                    <w:rPr>
                      <w:rFonts w:hint="eastAsia" w:cs="宋体"/>
                      <w:color w:val="000000"/>
                      <w:sz w:val="21"/>
                      <w:szCs w:val="22"/>
                    </w:rPr>
                    <w:t>0.01024</w:t>
                  </w:r>
                </w:p>
              </w:tc>
              <w:tc>
                <w:tcPr>
                  <w:tcW w:w="643" w:type="pct"/>
                  <w:vMerge w:val="continue"/>
                  <w:tcBorders>
                    <w:tl2br w:val="nil"/>
                    <w:tr2bl w:val="nil"/>
                  </w:tcBorders>
                  <w:vAlign w:val="center"/>
                </w:tcPr>
                <w:p w14:paraId="5926B96F">
                  <w:pPr>
                    <w:spacing w:before="48" w:beforeLines="20" w:after="48" w:afterLines="20" w:line="240" w:lineRule="auto"/>
                    <w:ind w:firstLine="0" w:firstLineChars="0"/>
                    <w:jc w:val="center"/>
                    <w:rPr>
                      <w:sz w:val="21"/>
                      <w:szCs w:val="21"/>
                    </w:rPr>
                  </w:pPr>
                </w:p>
              </w:tc>
              <w:tc>
                <w:tcPr>
                  <w:tcW w:w="427" w:type="pct"/>
                  <w:vMerge w:val="continue"/>
                  <w:tcBorders>
                    <w:tl2br w:val="nil"/>
                    <w:tr2bl w:val="nil"/>
                  </w:tcBorders>
                  <w:vAlign w:val="center"/>
                </w:tcPr>
                <w:p w14:paraId="22DE41D1">
                  <w:pPr>
                    <w:spacing w:before="48" w:beforeLines="20" w:after="48" w:afterLines="20" w:line="240" w:lineRule="auto"/>
                    <w:ind w:firstLine="0" w:firstLineChars="0"/>
                    <w:jc w:val="center"/>
                    <w:rPr>
                      <w:sz w:val="21"/>
                      <w:szCs w:val="21"/>
                    </w:rPr>
                  </w:pPr>
                </w:p>
              </w:tc>
              <w:tc>
                <w:tcPr>
                  <w:tcW w:w="329" w:type="pct"/>
                  <w:vMerge w:val="continue"/>
                  <w:tcBorders>
                    <w:tl2br w:val="nil"/>
                    <w:tr2bl w:val="nil"/>
                  </w:tcBorders>
                  <w:vAlign w:val="center"/>
                </w:tcPr>
                <w:p w14:paraId="5B4E07AD">
                  <w:pPr>
                    <w:spacing w:before="48" w:beforeLines="20" w:after="48" w:afterLines="20" w:line="240" w:lineRule="auto"/>
                    <w:ind w:firstLine="0" w:firstLineChars="0"/>
                    <w:jc w:val="center"/>
                    <w:rPr>
                      <w:sz w:val="21"/>
                      <w:szCs w:val="21"/>
                    </w:rPr>
                  </w:pPr>
                </w:p>
              </w:tc>
              <w:tc>
                <w:tcPr>
                  <w:tcW w:w="400" w:type="pct"/>
                  <w:tcBorders>
                    <w:tl2br w:val="nil"/>
                    <w:tr2bl w:val="nil"/>
                  </w:tcBorders>
                  <w:vAlign w:val="center"/>
                </w:tcPr>
                <w:p w14:paraId="2B5F8EB5">
                  <w:pPr>
                    <w:spacing w:before="48" w:beforeLines="20" w:after="48" w:afterLines="20" w:line="240" w:lineRule="auto"/>
                    <w:ind w:firstLine="0" w:firstLineChars="0"/>
                    <w:jc w:val="center"/>
                    <w:rPr>
                      <w:sz w:val="21"/>
                      <w:szCs w:val="21"/>
                    </w:rPr>
                  </w:pPr>
                  <w:r>
                    <w:rPr>
                      <w:rFonts w:hint="eastAsia"/>
                      <w:sz w:val="21"/>
                      <w:szCs w:val="21"/>
                    </w:rPr>
                    <w:t>10</w:t>
                  </w:r>
                </w:p>
              </w:tc>
              <w:tc>
                <w:tcPr>
                  <w:tcW w:w="580" w:type="pct"/>
                  <w:tcBorders>
                    <w:tl2br w:val="nil"/>
                    <w:tr2bl w:val="nil"/>
                  </w:tcBorders>
                  <w:vAlign w:val="center"/>
                </w:tcPr>
                <w:p w14:paraId="0D1432F5">
                  <w:pPr>
                    <w:spacing w:line="240" w:lineRule="auto"/>
                    <w:ind w:firstLine="0" w:firstLineChars="0"/>
                    <w:jc w:val="center"/>
                    <w:rPr>
                      <w:rFonts w:cs="宋体"/>
                      <w:color w:val="000000"/>
                      <w:sz w:val="21"/>
                      <w:szCs w:val="22"/>
                    </w:rPr>
                  </w:pPr>
                  <w:r>
                    <w:rPr>
                      <w:rFonts w:hint="eastAsia" w:cs="宋体"/>
                      <w:color w:val="000000"/>
                      <w:sz w:val="21"/>
                      <w:szCs w:val="22"/>
                    </w:rPr>
                    <w:t>0.00064</w:t>
                  </w:r>
                </w:p>
              </w:tc>
              <w:tc>
                <w:tcPr>
                  <w:tcW w:w="247" w:type="pct"/>
                  <w:vMerge w:val="continue"/>
                  <w:tcBorders>
                    <w:right w:val="single" w:color="auto" w:sz="4" w:space="0"/>
                    <w:tl2br w:val="nil"/>
                    <w:tr2bl w:val="nil"/>
                  </w:tcBorders>
                  <w:vAlign w:val="center"/>
                </w:tcPr>
                <w:p w14:paraId="085409DA">
                  <w:pPr>
                    <w:spacing w:line="240" w:lineRule="auto"/>
                    <w:ind w:firstLine="0" w:firstLineChars="0"/>
                    <w:jc w:val="center"/>
                    <w:rPr>
                      <w:color w:val="000000"/>
                      <w:sz w:val="21"/>
                      <w:szCs w:val="22"/>
                    </w:rPr>
                  </w:pPr>
                </w:p>
              </w:tc>
              <w:tc>
                <w:tcPr>
                  <w:tcW w:w="399" w:type="pct"/>
                  <w:vMerge w:val="continue"/>
                  <w:tcBorders>
                    <w:left w:val="single" w:color="auto" w:sz="4" w:space="0"/>
                    <w:tl2br w:val="nil"/>
                    <w:tr2bl w:val="nil"/>
                  </w:tcBorders>
                  <w:vAlign w:val="center"/>
                </w:tcPr>
                <w:p w14:paraId="4BFE5E82">
                  <w:pPr>
                    <w:spacing w:line="240" w:lineRule="auto"/>
                    <w:ind w:firstLine="0" w:firstLineChars="0"/>
                    <w:jc w:val="center"/>
                    <w:rPr>
                      <w:color w:val="000000"/>
                      <w:sz w:val="21"/>
                      <w:szCs w:val="22"/>
                    </w:rPr>
                  </w:pPr>
                </w:p>
              </w:tc>
            </w:tr>
            <w:tr w14:paraId="52809AA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8" w:hRule="atLeast"/>
              </w:trPr>
              <w:tc>
                <w:tcPr>
                  <w:tcW w:w="244" w:type="pct"/>
                  <w:vMerge w:val="continue"/>
                  <w:tcBorders>
                    <w:tl2br w:val="nil"/>
                    <w:tr2bl w:val="nil"/>
                  </w:tcBorders>
                  <w:vAlign w:val="center"/>
                </w:tcPr>
                <w:p w14:paraId="006C0D00">
                  <w:pPr>
                    <w:spacing w:before="48" w:beforeLines="20" w:after="48" w:afterLines="20" w:line="240" w:lineRule="auto"/>
                    <w:ind w:firstLine="0" w:firstLineChars="0"/>
                    <w:jc w:val="center"/>
                    <w:rPr>
                      <w:sz w:val="21"/>
                      <w:szCs w:val="21"/>
                    </w:rPr>
                  </w:pPr>
                </w:p>
              </w:tc>
              <w:tc>
                <w:tcPr>
                  <w:tcW w:w="495" w:type="pct"/>
                  <w:tcBorders>
                    <w:tl2br w:val="nil"/>
                    <w:tr2bl w:val="nil"/>
                  </w:tcBorders>
                  <w:vAlign w:val="center"/>
                </w:tcPr>
                <w:p w14:paraId="73B8D3A0">
                  <w:pPr>
                    <w:spacing w:before="48" w:beforeLines="20" w:after="48" w:afterLines="20" w:line="240" w:lineRule="auto"/>
                    <w:ind w:firstLine="0" w:firstLineChars="0"/>
                    <w:jc w:val="center"/>
                    <w:rPr>
                      <w:sz w:val="21"/>
                      <w:szCs w:val="21"/>
                    </w:rPr>
                  </w:pPr>
                  <w:r>
                    <w:rPr>
                      <w:sz w:val="21"/>
                      <w:szCs w:val="21"/>
                    </w:rPr>
                    <w:t>SS</w:t>
                  </w:r>
                </w:p>
              </w:tc>
              <w:tc>
                <w:tcPr>
                  <w:tcW w:w="282" w:type="pct"/>
                  <w:vMerge w:val="continue"/>
                  <w:tcBorders>
                    <w:tl2br w:val="nil"/>
                    <w:tr2bl w:val="nil"/>
                  </w:tcBorders>
                  <w:vAlign w:val="center"/>
                </w:tcPr>
                <w:p w14:paraId="2C324F40">
                  <w:pPr>
                    <w:spacing w:before="48" w:beforeLines="20" w:after="48" w:afterLines="20" w:line="240" w:lineRule="auto"/>
                    <w:ind w:firstLine="0" w:firstLineChars="0"/>
                    <w:jc w:val="center"/>
                    <w:rPr>
                      <w:sz w:val="21"/>
                      <w:szCs w:val="21"/>
                    </w:rPr>
                  </w:pPr>
                </w:p>
              </w:tc>
              <w:tc>
                <w:tcPr>
                  <w:tcW w:w="420" w:type="pct"/>
                  <w:tcBorders>
                    <w:tl2br w:val="nil"/>
                    <w:tr2bl w:val="nil"/>
                  </w:tcBorders>
                  <w:vAlign w:val="center"/>
                </w:tcPr>
                <w:p w14:paraId="5CEB980E">
                  <w:pPr>
                    <w:spacing w:before="48" w:beforeLines="20" w:after="48" w:afterLines="20" w:line="240" w:lineRule="auto"/>
                    <w:ind w:firstLine="0" w:firstLineChars="0"/>
                    <w:jc w:val="center"/>
                    <w:rPr>
                      <w:sz w:val="21"/>
                      <w:szCs w:val="21"/>
                    </w:rPr>
                  </w:pPr>
                  <w:r>
                    <w:rPr>
                      <w:rFonts w:hint="eastAsia"/>
                      <w:sz w:val="21"/>
                      <w:szCs w:val="21"/>
                    </w:rPr>
                    <w:t>100</w:t>
                  </w:r>
                </w:p>
              </w:tc>
              <w:tc>
                <w:tcPr>
                  <w:tcW w:w="529" w:type="pct"/>
                  <w:tcBorders>
                    <w:tl2br w:val="nil"/>
                    <w:tr2bl w:val="nil"/>
                  </w:tcBorders>
                  <w:vAlign w:val="center"/>
                </w:tcPr>
                <w:p w14:paraId="5336BABE">
                  <w:pPr>
                    <w:spacing w:line="240" w:lineRule="auto"/>
                    <w:ind w:firstLine="0" w:firstLineChars="0"/>
                    <w:jc w:val="center"/>
                    <w:rPr>
                      <w:rFonts w:cs="宋体"/>
                      <w:color w:val="000000"/>
                      <w:sz w:val="21"/>
                      <w:szCs w:val="22"/>
                    </w:rPr>
                  </w:pPr>
                  <w:r>
                    <w:rPr>
                      <w:rFonts w:hint="eastAsia" w:cs="宋体"/>
                      <w:color w:val="000000"/>
                      <w:sz w:val="21"/>
                      <w:szCs w:val="22"/>
                    </w:rPr>
                    <w:t>0.0064</w:t>
                  </w:r>
                </w:p>
              </w:tc>
              <w:tc>
                <w:tcPr>
                  <w:tcW w:w="643" w:type="pct"/>
                  <w:vMerge w:val="continue"/>
                  <w:tcBorders>
                    <w:tl2br w:val="nil"/>
                    <w:tr2bl w:val="nil"/>
                  </w:tcBorders>
                  <w:vAlign w:val="center"/>
                </w:tcPr>
                <w:p w14:paraId="1FAC733B">
                  <w:pPr>
                    <w:spacing w:before="48" w:beforeLines="20" w:after="48" w:afterLines="20" w:line="240" w:lineRule="auto"/>
                    <w:ind w:firstLine="0" w:firstLineChars="0"/>
                    <w:jc w:val="center"/>
                    <w:rPr>
                      <w:sz w:val="21"/>
                      <w:szCs w:val="21"/>
                    </w:rPr>
                  </w:pPr>
                </w:p>
              </w:tc>
              <w:tc>
                <w:tcPr>
                  <w:tcW w:w="427" w:type="pct"/>
                  <w:vMerge w:val="continue"/>
                  <w:tcBorders>
                    <w:tl2br w:val="nil"/>
                    <w:tr2bl w:val="nil"/>
                  </w:tcBorders>
                  <w:vAlign w:val="center"/>
                </w:tcPr>
                <w:p w14:paraId="168DE994">
                  <w:pPr>
                    <w:spacing w:before="48" w:beforeLines="20" w:after="48" w:afterLines="20" w:line="240" w:lineRule="auto"/>
                    <w:ind w:firstLine="0" w:firstLineChars="0"/>
                    <w:jc w:val="center"/>
                    <w:rPr>
                      <w:sz w:val="21"/>
                      <w:szCs w:val="21"/>
                    </w:rPr>
                  </w:pPr>
                </w:p>
              </w:tc>
              <w:tc>
                <w:tcPr>
                  <w:tcW w:w="329" w:type="pct"/>
                  <w:vMerge w:val="continue"/>
                  <w:tcBorders>
                    <w:tl2br w:val="nil"/>
                    <w:tr2bl w:val="nil"/>
                  </w:tcBorders>
                  <w:vAlign w:val="center"/>
                </w:tcPr>
                <w:p w14:paraId="7ED2C3C7">
                  <w:pPr>
                    <w:spacing w:before="48" w:beforeLines="20" w:after="48" w:afterLines="20" w:line="240" w:lineRule="auto"/>
                    <w:ind w:firstLine="0" w:firstLineChars="0"/>
                    <w:jc w:val="center"/>
                    <w:rPr>
                      <w:sz w:val="21"/>
                      <w:szCs w:val="21"/>
                    </w:rPr>
                  </w:pPr>
                </w:p>
              </w:tc>
              <w:tc>
                <w:tcPr>
                  <w:tcW w:w="400" w:type="pct"/>
                  <w:tcBorders>
                    <w:tl2br w:val="nil"/>
                    <w:tr2bl w:val="nil"/>
                  </w:tcBorders>
                  <w:vAlign w:val="center"/>
                </w:tcPr>
                <w:p w14:paraId="7428B374">
                  <w:pPr>
                    <w:spacing w:before="48" w:beforeLines="20" w:after="48" w:afterLines="20" w:line="240" w:lineRule="auto"/>
                    <w:ind w:firstLine="0" w:firstLineChars="0"/>
                    <w:jc w:val="center"/>
                    <w:rPr>
                      <w:sz w:val="21"/>
                      <w:szCs w:val="21"/>
                    </w:rPr>
                  </w:pPr>
                  <w:r>
                    <w:rPr>
                      <w:rFonts w:hint="eastAsia"/>
                      <w:sz w:val="21"/>
                      <w:szCs w:val="21"/>
                    </w:rPr>
                    <w:t>10</w:t>
                  </w:r>
                </w:p>
              </w:tc>
              <w:tc>
                <w:tcPr>
                  <w:tcW w:w="580" w:type="pct"/>
                  <w:tcBorders>
                    <w:tl2br w:val="nil"/>
                    <w:tr2bl w:val="nil"/>
                  </w:tcBorders>
                  <w:vAlign w:val="center"/>
                </w:tcPr>
                <w:p w14:paraId="11C2F4CE">
                  <w:pPr>
                    <w:spacing w:line="240" w:lineRule="auto"/>
                    <w:ind w:firstLine="0" w:firstLineChars="0"/>
                    <w:jc w:val="center"/>
                    <w:rPr>
                      <w:rFonts w:cs="宋体"/>
                      <w:color w:val="000000"/>
                      <w:sz w:val="21"/>
                      <w:szCs w:val="22"/>
                    </w:rPr>
                  </w:pPr>
                  <w:r>
                    <w:rPr>
                      <w:rFonts w:hint="eastAsia" w:cs="宋体"/>
                      <w:color w:val="000000"/>
                      <w:sz w:val="21"/>
                      <w:szCs w:val="22"/>
                    </w:rPr>
                    <w:t>0.00064</w:t>
                  </w:r>
                </w:p>
              </w:tc>
              <w:tc>
                <w:tcPr>
                  <w:tcW w:w="247" w:type="pct"/>
                  <w:vMerge w:val="continue"/>
                  <w:tcBorders>
                    <w:right w:val="single" w:color="auto" w:sz="4" w:space="0"/>
                    <w:tl2br w:val="nil"/>
                    <w:tr2bl w:val="nil"/>
                  </w:tcBorders>
                  <w:vAlign w:val="center"/>
                </w:tcPr>
                <w:p w14:paraId="20B74901">
                  <w:pPr>
                    <w:spacing w:line="240" w:lineRule="auto"/>
                    <w:ind w:firstLine="0" w:firstLineChars="0"/>
                    <w:jc w:val="center"/>
                    <w:rPr>
                      <w:color w:val="000000"/>
                      <w:sz w:val="21"/>
                      <w:szCs w:val="22"/>
                    </w:rPr>
                  </w:pPr>
                </w:p>
              </w:tc>
              <w:tc>
                <w:tcPr>
                  <w:tcW w:w="399" w:type="pct"/>
                  <w:vMerge w:val="continue"/>
                  <w:tcBorders>
                    <w:left w:val="single" w:color="auto" w:sz="4" w:space="0"/>
                    <w:tl2br w:val="nil"/>
                    <w:tr2bl w:val="nil"/>
                  </w:tcBorders>
                  <w:vAlign w:val="center"/>
                </w:tcPr>
                <w:p w14:paraId="449470DC">
                  <w:pPr>
                    <w:spacing w:line="240" w:lineRule="auto"/>
                    <w:ind w:firstLine="0" w:firstLineChars="0"/>
                    <w:jc w:val="center"/>
                    <w:rPr>
                      <w:color w:val="000000"/>
                      <w:sz w:val="21"/>
                      <w:szCs w:val="22"/>
                    </w:rPr>
                  </w:pPr>
                </w:p>
              </w:tc>
            </w:tr>
            <w:tr w14:paraId="44571E5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8" w:hRule="atLeast"/>
              </w:trPr>
              <w:tc>
                <w:tcPr>
                  <w:tcW w:w="244" w:type="pct"/>
                  <w:vMerge w:val="continue"/>
                  <w:tcBorders>
                    <w:tl2br w:val="nil"/>
                    <w:tr2bl w:val="nil"/>
                  </w:tcBorders>
                  <w:vAlign w:val="center"/>
                </w:tcPr>
                <w:p w14:paraId="50909824">
                  <w:pPr>
                    <w:spacing w:before="48" w:beforeLines="20" w:after="48" w:afterLines="20" w:line="240" w:lineRule="auto"/>
                    <w:ind w:firstLine="0" w:firstLineChars="0"/>
                    <w:jc w:val="center"/>
                    <w:rPr>
                      <w:sz w:val="21"/>
                      <w:szCs w:val="21"/>
                    </w:rPr>
                  </w:pPr>
                </w:p>
              </w:tc>
              <w:tc>
                <w:tcPr>
                  <w:tcW w:w="495" w:type="pct"/>
                  <w:tcBorders>
                    <w:tl2br w:val="nil"/>
                    <w:tr2bl w:val="nil"/>
                  </w:tcBorders>
                  <w:shd w:val="clear" w:color="auto" w:fill="auto"/>
                  <w:vAlign w:val="center"/>
                </w:tcPr>
                <w:p w14:paraId="269E1F5C">
                  <w:pPr>
                    <w:spacing w:before="48" w:beforeLines="20" w:after="48" w:afterLines="20" w:line="240" w:lineRule="auto"/>
                    <w:ind w:firstLine="0" w:firstLineChars="0"/>
                    <w:jc w:val="center"/>
                    <w:rPr>
                      <w:sz w:val="21"/>
                      <w:szCs w:val="21"/>
                    </w:rPr>
                  </w:pPr>
                  <w:r>
                    <w:rPr>
                      <w:sz w:val="21"/>
                      <w:szCs w:val="21"/>
                    </w:rPr>
                    <w:t>NH</w:t>
                  </w:r>
                  <w:r>
                    <w:rPr>
                      <w:sz w:val="21"/>
                      <w:szCs w:val="21"/>
                      <w:vertAlign w:val="subscript"/>
                    </w:rPr>
                    <w:t>3</w:t>
                  </w:r>
                  <w:r>
                    <w:rPr>
                      <w:sz w:val="21"/>
                      <w:szCs w:val="21"/>
                    </w:rPr>
                    <w:t>-N</w:t>
                  </w:r>
                </w:p>
              </w:tc>
              <w:tc>
                <w:tcPr>
                  <w:tcW w:w="282" w:type="pct"/>
                  <w:vMerge w:val="continue"/>
                  <w:tcBorders>
                    <w:tl2br w:val="nil"/>
                    <w:tr2bl w:val="nil"/>
                  </w:tcBorders>
                  <w:shd w:val="clear" w:color="auto" w:fill="auto"/>
                  <w:vAlign w:val="center"/>
                </w:tcPr>
                <w:p w14:paraId="4467F91E">
                  <w:pPr>
                    <w:spacing w:before="48" w:beforeLines="20" w:after="48" w:afterLines="20" w:line="240" w:lineRule="auto"/>
                    <w:ind w:firstLine="0" w:firstLineChars="0"/>
                    <w:jc w:val="center"/>
                    <w:rPr>
                      <w:sz w:val="21"/>
                      <w:szCs w:val="21"/>
                    </w:rPr>
                  </w:pPr>
                </w:p>
              </w:tc>
              <w:tc>
                <w:tcPr>
                  <w:tcW w:w="420" w:type="pct"/>
                  <w:tcBorders>
                    <w:tl2br w:val="nil"/>
                    <w:tr2bl w:val="nil"/>
                  </w:tcBorders>
                  <w:shd w:val="clear" w:color="auto" w:fill="auto"/>
                  <w:vAlign w:val="center"/>
                </w:tcPr>
                <w:p w14:paraId="43ABC52C">
                  <w:pPr>
                    <w:spacing w:before="48" w:beforeLines="20" w:after="48" w:afterLines="20" w:line="240" w:lineRule="auto"/>
                    <w:ind w:firstLine="0" w:firstLineChars="0"/>
                    <w:jc w:val="center"/>
                    <w:rPr>
                      <w:sz w:val="21"/>
                      <w:szCs w:val="21"/>
                    </w:rPr>
                  </w:pPr>
                  <w:r>
                    <w:rPr>
                      <w:rFonts w:hint="eastAsia"/>
                      <w:sz w:val="21"/>
                      <w:szCs w:val="21"/>
                    </w:rPr>
                    <w:t>28.3</w:t>
                  </w:r>
                </w:p>
              </w:tc>
              <w:tc>
                <w:tcPr>
                  <w:tcW w:w="529" w:type="pct"/>
                  <w:tcBorders>
                    <w:tl2br w:val="nil"/>
                    <w:tr2bl w:val="nil"/>
                  </w:tcBorders>
                  <w:shd w:val="clear" w:color="auto" w:fill="auto"/>
                  <w:vAlign w:val="center"/>
                </w:tcPr>
                <w:p w14:paraId="07CE596E">
                  <w:pPr>
                    <w:spacing w:line="240" w:lineRule="auto"/>
                    <w:ind w:firstLine="0" w:firstLineChars="0"/>
                    <w:jc w:val="center"/>
                    <w:rPr>
                      <w:rFonts w:cs="宋体"/>
                      <w:color w:val="000000"/>
                      <w:sz w:val="21"/>
                      <w:szCs w:val="22"/>
                    </w:rPr>
                  </w:pPr>
                  <w:r>
                    <w:rPr>
                      <w:rFonts w:hint="eastAsia" w:cs="宋体"/>
                      <w:color w:val="000000"/>
                      <w:sz w:val="21"/>
                      <w:szCs w:val="22"/>
                    </w:rPr>
                    <w:t>0.00181</w:t>
                  </w:r>
                </w:p>
              </w:tc>
              <w:tc>
                <w:tcPr>
                  <w:tcW w:w="643" w:type="pct"/>
                  <w:vMerge w:val="continue"/>
                  <w:tcBorders>
                    <w:tl2br w:val="nil"/>
                    <w:tr2bl w:val="nil"/>
                  </w:tcBorders>
                  <w:shd w:val="clear" w:color="auto" w:fill="auto"/>
                  <w:vAlign w:val="center"/>
                </w:tcPr>
                <w:p w14:paraId="674BA301">
                  <w:pPr>
                    <w:spacing w:before="48" w:beforeLines="20" w:after="48" w:afterLines="20" w:line="240" w:lineRule="auto"/>
                    <w:ind w:firstLine="0" w:firstLineChars="0"/>
                    <w:jc w:val="center"/>
                    <w:rPr>
                      <w:sz w:val="21"/>
                      <w:szCs w:val="21"/>
                    </w:rPr>
                  </w:pPr>
                </w:p>
              </w:tc>
              <w:tc>
                <w:tcPr>
                  <w:tcW w:w="427" w:type="pct"/>
                  <w:vMerge w:val="continue"/>
                  <w:tcBorders>
                    <w:tl2br w:val="nil"/>
                    <w:tr2bl w:val="nil"/>
                  </w:tcBorders>
                  <w:shd w:val="clear" w:color="auto" w:fill="auto"/>
                  <w:vAlign w:val="center"/>
                </w:tcPr>
                <w:p w14:paraId="61AE7ED0">
                  <w:pPr>
                    <w:spacing w:before="48" w:beforeLines="20" w:after="48" w:afterLines="20" w:line="240" w:lineRule="auto"/>
                    <w:ind w:firstLine="0" w:firstLineChars="0"/>
                    <w:jc w:val="center"/>
                    <w:rPr>
                      <w:sz w:val="21"/>
                      <w:szCs w:val="21"/>
                    </w:rPr>
                  </w:pPr>
                </w:p>
              </w:tc>
              <w:tc>
                <w:tcPr>
                  <w:tcW w:w="329" w:type="pct"/>
                  <w:vMerge w:val="continue"/>
                  <w:tcBorders>
                    <w:tl2br w:val="nil"/>
                    <w:tr2bl w:val="nil"/>
                  </w:tcBorders>
                  <w:shd w:val="clear" w:color="auto" w:fill="auto"/>
                  <w:vAlign w:val="center"/>
                </w:tcPr>
                <w:p w14:paraId="3CEB17EA">
                  <w:pPr>
                    <w:spacing w:before="48" w:beforeLines="20" w:after="48" w:afterLines="20" w:line="240" w:lineRule="auto"/>
                    <w:ind w:firstLine="0" w:firstLineChars="0"/>
                    <w:jc w:val="center"/>
                    <w:rPr>
                      <w:sz w:val="21"/>
                      <w:szCs w:val="21"/>
                    </w:rPr>
                  </w:pPr>
                </w:p>
              </w:tc>
              <w:tc>
                <w:tcPr>
                  <w:tcW w:w="400" w:type="pct"/>
                  <w:tcBorders>
                    <w:tl2br w:val="nil"/>
                    <w:tr2bl w:val="nil"/>
                  </w:tcBorders>
                  <w:shd w:val="clear" w:color="auto" w:fill="auto"/>
                  <w:vAlign w:val="center"/>
                </w:tcPr>
                <w:p w14:paraId="6E9FE9CD">
                  <w:pPr>
                    <w:spacing w:before="48" w:beforeLines="20" w:after="48" w:afterLines="20" w:line="240" w:lineRule="auto"/>
                    <w:ind w:firstLine="0" w:firstLineChars="0"/>
                    <w:jc w:val="center"/>
                    <w:rPr>
                      <w:sz w:val="21"/>
                      <w:szCs w:val="21"/>
                    </w:rPr>
                  </w:pPr>
                  <w:r>
                    <w:rPr>
                      <w:rFonts w:hint="eastAsia"/>
                      <w:sz w:val="21"/>
                      <w:szCs w:val="21"/>
                    </w:rPr>
                    <w:t>2</w:t>
                  </w:r>
                </w:p>
              </w:tc>
              <w:tc>
                <w:tcPr>
                  <w:tcW w:w="580" w:type="pct"/>
                  <w:tcBorders>
                    <w:tl2br w:val="nil"/>
                    <w:tr2bl w:val="nil"/>
                  </w:tcBorders>
                  <w:shd w:val="clear" w:color="auto" w:fill="auto"/>
                  <w:vAlign w:val="center"/>
                </w:tcPr>
                <w:p w14:paraId="48F1E67C">
                  <w:pPr>
                    <w:spacing w:line="240" w:lineRule="auto"/>
                    <w:ind w:firstLine="0" w:firstLineChars="0"/>
                    <w:jc w:val="center"/>
                    <w:rPr>
                      <w:rFonts w:cs="宋体"/>
                      <w:color w:val="000000"/>
                      <w:sz w:val="21"/>
                      <w:szCs w:val="22"/>
                    </w:rPr>
                  </w:pPr>
                  <w:r>
                    <w:rPr>
                      <w:rFonts w:hint="eastAsia" w:cs="宋体"/>
                      <w:color w:val="000000"/>
                      <w:sz w:val="21"/>
                      <w:szCs w:val="22"/>
                    </w:rPr>
                    <w:t>0.00013</w:t>
                  </w:r>
                </w:p>
              </w:tc>
              <w:tc>
                <w:tcPr>
                  <w:tcW w:w="247" w:type="pct"/>
                  <w:vMerge w:val="continue"/>
                  <w:tcBorders>
                    <w:right w:val="single" w:color="auto" w:sz="4" w:space="0"/>
                    <w:tl2br w:val="nil"/>
                    <w:tr2bl w:val="nil"/>
                  </w:tcBorders>
                  <w:vAlign w:val="center"/>
                </w:tcPr>
                <w:p w14:paraId="0DA49CB5">
                  <w:pPr>
                    <w:spacing w:line="240" w:lineRule="auto"/>
                    <w:ind w:firstLine="0" w:firstLineChars="0"/>
                    <w:jc w:val="center"/>
                    <w:rPr>
                      <w:color w:val="000000"/>
                      <w:sz w:val="21"/>
                      <w:szCs w:val="22"/>
                    </w:rPr>
                  </w:pPr>
                </w:p>
              </w:tc>
              <w:tc>
                <w:tcPr>
                  <w:tcW w:w="399" w:type="pct"/>
                  <w:vMerge w:val="continue"/>
                  <w:tcBorders>
                    <w:left w:val="single" w:color="auto" w:sz="4" w:space="0"/>
                    <w:tl2br w:val="nil"/>
                    <w:tr2bl w:val="nil"/>
                  </w:tcBorders>
                  <w:vAlign w:val="center"/>
                </w:tcPr>
                <w:p w14:paraId="085BA091">
                  <w:pPr>
                    <w:spacing w:line="240" w:lineRule="auto"/>
                    <w:ind w:firstLine="0" w:firstLineChars="0"/>
                    <w:jc w:val="center"/>
                    <w:rPr>
                      <w:color w:val="000000"/>
                      <w:sz w:val="21"/>
                      <w:szCs w:val="22"/>
                    </w:rPr>
                  </w:pPr>
                </w:p>
              </w:tc>
            </w:tr>
            <w:tr w14:paraId="6B367A2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8" w:hRule="atLeast"/>
              </w:trPr>
              <w:tc>
                <w:tcPr>
                  <w:tcW w:w="244" w:type="pct"/>
                  <w:vMerge w:val="continue"/>
                  <w:tcBorders>
                    <w:tl2br w:val="nil"/>
                    <w:tr2bl w:val="nil"/>
                  </w:tcBorders>
                  <w:vAlign w:val="center"/>
                </w:tcPr>
                <w:p w14:paraId="005E0285">
                  <w:pPr>
                    <w:spacing w:before="48" w:beforeLines="20" w:after="48" w:afterLines="20" w:line="240" w:lineRule="auto"/>
                    <w:ind w:firstLine="0" w:firstLineChars="0"/>
                    <w:jc w:val="center"/>
                    <w:rPr>
                      <w:sz w:val="21"/>
                      <w:szCs w:val="21"/>
                    </w:rPr>
                  </w:pPr>
                </w:p>
              </w:tc>
              <w:tc>
                <w:tcPr>
                  <w:tcW w:w="495" w:type="pct"/>
                  <w:tcBorders>
                    <w:tl2br w:val="nil"/>
                    <w:tr2bl w:val="nil"/>
                  </w:tcBorders>
                  <w:vAlign w:val="center"/>
                </w:tcPr>
                <w:p w14:paraId="4586D06E">
                  <w:pPr>
                    <w:spacing w:before="48" w:beforeLines="20" w:after="48" w:afterLines="20" w:line="240" w:lineRule="auto"/>
                    <w:ind w:firstLine="0" w:firstLineChars="0"/>
                    <w:jc w:val="center"/>
                    <w:rPr>
                      <w:sz w:val="21"/>
                      <w:szCs w:val="21"/>
                    </w:rPr>
                  </w:pPr>
                  <w:r>
                    <w:rPr>
                      <w:rFonts w:hint="eastAsia"/>
                      <w:sz w:val="21"/>
                      <w:szCs w:val="21"/>
                    </w:rPr>
                    <w:t>总磷</w:t>
                  </w:r>
                </w:p>
              </w:tc>
              <w:tc>
                <w:tcPr>
                  <w:tcW w:w="282" w:type="pct"/>
                  <w:vMerge w:val="continue"/>
                  <w:tcBorders>
                    <w:tl2br w:val="nil"/>
                    <w:tr2bl w:val="nil"/>
                  </w:tcBorders>
                  <w:vAlign w:val="center"/>
                </w:tcPr>
                <w:p w14:paraId="441FCD3E">
                  <w:pPr>
                    <w:spacing w:before="48" w:beforeLines="20" w:after="48" w:afterLines="20" w:line="240" w:lineRule="auto"/>
                    <w:ind w:firstLine="0" w:firstLineChars="0"/>
                    <w:jc w:val="center"/>
                    <w:rPr>
                      <w:sz w:val="21"/>
                      <w:szCs w:val="21"/>
                    </w:rPr>
                  </w:pPr>
                </w:p>
              </w:tc>
              <w:tc>
                <w:tcPr>
                  <w:tcW w:w="420" w:type="pct"/>
                  <w:tcBorders>
                    <w:tl2br w:val="nil"/>
                    <w:tr2bl w:val="nil"/>
                  </w:tcBorders>
                  <w:vAlign w:val="center"/>
                </w:tcPr>
                <w:p w14:paraId="1B524690">
                  <w:pPr>
                    <w:spacing w:before="48" w:beforeLines="20" w:after="48" w:afterLines="20" w:line="240" w:lineRule="auto"/>
                    <w:ind w:firstLine="0" w:firstLineChars="0"/>
                    <w:jc w:val="center"/>
                    <w:rPr>
                      <w:sz w:val="21"/>
                      <w:szCs w:val="21"/>
                    </w:rPr>
                  </w:pPr>
                  <w:r>
                    <w:rPr>
                      <w:rFonts w:hint="eastAsia"/>
                      <w:sz w:val="21"/>
                      <w:szCs w:val="21"/>
                    </w:rPr>
                    <w:t>4.1</w:t>
                  </w:r>
                </w:p>
              </w:tc>
              <w:tc>
                <w:tcPr>
                  <w:tcW w:w="529" w:type="pct"/>
                  <w:tcBorders>
                    <w:tl2br w:val="nil"/>
                    <w:tr2bl w:val="nil"/>
                  </w:tcBorders>
                  <w:vAlign w:val="center"/>
                </w:tcPr>
                <w:p w14:paraId="3A314FD7">
                  <w:pPr>
                    <w:spacing w:line="240" w:lineRule="auto"/>
                    <w:ind w:firstLine="0" w:firstLineChars="0"/>
                    <w:jc w:val="center"/>
                    <w:rPr>
                      <w:rFonts w:cs="宋体"/>
                      <w:color w:val="000000"/>
                      <w:sz w:val="21"/>
                      <w:szCs w:val="22"/>
                    </w:rPr>
                  </w:pPr>
                  <w:r>
                    <w:rPr>
                      <w:rFonts w:hint="eastAsia" w:cs="宋体"/>
                      <w:color w:val="000000"/>
                      <w:sz w:val="21"/>
                      <w:szCs w:val="22"/>
                    </w:rPr>
                    <w:t>0.00026</w:t>
                  </w:r>
                </w:p>
              </w:tc>
              <w:tc>
                <w:tcPr>
                  <w:tcW w:w="643" w:type="pct"/>
                  <w:vMerge w:val="continue"/>
                  <w:tcBorders>
                    <w:tl2br w:val="nil"/>
                    <w:tr2bl w:val="nil"/>
                  </w:tcBorders>
                  <w:vAlign w:val="center"/>
                </w:tcPr>
                <w:p w14:paraId="6B2F801C">
                  <w:pPr>
                    <w:spacing w:before="48" w:beforeLines="20" w:after="48" w:afterLines="20" w:line="240" w:lineRule="auto"/>
                    <w:ind w:firstLine="0" w:firstLineChars="0"/>
                    <w:jc w:val="center"/>
                    <w:rPr>
                      <w:sz w:val="21"/>
                      <w:szCs w:val="21"/>
                    </w:rPr>
                  </w:pPr>
                </w:p>
              </w:tc>
              <w:tc>
                <w:tcPr>
                  <w:tcW w:w="427" w:type="pct"/>
                  <w:vMerge w:val="continue"/>
                  <w:tcBorders>
                    <w:tl2br w:val="nil"/>
                    <w:tr2bl w:val="nil"/>
                  </w:tcBorders>
                  <w:vAlign w:val="center"/>
                </w:tcPr>
                <w:p w14:paraId="450108D3">
                  <w:pPr>
                    <w:spacing w:before="48" w:beforeLines="20" w:after="48" w:afterLines="20" w:line="240" w:lineRule="auto"/>
                    <w:ind w:firstLine="0" w:firstLineChars="0"/>
                    <w:jc w:val="center"/>
                    <w:rPr>
                      <w:sz w:val="21"/>
                      <w:szCs w:val="21"/>
                    </w:rPr>
                  </w:pPr>
                </w:p>
              </w:tc>
              <w:tc>
                <w:tcPr>
                  <w:tcW w:w="329" w:type="pct"/>
                  <w:vMerge w:val="continue"/>
                  <w:tcBorders>
                    <w:tl2br w:val="nil"/>
                    <w:tr2bl w:val="nil"/>
                  </w:tcBorders>
                  <w:vAlign w:val="center"/>
                </w:tcPr>
                <w:p w14:paraId="324347A1">
                  <w:pPr>
                    <w:spacing w:before="48" w:beforeLines="20" w:after="48" w:afterLines="20" w:line="240" w:lineRule="auto"/>
                    <w:ind w:firstLine="0" w:firstLineChars="0"/>
                    <w:jc w:val="center"/>
                    <w:rPr>
                      <w:sz w:val="21"/>
                      <w:szCs w:val="21"/>
                    </w:rPr>
                  </w:pPr>
                </w:p>
              </w:tc>
              <w:tc>
                <w:tcPr>
                  <w:tcW w:w="400" w:type="pct"/>
                  <w:tcBorders>
                    <w:tl2br w:val="nil"/>
                    <w:tr2bl w:val="nil"/>
                  </w:tcBorders>
                  <w:vAlign w:val="center"/>
                </w:tcPr>
                <w:p w14:paraId="61806294">
                  <w:pPr>
                    <w:spacing w:before="48" w:beforeLines="20" w:after="48" w:afterLines="20" w:line="240" w:lineRule="auto"/>
                    <w:ind w:firstLine="0" w:firstLineChars="0"/>
                    <w:jc w:val="center"/>
                    <w:rPr>
                      <w:sz w:val="21"/>
                      <w:szCs w:val="21"/>
                    </w:rPr>
                  </w:pPr>
                  <w:r>
                    <w:rPr>
                      <w:rFonts w:hint="eastAsia"/>
                      <w:sz w:val="21"/>
                      <w:szCs w:val="21"/>
                    </w:rPr>
                    <w:t>0.4</w:t>
                  </w:r>
                </w:p>
              </w:tc>
              <w:tc>
                <w:tcPr>
                  <w:tcW w:w="580" w:type="pct"/>
                  <w:tcBorders>
                    <w:tl2br w:val="nil"/>
                    <w:tr2bl w:val="nil"/>
                  </w:tcBorders>
                  <w:vAlign w:val="center"/>
                </w:tcPr>
                <w:p w14:paraId="7A5C730A">
                  <w:pPr>
                    <w:spacing w:line="240" w:lineRule="auto"/>
                    <w:ind w:firstLine="0" w:firstLineChars="0"/>
                    <w:jc w:val="center"/>
                    <w:rPr>
                      <w:rFonts w:cs="宋体"/>
                      <w:color w:val="000000"/>
                      <w:sz w:val="21"/>
                      <w:szCs w:val="22"/>
                    </w:rPr>
                  </w:pPr>
                  <w:r>
                    <w:rPr>
                      <w:rFonts w:hint="eastAsia" w:cs="宋体"/>
                      <w:color w:val="000000"/>
                      <w:sz w:val="21"/>
                      <w:szCs w:val="22"/>
                    </w:rPr>
                    <w:t>0.00003</w:t>
                  </w:r>
                </w:p>
              </w:tc>
              <w:tc>
                <w:tcPr>
                  <w:tcW w:w="247" w:type="pct"/>
                  <w:vMerge w:val="continue"/>
                  <w:tcBorders>
                    <w:right w:val="single" w:color="auto" w:sz="4" w:space="0"/>
                    <w:tl2br w:val="nil"/>
                    <w:tr2bl w:val="nil"/>
                  </w:tcBorders>
                  <w:vAlign w:val="center"/>
                </w:tcPr>
                <w:p w14:paraId="54948849">
                  <w:pPr>
                    <w:spacing w:line="240" w:lineRule="auto"/>
                    <w:ind w:firstLine="0" w:firstLineChars="0"/>
                    <w:jc w:val="center"/>
                    <w:rPr>
                      <w:color w:val="000000"/>
                      <w:sz w:val="21"/>
                      <w:szCs w:val="22"/>
                    </w:rPr>
                  </w:pPr>
                </w:p>
              </w:tc>
              <w:tc>
                <w:tcPr>
                  <w:tcW w:w="399" w:type="pct"/>
                  <w:vMerge w:val="continue"/>
                  <w:tcBorders>
                    <w:left w:val="single" w:color="auto" w:sz="4" w:space="0"/>
                    <w:tl2br w:val="nil"/>
                    <w:tr2bl w:val="nil"/>
                  </w:tcBorders>
                  <w:vAlign w:val="center"/>
                </w:tcPr>
                <w:p w14:paraId="44D51DEF">
                  <w:pPr>
                    <w:spacing w:line="240" w:lineRule="auto"/>
                    <w:ind w:firstLine="0" w:firstLineChars="0"/>
                    <w:jc w:val="center"/>
                    <w:rPr>
                      <w:color w:val="000000"/>
                      <w:sz w:val="21"/>
                      <w:szCs w:val="22"/>
                    </w:rPr>
                  </w:pPr>
                </w:p>
              </w:tc>
            </w:tr>
            <w:tr w14:paraId="0D7EAC7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8" w:hRule="atLeast"/>
              </w:trPr>
              <w:tc>
                <w:tcPr>
                  <w:tcW w:w="244" w:type="pct"/>
                  <w:vMerge w:val="restart"/>
                  <w:tcBorders>
                    <w:tl2br w:val="nil"/>
                    <w:tr2bl w:val="nil"/>
                  </w:tcBorders>
                  <w:vAlign w:val="center"/>
                </w:tcPr>
                <w:p w14:paraId="6023B5E9">
                  <w:pPr>
                    <w:spacing w:before="48" w:beforeLines="20" w:after="48" w:afterLines="20" w:line="240" w:lineRule="auto"/>
                    <w:ind w:firstLine="0" w:firstLineChars="0"/>
                    <w:jc w:val="center"/>
                    <w:rPr>
                      <w:sz w:val="21"/>
                      <w:szCs w:val="21"/>
                    </w:rPr>
                  </w:pPr>
                  <w:r>
                    <w:rPr>
                      <w:rFonts w:hint="eastAsia"/>
                      <w:sz w:val="21"/>
                      <w:szCs w:val="21"/>
                    </w:rPr>
                    <w:t>冷却水</w:t>
                  </w:r>
                </w:p>
              </w:tc>
              <w:tc>
                <w:tcPr>
                  <w:tcW w:w="495" w:type="pct"/>
                  <w:tcBorders>
                    <w:tl2br w:val="nil"/>
                    <w:tr2bl w:val="nil"/>
                  </w:tcBorders>
                  <w:vAlign w:val="center"/>
                </w:tcPr>
                <w:p w14:paraId="697B0E9A">
                  <w:pPr>
                    <w:spacing w:before="48" w:beforeLines="20" w:after="48" w:afterLines="20" w:line="240" w:lineRule="auto"/>
                    <w:ind w:firstLine="0" w:firstLineChars="0"/>
                    <w:jc w:val="center"/>
                    <w:rPr>
                      <w:sz w:val="21"/>
                      <w:szCs w:val="21"/>
                    </w:rPr>
                  </w:pPr>
                  <w:r>
                    <w:rPr>
                      <w:rFonts w:hint="eastAsia" w:cs="宋体"/>
                      <w:bCs/>
                    </w:rPr>
                    <w:t>BOD</w:t>
                  </w:r>
                  <w:r>
                    <w:rPr>
                      <w:rFonts w:hint="eastAsia" w:cs="宋体"/>
                      <w:bCs/>
                      <w:vertAlign w:val="subscript"/>
                    </w:rPr>
                    <w:t>5</w:t>
                  </w:r>
                </w:p>
              </w:tc>
              <w:tc>
                <w:tcPr>
                  <w:tcW w:w="282" w:type="pct"/>
                  <w:vMerge w:val="restart"/>
                  <w:tcBorders>
                    <w:tl2br w:val="nil"/>
                    <w:tr2bl w:val="nil"/>
                  </w:tcBorders>
                  <w:vAlign w:val="center"/>
                </w:tcPr>
                <w:p w14:paraId="6CF4ECD4">
                  <w:pPr>
                    <w:spacing w:before="48" w:beforeLines="20" w:after="48" w:afterLines="20" w:line="240" w:lineRule="auto"/>
                    <w:ind w:firstLine="0" w:firstLineChars="0"/>
                    <w:jc w:val="center"/>
                    <w:rPr>
                      <w:sz w:val="21"/>
                      <w:szCs w:val="21"/>
                    </w:rPr>
                  </w:pPr>
                  <w:r>
                    <w:rPr>
                      <w:rFonts w:hint="eastAsia"/>
                      <w:sz w:val="21"/>
                      <w:szCs w:val="21"/>
                    </w:rPr>
                    <w:t>10.24</w:t>
                  </w:r>
                </w:p>
              </w:tc>
              <w:tc>
                <w:tcPr>
                  <w:tcW w:w="420" w:type="pct"/>
                  <w:tcBorders>
                    <w:tl2br w:val="nil"/>
                    <w:tr2bl w:val="nil"/>
                  </w:tcBorders>
                  <w:vAlign w:val="center"/>
                </w:tcPr>
                <w:p w14:paraId="0F007116">
                  <w:pPr>
                    <w:spacing w:before="48" w:beforeLines="20" w:after="48" w:afterLines="20" w:line="240" w:lineRule="auto"/>
                    <w:ind w:firstLine="0" w:firstLineChars="0"/>
                    <w:jc w:val="center"/>
                    <w:rPr>
                      <w:sz w:val="21"/>
                      <w:szCs w:val="21"/>
                    </w:rPr>
                  </w:pPr>
                  <w:r>
                    <w:rPr>
                      <w:rFonts w:hint="eastAsia"/>
                      <w:sz w:val="21"/>
                      <w:szCs w:val="21"/>
                    </w:rPr>
                    <w:t>50</w:t>
                  </w:r>
                </w:p>
              </w:tc>
              <w:tc>
                <w:tcPr>
                  <w:tcW w:w="529" w:type="pct"/>
                  <w:tcBorders>
                    <w:tl2br w:val="nil"/>
                    <w:tr2bl w:val="nil"/>
                  </w:tcBorders>
                  <w:vAlign w:val="center"/>
                </w:tcPr>
                <w:p w14:paraId="39FBC8F4">
                  <w:pPr>
                    <w:spacing w:line="240" w:lineRule="auto"/>
                    <w:ind w:firstLine="0" w:firstLineChars="0"/>
                    <w:jc w:val="center"/>
                    <w:rPr>
                      <w:rFonts w:cs="宋体"/>
                      <w:color w:val="000000"/>
                      <w:sz w:val="21"/>
                      <w:szCs w:val="22"/>
                    </w:rPr>
                  </w:pPr>
                  <w:r>
                    <w:rPr>
                      <w:rFonts w:hint="eastAsia" w:cs="宋体"/>
                      <w:color w:val="000000"/>
                      <w:sz w:val="21"/>
                      <w:szCs w:val="22"/>
                    </w:rPr>
                    <w:t>0.00051</w:t>
                  </w:r>
                </w:p>
              </w:tc>
              <w:tc>
                <w:tcPr>
                  <w:tcW w:w="643" w:type="pct"/>
                  <w:vMerge w:val="restart"/>
                  <w:tcBorders>
                    <w:tl2br w:val="nil"/>
                    <w:tr2bl w:val="nil"/>
                  </w:tcBorders>
                  <w:vAlign w:val="center"/>
                </w:tcPr>
                <w:p w14:paraId="61B59044">
                  <w:pPr>
                    <w:spacing w:before="48" w:beforeLines="20" w:after="48" w:afterLines="20" w:line="240" w:lineRule="auto"/>
                    <w:ind w:firstLine="0" w:firstLineChars="0"/>
                    <w:jc w:val="center"/>
                    <w:rPr>
                      <w:sz w:val="21"/>
                      <w:szCs w:val="21"/>
                    </w:rPr>
                  </w:pPr>
                  <w:r>
                    <w:rPr>
                      <w:rFonts w:hint="eastAsia"/>
                      <w:sz w:val="21"/>
                      <w:szCs w:val="21"/>
                    </w:rPr>
                    <w:t>混凝沉淀+压滤+保安过滤</w:t>
                  </w:r>
                </w:p>
              </w:tc>
              <w:tc>
                <w:tcPr>
                  <w:tcW w:w="427" w:type="pct"/>
                  <w:vMerge w:val="restart"/>
                  <w:tcBorders>
                    <w:tl2br w:val="nil"/>
                    <w:tr2bl w:val="nil"/>
                  </w:tcBorders>
                  <w:vAlign w:val="center"/>
                </w:tcPr>
                <w:p w14:paraId="2693EF63">
                  <w:pPr>
                    <w:spacing w:before="48" w:beforeLines="20" w:after="48" w:afterLines="20" w:line="240" w:lineRule="auto"/>
                    <w:ind w:firstLine="0" w:firstLineChars="0"/>
                    <w:jc w:val="center"/>
                    <w:rPr>
                      <w:sz w:val="21"/>
                      <w:szCs w:val="21"/>
                    </w:rPr>
                  </w:pPr>
                  <w:r>
                    <w:rPr>
                      <w:rFonts w:hint="eastAsia"/>
                      <w:sz w:val="21"/>
                      <w:szCs w:val="21"/>
                    </w:rPr>
                    <w:t>是</w:t>
                  </w:r>
                </w:p>
              </w:tc>
              <w:tc>
                <w:tcPr>
                  <w:tcW w:w="329" w:type="pct"/>
                  <w:vMerge w:val="restart"/>
                  <w:tcBorders>
                    <w:tl2br w:val="nil"/>
                    <w:tr2bl w:val="nil"/>
                  </w:tcBorders>
                  <w:vAlign w:val="center"/>
                </w:tcPr>
                <w:p w14:paraId="78188A7D">
                  <w:pPr>
                    <w:spacing w:before="48" w:beforeLines="20" w:after="48" w:afterLines="20" w:line="240" w:lineRule="auto"/>
                    <w:ind w:firstLine="0" w:firstLineChars="0"/>
                    <w:jc w:val="center"/>
                    <w:rPr>
                      <w:sz w:val="21"/>
                      <w:szCs w:val="21"/>
                    </w:rPr>
                  </w:pPr>
                  <w:r>
                    <w:rPr>
                      <w:rFonts w:hint="eastAsia"/>
                      <w:sz w:val="21"/>
                      <w:szCs w:val="21"/>
                    </w:rPr>
                    <w:t>10.24</w:t>
                  </w:r>
                </w:p>
              </w:tc>
              <w:tc>
                <w:tcPr>
                  <w:tcW w:w="400" w:type="pct"/>
                  <w:tcBorders>
                    <w:tl2br w:val="nil"/>
                    <w:tr2bl w:val="nil"/>
                  </w:tcBorders>
                  <w:vAlign w:val="center"/>
                </w:tcPr>
                <w:p w14:paraId="7333A2F9">
                  <w:pPr>
                    <w:spacing w:before="48" w:beforeLines="20" w:after="48" w:afterLines="20" w:line="240" w:lineRule="auto"/>
                    <w:ind w:firstLine="0" w:firstLineChars="0"/>
                    <w:jc w:val="center"/>
                    <w:rPr>
                      <w:sz w:val="21"/>
                      <w:szCs w:val="21"/>
                    </w:rPr>
                  </w:pPr>
                  <w:r>
                    <w:rPr>
                      <w:rFonts w:hint="eastAsia"/>
                      <w:sz w:val="21"/>
                      <w:szCs w:val="21"/>
                    </w:rPr>
                    <w:t>10</w:t>
                  </w:r>
                </w:p>
              </w:tc>
              <w:tc>
                <w:tcPr>
                  <w:tcW w:w="580" w:type="pct"/>
                  <w:tcBorders>
                    <w:tl2br w:val="nil"/>
                    <w:tr2bl w:val="nil"/>
                  </w:tcBorders>
                  <w:vAlign w:val="center"/>
                </w:tcPr>
                <w:p w14:paraId="6CAF34BD">
                  <w:pPr>
                    <w:spacing w:line="240" w:lineRule="auto"/>
                    <w:ind w:firstLine="0" w:firstLineChars="0"/>
                    <w:jc w:val="center"/>
                    <w:rPr>
                      <w:rFonts w:cs="宋体"/>
                      <w:color w:val="000000"/>
                      <w:sz w:val="21"/>
                      <w:szCs w:val="22"/>
                    </w:rPr>
                  </w:pPr>
                  <w:r>
                    <w:rPr>
                      <w:rFonts w:hint="eastAsia" w:cs="宋体"/>
                      <w:color w:val="000000"/>
                      <w:sz w:val="21"/>
                      <w:szCs w:val="22"/>
                    </w:rPr>
                    <w:t>0.0001</w:t>
                  </w:r>
                </w:p>
              </w:tc>
              <w:tc>
                <w:tcPr>
                  <w:tcW w:w="247" w:type="pct"/>
                  <w:vMerge w:val="restart"/>
                  <w:tcBorders>
                    <w:right w:val="single" w:color="auto" w:sz="4" w:space="0"/>
                    <w:tl2br w:val="nil"/>
                    <w:tr2bl w:val="nil"/>
                  </w:tcBorders>
                  <w:vAlign w:val="center"/>
                </w:tcPr>
                <w:p w14:paraId="7885EBEC">
                  <w:pPr>
                    <w:spacing w:line="240" w:lineRule="auto"/>
                    <w:ind w:firstLine="0" w:firstLineChars="0"/>
                    <w:jc w:val="center"/>
                    <w:rPr>
                      <w:color w:val="000000"/>
                      <w:sz w:val="21"/>
                      <w:szCs w:val="22"/>
                    </w:rPr>
                  </w:pPr>
                  <w:r>
                    <w:rPr>
                      <w:rFonts w:hint="eastAsia"/>
                      <w:color w:val="000000"/>
                      <w:sz w:val="21"/>
                      <w:szCs w:val="22"/>
                    </w:rPr>
                    <w:t>不排放</w:t>
                  </w:r>
                </w:p>
              </w:tc>
              <w:tc>
                <w:tcPr>
                  <w:tcW w:w="399" w:type="pct"/>
                  <w:vMerge w:val="restart"/>
                  <w:tcBorders>
                    <w:left w:val="single" w:color="auto" w:sz="4" w:space="0"/>
                    <w:tl2br w:val="nil"/>
                    <w:tr2bl w:val="nil"/>
                  </w:tcBorders>
                  <w:vAlign w:val="center"/>
                </w:tcPr>
                <w:p w14:paraId="2AB5EB82">
                  <w:pPr>
                    <w:spacing w:line="240" w:lineRule="auto"/>
                    <w:ind w:firstLine="0" w:firstLineChars="0"/>
                    <w:jc w:val="center"/>
                    <w:rPr>
                      <w:color w:val="000000"/>
                      <w:sz w:val="21"/>
                      <w:szCs w:val="22"/>
                    </w:rPr>
                  </w:pPr>
                  <w:r>
                    <w:rPr>
                      <w:rFonts w:hint="eastAsia"/>
                      <w:color w:val="000000"/>
                      <w:sz w:val="21"/>
                      <w:szCs w:val="22"/>
                    </w:rPr>
                    <w:t>回用于冷却工序</w:t>
                  </w:r>
                </w:p>
              </w:tc>
            </w:tr>
            <w:tr w14:paraId="10A68D2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8" w:hRule="atLeast"/>
              </w:trPr>
              <w:tc>
                <w:tcPr>
                  <w:tcW w:w="244" w:type="pct"/>
                  <w:vMerge w:val="continue"/>
                  <w:tcBorders>
                    <w:tl2br w:val="nil"/>
                    <w:tr2bl w:val="nil"/>
                  </w:tcBorders>
                  <w:vAlign w:val="center"/>
                </w:tcPr>
                <w:p w14:paraId="1AB70823">
                  <w:pPr>
                    <w:spacing w:before="48" w:beforeLines="20" w:after="48" w:afterLines="20" w:line="240" w:lineRule="auto"/>
                    <w:ind w:firstLine="0" w:firstLineChars="0"/>
                    <w:jc w:val="center"/>
                    <w:rPr>
                      <w:sz w:val="21"/>
                      <w:szCs w:val="21"/>
                    </w:rPr>
                  </w:pPr>
                </w:p>
              </w:tc>
              <w:tc>
                <w:tcPr>
                  <w:tcW w:w="495" w:type="pct"/>
                  <w:tcBorders>
                    <w:tl2br w:val="nil"/>
                    <w:tr2bl w:val="nil"/>
                  </w:tcBorders>
                  <w:vAlign w:val="center"/>
                </w:tcPr>
                <w:p w14:paraId="0982F0B5">
                  <w:pPr>
                    <w:spacing w:before="48" w:beforeLines="20" w:after="48" w:afterLines="20" w:line="240" w:lineRule="auto"/>
                    <w:ind w:firstLine="0" w:firstLineChars="0"/>
                    <w:jc w:val="center"/>
                    <w:rPr>
                      <w:sz w:val="21"/>
                      <w:szCs w:val="21"/>
                    </w:rPr>
                  </w:pPr>
                  <w:r>
                    <w:rPr>
                      <w:rFonts w:hint="eastAsia"/>
                      <w:sz w:val="21"/>
                      <w:szCs w:val="21"/>
                    </w:rPr>
                    <w:t>SS</w:t>
                  </w:r>
                </w:p>
              </w:tc>
              <w:tc>
                <w:tcPr>
                  <w:tcW w:w="282" w:type="pct"/>
                  <w:vMerge w:val="continue"/>
                  <w:tcBorders>
                    <w:tl2br w:val="nil"/>
                    <w:tr2bl w:val="nil"/>
                  </w:tcBorders>
                  <w:vAlign w:val="center"/>
                </w:tcPr>
                <w:p w14:paraId="1019C458">
                  <w:pPr>
                    <w:spacing w:before="48" w:beforeLines="20" w:after="48" w:afterLines="20" w:line="240" w:lineRule="auto"/>
                    <w:ind w:firstLine="0" w:firstLineChars="0"/>
                    <w:jc w:val="center"/>
                    <w:rPr>
                      <w:sz w:val="21"/>
                      <w:szCs w:val="21"/>
                    </w:rPr>
                  </w:pPr>
                </w:p>
              </w:tc>
              <w:tc>
                <w:tcPr>
                  <w:tcW w:w="420" w:type="pct"/>
                  <w:tcBorders>
                    <w:tl2br w:val="nil"/>
                    <w:tr2bl w:val="nil"/>
                  </w:tcBorders>
                  <w:vAlign w:val="center"/>
                </w:tcPr>
                <w:p w14:paraId="6989AC17">
                  <w:pPr>
                    <w:spacing w:before="48" w:beforeLines="20" w:after="48" w:afterLines="20" w:line="240" w:lineRule="auto"/>
                    <w:ind w:firstLine="0" w:firstLineChars="0"/>
                    <w:jc w:val="center"/>
                    <w:rPr>
                      <w:sz w:val="21"/>
                      <w:szCs w:val="21"/>
                    </w:rPr>
                  </w:pPr>
                  <w:r>
                    <w:rPr>
                      <w:rFonts w:hint="eastAsia"/>
                      <w:sz w:val="21"/>
                      <w:szCs w:val="21"/>
                    </w:rPr>
                    <w:t>100</w:t>
                  </w:r>
                </w:p>
              </w:tc>
              <w:tc>
                <w:tcPr>
                  <w:tcW w:w="529" w:type="pct"/>
                  <w:tcBorders>
                    <w:tl2br w:val="nil"/>
                    <w:tr2bl w:val="nil"/>
                  </w:tcBorders>
                  <w:vAlign w:val="center"/>
                </w:tcPr>
                <w:p w14:paraId="00A895F7">
                  <w:pPr>
                    <w:spacing w:line="240" w:lineRule="auto"/>
                    <w:ind w:firstLine="0" w:firstLineChars="0"/>
                    <w:jc w:val="center"/>
                    <w:rPr>
                      <w:rFonts w:cs="宋体"/>
                      <w:color w:val="000000"/>
                      <w:sz w:val="21"/>
                      <w:szCs w:val="22"/>
                    </w:rPr>
                  </w:pPr>
                  <w:r>
                    <w:rPr>
                      <w:rFonts w:hint="eastAsia" w:cs="宋体"/>
                      <w:color w:val="000000"/>
                      <w:sz w:val="21"/>
                      <w:szCs w:val="22"/>
                    </w:rPr>
                    <w:t>0.00102</w:t>
                  </w:r>
                </w:p>
              </w:tc>
              <w:tc>
                <w:tcPr>
                  <w:tcW w:w="643" w:type="pct"/>
                  <w:vMerge w:val="continue"/>
                  <w:tcBorders>
                    <w:tl2br w:val="nil"/>
                    <w:tr2bl w:val="nil"/>
                  </w:tcBorders>
                  <w:vAlign w:val="center"/>
                </w:tcPr>
                <w:p w14:paraId="6143D3D7">
                  <w:pPr>
                    <w:spacing w:before="48" w:beforeLines="20" w:after="48" w:afterLines="20" w:line="240" w:lineRule="auto"/>
                    <w:ind w:firstLine="0" w:firstLineChars="0"/>
                    <w:jc w:val="center"/>
                    <w:rPr>
                      <w:sz w:val="21"/>
                      <w:szCs w:val="21"/>
                    </w:rPr>
                  </w:pPr>
                </w:p>
              </w:tc>
              <w:tc>
                <w:tcPr>
                  <w:tcW w:w="427" w:type="pct"/>
                  <w:vMerge w:val="continue"/>
                  <w:tcBorders>
                    <w:tl2br w:val="nil"/>
                    <w:tr2bl w:val="nil"/>
                  </w:tcBorders>
                  <w:vAlign w:val="center"/>
                </w:tcPr>
                <w:p w14:paraId="21DE4BB1">
                  <w:pPr>
                    <w:spacing w:before="48" w:beforeLines="20" w:after="48" w:afterLines="20" w:line="240" w:lineRule="auto"/>
                    <w:ind w:firstLine="0" w:firstLineChars="0"/>
                    <w:jc w:val="center"/>
                    <w:rPr>
                      <w:sz w:val="21"/>
                      <w:szCs w:val="21"/>
                    </w:rPr>
                  </w:pPr>
                </w:p>
              </w:tc>
              <w:tc>
                <w:tcPr>
                  <w:tcW w:w="329" w:type="pct"/>
                  <w:vMerge w:val="continue"/>
                  <w:tcBorders>
                    <w:tl2br w:val="nil"/>
                    <w:tr2bl w:val="nil"/>
                  </w:tcBorders>
                  <w:vAlign w:val="center"/>
                </w:tcPr>
                <w:p w14:paraId="0E5A1A3E">
                  <w:pPr>
                    <w:spacing w:before="48" w:beforeLines="20" w:after="48" w:afterLines="20" w:line="240" w:lineRule="auto"/>
                    <w:ind w:firstLine="0" w:firstLineChars="0"/>
                    <w:jc w:val="center"/>
                    <w:rPr>
                      <w:sz w:val="21"/>
                      <w:szCs w:val="21"/>
                    </w:rPr>
                  </w:pPr>
                </w:p>
              </w:tc>
              <w:tc>
                <w:tcPr>
                  <w:tcW w:w="400" w:type="pct"/>
                  <w:tcBorders>
                    <w:tl2br w:val="nil"/>
                    <w:tr2bl w:val="nil"/>
                  </w:tcBorders>
                  <w:vAlign w:val="center"/>
                </w:tcPr>
                <w:p w14:paraId="41B8B23D">
                  <w:pPr>
                    <w:spacing w:before="48" w:beforeLines="20" w:after="48" w:afterLines="20" w:line="240" w:lineRule="auto"/>
                    <w:ind w:firstLine="0" w:firstLineChars="0"/>
                    <w:jc w:val="center"/>
                    <w:rPr>
                      <w:sz w:val="21"/>
                      <w:szCs w:val="21"/>
                    </w:rPr>
                  </w:pPr>
                  <w:r>
                    <w:rPr>
                      <w:rFonts w:hint="eastAsia"/>
                      <w:sz w:val="21"/>
                      <w:szCs w:val="21"/>
                    </w:rPr>
                    <w:t>30</w:t>
                  </w:r>
                </w:p>
              </w:tc>
              <w:tc>
                <w:tcPr>
                  <w:tcW w:w="580" w:type="pct"/>
                  <w:tcBorders>
                    <w:tl2br w:val="nil"/>
                    <w:tr2bl w:val="nil"/>
                  </w:tcBorders>
                  <w:vAlign w:val="center"/>
                </w:tcPr>
                <w:p w14:paraId="00920051">
                  <w:pPr>
                    <w:spacing w:line="240" w:lineRule="auto"/>
                    <w:ind w:firstLine="0" w:firstLineChars="0"/>
                    <w:jc w:val="center"/>
                    <w:rPr>
                      <w:rFonts w:cs="宋体"/>
                      <w:color w:val="000000"/>
                      <w:sz w:val="21"/>
                      <w:szCs w:val="22"/>
                    </w:rPr>
                  </w:pPr>
                  <w:r>
                    <w:rPr>
                      <w:rFonts w:hint="eastAsia" w:cs="宋体"/>
                      <w:color w:val="000000"/>
                      <w:sz w:val="21"/>
                      <w:szCs w:val="22"/>
                    </w:rPr>
                    <w:t>0.00031</w:t>
                  </w:r>
                </w:p>
              </w:tc>
              <w:tc>
                <w:tcPr>
                  <w:tcW w:w="247" w:type="pct"/>
                  <w:vMerge w:val="continue"/>
                  <w:tcBorders>
                    <w:right w:val="single" w:color="auto" w:sz="4" w:space="0"/>
                    <w:tl2br w:val="nil"/>
                    <w:tr2bl w:val="nil"/>
                  </w:tcBorders>
                  <w:vAlign w:val="center"/>
                </w:tcPr>
                <w:p w14:paraId="71DD1DEE">
                  <w:pPr>
                    <w:spacing w:line="240" w:lineRule="auto"/>
                    <w:ind w:firstLine="0" w:firstLineChars="0"/>
                    <w:jc w:val="center"/>
                    <w:rPr>
                      <w:color w:val="000000"/>
                      <w:sz w:val="21"/>
                      <w:szCs w:val="22"/>
                    </w:rPr>
                  </w:pPr>
                </w:p>
              </w:tc>
              <w:tc>
                <w:tcPr>
                  <w:tcW w:w="399" w:type="pct"/>
                  <w:vMerge w:val="continue"/>
                  <w:tcBorders>
                    <w:left w:val="single" w:color="auto" w:sz="4" w:space="0"/>
                    <w:tl2br w:val="nil"/>
                    <w:tr2bl w:val="nil"/>
                  </w:tcBorders>
                  <w:vAlign w:val="center"/>
                </w:tcPr>
                <w:p w14:paraId="2BE3370A">
                  <w:pPr>
                    <w:spacing w:line="240" w:lineRule="auto"/>
                    <w:ind w:firstLine="0" w:firstLineChars="0"/>
                    <w:jc w:val="center"/>
                    <w:rPr>
                      <w:color w:val="000000"/>
                      <w:sz w:val="21"/>
                      <w:szCs w:val="22"/>
                    </w:rPr>
                  </w:pPr>
                </w:p>
              </w:tc>
            </w:tr>
            <w:tr w14:paraId="4D32D91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368" w:hRule="atLeast"/>
              </w:trPr>
              <w:tc>
                <w:tcPr>
                  <w:tcW w:w="244" w:type="pct"/>
                  <w:vMerge w:val="continue"/>
                  <w:tcBorders>
                    <w:tl2br w:val="nil"/>
                    <w:tr2bl w:val="nil"/>
                  </w:tcBorders>
                  <w:vAlign w:val="center"/>
                </w:tcPr>
                <w:p w14:paraId="2928082C">
                  <w:pPr>
                    <w:spacing w:before="48" w:beforeLines="20" w:after="48" w:afterLines="20" w:line="240" w:lineRule="auto"/>
                    <w:ind w:firstLine="0" w:firstLineChars="0"/>
                    <w:jc w:val="center"/>
                    <w:rPr>
                      <w:sz w:val="21"/>
                      <w:szCs w:val="21"/>
                    </w:rPr>
                  </w:pPr>
                </w:p>
              </w:tc>
              <w:tc>
                <w:tcPr>
                  <w:tcW w:w="495" w:type="pct"/>
                  <w:tcBorders>
                    <w:tl2br w:val="nil"/>
                    <w:tr2bl w:val="nil"/>
                  </w:tcBorders>
                  <w:vAlign w:val="center"/>
                </w:tcPr>
                <w:p w14:paraId="7AA4DDDB">
                  <w:pPr>
                    <w:spacing w:before="48" w:beforeLines="20" w:after="48" w:afterLines="20" w:line="240" w:lineRule="auto"/>
                    <w:ind w:firstLine="0" w:firstLineChars="0"/>
                    <w:jc w:val="center"/>
                    <w:rPr>
                      <w:sz w:val="21"/>
                      <w:szCs w:val="21"/>
                    </w:rPr>
                  </w:pPr>
                  <w:r>
                    <w:rPr>
                      <w:rFonts w:hint="eastAsia"/>
                      <w:sz w:val="21"/>
                      <w:szCs w:val="21"/>
                    </w:rPr>
                    <w:t>色度</w:t>
                  </w:r>
                </w:p>
              </w:tc>
              <w:tc>
                <w:tcPr>
                  <w:tcW w:w="282" w:type="pct"/>
                  <w:vMerge w:val="continue"/>
                  <w:tcBorders>
                    <w:tl2br w:val="nil"/>
                    <w:tr2bl w:val="nil"/>
                  </w:tcBorders>
                  <w:vAlign w:val="center"/>
                </w:tcPr>
                <w:p w14:paraId="196986B4">
                  <w:pPr>
                    <w:spacing w:before="48" w:beforeLines="20" w:after="48" w:afterLines="20" w:line="240" w:lineRule="auto"/>
                    <w:ind w:firstLine="0" w:firstLineChars="0"/>
                    <w:jc w:val="center"/>
                    <w:rPr>
                      <w:sz w:val="21"/>
                      <w:szCs w:val="21"/>
                    </w:rPr>
                  </w:pPr>
                </w:p>
              </w:tc>
              <w:tc>
                <w:tcPr>
                  <w:tcW w:w="420" w:type="pct"/>
                  <w:tcBorders>
                    <w:tl2br w:val="nil"/>
                    <w:tr2bl w:val="nil"/>
                  </w:tcBorders>
                  <w:vAlign w:val="center"/>
                </w:tcPr>
                <w:p w14:paraId="57E09744">
                  <w:pPr>
                    <w:spacing w:before="48" w:beforeLines="20" w:after="48" w:afterLines="20" w:line="240" w:lineRule="auto"/>
                    <w:ind w:firstLine="0" w:firstLineChars="0"/>
                    <w:jc w:val="center"/>
                    <w:rPr>
                      <w:sz w:val="21"/>
                      <w:szCs w:val="21"/>
                    </w:rPr>
                  </w:pPr>
                  <w:r>
                    <w:rPr>
                      <w:rFonts w:hint="eastAsia"/>
                      <w:sz w:val="21"/>
                      <w:szCs w:val="21"/>
                    </w:rPr>
                    <w:t>60度</w:t>
                  </w:r>
                </w:p>
              </w:tc>
              <w:tc>
                <w:tcPr>
                  <w:tcW w:w="529" w:type="pct"/>
                  <w:tcBorders>
                    <w:tl2br w:val="nil"/>
                    <w:tr2bl w:val="nil"/>
                  </w:tcBorders>
                  <w:vAlign w:val="center"/>
                </w:tcPr>
                <w:p w14:paraId="4E80605A">
                  <w:pPr>
                    <w:spacing w:line="240" w:lineRule="auto"/>
                    <w:ind w:firstLine="0" w:firstLineChars="0"/>
                    <w:jc w:val="center"/>
                    <w:rPr>
                      <w:rFonts w:cs="宋体"/>
                      <w:color w:val="000000"/>
                      <w:sz w:val="21"/>
                      <w:szCs w:val="22"/>
                    </w:rPr>
                  </w:pPr>
                  <w:r>
                    <w:rPr>
                      <w:rFonts w:hint="eastAsia" w:cs="宋体"/>
                      <w:color w:val="000000"/>
                      <w:sz w:val="21"/>
                      <w:szCs w:val="22"/>
                    </w:rPr>
                    <w:t>/</w:t>
                  </w:r>
                </w:p>
              </w:tc>
              <w:tc>
                <w:tcPr>
                  <w:tcW w:w="643" w:type="pct"/>
                  <w:vMerge w:val="continue"/>
                  <w:tcBorders>
                    <w:tl2br w:val="nil"/>
                    <w:tr2bl w:val="nil"/>
                  </w:tcBorders>
                  <w:vAlign w:val="center"/>
                </w:tcPr>
                <w:p w14:paraId="40837D84">
                  <w:pPr>
                    <w:spacing w:before="48" w:beforeLines="20" w:after="48" w:afterLines="20" w:line="240" w:lineRule="auto"/>
                    <w:ind w:firstLine="0" w:firstLineChars="0"/>
                    <w:jc w:val="center"/>
                    <w:rPr>
                      <w:sz w:val="21"/>
                      <w:szCs w:val="21"/>
                    </w:rPr>
                  </w:pPr>
                </w:p>
              </w:tc>
              <w:tc>
                <w:tcPr>
                  <w:tcW w:w="427" w:type="pct"/>
                  <w:vMerge w:val="continue"/>
                  <w:tcBorders>
                    <w:tl2br w:val="nil"/>
                    <w:tr2bl w:val="nil"/>
                  </w:tcBorders>
                  <w:vAlign w:val="center"/>
                </w:tcPr>
                <w:p w14:paraId="439507D0">
                  <w:pPr>
                    <w:spacing w:before="48" w:beforeLines="20" w:after="48" w:afterLines="20" w:line="240" w:lineRule="auto"/>
                    <w:ind w:firstLine="0" w:firstLineChars="0"/>
                    <w:jc w:val="center"/>
                    <w:rPr>
                      <w:sz w:val="21"/>
                      <w:szCs w:val="21"/>
                    </w:rPr>
                  </w:pPr>
                </w:p>
              </w:tc>
              <w:tc>
                <w:tcPr>
                  <w:tcW w:w="329" w:type="pct"/>
                  <w:vMerge w:val="continue"/>
                  <w:tcBorders>
                    <w:tl2br w:val="nil"/>
                    <w:tr2bl w:val="nil"/>
                  </w:tcBorders>
                  <w:vAlign w:val="center"/>
                </w:tcPr>
                <w:p w14:paraId="1DE21E20">
                  <w:pPr>
                    <w:spacing w:before="48" w:beforeLines="20" w:after="48" w:afterLines="20" w:line="240" w:lineRule="auto"/>
                    <w:ind w:firstLine="0" w:firstLineChars="0"/>
                    <w:jc w:val="center"/>
                    <w:rPr>
                      <w:sz w:val="21"/>
                      <w:szCs w:val="21"/>
                    </w:rPr>
                  </w:pPr>
                </w:p>
              </w:tc>
              <w:tc>
                <w:tcPr>
                  <w:tcW w:w="400" w:type="pct"/>
                  <w:tcBorders>
                    <w:tl2br w:val="nil"/>
                    <w:tr2bl w:val="nil"/>
                  </w:tcBorders>
                  <w:vAlign w:val="center"/>
                </w:tcPr>
                <w:p w14:paraId="62B45CCA">
                  <w:pPr>
                    <w:spacing w:before="48" w:beforeLines="20" w:after="48" w:afterLines="20" w:line="240" w:lineRule="auto"/>
                    <w:ind w:firstLine="0" w:firstLineChars="0"/>
                    <w:jc w:val="center"/>
                    <w:rPr>
                      <w:sz w:val="21"/>
                      <w:szCs w:val="21"/>
                    </w:rPr>
                  </w:pPr>
                  <w:r>
                    <w:rPr>
                      <w:rFonts w:hint="eastAsia"/>
                      <w:sz w:val="21"/>
                      <w:szCs w:val="21"/>
                    </w:rPr>
                    <w:t>30度</w:t>
                  </w:r>
                </w:p>
              </w:tc>
              <w:tc>
                <w:tcPr>
                  <w:tcW w:w="580" w:type="pct"/>
                  <w:tcBorders>
                    <w:tl2br w:val="nil"/>
                    <w:tr2bl w:val="nil"/>
                  </w:tcBorders>
                  <w:vAlign w:val="center"/>
                </w:tcPr>
                <w:p w14:paraId="2C75E40C">
                  <w:pPr>
                    <w:spacing w:line="240" w:lineRule="auto"/>
                    <w:ind w:firstLine="0" w:firstLineChars="0"/>
                    <w:jc w:val="center"/>
                    <w:rPr>
                      <w:rFonts w:cs="宋体"/>
                      <w:color w:val="000000"/>
                      <w:sz w:val="21"/>
                      <w:szCs w:val="22"/>
                    </w:rPr>
                  </w:pPr>
                  <w:r>
                    <w:rPr>
                      <w:rFonts w:hint="eastAsia" w:cs="宋体"/>
                      <w:color w:val="000000"/>
                      <w:sz w:val="21"/>
                      <w:szCs w:val="22"/>
                    </w:rPr>
                    <w:t>/</w:t>
                  </w:r>
                </w:p>
              </w:tc>
              <w:tc>
                <w:tcPr>
                  <w:tcW w:w="247" w:type="pct"/>
                  <w:vMerge w:val="continue"/>
                  <w:tcBorders>
                    <w:right w:val="single" w:color="auto" w:sz="4" w:space="0"/>
                    <w:tl2br w:val="nil"/>
                    <w:tr2bl w:val="nil"/>
                  </w:tcBorders>
                  <w:vAlign w:val="center"/>
                </w:tcPr>
                <w:p w14:paraId="41C680E1">
                  <w:pPr>
                    <w:spacing w:line="240" w:lineRule="auto"/>
                    <w:ind w:firstLine="0" w:firstLineChars="0"/>
                    <w:jc w:val="center"/>
                    <w:rPr>
                      <w:color w:val="000000"/>
                      <w:sz w:val="21"/>
                      <w:szCs w:val="22"/>
                    </w:rPr>
                  </w:pPr>
                </w:p>
              </w:tc>
              <w:tc>
                <w:tcPr>
                  <w:tcW w:w="399" w:type="pct"/>
                  <w:vMerge w:val="continue"/>
                  <w:tcBorders>
                    <w:left w:val="single" w:color="auto" w:sz="4" w:space="0"/>
                    <w:tl2br w:val="nil"/>
                    <w:tr2bl w:val="nil"/>
                  </w:tcBorders>
                  <w:vAlign w:val="center"/>
                </w:tcPr>
                <w:p w14:paraId="30B6A884">
                  <w:pPr>
                    <w:spacing w:line="240" w:lineRule="auto"/>
                    <w:ind w:firstLine="0" w:firstLineChars="0"/>
                    <w:jc w:val="center"/>
                    <w:rPr>
                      <w:color w:val="000000"/>
                      <w:sz w:val="21"/>
                      <w:szCs w:val="22"/>
                    </w:rPr>
                  </w:pPr>
                </w:p>
              </w:tc>
            </w:tr>
          </w:tbl>
          <w:p w14:paraId="21EACEA5">
            <w:pPr>
              <w:ind w:firstLine="480"/>
              <w:rPr>
                <w:bCs/>
              </w:rPr>
            </w:pPr>
            <w:r>
              <w:rPr>
                <w:rFonts w:hint="eastAsia"/>
                <w:bCs/>
              </w:rPr>
              <w:t>1）</w:t>
            </w:r>
            <w:r>
              <w:rPr>
                <w:bCs/>
              </w:rPr>
              <w:t>生活污水</w:t>
            </w:r>
          </w:p>
          <w:p w14:paraId="37D031D3">
            <w:pPr>
              <w:ind w:firstLine="480"/>
              <w:jc w:val="both"/>
              <w:rPr>
                <w:highlight w:val="yellow"/>
              </w:rPr>
            </w:pPr>
            <w:r>
              <w:t>项目</w:t>
            </w:r>
            <w:r>
              <w:rPr>
                <w:rFonts w:hint="eastAsia"/>
              </w:rPr>
              <w:t>劳动定员8</w:t>
            </w:r>
            <w:r>
              <w:t>人，年工作</w:t>
            </w:r>
            <w:r>
              <w:rPr>
                <w:rFonts w:hint="eastAsia"/>
              </w:rPr>
              <w:t>250</w:t>
            </w:r>
            <w:r>
              <w:t>天，每天</w:t>
            </w:r>
            <w:r>
              <w:rPr>
                <w:rFonts w:hint="eastAsia"/>
              </w:rPr>
              <w:t>一</w:t>
            </w:r>
            <w:r>
              <w:t>班制，每</w:t>
            </w:r>
            <w:r>
              <w:rPr>
                <w:rFonts w:hint="eastAsia"/>
              </w:rPr>
              <w:t>天</w:t>
            </w:r>
            <w:r>
              <w:t>工作</w:t>
            </w:r>
            <w:r>
              <w:rPr>
                <w:rFonts w:hint="eastAsia"/>
              </w:rPr>
              <w:t>8</w:t>
            </w:r>
            <w:r>
              <w:t>h，</w:t>
            </w:r>
            <w:r>
              <w:rPr>
                <w:rFonts w:hint="eastAsia"/>
              </w:rPr>
              <w:t>均不在项目内食宿</w:t>
            </w:r>
            <w:r>
              <w:t>。按照广东省地方标准</w:t>
            </w:r>
            <w:r>
              <w:rPr>
                <w:rFonts w:hint="eastAsia"/>
              </w:rPr>
              <w:t>《用水定额 第3部分：生活》</w:t>
            </w:r>
            <w:r>
              <w:t>（DB44/T1461.3-2021），</w:t>
            </w:r>
            <w:r>
              <w:rPr>
                <w:rFonts w:hint="eastAsia"/>
              </w:rPr>
              <w:t>国家行政机构</w:t>
            </w:r>
            <w:r>
              <w:t>-</w:t>
            </w:r>
            <w:r>
              <w:rPr>
                <w:rFonts w:hint="eastAsia"/>
              </w:rPr>
              <w:t>办公楼</w:t>
            </w:r>
            <w:r>
              <w:t>-</w:t>
            </w:r>
            <w:r>
              <w:rPr>
                <w:rFonts w:hint="eastAsia"/>
              </w:rPr>
              <w:t>无食堂和浴室的用水定额先进值10</w:t>
            </w:r>
            <w:r>
              <w:t>m</w:t>
            </w:r>
            <w:r>
              <w:rPr>
                <w:vertAlign w:val="superscript"/>
              </w:rPr>
              <w:t>3</w:t>
            </w:r>
            <w:r>
              <w:t>/</w:t>
            </w:r>
            <w:r>
              <w:rPr>
                <w:rFonts w:hint="eastAsia"/>
              </w:rPr>
              <w:t>（人•</w:t>
            </w:r>
            <w:r>
              <w:t>a</w:t>
            </w:r>
            <w:r>
              <w:rPr>
                <w:rFonts w:hint="eastAsia"/>
              </w:rPr>
              <w:t>）计算</w:t>
            </w:r>
            <w:r>
              <w:t>。则员工生活用水量约</w:t>
            </w:r>
            <w:r>
              <w:rPr>
                <w:rFonts w:hint="eastAsia" w:cs="宋体"/>
              </w:rPr>
              <w:t>80</w:t>
            </w:r>
            <w:r>
              <w:rPr>
                <w:rFonts w:cs="宋体"/>
              </w:rPr>
              <w:t>t/a</w:t>
            </w:r>
            <w:r>
              <w:rPr>
                <w:rFonts w:hint="eastAsia" w:cs="宋体"/>
              </w:rPr>
              <w:t>（0.32t/d）</w:t>
            </w:r>
            <w:r>
              <w:t>，排污系数按</w:t>
            </w:r>
            <w:r>
              <w:rPr>
                <w:rFonts w:hint="eastAsia"/>
              </w:rPr>
              <w:t>8</w:t>
            </w:r>
            <w:r>
              <w:t>0%计算，生活污水排</w:t>
            </w:r>
            <w:r>
              <w:rPr>
                <w:rFonts w:hint="eastAsia"/>
              </w:rPr>
              <w:t>放</w:t>
            </w:r>
            <w:r>
              <w:t>量约</w:t>
            </w:r>
            <w:r>
              <w:rPr>
                <w:rFonts w:hint="eastAsia" w:cs="宋体"/>
              </w:rPr>
              <w:t>64</w:t>
            </w:r>
            <w:r>
              <w:rPr>
                <w:rFonts w:cs="宋体"/>
              </w:rPr>
              <w:t>t/a</w:t>
            </w:r>
            <w:r>
              <w:rPr>
                <w:rFonts w:hint="eastAsia" w:cs="宋体"/>
              </w:rPr>
              <w:t>（0.256t/d）</w:t>
            </w:r>
            <w:r>
              <w:rPr>
                <w:rFonts w:hint="eastAsia"/>
              </w:rPr>
              <w:t>。</w:t>
            </w:r>
            <w:r>
              <w:t>项目生活污水经</w:t>
            </w:r>
            <w:r>
              <w:rPr>
                <w:rFonts w:hint="eastAsia"/>
              </w:rPr>
              <w:t>“三级化粪池”</w:t>
            </w:r>
            <w:r>
              <w:t>处理达到广东省《水污染物排放限值》（DB44/26-2001）第二时段三级标准</w:t>
            </w:r>
            <w:r>
              <w:rPr>
                <w:rFonts w:hint="eastAsia"/>
              </w:rPr>
              <w:t>后</w:t>
            </w:r>
            <w:r>
              <w:t>再经污水管网排入</w:t>
            </w:r>
            <w:r>
              <w:rPr>
                <w:rFonts w:hint="eastAsia"/>
              </w:rPr>
              <w:t>园洲镇第五污水处理厂</w:t>
            </w:r>
            <w:r>
              <w:t>集中处理</w:t>
            </w:r>
            <w:r>
              <w:rPr>
                <w:rFonts w:hint="eastAsia"/>
              </w:rPr>
              <w:t>，尾水排入园洲中心排渠</w:t>
            </w:r>
            <w:r>
              <w:t>。</w:t>
            </w:r>
          </w:p>
          <w:p w14:paraId="7B2235E4">
            <w:pPr>
              <w:pageBreakBefore/>
              <w:ind w:firstLine="480"/>
              <w:jc w:val="both"/>
              <w:rPr>
                <w:rFonts w:cs="宋体"/>
              </w:rPr>
            </w:pPr>
            <w:r>
              <w:rPr>
                <w:rFonts w:hint="eastAsia" w:cs="宋体"/>
              </w:rPr>
              <w:t>项目生活污水中主要污染物为COD</w:t>
            </w:r>
            <w:r>
              <w:rPr>
                <w:rFonts w:hint="eastAsia" w:cs="宋体"/>
                <w:vertAlign w:val="subscript"/>
              </w:rPr>
              <w:t>Cr</w:t>
            </w:r>
            <w:r>
              <w:rPr>
                <w:rFonts w:hint="eastAsia" w:cs="宋体"/>
              </w:rPr>
              <w:t>、</w:t>
            </w:r>
            <w:r>
              <w:rPr>
                <w:rFonts w:cs="宋体"/>
              </w:rPr>
              <w:t>BOD</w:t>
            </w:r>
            <w:r>
              <w:rPr>
                <w:rFonts w:cs="宋体"/>
                <w:vertAlign w:val="subscript"/>
              </w:rPr>
              <w:t>5</w:t>
            </w:r>
            <w:r>
              <w:rPr>
                <w:rFonts w:hint="eastAsia" w:cs="宋体"/>
              </w:rPr>
              <w:t>、</w:t>
            </w:r>
            <w:r>
              <w:rPr>
                <w:rFonts w:cs="宋体"/>
              </w:rPr>
              <w:t>SS</w:t>
            </w:r>
            <w:r>
              <w:rPr>
                <w:rFonts w:hint="eastAsia" w:cs="宋体"/>
              </w:rPr>
              <w:t>、</w:t>
            </w:r>
            <w:r>
              <w:rPr>
                <w:rFonts w:cs="宋体"/>
              </w:rPr>
              <w:t>NH</w:t>
            </w:r>
            <w:r>
              <w:rPr>
                <w:rFonts w:cs="宋体"/>
                <w:vertAlign w:val="subscript"/>
              </w:rPr>
              <w:t>3</w:t>
            </w:r>
            <w:r>
              <w:rPr>
                <w:rFonts w:cs="宋体"/>
              </w:rPr>
              <w:t>-N</w:t>
            </w:r>
            <w:r>
              <w:rPr>
                <w:rFonts w:hint="eastAsia" w:cs="宋体"/>
              </w:rPr>
              <w:t>、总磷等，根据同类企业类比，主要污染物产生浓度为COD</w:t>
            </w:r>
            <w:r>
              <w:rPr>
                <w:rFonts w:hint="eastAsia" w:cs="宋体"/>
                <w:vertAlign w:val="subscript"/>
              </w:rPr>
              <w:t>Cr</w:t>
            </w:r>
            <w:r>
              <w:rPr>
                <w:rFonts w:hint="eastAsia" w:cs="宋体"/>
              </w:rPr>
              <w:t>280mg/L、BOD</w:t>
            </w:r>
            <w:r>
              <w:rPr>
                <w:rFonts w:hint="eastAsia" w:cs="宋体"/>
                <w:vertAlign w:val="subscript"/>
              </w:rPr>
              <w:t>5</w:t>
            </w:r>
            <w:r>
              <w:rPr>
                <w:rFonts w:hint="eastAsia" w:cs="宋体"/>
              </w:rPr>
              <w:t>160mg/L、SS100mg/L、NH</w:t>
            </w:r>
            <w:r>
              <w:rPr>
                <w:rFonts w:hint="eastAsia" w:cs="宋体"/>
                <w:vertAlign w:val="subscript"/>
              </w:rPr>
              <w:t>3</w:t>
            </w:r>
            <w:r>
              <w:rPr>
                <w:rFonts w:hint="eastAsia" w:cs="宋体"/>
              </w:rPr>
              <w:t>-N28.3mg/L和总磷4.1mg/L。</w:t>
            </w:r>
          </w:p>
          <w:p w14:paraId="13EBCACF">
            <w:pPr>
              <w:pageBreakBefore/>
              <w:ind w:firstLine="480"/>
              <w:jc w:val="both"/>
              <w:rPr>
                <w:rFonts w:cs="宋体"/>
                <w:bCs/>
              </w:rPr>
            </w:pPr>
            <w:r>
              <w:rPr>
                <w:rFonts w:hint="eastAsia" w:cs="宋体"/>
                <w:bCs/>
              </w:rPr>
              <w:t>2）冷却</w:t>
            </w:r>
            <w:r>
              <w:rPr>
                <w:rFonts w:cs="宋体"/>
                <w:bCs/>
              </w:rPr>
              <w:t>水</w:t>
            </w:r>
          </w:p>
          <w:p w14:paraId="555CAA80">
            <w:pPr>
              <w:ind w:firstLine="480"/>
              <w:jc w:val="both"/>
              <w:rPr>
                <w:color w:val="auto"/>
              </w:rPr>
            </w:pPr>
            <w:bookmarkStart w:id="273" w:name="OLE_LINK123"/>
            <w:r>
              <w:rPr>
                <w:rFonts w:hint="eastAsia" w:cs="宋体"/>
                <w:bCs/>
              </w:rPr>
              <w:t>根据前面相关章节计算，</w:t>
            </w:r>
            <w:bookmarkStart w:id="274" w:name="OLE_LINK118"/>
            <w:r>
              <w:rPr>
                <w:rFonts w:hint="eastAsia" w:cs="宋体"/>
                <w:bCs/>
              </w:rPr>
              <w:t>项目冷却塔</w:t>
            </w:r>
            <w:r>
              <w:rPr>
                <w:rFonts w:hint="eastAsia"/>
                <w:bCs/>
              </w:rPr>
              <w:t>循环水量</w:t>
            </w:r>
            <w:bookmarkEnd w:id="274"/>
            <w:r>
              <w:rPr>
                <w:rFonts w:hint="eastAsia"/>
                <w:bCs/>
              </w:rPr>
              <w:t>为16t/d（4000t/a）</w:t>
            </w:r>
            <w:r>
              <w:rPr>
                <w:rFonts w:hint="eastAsia" w:cs="宋体"/>
                <w:bCs/>
              </w:rPr>
              <w:t>，补充水量0.32t/d（80t/a），项目间接/直接</w:t>
            </w:r>
            <w:r>
              <w:rPr>
                <w:rFonts w:cs="宋体"/>
                <w:bCs/>
              </w:rPr>
              <w:t>冷却水循环使用</w:t>
            </w:r>
            <w:r>
              <w:rPr>
                <w:rFonts w:hint="eastAsia" w:cs="宋体"/>
                <w:bCs/>
              </w:rPr>
              <w:t>不外排，</w:t>
            </w:r>
            <w:r>
              <w:rPr>
                <w:rFonts w:cs="宋体"/>
                <w:bCs/>
              </w:rPr>
              <w:t>定</w:t>
            </w:r>
            <w:r>
              <w:rPr>
                <w:rFonts w:hint="eastAsia" w:cs="宋体"/>
                <w:bCs/>
              </w:rPr>
              <w:t>期</w:t>
            </w:r>
            <w:r>
              <w:rPr>
                <w:rFonts w:cs="宋体"/>
                <w:bCs/>
              </w:rPr>
              <w:t>补充</w:t>
            </w:r>
            <w:bookmarkStart w:id="275" w:name="OLE_LINK136"/>
            <w:bookmarkStart w:id="276" w:name="OLE_LINK147"/>
            <w:r>
              <w:rPr>
                <w:rFonts w:hint="eastAsia" w:cs="宋体"/>
                <w:bCs/>
              </w:rPr>
              <w:t>，直接冷却水</w:t>
            </w:r>
            <w:bookmarkEnd w:id="273"/>
            <w:bookmarkEnd w:id="275"/>
            <w:bookmarkStart w:id="277" w:name="OLE_LINK207"/>
            <w:bookmarkStart w:id="278" w:name="OLE_LINK124"/>
            <w:r>
              <w:rPr>
                <w:rFonts w:hint="eastAsia" w:cs="宋体"/>
                <w:bCs/>
              </w:rPr>
              <w:t>每3个月收集处理一次</w:t>
            </w:r>
            <w:bookmarkEnd w:id="277"/>
            <w:r>
              <w:rPr>
                <w:rFonts w:hint="eastAsia" w:cs="宋体"/>
                <w:bCs/>
              </w:rPr>
              <w:t>，全年处理量为10.24t/a（2.56t/次）</w:t>
            </w:r>
            <w:bookmarkEnd w:id="278"/>
            <w:r>
              <w:rPr>
                <w:rFonts w:hint="eastAsia" w:cs="宋体"/>
                <w:bCs/>
              </w:rPr>
              <w:t>。冷却水为普通的自来水，不额外添加助剂，冷却水主要污染物为</w:t>
            </w:r>
            <w:bookmarkStart w:id="279" w:name="OLE_LINK131"/>
            <w:r>
              <w:rPr>
                <w:rFonts w:hint="eastAsia" w:cs="宋体"/>
                <w:bCs/>
              </w:rPr>
              <w:t>BOD</w:t>
            </w:r>
            <w:r>
              <w:rPr>
                <w:rFonts w:hint="eastAsia" w:cs="宋体"/>
                <w:bCs/>
                <w:vertAlign w:val="subscript"/>
              </w:rPr>
              <w:t>5</w:t>
            </w:r>
            <w:bookmarkEnd w:id="279"/>
            <w:bookmarkStart w:id="280" w:name="OLE_LINK117"/>
            <w:r>
              <w:rPr>
                <w:rFonts w:hint="eastAsia" w:cs="宋体"/>
                <w:bCs/>
              </w:rPr>
              <w:t>（50mg/L）</w:t>
            </w:r>
            <w:bookmarkEnd w:id="280"/>
            <w:r>
              <w:rPr>
                <w:rFonts w:hint="eastAsia" w:cs="宋体"/>
                <w:bCs/>
              </w:rPr>
              <w:t>、SS（100mg/L）、色度（60度），</w:t>
            </w:r>
            <w:bookmarkStart w:id="281" w:name="OLE_LINK127"/>
            <w:r>
              <w:rPr>
                <w:rFonts w:hint="eastAsia"/>
              </w:rPr>
              <w:t>直接冷却</w:t>
            </w:r>
            <w:bookmarkStart w:id="282" w:name="OLE_LINK122"/>
            <w:r>
              <w:rPr>
                <w:rFonts w:hint="eastAsia"/>
              </w:rPr>
              <w:t>水经“</w:t>
            </w:r>
            <w:bookmarkStart w:id="283" w:name="OLE_LINK132"/>
            <w:r>
              <w:rPr>
                <w:rFonts w:hint="eastAsia"/>
              </w:rPr>
              <w:t>混凝沉淀</w:t>
            </w:r>
            <w:r>
              <w:rPr>
                <w:rFonts w:hint="eastAsia" w:ascii="Arial" w:hAnsi="Arial" w:cs="Arial"/>
              </w:rPr>
              <w:t>+</w:t>
            </w:r>
            <w:r>
              <w:rPr>
                <w:rFonts w:hint="eastAsia"/>
              </w:rPr>
              <w:t>压滤</w:t>
            </w:r>
            <w:r>
              <w:rPr>
                <w:rFonts w:hint="eastAsia" w:ascii="Arial" w:hAnsi="Arial" w:cs="Arial"/>
              </w:rPr>
              <w:t>+</w:t>
            </w:r>
            <w:r>
              <w:rPr>
                <w:rFonts w:hint="eastAsia"/>
              </w:rPr>
              <w:t>保安过滤</w:t>
            </w:r>
            <w:bookmarkEnd w:id="283"/>
            <w:r>
              <w:rPr>
                <w:rFonts w:hint="eastAsia"/>
              </w:rPr>
              <w:t>”处理后达到</w:t>
            </w:r>
            <w:bookmarkStart w:id="284" w:name="OLE_LINK138"/>
            <w:r>
              <w:rPr>
                <w:rFonts w:hint="eastAsia"/>
              </w:rPr>
              <w:t>《城市污水再生利用 工业用水水质》</w:t>
            </w:r>
            <w:r>
              <w:rPr>
                <w:rFonts w:hint="eastAsia"/>
                <w:color w:val="auto"/>
              </w:rPr>
              <w:t>（GB/T19923-2024）</w:t>
            </w:r>
            <w:bookmarkEnd w:id="284"/>
            <w:bookmarkStart w:id="285" w:name="OLE_LINK154"/>
            <w:bookmarkStart w:id="286" w:name="OLE_LINK139"/>
            <w:r>
              <w:rPr>
                <w:rFonts w:hint="eastAsia"/>
                <w:color w:val="auto"/>
              </w:rPr>
              <w:t>中“间冷开式循环冷却水补充水、锅炉补给水、工艺用水、产品用水”</w:t>
            </w:r>
            <w:bookmarkEnd w:id="285"/>
            <w:r>
              <w:rPr>
                <w:rFonts w:hint="eastAsia"/>
                <w:color w:val="auto"/>
              </w:rPr>
              <w:t>标准</w:t>
            </w:r>
            <w:bookmarkEnd w:id="286"/>
            <w:r>
              <w:rPr>
                <w:rFonts w:hint="eastAsia"/>
                <w:color w:val="auto"/>
              </w:rPr>
              <w:t>后回用于冷却工序，不外排</w:t>
            </w:r>
            <w:bookmarkEnd w:id="282"/>
            <w:r>
              <w:rPr>
                <w:rFonts w:hint="eastAsia"/>
                <w:color w:val="auto"/>
              </w:rPr>
              <w:t>。</w:t>
            </w:r>
            <w:bookmarkEnd w:id="281"/>
          </w:p>
          <w:bookmarkEnd w:id="276"/>
          <w:p w14:paraId="78626212">
            <w:pPr>
              <w:pageBreakBefore/>
              <w:ind w:firstLine="480"/>
              <w:jc w:val="both"/>
              <w:rPr>
                <w:rFonts w:cs="宋体"/>
                <w:bCs/>
                <w:color w:val="auto"/>
              </w:rPr>
            </w:pPr>
            <w:r>
              <w:rPr>
                <w:rFonts w:hint="eastAsia" w:cs="宋体"/>
                <w:bCs/>
                <w:color w:val="auto"/>
              </w:rPr>
              <w:t>3）喷淋废</w:t>
            </w:r>
            <w:r>
              <w:rPr>
                <w:rFonts w:cs="宋体"/>
                <w:bCs/>
                <w:color w:val="auto"/>
              </w:rPr>
              <w:t>水</w:t>
            </w:r>
          </w:p>
          <w:p w14:paraId="619770A1">
            <w:pPr>
              <w:ind w:firstLine="480"/>
              <w:jc w:val="both"/>
              <w:rPr>
                <w:color w:val="auto"/>
              </w:rPr>
            </w:pPr>
            <w:r>
              <w:rPr>
                <w:rFonts w:hint="eastAsia"/>
                <w:bCs/>
                <w:color w:val="auto"/>
              </w:rPr>
              <w:t>根据前面相关章节计算</w:t>
            </w:r>
            <w:r>
              <w:rPr>
                <w:rFonts w:hint="eastAsia"/>
                <w:color w:val="auto"/>
              </w:rPr>
              <w:t>，</w:t>
            </w:r>
            <w:bookmarkStart w:id="287" w:name="_Toc31609"/>
            <w:r>
              <w:rPr>
                <w:rFonts w:hint="eastAsia"/>
                <w:color w:val="auto"/>
              </w:rPr>
              <w:t>1台喷淋塔循环用水量约46</w:t>
            </w:r>
            <w:r>
              <w:rPr>
                <w:color w:val="auto"/>
              </w:rPr>
              <w:t>m</w:t>
            </w:r>
            <w:r>
              <w:rPr>
                <w:color w:val="auto"/>
                <w:vertAlign w:val="superscript"/>
              </w:rPr>
              <w:t>3</w:t>
            </w:r>
            <w:r>
              <w:rPr>
                <w:color w:val="auto"/>
              </w:rPr>
              <w:t>/</w:t>
            </w:r>
            <w:r>
              <w:rPr>
                <w:rFonts w:hint="eastAsia"/>
                <w:color w:val="auto"/>
              </w:rPr>
              <w:t>d（11500t</w:t>
            </w:r>
            <w:r>
              <w:rPr>
                <w:color w:val="auto"/>
              </w:rPr>
              <w:t>/</w:t>
            </w:r>
            <w:r>
              <w:rPr>
                <w:rFonts w:hint="eastAsia"/>
                <w:color w:val="auto"/>
              </w:rPr>
              <w:t>a），喷淋塔补充水量为0.368</w:t>
            </w:r>
            <w:r>
              <w:rPr>
                <w:color w:val="auto"/>
              </w:rPr>
              <w:t>m</w:t>
            </w:r>
            <w:r>
              <w:rPr>
                <w:color w:val="auto"/>
                <w:vertAlign w:val="superscript"/>
              </w:rPr>
              <w:t>3</w:t>
            </w:r>
            <w:r>
              <w:rPr>
                <w:color w:val="auto"/>
              </w:rPr>
              <w:t>/</w:t>
            </w:r>
            <w:r>
              <w:rPr>
                <w:rFonts w:hint="eastAsia"/>
                <w:color w:val="auto"/>
              </w:rPr>
              <w:t>d（92t</w:t>
            </w:r>
            <w:r>
              <w:rPr>
                <w:color w:val="auto"/>
              </w:rPr>
              <w:t>/</w:t>
            </w:r>
            <w:r>
              <w:rPr>
                <w:rFonts w:hint="eastAsia"/>
                <w:color w:val="auto"/>
              </w:rPr>
              <w:t>a），喷淋废水产生量为1m</w:t>
            </w:r>
            <w:r>
              <w:rPr>
                <w:rFonts w:hint="eastAsia"/>
                <w:color w:val="auto"/>
                <w:vertAlign w:val="superscript"/>
              </w:rPr>
              <w:t>3</w:t>
            </w:r>
            <w:r>
              <w:rPr>
                <w:rFonts w:hint="eastAsia"/>
                <w:color w:val="auto"/>
              </w:rPr>
              <w:t>/次（12t/a），</w:t>
            </w:r>
            <w:r>
              <w:rPr>
                <w:rFonts w:hint="eastAsia" w:cs="宋体"/>
                <w:color w:val="auto"/>
              </w:rPr>
              <w:t>项目喷淋用水循环使用，</w:t>
            </w:r>
            <w:bookmarkStart w:id="288" w:name="OLE_LINK146"/>
            <w:r>
              <w:rPr>
                <w:rFonts w:hint="eastAsia" w:cs="宋体"/>
                <w:color w:val="auto"/>
              </w:rPr>
              <w:t>每1个月定期更换一次</w:t>
            </w:r>
            <w:bookmarkEnd w:id="288"/>
            <w:r>
              <w:rPr>
                <w:rFonts w:hint="eastAsia" w:cs="宋体"/>
                <w:color w:val="auto"/>
              </w:rPr>
              <w:t>，更换的喷淋废水</w:t>
            </w:r>
            <w:r>
              <w:rPr>
                <w:rFonts w:hint="eastAsia" w:ascii="宋体" w:hAnsi="宋体" w:cs="宋体"/>
                <w:color w:val="auto"/>
                <w:kern w:val="0"/>
                <w:lang w:bidi="ar"/>
              </w:rPr>
              <w:t>经收集后交由有危废资质的单位处理</w:t>
            </w:r>
            <w:r>
              <w:rPr>
                <w:rFonts w:hint="eastAsia" w:ascii="宋体" w:hAnsi="宋体" w:cs="宋体"/>
                <w:b/>
                <w:bCs/>
                <w:color w:val="auto"/>
                <w:kern w:val="0"/>
                <w:lang w:bidi="ar"/>
              </w:rPr>
              <w:t>，</w:t>
            </w:r>
            <w:r>
              <w:rPr>
                <w:rFonts w:hint="eastAsia" w:ascii="宋体" w:hAnsi="宋体" w:cs="宋体"/>
                <w:color w:val="auto"/>
                <w:kern w:val="0"/>
                <w:lang w:bidi="ar"/>
              </w:rPr>
              <w:t>不外排</w:t>
            </w:r>
            <w:r>
              <w:rPr>
                <w:rFonts w:hint="eastAsia"/>
                <w:color w:val="auto"/>
              </w:rPr>
              <w:t>。</w:t>
            </w:r>
            <w:bookmarkEnd w:id="287"/>
          </w:p>
          <w:p w14:paraId="4500A265">
            <w:pPr>
              <w:pStyle w:val="23"/>
              <w:ind w:firstLine="482"/>
              <w:rPr>
                <w:b/>
                <w:sz w:val="24"/>
                <w:szCs w:val="24"/>
              </w:rPr>
            </w:pPr>
            <w:r>
              <w:rPr>
                <w:rFonts w:hint="eastAsia"/>
                <w:b/>
                <w:sz w:val="24"/>
                <w:szCs w:val="24"/>
              </w:rPr>
              <w:t>2、</w:t>
            </w:r>
            <w:r>
              <w:rPr>
                <w:b/>
                <w:sz w:val="24"/>
                <w:szCs w:val="24"/>
              </w:rPr>
              <w:t xml:space="preserve"> 废水排放</w:t>
            </w:r>
          </w:p>
          <w:p w14:paraId="3675EAB8">
            <w:pPr>
              <w:pStyle w:val="16"/>
              <w:rPr>
                <w:kern w:val="2"/>
                <w:szCs w:val="24"/>
              </w:rPr>
            </w:pPr>
            <w:r>
              <w:rPr>
                <w:kern w:val="2"/>
                <w:szCs w:val="24"/>
              </w:rPr>
              <w:t>表4-</w:t>
            </w:r>
            <w:r>
              <w:rPr>
                <w:rFonts w:hint="eastAsia"/>
                <w:kern w:val="2"/>
                <w:szCs w:val="24"/>
              </w:rPr>
              <w:t>11</w:t>
            </w:r>
            <w:r>
              <w:rPr>
                <w:kern w:val="2"/>
                <w:szCs w:val="24"/>
              </w:rPr>
              <w:t xml:space="preserve"> 废水类别、污染物及污染治理设施信息表</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1" w:type="dxa"/>
                <w:bottom w:w="0" w:type="dxa"/>
                <w:right w:w="11" w:type="dxa"/>
              </w:tblCellMar>
            </w:tblPr>
            <w:tblGrid>
              <w:gridCol w:w="402"/>
              <w:gridCol w:w="837"/>
              <w:gridCol w:w="1151"/>
              <w:gridCol w:w="776"/>
              <w:gridCol w:w="595"/>
              <w:gridCol w:w="874"/>
              <w:gridCol w:w="891"/>
              <w:gridCol w:w="1062"/>
              <w:gridCol w:w="886"/>
              <w:gridCol w:w="1060"/>
            </w:tblGrid>
            <w:tr w14:paraId="05F9A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567" w:hRule="atLeast"/>
                <w:jc w:val="center"/>
              </w:trPr>
              <w:tc>
                <w:tcPr>
                  <w:tcW w:w="235" w:type="pct"/>
                  <w:vMerge w:val="restart"/>
                  <w:vAlign w:val="center"/>
                </w:tcPr>
                <w:p w14:paraId="53B35FA6">
                  <w:pPr>
                    <w:pStyle w:val="8"/>
                    <w:rPr>
                      <w:rFonts w:cs="宋体"/>
                      <w:b/>
                      <w:bCs/>
                    </w:rPr>
                  </w:pPr>
                  <w:r>
                    <w:rPr>
                      <w:rFonts w:cs="宋体"/>
                      <w:b/>
                      <w:bCs/>
                    </w:rPr>
                    <w:t>序号</w:t>
                  </w:r>
                </w:p>
              </w:tc>
              <w:tc>
                <w:tcPr>
                  <w:tcW w:w="490" w:type="pct"/>
                  <w:vMerge w:val="restart"/>
                  <w:vAlign w:val="center"/>
                </w:tcPr>
                <w:p w14:paraId="6D2116B0">
                  <w:pPr>
                    <w:pStyle w:val="8"/>
                    <w:rPr>
                      <w:rFonts w:cs="宋体"/>
                      <w:b/>
                      <w:bCs/>
                    </w:rPr>
                  </w:pPr>
                  <w:r>
                    <w:rPr>
                      <w:rFonts w:cs="宋体"/>
                      <w:b/>
                      <w:bCs/>
                    </w:rPr>
                    <w:t>废水类别</w:t>
                  </w:r>
                </w:p>
              </w:tc>
              <w:tc>
                <w:tcPr>
                  <w:tcW w:w="674" w:type="pct"/>
                  <w:vMerge w:val="restart"/>
                  <w:vAlign w:val="center"/>
                </w:tcPr>
                <w:p w14:paraId="036C1D17">
                  <w:pPr>
                    <w:pStyle w:val="8"/>
                    <w:rPr>
                      <w:rFonts w:cs="宋体"/>
                      <w:b/>
                      <w:bCs/>
                    </w:rPr>
                  </w:pPr>
                  <w:r>
                    <w:rPr>
                      <w:rFonts w:cs="宋体"/>
                      <w:b/>
                      <w:bCs/>
                    </w:rPr>
                    <w:t>污染物种类</w:t>
                  </w:r>
                </w:p>
              </w:tc>
              <w:tc>
                <w:tcPr>
                  <w:tcW w:w="454" w:type="pct"/>
                  <w:vMerge w:val="restart"/>
                  <w:vAlign w:val="center"/>
                </w:tcPr>
                <w:p w14:paraId="122117AE">
                  <w:pPr>
                    <w:pStyle w:val="8"/>
                    <w:rPr>
                      <w:rFonts w:cs="宋体"/>
                      <w:b/>
                      <w:bCs/>
                    </w:rPr>
                  </w:pPr>
                  <w:r>
                    <w:rPr>
                      <w:rFonts w:cs="宋体"/>
                      <w:b/>
                      <w:bCs/>
                    </w:rPr>
                    <w:t>排放去向</w:t>
                  </w:r>
                </w:p>
              </w:tc>
              <w:tc>
                <w:tcPr>
                  <w:tcW w:w="348" w:type="pct"/>
                  <w:vMerge w:val="restart"/>
                  <w:vAlign w:val="center"/>
                </w:tcPr>
                <w:p w14:paraId="5778D117">
                  <w:pPr>
                    <w:pStyle w:val="8"/>
                    <w:rPr>
                      <w:rFonts w:cs="宋体"/>
                      <w:b/>
                      <w:bCs/>
                    </w:rPr>
                  </w:pPr>
                  <w:r>
                    <w:rPr>
                      <w:rFonts w:cs="宋体"/>
                      <w:b/>
                      <w:bCs/>
                    </w:rPr>
                    <w:t>排放规律</w:t>
                  </w:r>
                </w:p>
              </w:tc>
              <w:tc>
                <w:tcPr>
                  <w:tcW w:w="1656" w:type="pct"/>
                  <w:gridSpan w:val="3"/>
                  <w:vAlign w:val="center"/>
                </w:tcPr>
                <w:p w14:paraId="1812DFE0">
                  <w:pPr>
                    <w:pStyle w:val="8"/>
                    <w:rPr>
                      <w:rFonts w:cs="宋体"/>
                      <w:b/>
                      <w:bCs/>
                    </w:rPr>
                  </w:pPr>
                  <w:r>
                    <w:rPr>
                      <w:rFonts w:cs="宋体"/>
                      <w:b/>
                      <w:bCs/>
                    </w:rPr>
                    <w:t>污染治理设施</w:t>
                  </w:r>
                </w:p>
              </w:tc>
              <w:tc>
                <w:tcPr>
                  <w:tcW w:w="519" w:type="pct"/>
                  <w:vMerge w:val="restart"/>
                  <w:vAlign w:val="center"/>
                </w:tcPr>
                <w:p w14:paraId="61DC96CA">
                  <w:pPr>
                    <w:pStyle w:val="8"/>
                    <w:rPr>
                      <w:rFonts w:cs="宋体"/>
                      <w:b/>
                      <w:bCs/>
                    </w:rPr>
                  </w:pPr>
                  <w:r>
                    <w:rPr>
                      <w:rFonts w:cs="宋体"/>
                      <w:b/>
                      <w:bCs/>
                    </w:rPr>
                    <w:t>排放口编号</w:t>
                  </w:r>
                </w:p>
              </w:tc>
              <w:tc>
                <w:tcPr>
                  <w:tcW w:w="621" w:type="pct"/>
                  <w:vMerge w:val="restart"/>
                  <w:vAlign w:val="center"/>
                </w:tcPr>
                <w:p w14:paraId="37493F57">
                  <w:pPr>
                    <w:pStyle w:val="8"/>
                    <w:rPr>
                      <w:rFonts w:cs="宋体"/>
                      <w:b/>
                      <w:bCs/>
                    </w:rPr>
                  </w:pPr>
                  <w:r>
                    <w:rPr>
                      <w:rFonts w:cs="宋体"/>
                      <w:b/>
                      <w:bCs/>
                    </w:rPr>
                    <w:t>排放口设置是否符合要求</w:t>
                  </w:r>
                </w:p>
              </w:tc>
            </w:tr>
            <w:tr w14:paraId="7D86F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567" w:hRule="atLeast"/>
                <w:jc w:val="center"/>
              </w:trPr>
              <w:tc>
                <w:tcPr>
                  <w:tcW w:w="235" w:type="pct"/>
                  <w:vMerge w:val="continue"/>
                  <w:vAlign w:val="center"/>
                </w:tcPr>
                <w:p w14:paraId="4B1E382E">
                  <w:pPr>
                    <w:pStyle w:val="8"/>
                    <w:rPr>
                      <w:rFonts w:cs="宋体"/>
                    </w:rPr>
                  </w:pPr>
                </w:p>
              </w:tc>
              <w:tc>
                <w:tcPr>
                  <w:tcW w:w="490" w:type="pct"/>
                  <w:vMerge w:val="continue"/>
                  <w:vAlign w:val="center"/>
                </w:tcPr>
                <w:p w14:paraId="745A425C">
                  <w:pPr>
                    <w:pStyle w:val="8"/>
                    <w:rPr>
                      <w:rFonts w:cs="宋体"/>
                    </w:rPr>
                  </w:pPr>
                </w:p>
              </w:tc>
              <w:tc>
                <w:tcPr>
                  <w:tcW w:w="674" w:type="pct"/>
                  <w:vMerge w:val="continue"/>
                  <w:vAlign w:val="center"/>
                </w:tcPr>
                <w:p w14:paraId="513F1DEB">
                  <w:pPr>
                    <w:pStyle w:val="8"/>
                    <w:rPr>
                      <w:rFonts w:cs="宋体"/>
                    </w:rPr>
                  </w:pPr>
                </w:p>
              </w:tc>
              <w:tc>
                <w:tcPr>
                  <w:tcW w:w="454" w:type="pct"/>
                  <w:vMerge w:val="continue"/>
                  <w:vAlign w:val="center"/>
                </w:tcPr>
                <w:p w14:paraId="352B18AF">
                  <w:pPr>
                    <w:pStyle w:val="8"/>
                    <w:rPr>
                      <w:rFonts w:cs="宋体"/>
                    </w:rPr>
                  </w:pPr>
                </w:p>
              </w:tc>
              <w:tc>
                <w:tcPr>
                  <w:tcW w:w="348" w:type="pct"/>
                  <w:vMerge w:val="continue"/>
                  <w:vAlign w:val="center"/>
                </w:tcPr>
                <w:p w14:paraId="3016091D">
                  <w:pPr>
                    <w:pStyle w:val="8"/>
                    <w:rPr>
                      <w:rFonts w:cs="宋体"/>
                    </w:rPr>
                  </w:pPr>
                </w:p>
              </w:tc>
              <w:tc>
                <w:tcPr>
                  <w:tcW w:w="512" w:type="pct"/>
                  <w:vAlign w:val="center"/>
                </w:tcPr>
                <w:p w14:paraId="7A0412E8">
                  <w:pPr>
                    <w:pStyle w:val="8"/>
                    <w:rPr>
                      <w:rFonts w:cs="宋体"/>
                      <w:b/>
                      <w:bCs/>
                    </w:rPr>
                  </w:pPr>
                  <w:r>
                    <w:rPr>
                      <w:rFonts w:cs="宋体"/>
                      <w:b/>
                      <w:bCs/>
                    </w:rPr>
                    <w:t>污染治理设施编号</w:t>
                  </w:r>
                </w:p>
              </w:tc>
              <w:tc>
                <w:tcPr>
                  <w:tcW w:w="522" w:type="pct"/>
                  <w:vAlign w:val="center"/>
                </w:tcPr>
                <w:p w14:paraId="30A352A7">
                  <w:pPr>
                    <w:pStyle w:val="8"/>
                    <w:rPr>
                      <w:rFonts w:cs="宋体"/>
                      <w:b/>
                      <w:bCs/>
                    </w:rPr>
                  </w:pPr>
                  <w:r>
                    <w:rPr>
                      <w:rFonts w:cs="宋体"/>
                      <w:b/>
                      <w:bCs/>
                    </w:rPr>
                    <w:t>污染治理设施名称</w:t>
                  </w:r>
                </w:p>
              </w:tc>
              <w:tc>
                <w:tcPr>
                  <w:tcW w:w="622" w:type="pct"/>
                  <w:vAlign w:val="center"/>
                </w:tcPr>
                <w:p w14:paraId="40627089">
                  <w:pPr>
                    <w:pStyle w:val="8"/>
                    <w:rPr>
                      <w:rFonts w:cs="宋体"/>
                      <w:b/>
                      <w:bCs/>
                    </w:rPr>
                  </w:pPr>
                  <w:r>
                    <w:rPr>
                      <w:rFonts w:cs="宋体"/>
                      <w:b/>
                      <w:bCs/>
                    </w:rPr>
                    <w:t>污染治理设施工艺</w:t>
                  </w:r>
                </w:p>
              </w:tc>
              <w:tc>
                <w:tcPr>
                  <w:tcW w:w="519" w:type="pct"/>
                  <w:vMerge w:val="continue"/>
                  <w:vAlign w:val="center"/>
                </w:tcPr>
                <w:p w14:paraId="496B1CB3">
                  <w:pPr>
                    <w:pStyle w:val="8"/>
                    <w:rPr>
                      <w:rFonts w:cs="宋体"/>
                    </w:rPr>
                  </w:pPr>
                </w:p>
              </w:tc>
              <w:tc>
                <w:tcPr>
                  <w:tcW w:w="621" w:type="pct"/>
                  <w:vMerge w:val="continue"/>
                  <w:vAlign w:val="center"/>
                </w:tcPr>
                <w:p w14:paraId="4557BC3D">
                  <w:pPr>
                    <w:pStyle w:val="8"/>
                    <w:rPr>
                      <w:rFonts w:cs="宋体"/>
                    </w:rPr>
                  </w:pPr>
                </w:p>
              </w:tc>
            </w:tr>
            <w:tr w14:paraId="0477A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1" w:type="dxa"/>
                  <w:bottom w:w="0" w:type="dxa"/>
                  <w:right w:w="11" w:type="dxa"/>
                </w:tblCellMar>
              </w:tblPrEx>
              <w:trPr>
                <w:trHeight w:val="567" w:hRule="atLeast"/>
                <w:jc w:val="center"/>
              </w:trPr>
              <w:tc>
                <w:tcPr>
                  <w:tcW w:w="235" w:type="pct"/>
                  <w:vAlign w:val="center"/>
                </w:tcPr>
                <w:p w14:paraId="51634483">
                  <w:pPr>
                    <w:pStyle w:val="8"/>
                    <w:rPr>
                      <w:rFonts w:cs="宋体"/>
                    </w:rPr>
                  </w:pPr>
                  <w:r>
                    <w:rPr>
                      <w:rFonts w:cs="宋体"/>
                    </w:rPr>
                    <w:t>1</w:t>
                  </w:r>
                </w:p>
              </w:tc>
              <w:tc>
                <w:tcPr>
                  <w:tcW w:w="490" w:type="pct"/>
                  <w:vAlign w:val="center"/>
                </w:tcPr>
                <w:p w14:paraId="4BE22706">
                  <w:pPr>
                    <w:pStyle w:val="8"/>
                    <w:rPr>
                      <w:rFonts w:cs="宋体"/>
                    </w:rPr>
                  </w:pPr>
                  <w:r>
                    <w:rPr>
                      <w:rFonts w:cs="宋体"/>
                    </w:rPr>
                    <w:t>生活</w:t>
                  </w:r>
                  <w:r>
                    <w:rPr>
                      <w:rFonts w:hint="eastAsia" w:cs="宋体"/>
                    </w:rPr>
                    <w:t>污</w:t>
                  </w:r>
                  <w:r>
                    <w:rPr>
                      <w:rFonts w:cs="宋体"/>
                    </w:rPr>
                    <w:t>水</w:t>
                  </w:r>
                </w:p>
              </w:tc>
              <w:tc>
                <w:tcPr>
                  <w:tcW w:w="674" w:type="pct"/>
                  <w:vAlign w:val="center"/>
                </w:tcPr>
                <w:p w14:paraId="4441EC84">
                  <w:pPr>
                    <w:pStyle w:val="8"/>
                    <w:jc w:val="left"/>
                    <w:rPr>
                      <w:rFonts w:cs="宋体"/>
                    </w:rPr>
                  </w:pPr>
                  <w:r>
                    <w:rPr>
                      <w:rFonts w:cs="宋体"/>
                    </w:rPr>
                    <w:t>CODcr、BOD</w:t>
                  </w:r>
                  <w:r>
                    <w:rPr>
                      <w:rFonts w:cs="宋体"/>
                      <w:vertAlign w:val="subscript"/>
                    </w:rPr>
                    <w:t>5</w:t>
                  </w:r>
                  <w:r>
                    <w:rPr>
                      <w:rFonts w:cs="宋体"/>
                    </w:rPr>
                    <w:t>、SS、NH</w:t>
                  </w:r>
                  <w:r>
                    <w:rPr>
                      <w:rFonts w:cs="宋体"/>
                      <w:vertAlign w:val="subscript"/>
                    </w:rPr>
                    <w:t>3</w:t>
                  </w:r>
                  <w:r>
                    <w:rPr>
                      <w:rFonts w:cs="宋体"/>
                    </w:rPr>
                    <w:t>-H</w:t>
                  </w:r>
                  <w:r>
                    <w:rPr>
                      <w:rFonts w:hint="eastAsia" w:cs="宋体"/>
                    </w:rPr>
                    <w:t>、总磷</w:t>
                  </w:r>
                </w:p>
              </w:tc>
              <w:tc>
                <w:tcPr>
                  <w:tcW w:w="454" w:type="pct"/>
                  <w:vAlign w:val="center"/>
                </w:tcPr>
                <w:p w14:paraId="33A24C45">
                  <w:pPr>
                    <w:pStyle w:val="8"/>
                    <w:rPr>
                      <w:rFonts w:cs="宋体"/>
                    </w:rPr>
                  </w:pPr>
                  <w:r>
                    <w:rPr>
                      <w:rFonts w:hint="eastAsia" w:cs="宋体"/>
                    </w:rPr>
                    <w:t>园洲镇第五污水处理厂</w:t>
                  </w:r>
                </w:p>
              </w:tc>
              <w:tc>
                <w:tcPr>
                  <w:tcW w:w="348" w:type="pct"/>
                  <w:vAlign w:val="center"/>
                </w:tcPr>
                <w:p w14:paraId="2F68E3D6">
                  <w:pPr>
                    <w:pStyle w:val="8"/>
                    <w:rPr>
                      <w:rFonts w:cs="宋体"/>
                    </w:rPr>
                  </w:pPr>
                  <w:r>
                    <w:rPr>
                      <w:rFonts w:cs="宋体"/>
                      <w:spacing w:val="-4"/>
                      <w:szCs w:val="21"/>
                    </w:rPr>
                    <w:t>间断</w:t>
                  </w:r>
                  <w:r>
                    <w:rPr>
                      <w:rFonts w:cs="宋体"/>
                      <w:spacing w:val="4"/>
                      <w:szCs w:val="21"/>
                    </w:rPr>
                    <w:t>排放</w:t>
                  </w:r>
                </w:p>
              </w:tc>
              <w:tc>
                <w:tcPr>
                  <w:tcW w:w="512" w:type="pct"/>
                  <w:vAlign w:val="center"/>
                </w:tcPr>
                <w:p w14:paraId="63D50CDB">
                  <w:pPr>
                    <w:pStyle w:val="8"/>
                    <w:rPr>
                      <w:rFonts w:cs="宋体"/>
                    </w:rPr>
                  </w:pPr>
                  <w:r>
                    <w:rPr>
                      <w:rFonts w:cs="宋体"/>
                    </w:rPr>
                    <w:t>污水设施-01</w:t>
                  </w:r>
                </w:p>
              </w:tc>
              <w:tc>
                <w:tcPr>
                  <w:tcW w:w="522" w:type="pct"/>
                  <w:vAlign w:val="center"/>
                </w:tcPr>
                <w:p w14:paraId="6BD78CAB">
                  <w:pPr>
                    <w:pStyle w:val="8"/>
                    <w:rPr>
                      <w:rFonts w:cs="宋体"/>
                    </w:rPr>
                  </w:pPr>
                  <w:r>
                    <w:rPr>
                      <w:rFonts w:hint="eastAsia" w:cs="宋体"/>
                    </w:rPr>
                    <w:t>三级化粪池</w:t>
                  </w:r>
                </w:p>
              </w:tc>
              <w:tc>
                <w:tcPr>
                  <w:tcW w:w="622" w:type="pct"/>
                  <w:vAlign w:val="center"/>
                </w:tcPr>
                <w:p w14:paraId="763E4890">
                  <w:pPr>
                    <w:pStyle w:val="8"/>
                    <w:rPr>
                      <w:rFonts w:cs="宋体"/>
                    </w:rPr>
                  </w:pPr>
                  <w:r>
                    <w:rPr>
                      <w:rFonts w:cs="宋体"/>
                    </w:rPr>
                    <w:t>厌氧处理</w:t>
                  </w:r>
                </w:p>
              </w:tc>
              <w:tc>
                <w:tcPr>
                  <w:tcW w:w="519" w:type="pct"/>
                  <w:vAlign w:val="center"/>
                </w:tcPr>
                <w:p w14:paraId="219BD78D">
                  <w:pPr>
                    <w:pStyle w:val="8"/>
                    <w:rPr>
                      <w:rFonts w:cs="宋体"/>
                    </w:rPr>
                  </w:pPr>
                  <w:r>
                    <w:rPr>
                      <w:rFonts w:cs="宋体"/>
                    </w:rPr>
                    <w:t>DW001</w:t>
                  </w:r>
                </w:p>
              </w:tc>
              <w:tc>
                <w:tcPr>
                  <w:tcW w:w="621" w:type="pct"/>
                  <w:vAlign w:val="center"/>
                </w:tcPr>
                <w:p w14:paraId="5C4AD4D9">
                  <w:pPr>
                    <w:pStyle w:val="8"/>
                    <w:rPr>
                      <w:rFonts w:cs="宋体"/>
                    </w:rPr>
                  </w:pPr>
                  <w:r>
                    <w:rPr>
                      <w:rFonts w:hint="eastAsia" w:cs="宋体"/>
                    </w:rPr>
                    <w:t>是</w:t>
                  </w:r>
                </w:p>
              </w:tc>
            </w:tr>
          </w:tbl>
          <w:p w14:paraId="55C50FF2">
            <w:pPr>
              <w:ind w:firstLine="480"/>
              <w:jc w:val="both"/>
              <w:rPr>
                <w:rFonts w:cs="宋体"/>
              </w:rPr>
            </w:pPr>
            <w:r>
              <w:rPr>
                <w:rFonts w:cs="宋体"/>
              </w:rPr>
              <w:t>本项目建设完成后废水间接排放口基本情况如下：</w:t>
            </w:r>
          </w:p>
          <w:p w14:paraId="588CBDD7">
            <w:pPr>
              <w:pStyle w:val="16"/>
              <w:rPr>
                <w:kern w:val="2"/>
                <w:szCs w:val="24"/>
              </w:rPr>
            </w:pPr>
            <w:r>
              <w:rPr>
                <w:kern w:val="2"/>
                <w:szCs w:val="24"/>
              </w:rPr>
              <w:t>表4-</w:t>
            </w:r>
            <w:r>
              <w:rPr>
                <w:rFonts w:hint="eastAsia"/>
                <w:kern w:val="2"/>
                <w:szCs w:val="24"/>
              </w:rPr>
              <w:t>12</w:t>
            </w:r>
            <w:r>
              <w:rPr>
                <w:kern w:val="2"/>
                <w:szCs w:val="24"/>
              </w:rPr>
              <w:t xml:space="preserve"> 废水间接排放口基本情况</w:t>
            </w:r>
          </w:p>
          <w:tbl>
            <w:tblPr>
              <w:tblStyle w:val="34"/>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6" w:type="dxa"/>
                <w:bottom w:w="0" w:type="dxa"/>
                <w:right w:w="6" w:type="dxa"/>
              </w:tblCellMar>
            </w:tblPr>
            <w:tblGrid>
              <w:gridCol w:w="738"/>
              <w:gridCol w:w="876"/>
              <w:gridCol w:w="727"/>
              <w:gridCol w:w="875"/>
              <w:gridCol w:w="875"/>
              <w:gridCol w:w="843"/>
              <w:gridCol w:w="923"/>
              <w:gridCol w:w="1034"/>
              <w:gridCol w:w="1638"/>
            </w:tblGrid>
            <w:tr w14:paraId="14DE2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23" w:hRule="atLeast"/>
                <w:jc w:val="center"/>
              </w:trPr>
              <w:tc>
                <w:tcPr>
                  <w:tcW w:w="432" w:type="pct"/>
                  <w:vMerge w:val="restart"/>
                  <w:vAlign w:val="center"/>
                </w:tcPr>
                <w:p w14:paraId="715E70F7">
                  <w:pPr>
                    <w:pStyle w:val="8"/>
                    <w:rPr>
                      <w:rFonts w:cs="宋体"/>
                      <w:b/>
                      <w:bCs/>
                    </w:rPr>
                  </w:pPr>
                  <w:r>
                    <w:rPr>
                      <w:rFonts w:cs="宋体"/>
                      <w:b/>
                      <w:bCs/>
                    </w:rPr>
                    <w:t>排放口编号</w:t>
                  </w:r>
                </w:p>
              </w:tc>
              <w:tc>
                <w:tcPr>
                  <w:tcW w:w="513" w:type="pct"/>
                  <w:vMerge w:val="restart"/>
                  <w:vAlign w:val="center"/>
                </w:tcPr>
                <w:p w14:paraId="73CDB4C2">
                  <w:pPr>
                    <w:pStyle w:val="8"/>
                    <w:rPr>
                      <w:rFonts w:cs="宋体"/>
                      <w:b/>
                      <w:bCs/>
                    </w:rPr>
                  </w:pPr>
                  <w:r>
                    <w:rPr>
                      <w:rFonts w:hint="eastAsia" w:cs="宋体"/>
                      <w:b/>
                      <w:bCs/>
                    </w:rPr>
                    <w:t>经纬度</w:t>
                  </w:r>
                </w:p>
              </w:tc>
              <w:tc>
                <w:tcPr>
                  <w:tcW w:w="426" w:type="pct"/>
                  <w:vMerge w:val="restart"/>
                  <w:vAlign w:val="center"/>
                </w:tcPr>
                <w:p w14:paraId="2571D91B">
                  <w:pPr>
                    <w:pStyle w:val="8"/>
                    <w:rPr>
                      <w:rFonts w:cs="宋体"/>
                      <w:b/>
                      <w:bCs/>
                    </w:rPr>
                  </w:pPr>
                  <w:r>
                    <w:rPr>
                      <w:rFonts w:cs="宋体"/>
                      <w:b/>
                      <w:bCs/>
                    </w:rPr>
                    <w:t>废水排放量</w:t>
                  </w:r>
                </w:p>
                <w:p w14:paraId="2FCF101B">
                  <w:pPr>
                    <w:pStyle w:val="8"/>
                    <w:rPr>
                      <w:rFonts w:cs="宋体"/>
                      <w:b/>
                      <w:bCs/>
                    </w:rPr>
                  </w:pPr>
                  <w:r>
                    <w:rPr>
                      <w:rFonts w:hint="eastAsia" w:cs="宋体"/>
                      <w:b/>
                      <w:bCs/>
                    </w:rPr>
                    <w:t>（</w:t>
                  </w:r>
                  <w:r>
                    <w:rPr>
                      <w:rFonts w:cs="宋体"/>
                      <w:b/>
                      <w:bCs/>
                    </w:rPr>
                    <w:t>t/a</w:t>
                  </w:r>
                  <w:r>
                    <w:rPr>
                      <w:rFonts w:hint="eastAsia" w:cs="宋体"/>
                      <w:b/>
                      <w:bCs/>
                    </w:rPr>
                    <w:t>）</w:t>
                  </w:r>
                </w:p>
              </w:tc>
              <w:tc>
                <w:tcPr>
                  <w:tcW w:w="513" w:type="pct"/>
                  <w:vMerge w:val="restart"/>
                  <w:vAlign w:val="center"/>
                </w:tcPr>
                <w:p w14:paraId="7E8488DA">
                  <w:pPr>
                    <w:pStyle w:val="8"/>
                    <w:rPr>
                      <w:rFonts w:cs="宋体"/>
                      <w:b/>
                      <w:bCs/>
                    </w:rPr>
                  </w:pPr>
                  <w:r>
                    <w:rPr>
                      <w:rFonts w:cs="宋体"/>
                      <w:b/>
                      <w:bCs/>
                    </w:rPr>
                    <w:t>排放去向</w:t>
                  </w:r>
                </w:p>
              </w:tc>
              <w:tc>
                <w:tcPr>
                  <w:tcW w:w="513" w:type="pct"/>
                  <w:vMerge w:val="restart"/>
                  <w:vAlign w:val="center"/>
                </w:tcPr>
                <w:p w14:paraId="56584FC3">
                  <w:pPr>
                    <w:pStyle w:val="8"/>
                    <w:rPr>
                      <w:rFonts w:cs="宋体"/>
                      <w:b/>
                      <w:bCs/>
                    </w:rPr>
                  </w:pPr>
                  <w:r>
                    <w:rPr>
                      <w:rFonts w:cs="宋体"/>
                      <w:b/>
                      <w:bCs/>
                    </w:rPr>
                    <w:t>排放规律</w:t>
                  </w:r>
                </w:p>
              </w:tc>
              <w:tc>
                <w:tcPr>
                  <w:tcW w:w="494" w:type="pct"/>
                  <w:vMerge w:val="restart"/>
                  <w:vAlign w:val="center"/>
                </w:tcPr>
                <w:p w14:paraId="520055D5">
                  <w:pPr>
                    <w:pStyle w:val="8"/>
                    <w:rPr>
                      <w:rFonts w:cs="宋体"/>
                      <w:b/>
                      <w:bCs/>
                    </w:rPr>
                  </w:pPr>
                  <w:r>
                    <w:rPr>
                      <w:rFonts w:cs="宋体"/>
                      <w:b/>
                      <w:bCs/>
                    </w:rPr>
                    <w:t>间歇排放时段</w:t>
                  </w:r>
                </w:p>
              </w:tc>
              <w:tc>
                <w:tcPr>
                  <w:tcW w:w="2106" w:type="pct"/>
                  <w:gridSpan w:val="3"/>
                  <w:vAlign w:val="center"/>
                </w:tcPr>
                <w:p w14:paraId="403E7890">
                  <w:pPr>
                    <w:pStyle w:val="8"/>
                    <w:rPr>
                      <w:rFonts w:cs="宋体"/>
                      <w:b/>
                      <w:bCs/>
                    </w:rPr>
                  </w:pPr>
                  <w:r>
                    <w:rPr>
                      <w:rFonts w:cs="宋体"/>
                      <w:b/>
                      <w:bCs/>
                    </w:rPr>
                    <w:t>受纳污水处理厂信息</w:t>
                  </w:r>
                </w:p>
              </w:tc>
            </w:tr>
            <w:tr w14:paraId="29740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23" w:hRule="atLeast"/>
                <w:jc w:val="center"/>
              </w:trPr>
              <w:tc>
                <w:tcPr>
                  <w:tcW w:w="432" w:type="pct"/>
                  <w:vMerge w:val="continue"/>
                  <w:vAlign w:val="center"/>
                </w:tcPr>
                <w:p w14:paraId="2D47E21C">
                  <w:pPr>
                    <w:pStyle w:val="8"/>
                    <w:rPr>
                      <w:rFonts w:cs="宋体"/>
                      <w:b/>
                      <w:bCs/>
                    </w:rPr>
                  </w:pPr>
                </w:p>
              </w:tc>
              <w:tc>
                <w:tcPr>
                  <w:tcW w:w="513" w:type="pct"/>
                  <w:vMerge w:val="continue"/>
                  <w:vAlign w:val="center"/>
                </w:tcPr>
                <w:p w14:paraId="6AB1715D">
                  <w:pPr>
                    <w:pStyle w:val="8"/>
                    <w:rPr>
                      <w:rFonts w:cs="宋体"/>
                      <w:b/>
                      <w:bCs/>
                    </w:rPr>
                  </w:pPr>
                </w:p>
              </w:tc>
              <w:tc>
                <w:tcPr>
                  <w:tcW w:w="426" w:type="pct"/>
                  <w:vMerge w:val="continue"/>
                  <w:vAlign w:val="center"/>
                </w:tcPr>
                <w:p w14:paraId="3CC6240F">
                  <w:pPr>
                    <w:pStyle w:val="8"/>
                    <w:rPr>
                      <w:rFonts w:cs="宋体"/>
                      <w:b/>
                      <w:bCs/>
                    </w:rPr>
                  </w:pPr>
                </w:p>
              </w:tc>
              <w:tc>
                <w:tcPr>
                  <w:tcW w:w="513" w:type="pct"/>
                  <w:vMerge w:val="continue"/>
                  <w:vAlign w:val="center"/>
                </w:tcPr>
                <w:p w14:paraId="314AA370">
                  <w:pPr>
                    <w:pStyle w:val="8"/>
                    <w:rPr>
                      <w:rFonts w:cs="宋体"/>
                      <w:b/>
                      <w:bCs/>
                    </w:rPr>
                  </w:pPr>
                </w:p>
              </w:tc>
              <w:tc>
                <w:tcPr>
                  <w:tcW w:w="513" w:type="pct"/>
                  <w:vMerge w:val="continue"/>
                  <w:vAlign w:val="center"/>
                </w:tcPr>
                <w:p w14:paraId="79483485">
                  <w:pPr>
                    <w:pStyle w:val="8"/>
                    <w:rPr>
                      <w:rFonts w:cs="宋体"/>
                      <w:b/>
                      <w:bCs/>
                    </w:rPr>
                  </w:pPr>
                </w:p>
              </w:tc>
              <w:tc>
                <w:tcPr>
                  <w:tcW w:w="494" w:type="pct"/>
                  <w:vMerge w:val="continue"/>
                  <w:vAlign w:val="center"/>
                </w:tcPr>
                <w:p w14:paraId="78283BD1">
                  <w:pPr>
                    <w:pStyle w:val="8"/>
                    <w:rPr>
                      <w:rFonts w:cs="宋体"/>
                      <w:b/>
                      <w:bCs/>
                    </w:rPr>
                  </w:pPr>
                </w:p>
              </w:tc>
              <w:tc>
                <w:tcPr>
                  <w:tcW w:w="541" w:type="pct"/>
                  <w:vAlign w:val="center"/>
                </w:tcPr>
                <w:p w14:paraId="09352B1B">
                  <w:pPr>
                    <w:pStyle w:val="8"/>
                    <w:rPr>
                      <w:rFonts w:cs="宋体"/>
                      <w:b/>
                      <w:bCs/>
                    </w:rPr>
                  </w:pPr>
                  <w:r>
                    <w:rPr>
                      <w:rFonts w:cs="宋体"/>
                      <w:b/>
                      <w:bCs/>
                    </w:rPr>
                    <w:t>名称</w:t>
                  </w:r>
                </w:p>
              </w:tc>
              <w:tc>
                <w:tcPr>
                  <w:tcW w:w="606" w:type="pct"/>
                  <w:vAlign w:val="center"/>
                </w:tcPr>
                <w:p w14:paraId="0FA569B7">
                  <w:pPr>
                    <w:pStyle w:val="8"/>
                    <w:rPr>
                      <w:rFonts w:cs="宋体"/>
                      <w:b/>
                      <w:bCs/>
                    </w:rPr>
                  </w:pPr>
                  <w:r>
                    <w:rPr>
                      <w:rFonts w:cs="宋体"/>
                      <w:b/>
                      <w:bCs/>
                    </w:rPr>
                    <w:t>污染物种类</w:t>
                  </w:r>
                </w:p>
              </w:tc>
              <w:tc>
                <w:tcPr>
                  <w:tcW w:w="958" w:type="pct"/>
                  <w:vAlign w:val="center"/>
                </w:tcPr>
                <w:p w14:paraId="45F9DD3A">
                  <w:pPr>
                    <w:pStyle w:val="8"/>
                    <w:rPr>
                      <w:rFonts w:cs="宋体"/>
                      <w:b/>
                      <w:bCs/>
                    </w:rPr>
                  </w:pPr>
                  <w:r>
                    <w:rPr>
                      <w:rFonts w:cs="宋体"/>
                      <w:b/>
                      <w:bCs/>
                    </w:rPr>
                    <w:t>国家或地方污染物排放标准浓度限值</w:t>
                  </w:r>
                  <w:r>
                    <w:rPr>
                      <w:rFonts w:hint="eastAsia" w:cs="宋体"/>
                      <w:b/>
                      <w:bCs/>
                    </w:rPr>
                    <w:t>（</w:t>
                  </w:r>
                  <w:r>
                    <w:rPr>
                      <w:rFonts w:cs="宋体"/>
                      <w:b/>
                      <w:bCs/>
                    </w:rPr>
                    <w:t>mg/L</w:t>
                  </w:r>
                  <w:r>
                    <w:rPr>
                      <w:rFonts w:hint="eastAsia" w:cs="宋体"/>
                      <w:b/>
                      <w:bCs/>
                    </w:rPr>
                    <w:t>）</w:t>
                  </w:r>
                </w:p>
              </w:tc>
            </w:tr>
            <w:tr w14:paraId="608D3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181" w:hRule="atLeast"/>
                <w:jc w:val="center"/>
              </w:trPr>
              <w:tc>
                <w:tcPr>
                  <w:tcW w:w="432" w:type="pct"/>
                  <w:vMerge w:val="restart"/>
                  <w:vAlign w:val="center"/>
                </w:tcPr>
                <w:p w14:paraId="69966EED">
                  <w:pPr>
                    <w:pStyle w:val="8"/>
                    <w:rPr>
                      <w:rFonts w:cs="宋体"/>
                    </w:rPr>
                  </w:pPr>
                  <w:r>
                    <w:rPr>
                      <w:rFonts w:cs="宋体"/>
                    </w:rPr>
                    <w:t>DW001</w:t>
                  </w:r>
                </w:p>
              </w:tc>
              <w:tc>
                <w:tcPr>
                  <w:tcW w:w="513" w:type="pct"/>
                  <w:vMerge w:val="restart"/>
                  <w:vAlign w:val="center"/>
                </w:tcPr>
                <w:p w14:paraId="1CD05C65">
                  <w:pPr>
                    <w:pStyle w:val="9"/>
                    <w:ind w:firstLine="0" w:firstLineChars="0"/>
                    <w:jc w:val="center"/>
                    <w:rPr>
                      <w:rFonts w:cs="宋体"/>
                    </w:rPr>
                  </w:pPr>
                  <w:r>
                    <w:rPr>
                      <w:rFonts w:hint="eastAsia" w:eastAsia="Times New Roman" w:cs="宋体"/>
                      <w:kern w:val="2"/>
                      <w:sz w:val="21"/>
                      <w:szCs w:val="21"/>
                    </w:rPr>
                    <w:t>E114.012544°N23.10852°</w:t>
                  </w:r>
                </w:p>
              </w:tc>
              <w:tc>
                <w:tcPr>
                  <w:tcW w:w="426" w:type="pct"/>
                  <w:vMerge w:val="restart"/>
                  <w:vAlign w:val="center"/>
                </w:tcPr>
                <w:p w14:paraId="639EFF2F">
                  <w:pPr>
                    <w:pStyle w:val="8"/>
                    <w:rPr>
                      <w:rFonts w:cs="宋体"/>
                    </w:rPr>
                  </w:pPr>
                  <w:r>
                    <w:rPr>
                      <w:rFonts w:hint="eastAsia" w:cs="宋体"/>
                    </w:rPr>
                    <w:t>64</w:t>
                  </w:r>
                </w:p>
              </w:tc>
              <w:tc>
                <w:tcPr>
                  <w:tcW w:w="513" w:type="pct"/>
                  <w:vMerge w:val="restart"/>
                  <w:vAlign w:val="center"/>
                </w:tcPr>
                <w:p w14:paraId="670312A6">
                  <w:pPr>
                    <w:pStyle w:val="8"/>
                    <w:rPr>
                      <w:rFonts w:cs="宋体"/>
                    </w:rPr>
                  </w:pPr>
                  <w:r>
                    <w:rPr>
                      <w:rFonts w:cs="宋体"/>
                    </w:rPr>
                    <w:t>排</w:t>
                  </w:r>
                  <w:r>
                    <w:rPr>
                      <w:rFonts w:hint="eastAsia" w:cs="宋体"/>
                    </w:rPr>
                    <w:t>入园洲镇第五污水处理厂</w:t>
                  </w:r>
                </w:p>
              </w:tc>
              <w:tc>
                <w:tcPr>
                  <w:tcW w:w="513" w:type="pct"/>
                  <w:vMerge w:val="restart"/>
                  <w:vAlign w:val="center"/>
                </w:tcPr>
                <w:p w14:paraId="4009CCA4">
                  <w:pPr>
                    <w:pStyle w:val="8"/>
                    <w:rPr>
                      <w:rFonts w:cs="宋体"/>
                      <w:szCs w:val="21"/>
                    </w:rPr>
                  </w:pPr>
                  <w:r>
                    <w:rPr>
                      <w:rFonts w:hint="eastAsia" w:cs="宋体"/>
                      <w:spacing w:val="-4"/>
                      <w:szCs w:val="21"/>
                    </w:rPr>
                    <w:t>间断</w:t>
                  </w:r>
                  <w:r>
                    <w:rPr>
                      <w:rFonts w:cs="宋体"/>
                      <w:spacing w:val="4"/>
                      <w:szCs w:val="21"/>
                    </w:rPr>
                    <w:t>排放</w:t>
                  </w:r>
                  <w:r>
                    <w:rPr>
                      <w:rFonts w:hint="eastAsia" w:cs="宋体"/>
                      <w:spacing w:val="4"/>
                      <w:szCs w:val="21"/>
                    </w:rPr>
                    <w:t>，流量不稳定且不规律</w:t>
                  </w:r>
                </w:p>
              </w:tc>
              <w:tc>
                <w:tcPr>
                  <w:tcW w:w="494" w:type="pct"/>
                  <w:vMerge w:val="restart"/>
                  <w:vAlign w:val="center"/>
                </w:tcPr>
                <w:p w14:paraId="3F461475">
                  <w:pPr>
                    <w:pStyle w:val="8"/>
                    <w:rPr>
                      <w:rFonts w:cs="宋体"/>
                      <w:szCs w:val="21"/>
                    </w:rPr>
                  </w:pPr>
                  <w:r>
                    <w:rPr>
                      <w:rFonts w:hint="eastAsia" w:cs="宋体"/>
                      <w:szCs w:val="21"/>
                    </w:rPr>
                    <w:t>无固定时段</w:t>
                  </w:r>
                </w:p>
              </w:tc>
              <w:tc>
                <w:tcPr>
                  <w:tcW w:w="541" w:type="pct"/>
                  <w:vMerge w:val="restart"/>
                  <w:vAlign w:val="center"/>
                </w:tcPr>
                <w:p w14:paraId="1E6C3057">
                  <w:pPr>
                    <w:pStyle w:val="8"/>
                    <w:rPr>
                      <w:rFonts w:cs="宋体"/>
                    </w:rPr>
                  </w:pPr>
                  <w:r>
                    <w:rPr>
                      <w:rFonts w:hint="eastAsia" w:cs="宋体"/>
                    </w:rPr>
                    <w:t>园洲镇第五污水处理厂</w:t>
                  </w:r>
                </w:p>
              </w:tc>
              <w:tc>
                <w:tcPr>
                  <w:tcW w:w="606" w:type="pct"/>
                  <w:shd w:val="clear" w:color="auto" w:fill="auto"/>
                  <w:vAlign w:val="center"/>
                </w:tcPr>
                <w:p w14:paraId="4CF121F5">
                  <w:pPr>
                    <w:pStyle w:val="8"/>
                    <w:rPr>
                      <w:rFonts w:cs="宋体"/>
                    </w:rPr>
                  </w:pPr>
                  <w:r>
                    <w:rPr>
                      <w:rFonts w:cs="宋体"/>
                    </w:rPr>
                    <w:t>CODcr</w:t>
                  </w:r>
                </w:p>
              </w:tc>
              <w:tc>
                <w:tcPr>
                  <w:tcW w:w="958" w:type="pct"/>
                  <w:shd w:val="clear" w:color="auto" w:fill="auto"/>
                  <w:vAlign w:val="center"/>
                </w:tcPr>
                <w:p w14:paraId="4D4A3B05">
                  <w:pPr>
                    <w:pStyle w:val="8"/>
                    <w:rPr>
                      <w:rFonts w:cs="宋体"/>
                    </w:rPr>
                  </w:pPr>
                  <w:r>
                    <w:rPr>
                      <w:rFonts w:hint="eastAsia" w:cs="宋体"/>
                    </w:rPr>
                    <w:t>40</w:t>
                  </w:r>
                </w:p>
              </w:tc>
            </w:tr>
            <w:tr w14:paraId="4417A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181" w:hRule="atLeast"/>
                <w:jc w:val="center"/>
              </w:trPr>
              <w:tc>
                <w:tcPr>
                  <w:tcW w:w="432" w:type="pct"/>
                  <w:vMerge w:val="continue"/>
                  <w:vAlign w:val="center"/>
                </w:tcPr>
                <w:p w14:paraId="5863A886">
                  <w:pPr>
                    <w:pStyle w:val="8"/>
                    <w:rPr>
                      <w:rFonts w:cs="宋体"/>
                    </w:rPr>
                  </w:pPr>
                </w:p>
              </w:tc>
              <w:tc>
                <w:tcPr>
                  <w:tcW w:w="513" w:type="pct"/>
                  <w:vMerge w:val="continue"/>
                  <w:vAlign w:val="center"/>
                </w:tcPr>
                <w:p w14:paraId="56101EA4">
                  <w:pPr>
                    <w:pStyle w:val="8"/>
                    <w:rPr>
                      <w:rFonts w:cs="宋体"/>
                    </w:rPr>
                  </w:pPr>
                </w:p>
              </w:tc>
              <w:tc>
                <w:tcPr>
                  <w:tcW w:w="426" w:type="pct"/>
                  <w:vMerge w:val="continue"/>
                  <w:vAlign w:val="center"/>
                </w:tcPr>
                <w:p w14:paraId="20B6C4B8">
                  <w:pPr>
                    <w:pStyle w:val="8"/>
                    <w:rPr>
                      <w:rFonts w:cs="宋体"/>
                    </w:rPr>
                  </w:pPr>
                </w:p>
              </w:tc>
              <w:tc>
                <w:tcPr>
                  <w:tcW w:w="513" w:type="pct"/>
                  <w:vMerge w:val="continue"/>
                  <w:vAlign w:val="center"/>
                </w:tcPr>
                <w:p w14:paraId="6D46F030">
                  <w:pPr>
                    <w:pStyle w:val="8"/>
                    <w:rPr>
                      <w:rFonts w:cs="宋体"/>
                    </w:rPr>
                  </w:pPr>
                </w:p>
              </w:tc>
              <w:tc>
                <w:tcPr>
                  <w:tcW w:w="513" w:type="pct"/>
                  <w:vMerge w:val="continue"/>
                  <w:vAlign w:val="center"/>
                </w:tcPr>
                <w:p w14:paraId="5B19DABF">
                  <w:pPr>
                    <w:pStyle w:val="8"/>
                    <w:rPr>
                      <w:rFonts w:cs="宋体"/>
                    </w:rPr>
                  </w:pPr>
                </w:p>
              </w:tc>
              <w:tc>
                <w:tcPr>
                  <w:tcW w:w="494" w:type="pct"/>
                  <w:vMerge w:val="continue"/>
                  <w:vAlign w:val="center"/>
                </w:tcPr>
                <w:p w14:paraId="19BD15E9">
                  <w:pPr>
                    <w:pStyle w:val="8"/>
                    <w:rPr>
                      <w:rFonts w:cs="宋体"/>
                    </w:rPr>
                  </w:pPr>
                </w:p>
              </w:tc>
              <w:tc>
                <w:tcPr>
                  <w:tcW w:w="541" w:type="pct"/>
                  <w:vMerge w:val="continue"/>
                  <w:vAlign w:val="center"/>
                </w:tcPr>
                <w:p w14:paraId="3BBD2828">
                  <w:pPr>
                    <w:pStyle w:val="8"/>
                    <w:rPr>
                      <w:rFonts w:cs="宋体"/>
                    </w:rPr>
                  </w:pPr>
                </w:p>
              </w:tc>
              <w:tc>
                <w:tcPr>
                  <w:tcW w:w="606" w:type="pct"/>
                  <w:vAlign w:val="center"/>
                </w:tcPr>
                <w:p w14:paraId="5C47D8ED">
                  <w:pPr>
                    <w:pStyle w:val="8"/>
                    <w:rPr>
                      <w:rFonts w:cs="宋体"/>
                    </w:rPr>
                  </w:pPr>
                  <w:r>
                    <w:rPr>
                      <w:rFonts w:cs="宋体"/>
                    </w:rPr>
                    <w:t>BOD5</w:t>
                  </w:r>
                </w:p>
              </w:tc>
              <w:tc>
                <w:tcPr>
                  <w:tcW w:w="958" w:type="pct"/>
                  <w:vAlign w:val="center"/>
                </w:tcPr>
                <w:p w14:paraId="09C52F29">
                  <w:pPr>
                    <w:pStyle w:val="8"/>
                    <w:rPr>
                      <w:rFonts w:cs="宋体"/>
                    </w:rPr>
                  </w:pPr>
                  <w:r>
                    <w:rPr>
                      <w:rFonts w:hint="eastAsia" w:cs="宋体"/>
                    </w:rPr>
                    <w:t>10</w:t>
                  </w:r>
                </w:p>
              </w:tc>
            </w:tr>
            <w:tr w14:paraId="21DEA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181" w:hRule="atLeast"/>
                <w:jc w:val="center"/>
              </w:trPr>
              <w:tc>
                <w:tcPr>
                  <w:tcW w:w="432" w:type="pct"/>
                  <w:vMerge w:val="continue"/>
                  <w:vAlign w:val="center"/>
                </w:tcPr>
                <w:p w14:paraId="6D7143E7">
                  <w:pPr>
                    <w:pStyle w:val="8"/>
                    <w:rPr>
                      <w:rFonts w:cs="宋体"/>
                    </w:rPr>
                  </w:pPr>
                </w:p>
              </w:tc>
              <w:tc>
                <w:tcPr>
                  <w:tcW w:w="513" w:type="pct"/>
                  <w:vMerge w:val="continue"/>
                  <w:vAlign w:val="center"/>
                </w:tcPr>
                <w:p w14:paraId="180E4706">
                  <w:pPr>
                    <w:pStyle w:val="8"/>
                    <w:rPr>
                      <w:rFonts w:cs="宋体"/>
                    </w:rPr>
                  </w:pPr>
                </w:p>
              </w:tc>
              <w:tc>
                <w:tcPr>
                  <w:tcW w:w="426" w:type="pct"/>
                  <w:vMerge w:val="continue"/>
                  <w:vAlign w:val="center"/>
                </w:tcPr>
                <w:p w14:paraId="52627981">
                  <w:pPr>
                    <w:pStyle w:val="8"/>
                    <w:rPr>
                      <w:rFonts w:cs="宋体"/>
                    </w:rPr>
                  </w:pPr>
                </w:p>
              </w:tc>
              <w:tc>
                <w:tcPr>
                  <w:tcW w:w="513" w:type="pct"/>
                  <w:vMerge w:val="continue"/>
                  <w:vAlign w:val="center"/>
                </w:tcPr>
                <w:p w14:paraId="4CF3E8F8">
                  <w:pPr>
                    <w:pStyle w:val="8"/>
                    <w:rPr>
                      <w:rFonts w:cs="宋体"/>
                    </w:rPr>
                  </w:pPr>
                </w:p>
              </w:tc>
              <w:tc>
                <w:tcPr>
                  <w:tcW w:w="513" w:type="pct"/>
                  <w:vMerge w:val="continue"/>
                  <w:vAlign w:val="center"/>
                </w:tcPr>
                <w:p w14:paraId="59CA3FF5">
                  <w:pPr>
                    <w:pStyle w:val="8"/>
                    <w:rPr>
                      <w:rFonts w:cs="宋体"/>
                    </w:rPr>
                  </w:pPr>
                </w:p>
              </w:tc>
              <w:tc>
                <w:tcPr>
                  <w:tcW w:w="494" w:type="pct"/>
                  <w:vMerge w:val="continue"/>
                  <w:vAlign w:val="center"/>
                </w:tcPr>
                <w:p w14:paraId="11C583F6">
                  <w:pPr>
                    <w:pStyle w:val="8"/>
                    <w:rPr>
                      <w:rFonts w:cs="宋体"/>
                    </w:rPr>
                  </w:pPr>
                </w:p>
              </w:tc>
              <w:tc>
                <w:tcPr>
                  <w:tcW w:w="541" w:type="pct"/>
                  <w:vMerge w:val="continue"/>
                  <w:vAlign w:val="center"/>
                </w:tcPr>
                <w:p w14:paraId="097E4EE8">
                  <w:pPr>
                    <w:pStyle w:val="8"/>
                    <w:rPr>
                      <w:rFonts w:cs="宋体"/>
                    </w:rPr>
                  </w:pPr>
                </w:p>
              </w:tc>
              <w:tc>
                <w:tcPr>
                  <w:tcW w:w="606" w:type="pct"/>
                  <w:vAlign w:val="center"/>
                </w:tcPr>
                <w:p w14:paraId="29E6B2E6">
                  <w:pPr>
                    <w:pStyle w:val="8"/>
                    <w:rPr>
                      <w:rFonts w:cs="宋体"/>
                    </w:rPr>
                  </w:pPr>
                  <w:r>
                    <w:rPr>
                      <w:rFonts w:cs="宋体"/>
                    </w:rPr>
                    <w:t>SS</w:t>
                  </w:r>
                </w:p>
              </w:tc>
              <w:tc>
                <w:tcPr>
                  <w:tcW w:w="958" w:type="pct"/>
                  <w:vAlign w:val="center"/>
                </w:tcPr>
                <w:p w14:paraId="2665EF76">
                  <w:pPr>
                    <w:pStyle w:val="8"/>
                    <w:rPr>
                      <w:rFonts w:cs="宋体"/>
                    </w:rPr>
                  </w:pPr>
                  <w:r>
                    <w:rPr>
                      <w:rFonts w:hint="eastAsia" w:cs="宋体"/>
                    </w:rPr>
                    <w:t>10</w:t>
                  </w:r>
                </w:p>
              </w:tc>
            </w:tr>
            <w:tr w14:paraId="21669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231" w:hRule="atLeast"/>
                <w:jc w:val="center"/>
              </w:trPr>
              <w:tc>
                <w:tcPr>
                  <w:tcW w:w="432" w:type="pct"/>
                  <w:vMerge w:val="continue"/>
                  <w:vAlign w:val="center"/>
                </w:tcPr>
                <w:p w14:paraId="4C7EAEE5">
                  <w:pPr>
                    <w:pStyle w:val="8"/>
                    <w:rPr>
                      <w:rFonts w:cs="宋体"/>
                    </w:rPr>
                  </w:pPr>
                </w:p>
              </w:tc>
              <w:tc>
                <w:tcPr>
                  <w:tcW w:w="513" w:type="pct"/>
                  <w:vMerge w:val="continue"/>
                  <w:vAlign w:val="center"/>
                </w:tcPr>
                <w:p w14:paraId="330E503A">
                  <w:pPr>
                    <w:pStyle w:val="8"/>
                    <w:rPr>
                      <w:rFonts w:cs="宋体"/>
                    </w:rPr>
                  </w:pPr>
                </w:p>
              </w:tc>
              <w:tc>
                <w:tcPr>
                  <w:tcW w:w="426" w:type="pct"/>
                  <w:vMerge w:val="continue"/>
                  <w:vAlign w:val="center"/>
                </w:tcPr>
                <w:p w14:paraId="07DA571B">
                  <w:pPr>
                    <w:pStyle w:val="8"/>
                    <w:rPr>
                      <w:rFonts w:cs="宋体"/>
                    </w:rPr>
                  </w:pPr>
                </w:p>
              </w:tc>
              <w:tc>
                <w:tcPr>
                  <w:tcW w:w="513" w:type="pct"/>
                  <w:vMerge w:val="continue"/>
                  <w:vAlign w:val="center"/>
                </w:tcPr>
                <w:p w14:paraId="761CBA41">
                  <w:pPr>
                    <w:pStyle w:val="8"/>
                    <w:rPr>
                      <w:rFonts w:cs="宋体"/>
                    </w:rPr>
                  </w:pPr>
                </w:p>
              </w:tc>
              <w:tc>
                <w:tcPr>
                  <w:tcW w:w="513" w:type="pct"/>
                  <w:vMerge w:val="continue"/>
                  <w:vAlign w:val="center"/>
                </w:tcPr>
                <w:p w14:paraId="284B31DA">
                  <w:pPr>
                    <w:pStyle w:val="8"/>
                    <w:rPr>
                      <w:rFonts w:cs="宋体"/>
                    </w:rPr>
                  </w:pPr>
                </w:p>
              </w:tc>
              <w:tc>
                <w:tcPr>
                  <w:tcW w:w="494" w:type="pct"/>
                  <w:vMerge w:val="continue"/>
                  <w:vAlign w:val="center"/>
                </w:tcPr>
                <w:p w14:paraId="601C8317">
                  <w:pPr>
                    <w:pStyle w:val="8"/>
                    <w:rPr>
                      <w:rFonts w:cs="宋体"/>
                    </w:rPr>
                  </w:pPr>
                </w:p>
              </w:tc>
              <w:tc>
                <w:tcPr>
                  <w:tcW w:w="541" w:type="pct"/>
                  <w:vMerge w:val="continue"/>
                  <w:vAlign w:val="center"/>
                </w:tcPr>
                <w:p w14:paraId="4236352B">
                  <w:pPr>
                    <w:pStyle w:val="8"/>
                    <w:rPr>
                      <w:rFonts w:cs="宋体"/>
                    </w:rPr>
                  </w:pPr>
                </w:p>
              </w:tc>
              <w:tc>
                <w:tcPr>
                  <w:tcW w:w="606" w:type="pct"/>
                  <w:vAlign w:val="center"/>
                </w:tcPr>
                <w:p w14:paraId="1B39A5ED">
                  <w:pPr>
                    <w:pStyle w:val="8"/>
                    <w:rPr>
                      <w:rFonts w:cs="宋体"/>
                    </w:rPr>
                  </w:pPr>
                  <w:r>
                    <w:rPr>
                      <w:rFonts w:cs="宋体"/>
                    </w:rPr>
                    <w:t>NH</w:t>
                  </w:r>
                  <w:r>
                    <w:rPr>
                      <w:rFonts w:cs="宋体"/>
                      <w:vertAlign w:val="subscript"/>
                    </w:rPr>
                    <w:t>3</w:t>
                  </w:r>
                  <w:r>
                    <w:rPr>
                      <w:rFonts w:cs="宋体"/>
                    </w:rPr>
                    <w:t>-H</w:t>
                  </w:r>
                </w:p>
              </w:tc>
              <w:tc>
                <w:tcPr>
                  <w:tcW w:w="958" w:type="pct"/>
                  <w:vAlign w:val="center"/>
                </w:tcPr>
                <w:p w14:paraId="7101C914">
                  <w:pPr>
                    <w:pStyle w:val="8"/>
                    <w:rPr>
                      <w:rFonts w:cs="宋体"/>
                    </w:rPr>
                  </w:pPr>
                  <w:r>
                    <w:rPr>
                      <w:rFonts w:hint="eastAsia" w:cs="宋体"/>
                    </w:rPr>
                    <w:t>2</w:t>
                  </w:r>
                </w:p>
              </w:tc>
            </w:tr>
            <w:tr w14:paraId="34B41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6" w:type="dxa"/>
                  <w:bottom w:w="0" w:type="dxa"/>
                  <w:right w:w="6" w:type="dxa"/>
                </w:tblCellMar>
              </w:tblPrEx>
              <w:trPr>
                <w:trHeight w:val="231" w:hRule="atLeast"/>
                <w:jc w:val="center"/>
              </w:trPr>
              <w:tc>
                <w:tcPr>
                  <w:tcW w:w="432" w:type="pct"/>
                  <w:vMerge w:val="continue"/>
                  <w:vAlign w:val="center"/>
                </w:tcPr>
                <w:p w14:paraId="2BC15536">
                  <w:pPr>
                    <w:pStyle w:val="8"/>
                    <w:rPr>
                      <w:rFonts w:cs="宋体"/>
                    </w:rPr>
                  </w:pPr>
                </w:p>
              </w:tc>
              <w:tc>
                <w:tcPr>
                  <w:tcW w:w="513" w:type="pct"/>
                  <w:vMerge w:val="continue"/>
                  <w:vAlign w:val="center"/>
                </w:tcPr>
                <w:p w14:paraId="347CAAB6">
                  <w:pPr>
                    <w:pStyle w:val="8"/>
                    <w:rPr>
                      <w:rFonts w:cs="宋体"/>
                    </w:rPr>
                  </w:pPr>
                </w:p>
              </w:tc>
              <w:tc>
                <w:tcPr>
                  <w:tcW w:w="426" w:type="pct"/>
                  <w:vMerge w:val="continue"/>
                  <w:vAlign w:val="center"/>
                </w:tcPr>
                <w:p w14:paraId="08591E7F">
                  <w:pPr>
                    <w:pStyle w:val="8"/>
                    <w:rPr>
                      <w:rFonts w:cs="宋体"/>
                    </w:rPr>
                  </w:pPr>
                </w:p>
              </w:tc>
              <w:tc>
                <w:tcPr>
                  <w:tcW w:w="513" w:type="pct"/>
                  <w:vMerge w:val="continue"/>
                  <w:vAlign w:val="center"/>
                </w:tcPr>
                <w:p w14:paraId="4620608B">
                  <w:pPr>
                    <w:pStyle w:val="8"/>
                    <w:rPr>
                      <w:rFonts w:cs="宋体"/>
                    </w:rPr>
                  </w:pPr>
                </w:p>
              </w:tc>
              <w:tc>
                <w:tcPr>
                  <w:tcW w:w="513" w:type="pct"/>
                  <w:vMerge w:val="continue"/>
                  <w:vAlign w:val="center"/>
                </w:tcPr>
                <w:p w14:paraId="77B2A40C">
                  <w:pPr>
                    <w:pStyle w:val="8"/>
                    <w:rPr>
                      <w:rFonts w:cs="宋体"/>
                    </w:rPr>
                  </w:pPr>
                </w:p>
              </w:tc>
              <w:tc>
                <w:tcPr>
                  <w:tcW w:w="494" w:type="pct"/>
                  <w:vMerge w:val="continue"/>
                  <w:vAlign w:val="center"/>
                </w:tcPr>
                <w:p w14:paraId="6A839BA1">
                  <w:pPr>
                    <w:pStyle w:val="8"/>
                    <w:rPr>
                      <w:rFonts w:cs="宋体"/>
                    </w:rPr>
                  </w:pPr>
                </w:p>
              </w:tc>
              <w:tc>
                <w:tcPr>
                  <w:tcW w:w="541" w:type="pct"/>
                  <w:vMerge w:val="continue"/>
                  <w:vAlign w:val="center"/>
                </w:tcPr>
                <w:p w14:paraId="1861F7F7">
                  <w:pPr>
                    <w:pStyle w:val="8"/>
                    <w:rPr>
                      <w:rFonts w:cs="宋体"/>
                    </w:rPr>
                  </w:pPr>
                </w:p>
              </w:tc>
              <w:tc>
                <w:tcPr>
                  <w:tcW w:w="606" w:type="pct"/>
                  <w:vAlign w:val="center"/>
                </w:tcPr>
                <w:p w14:paraId="4E92A758">
                  <w:pPr>
                    <w:pStyle w:val="8"/>
                    <w:rPr>
                      <w:rFonts w:cs="宋体"/>
                    </w:rPr>
                  </w:pPr>
                  <w:r>
                    <w:rPr>
                      <w:rFonts w:hint="eastAsia" w:cs="宋体"/>
                    </w:rPr>
                    <w:t>总磷</w:t>
                  </w:r>
                </w:p>
              </w:tc>
              <w:tc>
                <w:tcPr>
                  <w:tcW w:w="958" w:type="pct"/>
                  <w:vAlign w:val="center"/>
                </w:tcPr>
                <w:p w14:paraId="46406B64">
                  <w:pPr>
                    <w:pStyle w:val="8"/>
                    <w:rPr>
                      <w:rFonts w:cs="宋体"/>
                    </w:rPr>
                  </w:pPr>
                  <w:r>
                    <w:rPr>
                      <w:rFonts w:hint="eastAsia" w:cs="宋体"/>
                    </w:rPr>
                    <w:t>0.4</w:t>
                  </w:r>
                </w:p>
              </w:tc>
            </w:tr>
          </w:tbl>
          <w:p w14:paraId="04B58B9B">
            <w:pPr>
              <w:pageBreakBefore/>
              <w:ind w:firstLine="482"/>
              <w:rPr>
                <w:b/>
              </w:rPr>
            </w:pPr>
            <w:r>
              <w:rPr>
                <w:rFonts w:hint="eastAsia"/>
                <w:b/>
              </w:rPr>
              <w:t>3、监测计划</w:t>
            </w:r>
          </w:p>
          <w:p w14:paraId="2D5C7F07">
            <w:pPr>
              <w:pageBreakBefore/>
              <w:ind w:firstLine="480"/>
              <w:rPr>
                <w:rFonts w:ascii="宋体" w:cs="宋体"/>
                <w:kern w:val="0"/>
              </w:rPr>
            </w:pPr>
            <w:r>
              <w:rPr>
                <w:rFonts w:hint="eastAsia" w:ascii="宋体" w:cs="宋体"/>
                <w:kern w:val="0"/>
              </w:rPr>
              <w:t>本项目无生产废水排放，外排废水为员工生活污水，排入</w:t>
            </w:r>
            <w:r>
              <w:rPr>
                <w:rFonts w:hint="eastAsia"/>
              </w:rPr>
              <w:t>园洲镇第五污水处理厂处理，故无需</w:t>
            </w:r>
            <w:r>
              <w:rPr>
                <w:rFonts w:hint="eastAsia" w:ascii="宋体" w:cs="宋体"/>
                <w:kern w:val="0"/>
              </w:rPr>
              <w:t>开展自行监测。</w:t>
            </w:r>
          </w:p>
          <w:p w14:paraId="344B7C5F">
            <w:pPr>
              <w:ind w:firstLine="482"/>
              <w:rPr>
                <w:b/>
              </w:rPr>
            </w:pPr>
            <w:r>
              <w:rPr>
                <w:rFonts w:hint="eastAsia"/>
                <w:b/>
              </w:rPr>
              <w:t>4、废水治理可行性分析</w:t>
            </w:r>
          </w:p>
          <w:p w14:paraId="4EE892A9">
            <w:pPr>
              <w:ind w:firstLine="480"/>
              <w:jc w:val="both"/>
            </w:pPr>
            <w:bookmarkStart w:id="289" w:name="OLE_LINK155"/>
            <w:r>
              <w:rPr>
                <w:rFonts w:hint="eastAsia" w:cs="宋体"/>
                <w:bCs/>
              </w:rPr>
              <w:t>项目直接冷却水</w:t>
            </w:r>
            <w:bookmarkEnd w:id="289"/>
            <w:r>
              <w:rPr>
                <w:rFonts w:hint="eastAsia" w:cs="宋体"/>
                <w:bCs/>
              </w:rPr>
              <w:t>无需添加矿物油、乳化液等冷却剂，污染物较少，主要污染物为</w:t>
            </w:r>
            <w:bookmarkStart w:id="290" w:name="OLE_LINK150"/>
            <w:bookmarkStart w:id="291" w:name="OLE_LINK149"/>
            <w:r>
              <w:rPr>
                <w:rFonts w:hint="eastAsia" w:cs="宋体"/>
                <w:bCs/>
              </w:rPr>
              <w:t>BOD</w:t>
            </w:r>
            <w:r>
              <w:rPr>
                <w:rFonts w:hint="eastAsia" w:cs="宋体"/>
                <w:bCs/>
                <w:vertAlign w:val="subscript"/>
              </w:rPr>
              <w:t>5</w:t>
            </w:r>
            <w:r>
              <w:rPr>
                <w:rFonts w:hint="eastAsia" w:cs="宋体"/>
                <w:bCs/>
              </w:rPr>
              <w:t>、SS、</w:t>
            </w:r>
            <w:bookmarkEnd w:id="290"/>
            <w:r>
              <w:rPr>
                <w:rFonts w:hint="eastAsia" w:cs="宋体"/>
                <w:bCs/>
              </w:rPr>
              <w:t>色度</w:t>
            </w:r>
            <w:bookmarkEnd w:id="291"/>
            <w:r>
              <w:rPr>
                <w:rFonts w:hint="eastAsia" w:cs="宋体"/>
                <w:bCs/>
              </w:rPr>
              <w:t>，项目冷却废水经自</w:t>
            </w:r>
            <w:bookmarkStart w:id="292" w:name="OLE_LINK156"/>
            <w:r>
              <w:rPr>
                <w:rFonts w:hint="eastAsia" w:cs="宋体"/>
                <w:bCs/>
              </w:rPr>
              <w:t>建废水处理设施处理后回用于</w:t>
            </w:r>
            <w:bookmarkEnd w:id="292"/>
            <w:r>
              <w:rPr>
                <w:rFonts w:hint="eastAsia" w:cs="宋体"/>
                <w:bCs/>
              </w:rPr>
              <w:t>冷却工序，</w:t>
            </w:r>
            <w:r>
              <w:rPr>
                <w:rFonts w:hint="eastAsia"/>
              </w:rPr>
              <w:t>处理工艺流程如下：</w:t>
            </w:r>
          </w:p>
          <w:p w14:paraId="5E6F8395">
            <w:pPr>
              <w:ind w:firstLine="0" w:firstLineChars="0"/>
              <w:jc w:val="center"/>
            </w:pPr>
            <w:r>
              <w:object>
                <v:shape id="_x0000_i1028" o:spt="75" type="#_x0000_t75" style="height:27.75pt;width:420.75pt;" o:ole="t" filled="f" o:preferrelative="t" stroked="f" coordsize="21600,21600">
                  <v:path/>
                  <v:fill on="f" focussize="0,0"/>
                  <v:stroke on="f" joinstyle="miter"/>
                  <v:imagedata r:id="rId29" o:title=""/>
                  <o:lock v:ext="edit" aspectratio="f"/>
                  <w10:wrap type="none"/>
                  <w10:anchorlock/>
                </v:shape>
                <o:OLEObject Type="Embed" ProgID="Visio.Drawing.15" ShapeID="_x0000_i1028" DrawAspect="Content" ObjectID="_1468075728" r:id="rId28">
                  <o:LockedField>false</o:LockedField>
                </o:OLEObject>
              </w:object>
            </w:r>
          </w:p>
          <w:p w14:paraId="1F4389B0">
            <w:pPr>
              <w:ind w:firstLine="0" w:firstLineChars="0"/>
              <w:jc w:val="center"/>
              <w:rPr>
                <w:b/>
                <w:sz w:val="21"/>
                <w:szCs w:val="21"/>
              </w:rPr>
            </w:pPr>
            <w:r>
              <w:rPr>
                <w:rFonts w:hint="eastAsia"/>
                <w:b/>
                <w:sz w:val="21"/>
                <w:szCs w:val="21"/>
              </w:rPr>
              <w:t>图4-1 废水处理工艺流程图</w:t>
            </w:r>
          </w:p>
          <w:p w14:paraId="07BF677E">
            <w:pPr>
              <w:pageBreakBefore/>
              <w:ind w:firstLine="480"/>
              <w:jc w:val="both"/>
              <w:rPr>
                <w:rFonts w:hAnsi="宋体"/>
                <w:kern w:val="0"/>
              </w:rPr>
            </w:pPr>
            <w:r>
              <w:rPr>
                <w:rFonts w:hint="eastAsia" w:cs="宋体"/>
                <w:bCs/>
              </w:rPr>
              <w:t>项目直接冷却水</w:t>
            </w:r>
            <w:bookmarkStart w:id="293" w:name="OLE_LINK158"/>
            <w:r>
              <w:rPr>
                <w:rFonts w:hint="eastAsia" w:cs="宋体"/>
                <w:bCs/>
              </w:rPr>
              <w:t>年处理量为10.24t/a（0.041</w:t>
            </w:r>
            <w:r>
              <w:rPr>
                <w:rFonts w:hint="eastAsia"/>
              </w:rPr>
              <w:t>m</w:t>
            </w:r>
            <w:r>
              <w:rPr>
                <w:rFonts w:hint="eastAsia"/>
                <w:vertAlign w:val="superscript"/>
              </w:rPr>
              <w:t>3</w:t>
            </w:r>
            <w:r>
              <w:rPr>
                <w:rFonts w:hint="eastAsia"/>
              </w:rPr>
              <w:t>/d</w:t>
            </w:r>
            <w:r>
              <w:rPr>
                <w:rFonts w:hint="eastAsia" w:cs="宋体"/>
                <w:bCs/>
              </w:rPr>
              <w:t>），根据建设单位提供的资料，项目</w:t>
            </w:r>
            <w:r>
              <w:rPr>
                <w:rFonts w:hint="eastAsia"/>
              </w:rPr>
              <w:t>废水处理设施处理能力为</w:t>
            </w:r>
            <w:bookmarkStart w:id="294" w:name="OLE_LINK205"/>
            <w:r>
              <w:rPr>
                <w:rFonts w:hint="eastAsia"/>
              </w:rPr>
              <w:t>6</w:t>
            </w:r>
            <w:bookmarkStart w:id="295" w:name="OLE_LINK206"/>
            <w:r>
              <w:rPr>
                <w:rFonts w:hint="eastAsia"/>
              </w:rPr>
              <w:t>m</w:t>
            </w:r>
            <w:r>
              <w:rPr>
                <w:rFonts w:hint="eastAsia"/>
                <w:vertAlign w:val="superscript"/>
              </w:rPr>
              <w:t>3</w:t>
            </w:r>
            <w:r>
              <w:rPr>
                <w:rFonts w:hint="eastAsia"/>
              </w:rPr>
              <w:t>/d</w:t>
            </w:r>
            <w:bookmarkEnd w:id="294"/>
            <w:bookmarkEnd w:id="295"/>
            <w:r>
              <w:rPr>
                <w:rFonts w:hint="eastAsia"/>
              </w:rPr>
              <w:t>，可满足项目水量的处理要求</w:t>
            </w:r>
            <w:bookmarkEnd w:id="293"/>
            <w:r>
              <w:rPr>
                <w:rFonts w:hint="eastAsia"/>
              </w:rPr>
              <w:t>，根据原有项目</w:t>
            </w:r>
            <w:bookmarkStart w:id="296" w:name="OLE_LINK152"/>
            <w:r>
              <w:rPr>
                <w:rFonts w:hint="eastAsia"/>
              </w:rPr>
              <w:t>验收监测报告（见</w:t>
            </w:r>
            <w:bookmarkStart w:id="297" w:name="OLE_LINK151"/>
            <w:r>
              <w:rPr>
                <w:rFonts w:hint="eastAsia"/>
              </w:rPr>
              <w:t>附件9</w:t>
            </w:r>
            <w:bookmarkEnd w:id="297"/>
            <w:r>
              <w:rPr>
                <w:rFonts w:hint="eastAsia"/>
              </w:rPr>
              <w:t>），</w:t>
            </w:r>
            <w:bookmarkStart w:id="298" w:name="OLE_LINK244"/>
            <w:r>
              <w:rPr>
                <w:rFonts w:hint="eastAsia"/>
              </w:rPr>
              <w:t>项目采用</w:t>
            </w:r>
            <w:bookmarkStart w:id="299" w:name="OLE_LINK153"/>
            <w:r>
              <w:rPr>
                <w:rFonts w:hint="eastAsia"/>
              </w:rPr>
              <w:t>的处</w:t>
            </w:r>
            <w:bookmarkEnd w:id="296"/>
            <w:r>
              <w:rPr>
                <w:rFonts w:hint="eastAsia"/>
              </w:rPr>
              <w:t>理工艺能有效</w:t>
            </w:r>
            <w:r>
              <w:rPr>
                <w:rFonts w:hint="eastAsia" w:hAnsi="宋体"/>
                <w:bCs/>
                <w:kern w:val="0"/>
              </w:rPr>
              <w:t>去除</w:t>
            </w:r>
            <w:r>
              <w:rPr>
                <w:rFonts w:hint="eastAsia" w:cs="宋体"/>
                <w:bCs/>
              </w:rPr>
              <w:t>BOD</w:t>
            </w:r>
            <w:r>
              <w:rPr>
                <w:rFonts w:hint="eastAsia" w:cs="宋体"/>
                <w:bCs/>
                <w:vertAlign w:val="subscript"/>
              </w:rPr>
              <w:t>5</w:t>
            </w:r>
            <w:r>
              <w:rPr>
                <w:rFonts w:hint="eastAsia" w:cs="宋体"/>
                <w:bCs/>
              </w:rPr>
              <w:t>83%、SS50%</w:t>
            </w:r>
            <w:r>
              <w:rPr>
                <w:rFonts w:hint="eastAsia" w:hAnsi="宋体"/>
                <w:bCs/>
                <w:kern w:val="0"/>
              </w:rPr>
              <w:t>。处理后水质</w:t>
            </w:r>
            <w:bookmarkStart w:id="300" w:name="OLE_LINK157"/>
            <w:r>
              <w:rPr>
                <w:rFonts w:hint="eastAsia" w:hAnsi="宋体"/>
                <w:bCs/>
                <w:kern w:val="0"/>
              </w:rPr>
              <w:t>达到</w:t>
            </w:r>
            <w:r>
              <w:rPr>
                <w:kern w:val="0"/>
              </w:rPr>
              <w:t>《城市污水再利用工业用水水质》（</w:t>
            </w:r>
            <w:r>
              <w:rPr>
                <w:rFonts w:eastAsia="TimesNewRomanPSMT"/>
                <w:kern w:val="0"/>
              </w:rPr>
              <w:t>GB/T19923-2005</w:t>
            </w:r>
            <w:r>
              <w:rPr>
                <w:kern w:val="0"/>
              </w:rPr>
              <w:t>）</w:t>
            </w:r>
            <w:bookmarkEnd w:id="299"/>
            <w:r>
              <w:rPr>
                <w:rFonts w:hint="eastAsia"/>
                <w:kern w:val="0"/>
              </w:rPr>
              <w:t>中“间冷开式循环冷却水补充水、锅炉补给水、工艺用水、产品用水”</w:t>
            </w:r>
            <w:r>
              <w:t>标准</w:t>
            </w:r>
            <w:r>
              <w:rPr>
                <w:rFonts w:hint="eastAsia"/>
              </w:rPr>
              <w:t>后回用于冷却工序中，不外排</w:t>
            </w:r>
            <w:r>
              <w:rPr>
                <w:rFonts w:hint="eastAsia" w:hAnsi="宋体"/>
                <w:kern w:val="0"/>
              </w:rPr>
              <w:t>，因此该废水处</w:t>
            </w:r>
            <w:bookmarkEnd w:id="300"/>
            <w:r>
              <w:rPr>
                <w:rFonts w:hint="eastAsia" w:hAnsi="宋体"/>
                <w:kern w:val="0"/>
              </w:rPr>
              <w:t>理工艺具有可行性。</w:t>
            </w:r>
            <w:bookmarkEnd w:id="298"/>
          </w:p>
          <w:p w14:paraId="749B5B1A">
            <w:pPr>
              <w:ind w:firstLine="482"/>
              <w:rPr>
                <w:b/>
              </w:rPr>
            </w:pPr>
            <w:r>
              <w:rPr>
                <w:rFonts w:hint="eastAsia"/>
                <w:b/>
              </w:rPr>
              <w:t>5、生活污水</w:t>
            </w:r>
            <w:r>
              <w:rPr>
                <w:b/>
              </w:rPr>
              <w:t>依托</w:t>
            </w:r>
            <w:r>
              <w:rPr>
                <w:rFonts w:hint="eastAsia"/>
                <w:b/>
              </w:rPr>
              <w:t>园洲镇第五污水处理厂</w:t>
            </w:r>
            <w:r>
              <w:rPr>
                <w:b/>
              </w:rPr>
              <w:t>可行性分析</w:t>
            </w:r>
          </w:p>
          <w:p w14:paraId="4F1CAD30">
            <w:pPr>
              <w:widowControl/>
              <w:ind w:firstLine="480"/>
              <w:jc w:val="both"/>
            </w:pPr>
            <w:r>
              <w:rPr>
                <w:rFonts w:hint="eastAsia"/>
              </w:rPr>
              <w:t>博罗县园洲镇第五污水处理厂于2019年建设，位于惠州市博罗县园洲镇深沥，采用较为先进的污水处理工艺，其设计规模为3万立方米/日，首期处理规模达到1.5万立方米/日，</w:t>
            </w:r>
            <w:r>
              <w:rPr>
                <w:rFonts w:hint="eastAsia" w:cs="宋体"/>
                <w:color w:val="000000"/>
                <w:kern w:val="0"/>
                <w:lang w:bidi="ar"/>
              </w:rPr>
              <w:t>目前剩余处理能力约为</w:t>
            </w:r>
            <w:r>
              <w:rPr>
                <w:color w:val="000000"/>
                <w:kern w:val="0"/>
                <w:lang w:bidi="ar"/>
              </w:rPr>
              <w:t>0.7</w:t>
            </w:r>
            <w:r>
              <w:rPr>
                <w:rFonts w:hint="eastAsia" w:cs="宋体"/>
                <w:color w:val="000000"/>
                <w:kern w:val="0"/>
                <w:lang w:bidi="ar"/>
              </w:rPr>
              <w:t>万</w:t>
            </w:r>
            <w:r>
              <w:rPr>
                <w:color w:val="000000"/>
                <w:kern w:val="0"/>
                <w:lang w:bidi="ar"/>
              </w:rPr>
              <w:t>t/d</w:t>
            </w:r>
            <w:r>
              <w:rPr>
                <w:rFonts w:hint="eastAsia" w:cs="宋体"/>
                <w:color w:val="000000"/>
                <w:kern w:val="0"/>
                <w:lang w:bidi="ar"/>
              </w:rPr>
              <w:t>。该污水处理厂的进水设计标准为</w:t>
            </w:r>
            <w:r>
              <w:rPr>
                <w:rFonts w:hint="eastAsia"/>
              </w:rPr>
              <w:t>广东省地方标准《水污染物排放限值》（DB44/26-2001）第二时段三级标准，处理后的尾水中氨氮、总磷执行《地表水环境质量标准》（GB3838-2002）V类标准，其余指标执行《城镇污水处理厂污染物排放标准》（GB18918-2002）一级A类及广东省《水污染物排放限值》（DB44/26-2001）中第二时段一级标准中的较严者后排入园洲中心排渠，经沙河汇入东江。</w:t>
            </w:r>
          </w:p>
          <w:p w14:paraId="7AAAB6BE">
            <w:pPr>
              <w:pStyle w:val="42"/>
              <w:adjustRightInd/>
              <w:snapToGrid/>
              <w:ind w:firstLine="480"/>
              <w:jc w:val="both"/>
              <w:rPr>
                <w:rFonts w:ascii="Times New Roman"/>
              </w:rPr>
            </w:pPr>
            <w:r>
              <w:rPr>
                <w:rFonts w:hint="eastAsia" w:ascii="Times New Roman"/>
              </w:rPr>
              <w:t>项目属于</w:t>
            </w:r>
            <w:r>
              <w:rPr>
                <w:rFonts w:hint="eastAsia" w:ascii="Times New Roman"/>
                <w:spacing w:val="-2"/>
              </w:rPr>
              <w:t>园洲镇第五污水处理厂</w:t>
            </w:r>
            <w:r>
              <w:rPr>
                <w:rFonts w:hint="eastAsia" w:ascii="Times New Roman"/>
              </w:rPr>
              <w:t>纳污范围，</w:t>
            </w:r>
            <w:r>
              <w:rPr>
                <w:rFonts w:hint="eastAsia" w:ascii="Times New Roman"/>
                <w:color w:val="auto"/>
              </w:rPr>
              <w:t>项目所在区域已铺设污水管网，生活污水通过市政污水管网排入园洲镇第五污水处理厂处理。本项目生活污水的产生量为0.256t/d，仅占其污水处理厂</w:t>
            </w:r>
            <w:r>
              <w:rPr>
                <w:rFonts w:hint="eastAsia" w:ascii="Times New Roman"/>
                <w:color w:val="auto"/>
                <w:lang w:bidi="ar"/>
              </w:rPr>
              <w:t>剩余处理能力</w:t>
            </w:r>
            <w:r>
              <w:rPr>
                <w:rFonts w:hint="eastAsia" w:ascii="Times New Roman"/>
                <w:color w:val="auto"/>
              </w:rPr>
              <w:t>的</w:t>
            </w:r>
            <w:r>
              <w:rPr>
                <w:rFonts w:ascii="Times New Roman" w:cs="Times New Roman"/>
                <w:color w:val="auto"/>
              </w:rPr>
              <w:t>0.0</w:t>
            </w:r>
            <w:r>
              <w:rPr>
                <w:rFonts w:hint="eastAsia" w:ascii="Times New Roman" w:cs="Times New Roman"/>
                <w:color w:val="auto"/>
              </w:rPr>
              <w:t>037</w:t>
            </w:r>
            <w:r>
              <w:rPr>
                <w:rFonts w:ascii="Times New Roman" w:cs="Times New Roman"/>
                <w:color w:val="auto"/>
              </w:rPr>
              <w:t>%</w:t>
            </w:r>
            <w:r>
              <w:rPr>
                <w:rFonts w:hint="eastAsia" w:ascii="Times New Roman"/>
                <w:color w:val="auto"/>
              </w:rPr>
              <w:t>，且生活污水经处理后达到该污水处理厂的进水要求。</w:t>
            </w:r>
            <w:r>
              <w:rPr>
                <w:rFonts w:hint="eastAsia" w:ascii="Times New Roman"/>
                <w:color w:val="auto"/>
                <w:spacing w:val="-2"/>
              </w:rPr>
              <w:t>因此，</w:t>
            </w:r>
            <w:r>
              <w:rPr>
                <w:rFonts w:hint="eastAsia" w:ascii="Times New Roman"/>
                <w:color w:val="auto"/>
              </w:rPr>
              <w:t>项目生活污水经三级化粪池预处理后通</w:t>
            </w:r>
            <w:r>
              <w:rPr>
                <w:rFonts w:hint="eastAsia" w:ascii="Times New Roman"/>
              </w:rPr>
              <w:t>过市政污水管网排入园洲镇第五污水处理厂进行处理的方案是可行的。</w:t>
            </w:r>
          </w:p>
          <w:p w14:paraId="567D8BFD">
            <w:pPr>
              <w:ind w:firstLine="482"/>
              <w:jc w:val="both"/>
              <w:rPr>
                <w:b/>
                <w:color w:val="000000"/>
              </w:rPr>
            </w:pPr>
            <w:r>
              <w:rPr>
                <w:b/>
                <w:color w:val="000000"/>
              </w:rPr>
              <w:t>5、水环境影响评价结论</w:t>
            </w:r>
          </w:p>
          <w:p w14:paraId="5B77034D">
            <w:pPr>
              <w:ind w:firstLine="480"/>
              <w:jc w:val="both"/>
            </w:pPr>
            <w:r>
              <w:rPr>
                <w:rFonts w:hint="eastAsia"/>
              </w:rPr>
              <w:t>项目间接/直接冷却水循环使用不外排，定期补充，直接冷却水每3个月收集处理一次，经“</w:t>
            </w:r>
            <w:bookmarkStart w:id="301" w:name="OLE_LINK148"/>
            <w:r>
              <w:rPr>
                <w:rFonts w:hint="eastAsia"/>
              </w:rPr>
              <w:t>混凝沉淀+压滤+保安过滤</w:t>
            </w:r>
            <w:bookmarkEnd w:id="301"/>
            <w:r>
              <w:rPr>
                <w:rFonts w:hint="eastAsia"/>
              </w:rPr>
              <w:t>”处理后回用于冷却工序，不外排；喷淋用水循环使用，每1个月定期更换一次，更换的喷淋废水定期交由有危废处理资质的单位处理，不外排，故项目无生产废水排放；</w:t>
            </w:r>
            <w:r>
              <w:t>生活污水经</w:t>
            </w:r>
            <w:r>
              <w:rPr>
                <w:rFonts w:hint="eastAsia"/>
              </w:rPr>
              <w:t>三级化粪池</w:t>
            </w:r>
            <w:r>
              <w:t>预处理达到广东省地方标准《水污染物排放限值》（DB44/26-2001）中的第二时段三级标准后，</w:t>
            </w:r>
            <w:r>
              <w:rPr>
                <w:rFonts w:hint="eastAsia"/>
                <w:bCs/>
                <w:spacing w:val="-10"/>
              </w:rPr>
              <w:t>经市政管网排入</w:t>
            </w:r>
            <w:r>
              <w:rPr>
                <w:rFonts w:hint="eastAsia"/>
              </w:rPr>
              <w:t>园洲镇第五污水处理厂</w:t>
            </w:r>
            <w:r>
              <w:t>处理达标后排放</w:t>
            </w:r>
            <w:r>
              <w:rPr>
                <w:rFonts w:hint="eastAsia"/>
              </w:rPr>
              <w:t>，不会对区域水环境造成不良影响。</w:t>
            </w:r>
          </w:p>
          <w:p w14:paraId="0A0B7577">
            <w:pPr>
              <w:adjustRightInd w:val="0"/>
              <w:snapToGrid w:val="0"/>
              <w:spacing w:before="120" w:beforeLines="50"/>
              <w:ind w:firstLine="472" w:firstLineChars="196"/>
              <w:rPr>
                <w:b/>
              </w:rPr>
            </w:pPr>
            <w:r>
              <w:rPr>
                <w:rFonts w:hint="eastAsia"/>
                <w:b/>
              </w:rPr>
              <w:t>三、声环境影响分析</w:t>
            </w:r>
          </w:p>
          <w:p w14:paraId="3D97BFFC">
            <w:pPr>
              <w:adjustRightInd w:val="0"/>
              <w:ind w:firstLine="482"/>
              <w:textAlignment w:val="baseline"/>
              <w:rPr>
                <w:b/>
              </w:rPr>
            </w:pPr>
            <w:r>
              <w:rPr>
                <w:rFonts w:hint="eastAsia"/>
                <w:b/>
              </w:rPr>
              <w:t>1、</w:t>
            </w:r>
            <w:r>
              <w:rPr>
                <w:b/>
              </w:rPr>
              <w:t>源强</w:t>
            </w:r>
          </w:p>
          <w:p w14:paraId="65C7756C">
            <w:pPr>
              <w:pStyle w:val="101"/>
              <w:ind w:firstLine="480"/>
              <w:jc w:val="both"/>
              <w:rPr>
                <w:rFonts w:ascii="Times New Roman" w:hAnsi="Times New Roman" w:cs="宋体"/>
                <w:sz w:val="24"/>
                <w:szCs w:val="24"/>
                <w:lang w:eastAsia="zh-CN"/>
              </w:rPr>
            </w:pPr>
            <w:r>
              <w:rPr>
                <w:rFonts w:ascii="Times New Roman" w:hAnsi="Times New Roman" w:cs="宋体"/>
                <w:kern w:val="2"/>
                <w:sz w:val="24"/>
                <w:szCs w:val="24"/>
                <w:lang w:eastAsia="zh-CN"/>
              </w:rPr>
              <w:t>项目</w:t>
            </w:r>
            <w:r>
              <w:rPr>
                <w:rFonts w:hint="eastAsia" w:ascii="Times New Roman" w:hAnsi="Times New Roman" w:cs="宋体"/>
                <w:sz w:val="24"/>
                <w:szCs w:val="24"/>
                <w:lang w:eastAsia="zh-CN"/>
              </w:rPr>
              <w:t>主要的噪声污染源为生产设备运行时产生的噪声，设备采用基础减震、墙体隔声等措施进行降噪，根据《环境噪声控制》（刘惠玲主编，2002年10月第1版），经建筑隔声后，一般能降噪20~40dB（A），经基础减振以及距离衰减后，一般能降低5~25dB（A），本项目降噪效果取35dB（A）。类比同类型项目，设备噪声值约为70--85dB（A）之间，具体设备噪声源情况见下表。</w:t>
            </w:r>
          </w:p>
          <w:p w14:paraId="234F00E9">
            <w:pPr>
              <w:spacing w:line="240" w:lineRule="auto"/>
              <w:ind w:firstLine="0" w:firstLineChars="0"/>
              <w:jc w:val="center"/>
              <w:rPr>
                <w:b/>
                <w:sz w:val="21"/>
              </w:rPr>
            </w:pPr>
            <w:r>
              <w:rPr>
                <w:b/>
                <w:sz w:val="21"/>
              </w:rPr>
              <w:t>表4-</w:t>
            </w:r>
            <w:r>
              <w:rPr>
                <w:rFonts w:hint="eastAsia"/>
                <w:b/>
                <w:sz w:val="21"/>
              </w:rPr>
              <w:t>13</w:t>
            </w:r>
            <w:r>
              <w:rPr>
                <w:b/>
                <w:sz w:val="21"/>
              </w:rPr>
              <w:t xml:space="preserve"> </w:t>
            </w:r>
            <w:r>
              <w:rPr>
                <w:rFonts w:hint="eastAsia"/>
                <w:b/>
                <w:sz w:val="21"/>
              </w:rPr>
              <w:t>噪声污染源源强核算结果及相关参数一览表</w:t>
            </w:r>
          </w:p>
          <w:tbl>
            <w:tblPr>
              <w:tblStyle w:val="3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107"/>
              <w:gridCol w:w="489"/>
              <w:gridCol w:w="579"/>
              <w:gridCol w:w="676"/>
              <w:gridCol w:w="962"/>
              <w:gridCol w:w="983"/>
              <w:gridCol w:w="747"/>
              <w:gridCol w:w="874"/>
              <w:gridCol w:w="575"/>
              <w:gridCol w:w="949"/>
              <w:gridCol w:w="590"/>
            </w:tblGrid>
            <w:tr w14:paraId="0AE80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48" w:type="pct"/>
                  <w:vMerge w:val="restart"/>
                  <w:vAlign w:val="center"/>
                </w:tcPr>
                <w:p w14:paraId="42CE6421">
                  <w:pPr>
                    <w:spacing w:line="240" w:lineRule="auto"/>
                    <w:ind w:firstLine="0" w:firstLineChars="0"/>
                    <w:jc w:val="center"/>
                    <w:rPr>
                      <w:b/>
                      <w:kern w:val="0"/>
                      <w:sz w:val="21"/>
                      <w:szCs w:val="20"/>
                    </w:rPr>
                  </w:pPr>
                  <w:r>
                    <w:rPr>
                      <w:b/>
                      <w:kern w:val="0"/>
                      <w:sz w:val="21"/>
                      <w:szCs w:val="20"/>
                    </w:rPr>
                    <w:t>噪声源</w:t>
                  </w:r>
                </w:p>
              </w:tc>
              <w:tc>
                <w:tcPr>
                  <w:tcW w:w="286" w:type="pct"/>
                  <w:vMerge w:val="restart"/>
                  <w:vAlign w:val="center"/>
                </w:tcPr>
                <w:p w14:paraId="3B7022F5">
                  <w:pPr>
                    <w:spacing w:line="240" w:lineRule="auto"/>
                    <w:ind w:firstLine="0" w:firstLineChars="0"/>
                    <w:jc w:val="center"/>
                    <w:rPr>
                      <w:b/>
                      <w:kern w:val="0"/>
                      <w:sz w:val="21"/>
                      <w:szCs w:val="20"/>
                    </w:rPr>
                  </w:pPr>
                  <w:r>
                    <w:rPr>
                      <w:b/>
                      <w:kern w:val="0"/>
                      <w:sz w:val="21"/>
                      <w:szCs w:val="20"/>
                    </w:rPr>
                    <w:t>声源类型</w:t>
                  </w:r>
                </w:p>
              </w:tc>
              <w:tc>
                <w:tcPr>
                  <w:tcW w:w="1875" w:type="pct"/>
                  <w:gridSpan w:val="4"/>
                  <w:vAlign w:val="center"/>
                </w:tcPr>
                <w:p w14:paraId="4247C21D">
                  <w:pPr>
                    <w:spacing w:line="240" w:lineRule="auto"/>
                    <w:ind w:firstLine="0" w:firstLineChars="0"/>
                    <w:jc w:val="center"/>
                    <w:rPr>
                      <w:b/>
                      <w:kern w:val="0"/>
                      <w:sz w:val="21"/>
                      <w:szCs w:val="20"/>
                    </w:rPr>
                  </w:pPr>
                  <w:r>
                    <w:rPr>
                      <w:rFonts w:hint="eastAsia"/>
                      <w:b/>
                      <w:kern w:val="0"/>
                      <w:sz w:val="21"/>
                      <w:szCs w:val="20"/>
                    </w:rPr>
                    <w:t>噪声</w:t>
                  </w:r>
                  <w:r>
                    <w:rPr>
                      <w:b/>
                      <w:kern w:val="0"/>
                      <w:sz w:val="21"/>
                      <w:szCs w:val="20"/>
                    </w:rPr>
                    <w:t>源强</w:t>
                  </w:r>
                </w:p>
              </w:tc>
              <w:tc>
                <w:tcPr>
                  <w:tcW w:w="950" w:type="pct"/>
                  <w:gridSpan w:val="2"/>
                  <w:vAlign w:val="center"/>
                </w:tcPr>
                <w:p w14:paraId="286C1C40">
                  <w:pPr>
                    <w:spacing w:line="240" w:lineRule="auto"/>
                    <w:ind w:firstLine="0" w:firstLineChars="0"/>
                    <w:jc w:val="center"/>
                    <w:rPr>
                      <w:b/>
                      <w:kern w:val="0"/>
                      <w:sz w:val="21"/>
                      <w:szCs w:val="20"/>
                    </w:rPr>
                  </w:pPr>
                  <w:r>
                    <w:rPr>
                      <w:rFonts w:hint="eastAsia"/>
                      <w:b/>
                      <w:kern w:val="0"/>
                      <w:sz w:val="21"/>
                      <w:szCs w:val="20"/>
                    </w:rPr>
                    <w:t>降噪措施</w:t>
                  </w:r>
                </w:p>
              </w:tc>
              <w:tc>
                <w:tcPr>
                  <w:tcW w:w="893" w:type="pct"/>
                  <w:gridSpan w:val="2"/>
                  <w:vAlign w:val="center"/>
                </w:tcPr>
                <w:p w14:paraId="19D23B6D">
                  <w:pPr>
                    <w:spacing w:line="240" w:lineRule="auto"/>
                    <w:ind w:firstLine="0" w:firstLineChars="0"/>
                    <w:jc w:val="center"/>
                    <w:rPr>
                      <w:b/>
                      <w:kern w:val="0"/>
                      <w:sz w:val="21"/>
                      <w:szCs w:val="20"/>
                    </w:rPr>
                  </w:pPr>
                  <w:r>
                    <w:rPr>
                      <w:b/>
                      <w:kern w:val="0"/>
                      <w:sz w:val="21"/>
                      <w:szCs w:val="20"/>
                    </w:rPr>
                    <w:t>噪声排放值</w:t>
                  </w:r>
                </w:p>
              </w:tc>
              <w:tc>
                <w:tcPr>
                  <w:tcW w:w="346" w:type="pct"/>
                  <w:vMerge w:val="restart"/>
                  <w:vAlign w:val="center"/>
                </w:tcPr>
                <w:p w14:paraId="7EAC319E">
                  <w:pPr>
                    <w:spacing w:line="240" w:lineRule="auto"/>
                    <w:ind w:firstLine="0" w:firstLineChars="0"/>
                    <w:jc w:val="center"/>
                    <w:rPr>
                      <w:b/>
                      <w:kern w:val="0"/>
                      <w:sz w:val="21"/>
                      <w:szCs w:val="20"/>
                    </w:rPr>
                  </w:pPr>
                  <w:r>
                    <w:rPr>
                      <w:rFonts w:hint="eastAsia"/>
                      <w:b/>
                      <w:bCs/>
                      <w:kern w:val="0"/>
                      <w:sz w:val="21"/>
                      <w:szCs w:val="21"/>
                    </w:rPr>
                    <w:t>持续时间</w:t>
                  </w:r>
                  <w:r>
                    <w:rPr>
                      <w:b/>
                      <w:bCs/>
                      <w:kern w:val="0"/>
                      <w:sz w:val="21"/>
                      <w:szCs w:val="21"/>
                    </w:rPr>
                    <w:t>/h</w:t>
                  </w:r>
                </w:p>
              </w:tc>
            </w:tr>
            <w:tr w14:paraId="0C8E5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48" w:type="pct"/>
                  <w:vMerge w:val="continue"/>
                  <w:vAlign w:val="center"/>
                </w:tcPr>
                <w:p w14:paraId="7AC6F294">
                  <w:pPr>
                    <w:spacing w:line="240" w:lineRule="auto"/>
                    <w:ind w:firstLine="0" w:firstLineChars="0"/>
                    <w:jc w:val="center"/>
                    <w:rPr>
                      <w:b/>
                      <w:kern w:val="0"/>
                      <w:sz w:val="21"/>
                      <w:szCs w:val="20"/>
                    </w:rPr>
                  </w:pPr>
                </w:p>
              </w:tc>
              <w:tc>
                <w:tcPr>
                  <w:tcW w:w="286" w:type="pct"/>
                  <w:vMerge w:val="continue"/>
                  <w:vAlign w:val="center"/>
                </w:tcPr>
                <w:p w14:paraId="52BF1945">
                  <w:pPr>
                    <w:spacing w:line="240" w:lineRule="auto"/>
                    <w:ind w:firstLine="0" w:firstLineChars="0"/>
                    <w:jc w:val="center"/>
                    <w:rPr>
                      <w:b/>
                      <w:kern w:val="0"/>
                      <w:sz w:val="21"/>
                      <w:szCs w:val="20"/>
                    </w:rPr>
                  </w:pPr>
                </w:p>
              </w:tc>
              <w:tc>
                <w:tcPr>
                  <w:tcW w:w="339" w:type="pct"/>
                  <w:vAlign w:val="center"/>
                </w:tcPr>
                <w:p w14:paraId="5FDED075">
                  <w:pPr>
                    <w:spacing w:line="240" w:lineRule="auto"/>
                    <w:ind w:firstLine="0" w:firstLineChars="0"/>
                    <w:jc w:val="center"/>
                    <w:rPr>
                      <w:b/>
                      <w:kern w:val="0"/>
                      <w:sz w:val="21"/>
                      <w:szCs w:val="20"/>
                    </w:rPr>
                  </w:pPr>
                  <w:r>
                    <w:rPr>
                      <w:rFonts w:hint="eastAsia"/>
                      <w:b/>
                      <w:kern w:val="0"/>
                      <w:sz w:val="21"/>
                      <w:szCs w:val="20"/>
                    </w:rPr>
                    <w:t>核算方法</w:t>
                  </w:r>
                </w:p>
              </w:tc>
              <w:tc>
                <w:tcPr>
                  <w:tcW w:w="396" w:type="pct"/>
                  <w:shd w:val="clear" w:color="auto" w:fill="auto"/>
                  <w:vAlign w:val="center"/>
                </w:tcPr>
                <w:p w14:paraId="18330A21">
                  <w:pPr>
                    <w:spacing w:line="240" w:lineRule="auto"/>
                    <w:ind w:firstLine="0" w:firstLineChars="0"/>
                    <w:jc w:val="center"/>
                    <w:rPr>
                      <w:b/>
                      <w:kern w:val="0"/>
                      <w:sz w:val="21"/>
                      <w:szCs w:val="20"/>
                    </w:rPr>
                  </w:pPr>
                  <w:r>
                    <w:rPr>
                      <w:b/>
                      <w:kern w:val="0"/>
                      <w:sz w:val="21"/>
                      <w:szCs w:val="20"/>
                    </w:rPr>
                    <w:t>数量</w:t>
                  </w:r>
                  <w:r>
                    <w:rPr>
                      <w:rFonts w:hint="eastAsia"/>
                      <w:b/>
                      <w:color w:val="000000" w:themeColor="text1"/>
                      <w:kern w:val="0"/>
                      <w:sz w:val="21"/>
                      <w:szCs w:val="20"/>
                      <w14:textFill>
                        <w14:solidFill>
                          <w14:schemeClr w14:val="tx1"/>
                        </w14:solidFill>
                      </w14:textFill>
                    </w:rPr>
                    <w:t>（台）</w:t>
                  </w:r>
                </w:p>
              </w:tc>
              <w:tc>
                <w:tcPr>
                  <w:tcW w:w="564" w:type="pct"/>
                  <w:shd w:val="clear" w:color="auto" w:fill="auto"/>
                  <w:vAlign w:val="center"/>
                </w:tcPr>
                <w:p w14:paraId="1D13A51A">
                  <w:pPr>
                    <w:spacing w:line="240" w:lineRule="auto"/>
                    <w:ind w:firstLine="0" w:firstLineChars="0"/>
                    <w:jc w:val="center"/>
                    <w:rPr>
                      <w:b/>
                      <w:kern w:val="0"/>
                      <w:sz w:val="21"/>
                      <w:szCs w:val="20"/>
                    </w:rPr>
                  </w:pPr>
                  <w:r>
                    <w:rPr>
                      <w:rFonts w:hint="eastAsia"/>
                      <w:b/>
                      <w:kern w:val="0"/>
                      <w:sz w:val="21"/>
                      <w:szCs w:val="20"/>
                    </w:rPr>
                    <w:t>单台</w:t>
                  </w:r>
                  <w:r>
                    <w:rPr>
                      <w:b/>
                      <w:kern w:val="0"/>
                      <w:sz w:val="21"/>
                      <w:szCs w:val="20"/>
                    </w:rPr>
                    <w:t>噪声值</w:t>
                  </w:r>
                  <w:r>
                    <w:rPr>
                      <w:rFonts w:hint="eastAsia"/>
                      <w:b/>
                      <w:kern w:val="0"/>
                      <w:sz w:val="21"/>
                      <w:szCs w:val="20"/>
                    </w:rPr>
                    <w:t>/dB（A）</w:t>
                  </w:r>
                </w:p>
              </w:tc>
              <w:tc>
                <w:tcPr>
                  <w:tcW w:w="575" w:type="pct"/>
                  <w:vAlign w:val="center"/>
                </w:tcPr>
                <w:p w14:paraId="26ECB2BA">
                  <w:pPr>
                    <w:spacing w:line="240" w:lineRule="auto"/>
                    <w:ind w:firstLine="0" w:firstLineChars="0"/>
                    <w:jc w:val="center"/>
                    <w:rPr>
                      <w:b/>
                      <w:kern w:val="0"/>
                      <w:sz w:val="21"/>
                      <w:szCs w:val="20"/>
                    </w:rPr>
                  </w:pPr>
                  <w:r>
                    <w:rPr>
                      <w:rFonts w:hint="eastAsia"/>
                      <w:b/>
                      <w:kern w:val="0"/>
                      <w:sz w:val="21"/>
                      <w:szCs w:val="20"/>
                    </w:rPr>
                    <w:t>叠加</w:t>
                  </w:r>
                  <w:r>
                    <w:rPr>
                      <w:b/>
                      <w:kern w:val="0"/>
                      <w:sz w:val="21"/>
                      <w:szCs w:val="20"/>
                    </w:rPr>
                    <w:t>噪声值</w:t>
                  </w:r>
                  <w:r>
                    <w:rPr>
                      <w:rFonts w:hint="eastAsia"/>
                      <w:b/>
                      <w:kern w:val="0"/>
                      <w:sz w:val="21"/>
                      <w:szCs w:val="20"/>
                    </w:rPr>
                    <w:t>/dB（A）</w:t>
                  </w:r>
                </w:p>
              </w:tc>
              <w:tc>
                <w:tcPr>
                  <w:tcW w:w="438" w:type="pct"/>
                  <w:vAlign w:val="center"/>
                </w:tcPr>
                <w:p w14:paraId="511C7B82">
                  <w:pPr>
                    <w:spacing w:line="240" w:lineRule="auto"/>
                    <w:ind w:firstLine="0" w:firstLineChars="0"/>
                    <w:jc w:val="center"/>
                    <w:rPr>
                      <w:b/>
                      <w:kern w:val="0"/>
                      <w:sz w:val="21"/>
                      <w:szCs w:val="20"/>
                    </w:rPr>
                  </w:pPr>
                  <w:r>
                    <w:rPr>
                      <w:rFonts w:hint="eastAsia"/>
                      <w:b/>
                      <w:kern w:val="0"/>
                      <w:sz w:val="21"/>
                      <w:szCs w:val="20"/>
                    </w:rPr>
                    <w:t>措施</w:t>
                  </w:r>
                </w:p>
              </w:tc>
              <w:tc>
                <w:tcPr>
                  <w:tcW w:w="511" w:type="pct"/>
                  <w:vAlign w:val="center"/>
                </w:tcPr>
                <w:p w14:paraId="1D0C8A9A">
                  <w:pPr>
                    <w:spacing w:line="240" w:lineRule="auto"/>
                    <w:ind w:firstLine="0" w:firstLineChars="0"/>
                    <w:jc w:val="center"/>
                    <w:rPr>
                      <w:b/>
                      <w:kern w:val="0"/>
                      <w:sz w:val="21"/>
                      <w:szCs w:val="20"/>
                    </w:rPr>
                  </w:pPr>
                  <w:r>
                    <w:rPr>
                      <w:b/>
                      <w:kern w:val="0"/>
                      <w:sz w:val="21"/>
                      <w:szCs w:val="20"/>
                    </w:rPr>
                    <w:t>降噪效果</w:t>
                  </w:r>
                  <w:r>
                    <w:rPr>
                      <w:rFonts w:hint="eastAsia"/>
                      <w:b/>
                      <w:kern w:val="0"/>
                      <w:sz w:val="21"/>
                      <w:szCs w:val="20"/>
                    </w:rPr>
                    <w:t>/dB（A）</w:t>
                  </w:r>
                </w:p>
              </w:tc>
              <w:tc>
                <w:tcPr>
                  <w:tcW w:w="337" w:type="pct"/>
                  <w:vAlign w:val="center"/>
                </w:tcPr>
                <w:p w14:paraId="3B25EEB2">
                  <w:pPr>
                    <w:spacing w:line="240" w:lineRule="auto"/>
                    <w:ind w:firstLine="0" w:firstLineChars="0"/>
                    <w:jc w:val="center"/>
                    <w:rPr>
                      <w:kern w:val="0"/>
                      <w:sz w:val="21"/>
                      <w:szCs w:val="20"/>
                    </w:rPr>
                  </w:pPr>
                  <w:r>
                    <w:rPr>
                      <w:rFonts w:hint="eastAsia"/>
                      <w:b/>
                      <w:kern w:val="0"/>
                      <w:sz w:val="21"/>
                      <w:szCs w:val="20"/>
                    </w:rPr>
                    <w:t>核算方法</w:t>
                  </w:r>
                </w:p>
              </w:tc>
              <w:tc>
                <w:tcPr>
                  <w:tcW w:w="556" w:type="pct"/>
                  <w:vAlign w:val="center"/>
                </w:tcPr>
                <w:p w14:paraId="0572583E">
                  <w:pPr>
                    <w:spacing w:line="240" w:lineRule="auto"/>
                    <w:ind w:firstLine="0" w:firstLineChars="0"/>
                    <w:jc w:val="center"/>
                    <w:rPr>
                      <w:kern w:val="0"/>
                      <w:sz w:val="21"/>
                      <w:szCs w:val="20"/>
                    </w:rPr>
                  </w:pPr>
                  <w:r>
                    <w:rPr>
                      <w:b/>
                      <w:kern w:val="0"/>
                      <w:sz w:val="21"/>
                      <w:szCs w:val="20"/>
                    </w:rPr>
                    <w:t>噪声排放值</w:t>
                  </w:r>
                  <w:r>
                    <w:rPr>
                      <w:rFonts w:hint="eastAsia"/>
                      <w:b/>
                      <w:kern w:val="0"/>
                      <w:sz w:val="21"/>
                      <w:szCs w:val="20"/>
                    </w:rPr>
                    <w:t>/dB（A）</w:t>
                  </w:r>
                </w:p>
              </w:tc>
              <w:tc>
                <w:tcPr>
                  <w:tcW w:w="346" w:type="pct"/>
                  <w:vMerge w:val="continue"/>
                  <w:vAlign w:val="center"/>
                </w:tcPr>
                <w:p w14:paraId="3D634CAB">
                  <w:pPr>
                    <w:spacing w:line="240" w:lineRule="auto"/>
                    <w:ind w:firstLine="0" w:firstLineChars="0"/>
                    <w:jc w:val="center"/>
                    <w:rPr>
                      <w:kern w:val="0"/>
                      <w:sz w:val="21"/>
                      <w:szCs w:val="20"/>
                    </w:rPr>
                  </w:pPr>
                </w:p>
              </w:tc>
            </w:tr>
            <w:tr w14:paraId="2F9A6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1" w:hRule="atLeast"/>
              </w:trPr>
              <w:tc>
                <w:tcPr>
                  <w:tcW w:w="648" w:type="pct"/>
                  <w:shd w:val="clear" w:color="auto" w:fill="auto"/>
                  <w:vAlign w:val="center"/>
                </w:tcPr>
                <w:p w14:paraId="6AB61F7D">
                  <w:pPr>
                    <w:spacing w:line="240" w:lineRule="auto"/>
                    <w:ind w:firstLine="0" w:firstLineChars="0"/>
                    <w:jc w:val="center"/>
                    <w:rPr>
                      <w:sz w:val="21"/>
                      <w:szCs w:val="21"/>
                      <w:lang w:eastAsia="en-US"/>
                    </w:rPr>
                  </w:pPr>
                  <w:r>
                    <w:rPr>
                      <w:rFonts w:hint="eastAsia"/>
                      <w:sz w:val="21"/>
                      <w:szCs w:val="21"/>
                    </w:rPr>
                    <w:t>双螺杆挤出机</w:t>
                  </w:r>
                </w:p>
              </w:tc>
              <w:tc>
                <w:tcPr>
                  <w:tcW w:w="286" w:type="pct"/>
                  <w:vMerge w:val="restart"/>
                  <w:vAlign w:val="center"/>
                </w:tcPr>
                <w:p w14:paraId="071D7BD5">
                  <w:pPr>
                    <w:spacing w:line="240" w:lineRule="auto"/>
                    <w:ind w:firstLine="0" w:firstLineChars="0"/>
                    <w:jc w:val="center"/>
                    <w:rPr>
                      <w:sz w:val="21"/>
                    </w:rPr>
                  </w:pPr>
                  <w:r>
                    <w:rPr>
                      <w:rFonts w:hint="eastAsia"/>
                      <w:kern w:val="0"/>
                      <w:sz w:val="21"/>
                      <w:szCs w:val="20"/>
                    </w:rPr>
                    <w:t>频发</w:t>
                  </w:r>
                </w:p>
              </w:tc>
              <w:tc>
                <w:tcPr>
                  <w:tcW w:w="339" w:type="pct"/>
                  <w:vMerge w:val="restart"/>
                  <w:vAlign w:val="center"/>
                </w:tcPr>
                <w:p w14:paraId="04D0076E">
                  <w:pPr>
                    <w:spacing w:line="240" w:lineRule="auto"/>
                    <w:ind w:firstLine="0" w:firstLineChars="0"/>
                    <w:jc w:val="center"/>
                    <w:rPr>
                      <w:kern w:val="0"/>
                      <w:sz w:val="21"/>
                      <w:szCs w:val="20"/>
                    </w:rPr>
                  </w:pPr>
                  <w:r>
                    <w:rPr>
                      <w:rFonts w:hint="eastAsia"/>
                      <w:kern w:val="0"/>
                      <w:sz w:val="21"/>
                      <w:szCs w:val="20"/>
                    </w:rPr>
                    <w:t>类比法</w:t>
                  </w:r>
                </w:p>
              </w:tc>
              <w:tc>
                <w:tcPr>
                  <w:tcW w:w="396" w:type="pct"/>
                  <w:shd w:val="clear" w:color="auto" w:fill="auto"/>
                  <w:vAlign w:val="center"/>
                </w:tcPr>
                <w:p w14:paraId="71C9413F">
                  <w:pPr>
                    <w:pStyle w:val="8"/>
                  </w:pPr>
                  <w:r>
                    <w:rPr>
                      <w:rFonts w:hint="eastAsia"/>
                    </w:rPr>
                    <w:t>3</w:t>
                  </w:r>
                </w:p>
              </w:tc>
              <w:tc>
                <w:tcPr>
                  <w:tcW w:w="564" w:type="pct"/>
                  <w:shd w:val="clear" w:color="auto" w:fill="auto"/>
                  <w:vAlign w:val="center"/>
                </w:tcPr>
                <w:p w14:paraId="28B7B096">
                  <w:pPr>
                    <w:spacing w:line="240" w:lineRule="auto"/>
                    <w:ind w:firstLine="0" w:firstLineChars="0"/>
                    <w:jc w:val="center"/>
                    <w:rPr>
                      <w:kern w:val="0"/>
                      <w:sz w:val="21"/>
                      <w:szCs w:val="20"/>
                    </w:rPr>
                  </w:pPr>
                  <w:r>
                    <w:rPr>
                      <w:rFonts w:hint="eastAsia"/>
                      <w:kern w:val="0"/>
                      <w:sz w:val="21"/>
                      <w:szCs w:val="20"/>
                    </w:rPr>
                    <w:t>80</w:t>
                  </w:r>
                </w:p>
              </w:tc>
              <w:tc>
                <w:tcPr>
                  <w:tcW w:w="575" w:type="pct"/>
                  <w:vAlign w:val="center"/>
                </w:tcPr>
                <w:p w14:paraId="4649BDCF">
                  <w:pPr>
                    <w:spacing w:line="240" w:lineRule="auto"/>
                    <w:ind w:firstLine="0" w:firstLineChars="0"/>
                    <w:jc w:val="center"/>
                    <w:rPr>
                      <w:kern w:val="0"/>
                      <w:sz w:val="21"/>
                      <w:szCs w:val="20"/>
                    </w:rPr>
                  </w:pPr>
                  <w:r>
                    <w:rPr>
                      <w:rFonts w:hint="eastAsia"/>
                      <w:kern w:val="0"/>
                      <w:sz w:val="21"/>
                      <w:szCs w:val="20"/>
                    </w:rPr>
                    <w:t>84.8</w:t>
                  </w:r>
                </w:p>
              </w:tc>
              <w:tc>
                <w:tcPr>
                  <w:tcW w:w="438" w:type="pct"/>
                  <w:vMerge w:val="restart"/>
                  <w:vAlign w:val="center"/>
                </w:tcPr>
                <w:p w14:paraId="41C85C49">
                  <w:pPr>
                    <w:spacing w:line="240" w:lineRule="auto"/>
                    <w:ind w:firstLine="0" w:firstLineChars="0"/>
                    <w:jc w:val="center"/>
                    <w:rPr>
                      <w:kern w:val="0"/>
                      <w:sz w:val="21"/>
                      <w:szCs w:val="20"/>
                    </w:rPr>
                  </w:pPr>
                  <w:r>
                    <w:rPr>
                      <w:rFonts w:hint="eastAsia"/>
                      <w:kern w:val="0"/>
                      <w:sz w:val="21"/>
                      <w:szCs w:val="21"/>
                    </w:rPr>
                    <w:t>基础减震、墙体隔声</w:t>
                  </w:r>
                </w:p>
              </w:tc>
              <w:tc>
                <w:tcPr>
                  <w:tcW w:w="511" w:type="pct"/>
                  <w:vMerge w:val="restart"/>
                  <w:vAlign w:val="center"/>
                </w:tcPr>
                <w:p w14:paraId="5206E701">
                  <w:pPr>
                    <w:autoSpaceDE w:val="0"/>
                    <w:autoSpaceDN w:val="0"/>
                    <w:spacing w:line="240" w:lineRule="auto"/>
                    <w:ind w:firstLine="0" w:firstLineChars="0"/>
                    <w:jc w:val="center"/>
                    <w:rPr>
                      <w:sz w:val="21"/>
                      <w:szCs w:val="21"/>
                    </w:rPr>
                  </w:pPr>
                  <w:r>
                    <w:rPr>
                      <w:rFonts w:hint="eastAsia"/>
                      <w:sz w:val="21"/>
                      <w:szCs w:val="21"/>
                    </w:rPr>
                    <w:t>35</w:t>
                  </w:r>
                </w:p>
              </w:tc>
              <w:tc>
                <w:tcPr>
                  <w:tcW w:w="337" w:type="pct"/>
                  <w:vMerge w:val="restart"/>
                  <w:vAlign w:val="center"/>
                </w:tcPr>
                <w:p w14:paraId="3B231415">
                  <w:pPr>
                    <w:spacing w:line="240" w:lineRule="auto"/>
                    <w:ind w:firstLine="0" w:firstLineChars="0"/>
                    <w:jc w:val="center"/>
                    <w:rPr>
                      <w:kern w:val="0"/>
                      <w:sz w:val="21"/>
                      <w:szCs w:val="20"/>
                    </w:rPr>
                  </w:pPr>
                  <w:r>
                    <w:rPr>
                      <w:rFonts w:hint="eastAsia"/>
                      <w:kern w:val="0"/>
                      <w:sz w:val="21"/>
                      <w:szCs w:val="21"/>
                    </w:rPr>
                    <w:t>类比法</w:t>
                  </w:r>
                </w:p>
              </w:tc>
              <w:tc>
                <w:tcPr>
                  <w:tcW w:w="556" w:type="pct"/>
                  <w:vAlign w:val="center"/>
                </w:tcPr>
                <w:p w14:paraId="04B28D30">
                  <w:pPr>
                    <w:autoSpaceDE w:val="0"/>
                    <w:autoSpaceDN w:val="0"/>
                    <w:spacing w:line="240" w:lineRule="auto"/>
                    <w:ind w:firstLine="0" w:firstLineChars="0"/>
                    <w:jc w:val="center"/>
                    <w:rPr>
                      <w:sz w:val="21"/>
                      <w:szCs w:val="21"/>
                    </w:rPr>
                  </w:pPr>
                  <w:r>
                    <w:rPr>
                      <w:rFonts w:hint="eastAsia"/>
                      <w:sz w:val="21"/>
                      <w:szCs w:val="21"/>
                    </w:rPr>
                    <w:t>49.8</w:t>
                  </w:r>
                </w:p>
              </w:tc>
              <w:tc>
                <w:tcPr>
                  <w:tcW w:w="346" w:type="pct"/>
                  <w:vMerge w:val="restart"/>
                  <w:vAlign w:val="center"/>
                </w:tcPr>
                <w:p w14:paraId="33B87855">
                  <w:pPr>
                    <w:autoSpaceDE w:val="0"/>
                    <w:autoSpaceDN w:val="0"/>
                    <w:spacing w:line="240" w:lineRule="auto"/>
                    <w:ind w:firstLine="0" w:firstLineChars="0"/>
                    <w:jc w:val="center"/>
                    <w:rPr>
                      <w:sz w:val="21"/>
                      <w:szCs w:val="21"/>
                    </w:rPr>
                  </w:pPr>
                  <w:r>
                    <w:rPr>
                      <w:rFonts w:hint="eastAsia"/>
                      <w:sz w:val="21"/>
                      <w:szCs w:val="21"/>
                    </w:rPr>
                    <w:t>2000</w:t>
                  </w:r>
                </w:p>
              </w:tc>
            </w:tr>
            <w:tr w14:paraId="206DA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48" w:type="pct"/>
                  <w:shd w:val="clear" w:color="auto" w:fill="auto"/>
                  <w:vAlign w:val="center"/>
                </w:tcPr>
                <w:p w14:paraId="6A775EC9">
                  <w:pPr>
                    <w:spacing w:line="240" w:lineRule="auto"/>
                    <w:ind w:firstLine="0" w:firstLineChars="0"/>
                    <w:jc w:val="center"/>
                    <w:rPr>
                      <w:sz w:val="21"/>
                      <w:szCs w:val="21"/>
                      <w:lang w:eastAsia="en-US"/>
                    </w:rPr>
                  </w:pPr>
                  <w:r>
                    <w:rPr>
                      <w:rFonts w:hint="eastAsia"/>
                      <w:sz w:val="21"/>
                      <w:szCs w:val="21"/>
                    </w:rPr>
                    <w:t>单螺杆挤出机</w:t>
                  </w:r>
                </w:p>
              </w:tc>
              <w:tc>
                <w:tcPr>
                  <w:tcW w:w="286" w:type="pct"/>
                  <w:vMerge w:val="continue"/>
                  <w:vAlign w:val="center"/>
                </w:tcPr>
                <w:p w14:paraId="2834FB84">
                  <w:pPr>
                    <w:spacing w:line="240" w:lineRule="auto"/>
                    <w:ind w:firstLine="420"/>
                    <w:jc w:val="center"/>
                    <w:rPr>
                      <w:sz w:val="21"/>
                      <w:szCs w:val="21"/>
                    </w:rPr>
                  </w:pPr>
                </w:p>
              </w:tc>
              <w:tc>
                <w:tcPr>
                  <w:tcW w:w="339" w:type="pct"/>
                  <w:vMerge w:val="continue"/>
                  <w:vAlign w:val="center"/>
                </w:tcPr>
                <w:p w14:paraId="5289F20C">
                  <w:pPr>
                    <w:spacing w:line="240" w:lineRule="auto"/>
                    <w:ind w:firstLine="0" w:firstLineChars="0"/>
                    <w:jc w:val="center"/>
                    <w:rPr>
                      <w:kern w:val="0"/>
                      <w:sz w:val="21"/>
                      <w:szCs w:val="20"/>
                    </w:rPr>
                  </w:pPr>
                </w:p>
              </w:tc>
              <w:tc>
                <w:tcPr>
                  <w:tcW w:w="396" w:type="pct"/>
                  <w:shd w:val="clear" w:color="auto" w:fill="auto"/>
                  <w:vAlign w:val="center"/>
                </w:tcPr>
                <w:p w14:paraId="6A1B9F90">
                  <w:pPr>
                    <w:pStyle w:val="8"/>
                  </w:pPr>
                  <w:r>
                    <w:rPr>
                      <w:rFonts w:hint="eastAsia"/>
                    </w:rPr>
                    <w:t>1</w:t>
                  </w:r>
                </w:p>
              </w:tc>
              <w:tc>
                <w:tcPr>
                  <w:tcW w:w="564" w:type="pct"/>
                  <w:shd w:val="clear" w:color="auto" w:fill="auto"/>
                  <w:vAlign w:val="center"/>
                </w:tcPr>
                <w:p w14:paraId="2210A110">
                  <w:pPr>
                    <w:spacing w:line="240" w:lineRule="auto"/>
                    <w:ind w:firstLine="0" w:firstLineChars="0"/>
                    <w:jc w:val="center"/>
                    <w:rPr>
                      <w:kern w:val="0"/>
                      <w:sz w:val="21"/>
                      <w:szCs w:val="20"/>
                    </w:rPr>
                  </w:pPr>
                  <w:r>
                    <w:rPr>
                      <w:rFonts w:hint="eastAsia"/>
                      <w:kern w:val="0"/>
                      <w:sz w:val="21"/>
                      <w:szCs w:val="20"/>
                    </w:rPr>
                    <w:t>80</w:t>
                  </w:r>
                </w:p>
              </w:tc>
              <w:tc>
                <w:tcPr>
                  <w:tcW w:w="575" w:type="pct"/>
                  <w:vAlign w:val="center"/>
                </w:tcPr>
                <w:p w14:paraId="76737FD6">
                  <w:pPr>
                    <w:spacing w:line="240" w:lineRule="auto"/>
                    <w:ind w:firstLine="0" w:firstLineChars="0"/>
                    <w:jc w:val="center"/>
                    <w:rPr>
                      <w:kern w:val="0"/>
                      <w:sz w:val="21"/>
                      <w:szCs w:val="20"/>
                    </w:rPr>
                  </w:pPr>
                  <w:r>
                    <w:rPr>
                      <w:rFonts w:hint="eastAsia"/>
                      <w:kern w:val="0"/>
                      <w:sz w:val="21"/>
                      <w:szCs w:val="20"/>
                    </w:rPr>
                    <w:t>80</w:t>
                  </w:r>
                </w:p>
              </w:tc>
              <w:tc>
                <w:tcPr>
                  <w:tcW w:w="438" w:type="pct"/>
                  <w:vMerge w:val="continue"/>
                  <w:vAlign w:val="center"/>
                </w:tcPr>
                <w:p w14:paraId="07B579D8">
                  <w:pPr>
                    <w:spacing w:line="240" w:lineRule="auto"/>
                    <w:ind w:firstLine="0" w:firstLineChars="0"/>
                    <w:jc w:val="center"/>
                    <w:rPr>
                      <w:kern w:val="0"/>
                      <w:sz w:val="21"/>
                      <w:szCs w:val="20"/>
                    </w:rPr>
                  </w:pPr>
                </w:p>
              </w:tc>
              <w:tc>
                <w:tcPr>
                  <w:tcW w:w="511" w:type="pct"/>
                  <w:vMerge w:val="continue"/>
                  <w:vAlign w:val="center"/>
                </w:tcPr>
                <w:p w14:paraId="50177D8E">
                  <w:pPr>
                    <w:spacing w:line="240" w:lineRule="auto"/>
                    <w:ind w:firstLine="0" w:firstLineChars="0"/>
                    <w:jc w:val="center"/>
                    <w:rPr>
                      <w:kern w:val="0"/>
                      <w:sz w:val="21"/>
                      <w:szCs w:val="20"/>
                    </w:rPr>
                  </w:pPr>
                </w:p>
              </w:tc>
              <w:tc>
                <w:tcPr>
                  <w:tcW w:w="337" w:type="pct"/>
                  <w:vMerge w:val="continue"/>
                  <w:vAlign w:val="center"/>
                </w:tcPr>
                <w:p w14:paraId="2655747F">
                  <w:pPr>
                    <w:spacing w:line="240" w:lineRule="auto"/>
                    <w:ind w:firstLine="0" w:firstLineChars="0"/>
                    <w:jc w:val="center"/>
                    <w:rPr>
                      <w:kern w:val="0"/>
                      <w:sz w:val="21"/>
                      <w:szCs w:val="20"/>
                    </w:rPr>
                  </w:pPr>
                </w:p>
              </w:tc>
              <w:tc>
                <w:tcPr>
                  <w:tcW w:w="556" w:type="pct"/>
                  <w:vAlign w:val="center"/>
                </w:tcPr>
                <w:p w14:paraId="3F03B0F1">
                  <w:pPr>
                    <w:spacing w:line="240" w:lineRule="auto"/>
                    <w:ind w:firstLine="0" w:firstLineChars="0"/>
                    <w:jc w:val="center"/>
                    <w:rPr>
                      <w:kern w:val="0"/>
                      <w:sz w:val="21"/>
                      <w:szCs w:val="20"/>
                    </w:rPr>
                  </w:pPr>
                  <w:r>
                    <w:rPr>
                      <w:rFonts w:hint="eastAsia"/>
                      <w:kern w:val="0"/>
                      <w:sz w:val="21"/>
                      <w:szCs w:val="20"/>
                    </w:rPr>
                    <w:t>45</w:t>
                  </w:r>
                </w:p>
              </w:tc>
              <w:tc>
                <w:tcPr>
                  <w:tcW w:w="346" w:type="pct"/>
                  <w:vMerge w:val="continue"/>
                  <w:vAlign w:val="center"/>
                </w:tcPr>
                <w:p w14:paraId="1CB1E641">
                  <w:pPr>
                    <w:spacing w:line="240" w:lineRule="auto"/>
                    <w:ind w:firstLine="0" w:firstLineChars="0"/>
                    <w:jc w:val="center"/>
                    <w:rPr>
                      <w:kern w:val="0"/>
                      <w:sz w:val="21"/>
                      <w:szCs w:val="20"/>
                    </w:rPr>
                  </w:pPr>
                </w:p>
              </w:tc>
            </w:tr>
            <w:tr w14:paraId="58A88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48" w:type="pct"/>
                  <w:shd w:val="clear" w:color="auto" w:fill="auto"/>
                  <w:vAlign w:val="center"/>
                </w:tcPr>
                <w:p w14:paraId="3D7B6154">
                  <w:pPr>
                    <w:spacing w:line="240" w:lineRule="auto"/>
                    <w:ind w:firstLine="0" w:firstLineChars="0"/>
                    <w:jc w:val="center"/>
                    <w:rPr>
                      <w:sz w:val="21"/>
                      <w:szCs w:val="21"/>
                      <w:lang w:eastAsia="en-US"/>
                    </w:rPr>
                  </w:pPr>
                  <w:r>
                    <w:rPr>
                      <w:rFonts w:hint="eastAsia"/>
                      <w:sz w:val="21"/>
                      <w:szCs w:val="21"/>
                    </w:rPr>
                    <w:t>混料机</w:t>
                  </w:r>
                </w:p>
              </w:tc>
              <w:tc>
                <w:tcPr>
                  <w:tcW w:w="286" w:type="pct"/>
                  <w:vMerge w:val="continue"/>
                  <w:vAlign w:val="center"/>
                </w:tcPr>
                <w:p w14:paraId="042A5520">
                  <w:pPr>
                    <w:spacing w:line="240" w:lineRule="auto"/>
                    <w:ind w:firstLine="420"/>
                    <w:jc w:val="center"/>
                    <w:rPr>
                      <w:sz w:val="21"/>
                      <w:szCs w:val="21"/>
                    </w:rPr>
                  </w:pPr>
                </w:p>
              </w:tc>
              <w:tc>
                <w:tcPr>
                  <w:tcW w:w="339" w:type="pct"/>
                  <w:vMerge w:val="continue"/>
                  <w:vAlign w:val="center"/>
                </w:tcPr>
                <w:p w14:paraId="474E00E7">
                  <w:pPr>
                    <w:spacing w:line="240" w:lineRule="auto"/>
                    <w:ind w:firstLine="0" w:firstLineChars="0"/>
                    <w:jc w:val="center"/>
                    <w:rPr>
                      <w:kern w:val="0"/>
                      <w:sz w:val="21"/>
                      <w:szCs w:val="20"/>
                    </w:rPr>
                  </w:pPr>
                </w:p>
              </w:tc>
              <w:tc>
                <w:tcPr>
                  <w:tcW w:w="396" w:type="pct"/>
                  <w:shd w:val="clear" w:color="auto" w:fill="auto"/>
                  <w:vAlign w:val="center"/>
                </w:tcPr>
                <w:p w14:paraId="6285EF88">
                  <w:pPr>
                    <w:pStyle w:val="8"/>
                  </w:pPr>
                  <w:r>
                    <w:rPr>
                      <w:rFonts w:hint="eastAsia"/>
                    </w:rPr>
                    <w:t>4</w:t>
                  </w:r>
                </w:p>
              </w:tc>
              <w:tc>
                <w:tcPr>
                  <w:tcW w:w="564" w:type="pct"/>
                  <w:shd w:val="clear" w:color="auto" w:fill="auto"/>
                  <w:vAlign w:val="center"/>
                </w:tcPr>
                <w:p w14:paraId="105C40D3">
                  <w:pPr>
                    <w:spacing w:line="240" w:lineRule="auto"/>
                    <w:ind w:firstLine="0" w:firstLineChars="0"/>
                    <w:jc w:val="center"/>
                    <w:rPr>
                      <w:kern w:val="0"/>
                      <w:sz w:val="21"/>
                      <w:szCs w:val="20"/>
                    </w:rPr>
                  </w:pPr>
                  <w:r>
                    <w:rPr>
                      <w:rFonts w:hint="eastAsia"/>
                      <w:kern w:val="0"/>
                      <w:sz w:val="21"/>
                      <w:szCs w:val="20"/>
                    </w:rPr>
                    <w:t>80</w:t>
                  </w:r>
                </w:p>
              </w:tc>
              <w:tc>
                <w:tcPr>
                  <w:tcW w:w="575" w:type="pct"/>
                  <w:vAlign w:val="center"/>
                </w:tcPr>
                <w:p w14:paraId="0D368B64">
                  <w:pPr>
                    <w:spacing w:line="240" w:lineRule="auto"/>
                    <w:ind w:firstLine="0" w:firstLineChars="0"/>
                    <w:jc w:val="center"/>
                    <w:rPr>
                      <w:kern w:val="0"/>
                      <w:sz w:val="21"/>
                      <w:szCs w:val="20"/>
                    </w:rPr>
                  </w:pPr>
                  <w:r>
                    <w:rPr>
                      <w:rFonts w:hint="eastAsia"/>
                      <w:kern w:val="0"/>
                      <w:sz w:val="21"/>
                      <w:szCs w:val="20"/>
                    </w:rPr>
                    <w:t>86</w:t>
                  </w:r>
                </w:p>
              </w:tc>
              <w:tc>
                <w:tcPr>
                  <w:tcW w:w="438" w:type="pct"/>
                  <w:vMerge w:val="continue"/>
                  <w:vAlign w:val="center"/>
                </w:tcPr>
                <w:p w14:paraId="10A0405E">
                  <w:pPr>
                    <w:spacing w:line="240" w:lineRule="auto"/>
                    <w:ind w:firstLine="0" w:firstLineChars="0"/>
                    <w:jc w:val="center"/>
                    <w:rPr>
                      <w:kern w:val="0"/>
                      <w:sz w:val="21"/>
                      <w:szCs w:val="20"/>
                    </w:rPr>
                  </w:pPr>
                </w:p>
              </w:tc>
              <w:tc>
                <w:tcPr>
                  <w:tcW w:w="511" w:type="pct"/>
                  <w:vMerge w:val="continue"/>
                  <w:vAlign w:val="center"/>
                </w:tcPr>
                <w:p w14:paraId="30163622">
                  <w:pPr>
                    <w:spacing w:line="240" w:lineRule="auto"/>
                    <w:ind w:firstLine="0" w:firstLineChars="0"/>
                    <w:jc w:val="center"/>
                    <w:rPr>
                      <w:kern w:val="0"/>
                      <w:sz w:val="21"/>
                      <w:szCs w:val="20"/>
                    </w:rPr>
                  </w:pPr>
                </w:p>
              </w:tc>
              <w:tc>
                <w:tcPr>
                  <w:tcW w:w="337" w:type="pct"/>
                  <w:vMerge w:val="continue"/>
                  <w:vAlign w:val="center"/>
                </w:tcPr>
                <w:p w14:paraId="15191CFB">
                  <w:pPr>
                    <w:spacing w:line="240" w:lineRule="auto"/>
                    <w:ind w:firstLine="0" w:firstLineChars="0"/>
                    <w:jc w:val="center"/>
                    <w:rPr>
                      <w:kern w:val="0"/>
                      <w:sz w:val="21"/>
                      <w:szCs w:val="20"/>
                    </w:rPr>
                  </w:pPr>
                </w:p>
              </w:tc>
              <w:tc>
                <w:tcPr>
                  <w:tcW w:w="556" w:type="pct"/>
                  <w:vAlign w:val="center"/>
                </w:tcPr>
                <w:p w14:paraId="379E4314">
                  <w:pPr>
                    <w:spacing w:line="240" w:lineRule="auto"/>
                    <w:ind w:firstLine="0" w:firstLineChars="0"/>
                    <w:jc w:val="center"/>
                    <w:rPr>
                      <w:kern w:val="0"/>
                      <w:sz w:val="21"/>
                      <w:szCs w:val="20"/>
                    </w:rPr>
                  </w:pPr>
                  <w:r>
                    <w:rPr>
                      <w:rFonts w:hint="eastAsia"/>
                      <w:kern w:val="0"/>
                      <w:sz w:val="21"/>
                      <w:szCs w:val="20"/>
                    </w:rPr>
                    <w:t>51</w:t>
                  </w:r>
                </w:p>
              </w:tc>
              <w:tc>
                <w:tcPr>
                  <w:tcW w:w="346" w:type="pct"/>
                  <w:vMerge w:val="continue"/>
                  <w:vAlign w:val="center"/>
                </w:tcPr>
                <w:p w14:paraId="410330EB">
                  <w:pPr>
                    <w:spacing w:line="240" w:lineRule="auto"/>
                    <w:ind w:firstLine="0" w:firstLineChars="0"/>
                    <w:jc w:val="center"/>
                    <w:rPr>
                      <w:kern w:val="0"/>
                      <w:sz w:val="21"/>
                      <w:szCs w:val="20"/>
                    </w:rPr>
                  </w:pPr>
                </w:p>
              </w:tc>
            </w:tr>
            <w:tr w14:paraId="772EA3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48" w:type="pct"/>
                  <w:shd w:val="clear" w:color="auto" w:fill="auto"/>
                  <w:vAlign w:val="center"/>
                </w:tcPr>
                <w:p w14:paraId="04A994F2">
                  <w:pPr>
                    <w:spacing w:line="240" w:lineRule="auto"/>
                    <w:ind w:firstLine="0" w:firstLineChars="0"/>
                    <w:jc w:val="center"/>
                    <w:rPr>
                      <w:sz w:val="21"/>
                      <w:szCs w:val="21"/>
                      <w:lang w:eastAsia="en-US"/>
                    </w:rPr>
                  </w:pPr>
                  <w:r>
                    <w:rPr>
                      <w:rFonts w:hint="eastAsia"/>
                      <w:sz w:val="21"/>
                      <w:szCs w:val="21"/>
                    </w:rPr>
                    <w:t>破碎机</w:t>
                  </w:r>
                </w:p>
              </w:tc>
              <w:tc>
                <w:tcPr>
                  <w:tcW w:w="286" w:type="pct"/>
                  <w:vMerge w:val="continue"/>
                  <w:vAlign w:val="center"/>
                </w:tcPr>
                <w:p w14:paraId="77070477">
                  <w:pPr>
                    <w:spacing w:line="240" w:lineRule="auto"/>
                    <w:ind w:firstLine="420"/>
                    <w:jc w:val="center"/>
                    <w:rPr>
                      <w:sz w:val="21"/>
                      <w:szCs w:val="21"/>
                    </w:rPr>
                  </w:pPr>
                </w:p>
              </w:tc>
              <w:tc>
                <w:tcPr>
                  <w:tcW w:w="339" w:type="pct"/>
                  <w:vMerge w:val="continue"/>
                  <w:vAlign w:val="center"/>
                </w:tcPr>
                <w:p w14:paraId="0A9BED4F">
                  <w:pPr>
                    <w:spacing w:line="240" w:lineRule="auto"/>
                    <w:ind w:firstLine="0" w:firstLineChars="0"/>
                    <w:jc w:val="center"/>
                    <w:rPr>
                      <w:kern w:val="0"/>
                      <w:sz w:val="21"/>
                      <w:szCs w:val="20"/>
                    </w:rPr>
                  </w:pPr>
                </w:p>
              </w:tc>
              <w:tc>
                <w:tcPr>
                  <w:tcW w:w="396" w:type="pct"/>
                  <w:shd w:val="clear" w:color="auto" w:fill="auto"/>
                  <w:vAlign w:val="center"/>
                </w:tcPr>
                <w:p w14:paraId="16991C33">
                  <w:pPr>
                    <w:pStyle w:val="8"/>
                  </w:pPr>
                  <w:r>
                    <w:rPr>
                      <w:rFonts w:hint="eastAsia"/>
                    </w:rPr>
                    <w:t>2</w:t>
                  </w:r>
                </w:p>
              </w:tc>
              <w:tc>
                <w:tcPr>
                  <w:tcW w:w="564" w:type="pct"/>
                  <w:shd w:val="clear" w:color="auto" w:fill="auto"/>
                  <w:vAlign w:val="center"/>
                </w:tcPr>
                <w:p w14:paraId="7DBA331B">
                  <w:pPr>
                    <w:spacing w:line="240" w:lineRule="auto"/>
                    <w:ind w:firstLine="0" w:firstLineChars="0"/>
                    <w:jc w:val="center"/>
                    <w:rPr>
                      <w:kern w:val="0"/>
                      <w:sz w:val="21"/>
                      <w:szCs w:val="20"/>
                    </w:rPr>
                  </w:pPr>
                  <w:r>
                    <w:rPr>
                      <w:rFonts w:hint="eastAsia"/>
                      <w:kern w:val="0"/>
                      <w:sz w:val="21"/>
                      <w:szCs w:val="20"/>
                    </w:rPr>
                    <w:t>85</w:t>
                  </w:r>
                </w:p>
              </w:tc>
              <w:tc>
                <w:tcPr>
                  <w:tcW w:w="575" w:type="pct"/>
                  <w:vAlign w:val="center"/>
                </w:tcPr>
                <w:p w14:paraId="428389BE">
                  <w:pPr>
                    <w:spacing w:line="240" w:lineRule="auto"/>
                    <w:ind w:firstLine="0" w:firstLineChars="0"/>
                    <w:jc w:val="center"/>
                    <w:rPr>
                      <w:kern w:val="0"/>
                      <w:sz w:val="21"/>
                      <w:szCs w:val="20"/>
                    </w:rPr>
                  </w:pPr>
                  <w:r>
                    <w:rPr>
                      <w:rFonts w:hint="eastAsia"/>
                      <w:kern w:val="0"/>
                      <w:sz w:val="21"/>
                      <w:szCs w:val="20"/>
                    </w:rPr>
                    <w:t>88</w:t>
                  </w:r>
                </w:p>
              </w:tc>
              <w:tc>
                <w:tcPr>
                  <w:tcW w:w="438" w:type="pct"/>
                  <w:vMerge w:val="continue"/>
                  <w:vAlign w:val="center"/>
                </w:tcPr>
                <w:p w14:paraId="07002590">
                  <w:pPr>
                    <w:spacing w:line="240" w:lineRule="auto"/>
                    <w:ind w:firstLine="0" w:firstLineChars="0"/>
                    <w:jc w:val="center"/>
                    <w:rPr>
                      <w:kern w:val="0"/>
                      <w:sz w:val="21"/>
                      <w:szCs w:val="20"/>
                    </w:rPr>
                  </w:pPr>
                </w:p>
              </w:tc>
              <w:tc>
                <w:tcPr>
                  <w:tcW w:w="511" w:type="pct"/>
                  <w:vMerge w:val="continue"/>
                  <w:vAlign w:val="center"/>
                </w:tcPr>
                <w:p w14:paraId="1E89D7BD">
                  <w:pPr>
                    <w:spacing w:line="240" w:lineRule="auto"/>
                    <w:ind w:firstLine="0" w:firstLineChars="0"/>
                    <w:jc w:val="center"/>
                    <w:rPr>
                      <w:kern w:val="0"/>
                      <w:sz w:val="21"/>
                      <w:szCs w:val="20"/>
                    </w:rPr>
                  </w:pPr>
                </w:p>
              </w:tc>
              <w:tc>
                <w:tcPr>
                  <w:tcW w:w="337" w:type="pct"/>
                  <w:vMerge w:val="continue"/>
                  <w:vAlign w:val="center"/>
                </w:tcPr>
                <w:p w14:paraId="2BB3F2D4">
                  <w:pPr>
                    <w:spacing w:line="240" w:lineRule="auto"/>
                    <w:ind w:firstLine="0" w:firstLineChars="0"/>
                    <w:jc w:val="center"/>
                    <w:rPr>
                      <w:kern w:val="0"/>
                      <w:sz w:val="21"/>
                      <w:szCs w:val="20"/>
                    </w:rPr>
                  </w:pPr>
                </w:p>
              </w:tc>
              <w:tc>
                <w:tcPr>
                  <w:tcW w:w="556" w:type="pct"/>
                  <w:vAlign w:val="center"/>
                </w:tcPr>
                <w:p w14:paraId="331778EF">
                  <w:pPr>
                    <w:spacing w:line="240" w:lineRule="auto"/>
                    <w:ind w:firstLine="0" w:firstLineChars="0"/>
                    <w:jc w:val="center"/>
                    <w:rPr>
                      <w:kern w:val="0"/>
                      <w:sz w:val="21"/>
                      <w:szCs w:val="20"/>
                    </w:rPr>
                  </w:pPr>
                  <w:r>
                    <w:rPr>
                      <w:rFonts w:hint="eastAsia"/>
                      <w:kern w:val="0"/>
                      <w:sz w:val="21"/>
                      <w:szCs w:val="20"/>
                    </w:rPr>
                    <w:t>53</w:t>
                  </w:r>
                </w:p>
              </w:tc>
              <w:tc>
                <w:tcPr>
                  <w:tcW w:w="346" w:type="pct"/>
                  <w:vAlign w:val="center"/>
                </w:tcPr>
                <w:p w14:paraId="0E99C1A0">
                  <w:pPr>
                    <w:spacing w:line="240" w:lineRule="auto"/>
                    <w:ind w:firstLine="0" w:firstLineChars="0"/>
                    <w:jc w:val="center"/>
                    <w:rPr>
                      <w:kern w:val="0"/>
                      <w:sz w:val="21"/>
                      <w:szCs w:val="20"/>
                    </w:rPr>
                  </w:pPr>
                  <w:r>
                    <w:rPr>
                      <w:rFonts w:hint="eastAsia"/>
                      <w:kern w:val="0"/>
                      <w:sz w:val="21"/>
                      <w:szCs w:val="20"/>
                    </w:rPr>
                    <w:t>1000</w:t>
                  </w:r>
                </w:p>
              </w:tc>
            </w:tr>
            <w:tr w14:paraId="7F7F7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48" w:type="pct"/>
                  <w:shd w:val="clear" w:color="auto" w:fill="auto"/>
                  <w:vAlign w:val="center"/>
                </w:tcPr>
                <w:p w14:paraId="6671A104">
                  <w:pPr>
                    <w:spacing w:line="240" w:lineRule="auto"/>
                    <w:ind w:firstLine="0" w:firstLineChars="0"/>
                    <w:jc w:val="center"/>
                    <w:rPr>
                      <w:sz w:val="21"/>
                      <w:szCs w:val="21"/>
                    </w:rPr>
                  </w:pPr>
                  <w:r>
                    <w:rPr>
                      <w:rFonts w:hint="eastAsia"/>
                      <w:sz w:val="21"/>
                      <w:szCs w:val="21"/>
                    </w:rPr>
                    <w:t>切粒机</w:t>
                  </w:r>
                </w:p>
              </w:tc>
              <w:tc>
                <w:tcPr>
                  <w:tcW w:w="286" w:type="pct"/>
                  <w:vMerge w:val="continue"/>
                  <w:vAlign w:val="center"/>
                </w:tcPr>
                <w:p w14:paraId="3A5C23B0">
                  <w:pPr>
                    <w:spacing w:line="240" w:lineRule="auto"/>
                    <w:ind w:firstLine="420"/>
                    <w:jc w:val="center"/>
                    <w:rPr>
                      <w:sz w:val="21"/>
                      <w:szCs w:val="21"/>
                    </w:rPr>
                  </w:pPr>
                </w:p>
              </w:tc>
              <w:tc>
                <w:tcPr>
                  <w:tcW w:w="339" w:type="pct"/>
                  <w:vMerge w:val="continue"/>
                  <w:vAlign w:val="center"/>
                </w:tcPr>
                <w:p w14:paraId="3B67B531">
                  <w:pPr>
                    <w:spacing w:line="240" w:lineRule="auto"/>
                    <w:ind w:firstLine="0" w:firstLineChars="0"/>
                    <w:jc w:val="center"/>
                    <w:rPr>
                      <w:kern w:val="0"/>
                      <w:sz w:val="21"/>
                      <w:szCs w:val="20"/>
                    </w:rPr>
                  </w:pPr>
                </w:p>
              </w:tc>
              <w:tc>
                <w:tcPr>
                  <w:tcW w:w="396" w:type="pct"/>
                  <w:shd w:val="clear" w:color="auto" w:fill="auto"/>
                  <w:vAlign w:val="center"/>
                </w:tcPr>
                <w:p w14:paraId="32A375D5">
                  <w:pPr>
                    <w:pStyle w:val="8"/>
                  </w:pPr>
                  <w:r>
                    <w:rPr>
                      <w:rFonts w:hint="eastAsia"/>
                    </w:rPr>
                    <w:t>3</w:t>
                  </w:r>
                </w:p>
              </w:tc>
              <w:tc>
                <w:tcPr>
                  <w:tcW w:w="564" w:type="pct"/>
                  <w:shd w:val="clear" w:color="auto" w:fill="auto"/>
                  <w:vAlign w:val="center"/>
                </w:tcPr>
                <w:p w14:paraId="2D1AE8C4">
                  <w:pPr>
                    <w:spacing w:line="240" w:lineRule="auto"/>
                    <w:ind w:firstLine="0" w:firstLineChars="0"/>
                    <w:jc w:val="center"/>
                    <w:rPr>
                      <w:kern w:val="0"/>
                      <w:sz w:val="21"/>
                      <w:szCs w:val="20"/>
                    </w:rPr>
                  </w:pPr>
                  <w:r>
                    <w:rPr>
                      <w:rFonts w:hint="eastAsia"/>
                      <w:kern w:val="0"/>
                      <w:sz w:val="21"/>
                      <w:szCs w:val="20"/>
                    </w:rPr>
                    <w:t>80</w:t>
                  </w:r>
                </w:p>
              </w:tc>
              <w:tc>
                <w:tcPr>
                  <w:tcW w:w="575" w:type="pct"/>
                  <w:vAlign w:val="center"/>
                </w:tcPr>
                <w:p w14:paraId="67795E86">
                  <w:pPr>
                    <w:spacing w:line="240" w:lineRule="auto"/>
                    <w:ind w:firstLine="0" w:firstLineChars="0"/>
                    <w:jc w:val="center"/>
                    <w:rPr>
                      <w:kern w:val="0"/>
                      <w:sz w:val="21"/>
                      <w:szCs w:val="20"/>
                    </w:rPr>
                  </w:pPr>
                  <w:r>
                    <w:rPr>
                      <w:rFonts w:hint="eastAsia"/>
                      <w:kern w:val="0"/>
                      <w:sz w:val="21"/>
                      <w:szCs w:val="20"/>
                    </w:rPr>
                    <w:t>84.8</w:t>
                  </w:r>
                </w:p>
              </w:tc>
              <w:tc>
                <w:tcPr>
                  <w:tcW w:w="438" w:type="pct"/>
                  <w:vMerge w:val="continue"/>
                  <w:vAlign w:val="center"/>
                </w:tcPr>
                <w:p w14:paraId="79AB8226">
                  <w:pPr>
                    <w:spacing w:line="240" w:lineRule="auto"/>
                    <w:ind w:firstLine="0" w:firstLineChars="0"/>
                    <w:jc w:val="center"/>
                    <w:rPr>
                      <w:kern w:val="0"/>
                      <w:sz w:val="21"/>
                      <w:szCs w:val="20"/>
                    </w:rPr>
                  </w:pPr>
                </w:p>
              </w:tc>
              <w:tc>
                <w:tcPr>
                  <w:tcW w:w="511" w:type="pct"/>
                  <w:vMerge w:val="continue"/>
                  <w:vAlign w:val="center"/>
                </w:tcPr>
                <w:p w14:paraId="6C6BEEE8">
                  <w:pPr>
                    <w:spacing w:line="240" w:lineRule="auto"/>
                    <w:ind w:firstLine="0" w:firstLineChars="0"/>
                    <w:jc w:val="center"/>
                    <w:rPr>
                      <w:kern w:val="0"/>
                      <w:sz w:val="21"/>
                      <w:szCs w:val="20"/>
                    </w:rPr>
                  </w:pPr>
                </w:p>
              </w:tc>
              <w:tc>
                <w:tcPr>
                  <w:tcW w:w="337" w:type="pct"/>
                  <w:vMerge w:val="continue"/>
                  <w:vAlign w:val="center"/>
                </w:tcPr>
                <w:p w14:paraId="79942F79">
                  <w:pPr>
                    <w:spacing w:line="240" w:lineRule="auto"/>
                    <w:ind w:firstLine="0" w:firstLineChars="0"/>
                    <w:jc w:val="center"/>
                    <w:rPr>
                      <w:kern w:val="0"/>
                      <w:sz w:val="21"/>
                      <w:szCs w:val="20"/>
                    </w:rPr>
                  </w:pPr>
                </w:p>
              </w:tc>
              <w:tc>
                <w:tcPr>
                  <w:tcW w:w="556" w:type="pct"/>
                  <w:vAlign w:val="center"/>
                </w:tcPr>
                <w:p w14:paraId="1DA1C61B">
                  <w:pPr>
                    <w:spacing w:line="240" w:lineRule="auto"/>
                    <w:ind w:firstLine="0" w:firstLineChars="0"/>
                    <w:jc w:val="center"/>
                    <w:rPr>
                      <w:kern w:val="0"/>
                      <w:sz w:val="21"/>
                      <w:szCs w:val="20"/>
                    </w:rPr>
                  </w:pPr>
                  <w:r>
                    <w:rPr>
                      <w:rFonts w:hint="eastAsia"/>
                      <w:kern w:val="0"/>
                      <w:sz w:val="21"/>
                      <w:szCs w:val="20"/>
                    </w:rPr>
                    <w:t>49.8</w:t>
                  </w:r>
                </w:p>
              </w:tc>
              <w:tc>
                <w:tcPr>
                  <w:tcW w:w="346" w:type="pct"/>
                  <w:vMerge w:val="restart"/>
                  <w:vAlign w:val="center"/>
                </w:tcPr>
                <w:p w14:paraId="660EB754">
                  <w:pPr>
                    <w:spacing w:line="240" w:lineRule="auto"/>
                    <w:ind w:firstLine="0" w:firstLineChars="0"/>
                    <w:jc w:val="center"/>
                    <w:rPr>
                      <w:kern w:val="0"/>
                      <w:sz w:val="21"/>
                      <w:szCs w:val="20"/>
                    </w:rPr>
                  </w:pPr>
                  <w:r>
                    <w:rPr>
                      <w:rFonts w:hint="eastAsia"/>
                      <w:kern w:val="0"/>
                      <w:sz w:val="21"/>
                      <w:szCs w:val="20"/>
                    </w:rPr>
                    <w:t>2000</w:t>
                  </w:r>
                </w:p>
              </w:tc>
            </w:tr>
            <w:tr w14:paraId="26569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48" w:type="pct"/>
                  <w:shd w:val="clear" w:color="auto" w:fill="auto"/>
                  <w:vAlign w:val="center"/>
                </w:tcPr>
                <w:p w14:paraId="606A69DE">
                  <w:pPr>
                    <w:spacing w:line="240" w:lineRule="auto"/>
                    <w:ind w:firstLine="0" w:firstLineChars="0"/>
                    <w:jc w:val="center"/>
                    <w:rPr>
                      <w:sz w:val="21"/>
                      <w:szCs w:val="21"/>
                    </w:rPr>
                  </w:pPr>
                  <w:r>
                    <w:rPr>
                      <w:rFonts w:hint="eastAsia"/>
                      <w:sz w:val="21"/>
                      <w:szCs w:val="21"/>
                    </w:rPr>
                    <w:t>脱水机</w:t>
                  </w:r>
                </w:p>
              </w:tc>
              <w:tc>
                <w:tcPr>
                  <w:tcW w:w="286" w:type="pct"/>
                  <w:vMerge w:val="continue"/>
                  <w:vAlign w:val="center"/>
                </w:tcPr>
                <w:p w14:paraId="5B23C4C2">
                  <w:pPr>
                    <w:spacing w:line="240" w:lineRule="auto"/>
                    <w:ind w:firstLine="420"/>
                    <w:jc w:val="center"/>
                    <w:rPr>
                      <w:sz w:val="21"/>
                      <w:szCs w:val="21"/>
                    </w:rPr>
                  </w:pPr>
                </w:p>
              </w:tc>
              <w:tc>
                <w:tcPr>
                  <w:tcW w:w="339" w:type="pct"/>
                  <w:vMerge w:val="continue"/>
                  <w:vAlign w:val="center"/>
                </w:tcPr>
                <w:p w14:paraId="21548C9C">
                  <w:pPr>
                    <w:spacing w:line="240" w:lineRule="auto"/>
                    <w:ind w:firstLine="0" w:firstLineChars="0"/>
                    <w:jc w:val="center"/>
                    <w:rPr>
                      <w:kern w:val="0"/>
                      <w:sz w:val="21"/>
                      <w:szCs w:val="20"/>
                    </w:rPr>
                  </w:pPr>
                </w:p>
              </w:tc>
              <w:tc>
                <w:tcPr>
                  <w:tcW w:w="396" w:type="pct"/>
                  <w:shd w:val="clear" w:color="auto" w:fill="auto"/>
                  <w:vAlign w:val="center"/>
                </w:tcPr>
                <w:p w14:paraId="649EA010">
                  <w:pPr>
                    <w:spacing w:line="240" w:lineRule="auto"/>
                    <w:ind w:firstLine="0" w:firstLineChars="0"/>
                    <w:jc w:val="center"/>
                    <w:rPr>
                      <w:sz w:val="21"/>
                      <w:szCs w:val="21"/>
                    </w:rPr>
                  </w:pPr>
                  <w:r>
                    <w:rPr>
                      <w:rFonts w:hint="eastAsia"/>
                      <w:sz w:val="21"/>
                      <w:szCs w:val="21"/>
                    </w:rPr>
                    <w:t>1</w:t>
                  </w:r>
                </w:p>
              </w:tc>
              <w:tc>
                <w:tcPr>
                  <w:tcW w:w="564" w:type="pct"/>
                  <w:shd w:val="clear" w:color="auto" w:fill="auto"/>
                  <w:vAlign w:val="center"/>
                </w:tcPr>
                <w:p w14:paraId="43BE3771">
                  <w:pPr>
                    <w:spacing w:line="240" w:lineRule="auto"/>
                    <w:ind w:firstLine="0" w:firstLineChars="0"/>
                    <w:jc w:val="center"/>
                    <w:rPr>
                      <w:kern w:val="0"/>
                      <w:sz w:val="21"/>
                      <w:szCs w:val="20"/>
                    </w:rPr>
                  </w:pPr>
                  <w:r>
                    <w:rPr>
                      <w:rFonts w:hint="eastAsia"/>
                      <w:kern w:val="0"/>
                      <w:sz w:val="21"/>
                      <w:szCs w:val="20"/>
                    </w:rPr>
                    <w:t>80</w:t>
                  </w:r>
                </w:p>
              </w:tc>
              <w:tc>
                <w:tcPr>
                  <w:tcW w:w="575" w:type="pct"/>
                  <w:vAlign w:val="center"/>
                </w:tcPr>
                <w:p w14:paraId="3827BB7A">
                  <w:pPr>
                    <w:spacing w:line="240" w:lineRule="auto"/>
                    <w:ind w:firstLine="0" w:firstLineChars="0"/>
                    <w:jc w:val="center"/>
                    <w:rPr>
                      <w:kern w:val="0"/>
                      <w:sz w:val="21"/>
                      <w:szCs w:val="20"/>
                    </w:rPr>
                  </w:pPr>
                  <w:r>
                    <w:rPr>
                      <w:rFonts w:hint="eastAsia"/>
                      <w:kern w:val="0"/>
                      <w:sz w:val="21"/>
                      <w:szCs w:val="20"/>
                    </w:rPr>
                    <w:t>80</w:t>
                  </w:r>
                </w:p>
              </w:tc>
              <w:tc>
                <w:tcPr>
                  <w:tcW w:w="438" w:type="pct"/>
                  <w:vMerge w:val="continue"/>
                  <w:vAlign w:val="center"/>
                </w:tcPr>
                <w:p w14:paraId="42FAC878">
                  <w:pPr>
                    <w:spacing w:line="240" w:lineRule="auto"/>
                    <w:ind w:firstLine="0" w:firstLineChars="0"/>
                    <w:jc w:val="center"/>
                    <w:rPr>
                      <w:kern w:val="0"/>
                      <w:sz w:val="21"/>
                      <w:szCs w:val="20"/>
                    </w:rPr>
                  </w:pPr>
                </w:p>
              </w:tc>
              <w:tc>
                <w:tcPr>
                  <w:tcW w:w="511" w:type="pct"/>
                  <w:vMerge w:val="continue"/>
                  <w:vAlign w:val="center"/>
                </w:tcPr>
                <w:p w14:paraId="5C55D974">
                  <w:pPr>
                    <w:spacing w:line="240" w:lineRule="auto"/>
                    <w:ind w:firstLine="0" w:firstLineChars="0"/>
                    <w:jc w:val="center"/>
                    <w:rPr>
                      <w:kern w:val="0"/>
                      <w:sz w:val="21"/>
                      <w:szCs w:val="20"/>
                    </w:rPr>
                  </w:pPr>
                </w:p>
              </w:tc>
              <w:tc>
                <w:tcPr>
                  <w:tcW w:w="337" w:type="pct"/>
                  <w:vMerge w:val="continue"/>
                  <w:vAlign w:val="center"/>
                </w:tcPr>
                <w:p w14:paraId="4C3E80C4">
                  <w:pPr>
                    <w:spacing w:line="240" w:lineRule="auto"/>
                    <w:ind w:firstLine="0" w:firstLineChars="0"/>
                    <w:jc w:val="center"/>
                    <w:rPr>
                      <w:kern w:val="0"/>
                      <w:sz w:val="21"/>
                      <w:szCs w:val="20"/>
                    </w:rPr>
                  </w:pPr>
                </w:p>
              </w:tc>
              <w:tc>
                <w:tcPr>
                  <w:tcW w:w="556" w:type="pct"/>
                  <w:vAlign w:val="center"/>
                </w:tcPr>
                <w:p w14:paraId="38860C39">
                  <w:pPr>
                    <w:spacing w:line="240" w:lineRule="auto"/>
                    <w:ind w:firstLine="0" w:firstLineChars="0"/>
                    <w:jc w:val="center"/>
                    <w:rPr>
                      <w:kern w:val="0"/>
                      <w:sz w:val="21"/>
                      <w:szCs w:val="20"/>
                    </w:rPr>
                  </w:pPr>
                  <w:r>
                    <w:rPr>
                      <w:rFonts w:hint="eastAsia"/>
                      <w:kern w:val="0"/>
                      <w:sz w:val="21"/>
                      <w:szCs w:val="20"/>
                    </w:rPr>
                    <w:t>45</w:t>
                  </w:r>
                </w:p>
              </w:tc>
              <w:tc>
                <w:tcPr>
                  <w:tcW w:w="346" w:type="pct"/>
                  <w:vMerge w:val="continue"/>
                  <w:vAlign w:val="center"/>
                </w:tcPr>
                <w:p w14:paraId="1ABC1729">
                  <w:pPr>
                    <w:spacing w:line="240" w:lineRule="auto"/>
                    <w:ind w:firstLine="0" w:firstLineChars="0"/>
                    <w:jc w:val="center"/>
                    <w:rPr>
                      <w:kern w:val="0"/>
                      <w:sz w:val="21"/>
                      <w:szCs w:val="20"/>
                    </w:rPr>
                  </w:pPr>
                </w:p>
              </w:tc>
            </w:tr>
            <w:tr w14:paraId="52446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48" w:type="pct"/>
                  <w:shd w:val="clear" w:color="auto" w:fill="auto"/>
                  <w:vAlign w:val="center"/>
                </w:tcPr>
                <w:p w14:paraId="30701EB6">
                  <w:pPr>
                    <w:spacing w:line="240" w:lineRule="auto"/>
                    <w:ind w:firstLine="0" w:firstLineChars="0"/>
                    <w:jc w:val="center"/>
                    <w:rPr>
                      <w:sz w:val="21"/>
                      <w:szCs w:val="21"/>
                    </w:rPr>
                  </w:pPr>
                  <w:r>
                    <w:rPr>
                      <w:rFonts w:hint="eastAsia"/>
                      <w:sz w:val="21"/>
                      <w:szCs w:val="21"/>
                    </w:rPr>
                    <w:t>风冷储料桶</w:t>
                  </w:r>
                </w:p>
              </w:tc>
              <w:tc>
                <w:tcPr>
                  <w:tcW w:w="286" w:type="pct"/>
                  <w:vMerge w:val="continue"/>
                  <w:vAlign w:val="center"/>
                </w:tcPr>
                <w:p w14:paraId="6BDDD4C9">
                  <w:pPr>
                    <w:spacing w:line="240" w:lineRule="auto"/>
                    <w:ind w:firstLine="420"/>
                    <w:jc w:val="center"/>
                    <w:rPr>
                      <w:sz w:val="21"/>
                      <w:szCs w:val="21"/>
                    </w:rPr>
                  </w:pPr>
                </w:p>
              </w:tc>
              <w:tc>
                <w:tcPr>
                  <w:tcW w:w="339" w:type="pct"/>
                  <w:vMerge w:val="continue"/>
                  <w:vAlign w:val="center"/>
                </w:tcPr>
                <w:p w14:paraId="01CB78EF">
                  <w:pPr>
                    <w:spacing w:line="240" w:lineRule="auto"/>
                    <w:ind w:firstLine="0" w:firstLineChars="0"/>
                    <w:jc w:val="center"/>
                    <w:rPr>
                      <w:kern w:val="0"/>
                      <w:sz w:val="21"/>
                      <w:szCs w:val="20"/>
                    </w:rPr>
                  </w:pPr>
                </w:p>
              </w:tc>
              <w:tc>
                <w:tcPr>
                  <w:tcW w:w="396" w:type="pct"/>
                  <w:shd w:val="clear" w:color="auto" w:fill="auto"/>
                  <w:vAlign w:val="center"/>
                </w:tcPr>
                <w:p w14:paraId="667E942B">
                  <w:pPr>
                    <w:spacing w:line="240" w:lineRule="auto"/>
                    <w:ind w:firstLine="0" w:firstLineChars="0"/>
                    <w:jc w:val="center"/>
                    <w:rPr>
                      <w:sz w:val="21"/>
                      <w:szCs w:val="21"/>
                    </w:rPr>
                  </w:pPr>
                  <w:r>
                    <w:rPr>
                      <w:rFonts w:hint="eastAsia"/>
                      <w:sz w:val="21"/>
                      <w:szCs w:val="21"/>
                    </w:rPr>
                    <w:t>3</w:t>
                  </w:r>
                </w:p>
              </w:tc>
              <w:tc>
                <w:tcPr>
                  <w:tcW w:w="564" w:type="pct"/>
                  <w:shd w:val="clear" w:color="auto" w:fill="auto"/>
                  <w:vAlign w:val="center"/>
                </w:tcPr>
                <w:p w14:paraId="71B2A91D">
                  <w:pPr>
                    <w:spacing w:line="240" w:lineRule="auto"/>
                    <w:ind w:firstLine="0" w:firstLineChars="0"/>
                    <w:jc w:val="center"/>
                    <w:rPr>
                      <w:kern w:val="0"/>
                      <w:sz w:val="21"/>
                      <w:szCs w:val="20"/>
                    </w:rPr>
                  </w:pPr>
                  <w:r>
                    <w:rPr>
                      <w:rFonts w:hint="eastAsia"/>
                      <w:kern w:val="0"/>
                      <w:sz w:val="21"/>
                      <w:szCs w:val="20"/>
                    </w:rPr>
                    <w:t>80</w:t>
                  </w:r>
                </w:p>
              </w:tc>
              <w:tc>
                <w:tcPr>
                  <w:tcW w:w="575" w:type="pct"/>
                  <w:vAlign w:val="center"/>
                </w:tcPr>
                <w:p w14:paraId="44CAC480">
                  <w:pPr>
                    <w:spacing w:line="240" w:lineRule="auto"/>
                    <w:ind w:firstLine="0" w:firstLineChars="0"/>
                    <w:jc w:val="center"/>
                    <w:rPr>
                      <w:kern w:val="0"/>
                      <w:sz w:val="21"/>
                      <w:szCs w:val="20"/>
                    </w:rPr>
                  </w:pPr>
                  <w:r>
                    <w:rPr>
                      <w:rFonts w:hint="eastAsia"/>
                      <w:kern w:val="0"/>
                      <w:sz w:val="21"/>
                      <w:szCs w:val="20"/>
                    </w:rPr>
                    <w:t>84.8</w:t>
                  </w:r>
                </w:p>
              </w:tc>
              <w:tc>
                <w:tcPr>
                  <w:tcW w:w="438" w:type="pct"/>
                  <w:vMerge w:val="continue"/>
                  <w:vAlign w:val="center"/>
                </w:tcPr>
                <w:p w14:paraId="2153EDC3">
                  <w:pPr>
                    <w:spacing w:line="240" w:lineRule="auto"/>
                    <w:ind w:firstLine="0" w:firstLineChars="0"/>
                    <w:jc w:val="center"/>
                    <w:rPr>
                      <w:kern w:val="0"/>
                      <w:sz w:val="21"/>
                      <w:szCs w:val="20"/>
                    </w:rPr>
                  </w:pPr>
                </w:p>
              </w:tc>
              <w:tc>
                <w:tcPr>
                  <w:tcW w:w="511" w:type="pct"/>
                  <w:vMerge w:val="continue"/>
                  <w:vAlign w:val="center"/>
                </w:tcPr>
                <w:p w14:paraId="2CCAEB11">
                  <w:pPr>
                    <w:spacing w:line="240" w:lineRule="auto"/>
                    <w:ind w:firstLine="0" w:firstLineChars="0"/>
                    <w:jc w:val="center"/>
                    <w:rPr>
                      <w:kern w:val="0"/>
                      <w:sz w:val="21"/>
                      <w:szCs w:val="20"/>
                    </w:rPr>
                  </w:pPr>
                </w:p>
              </w:tc>
              <w:tc>
                <w:tcPr>
                  <w:tcW w:w="337" w:type="pct"/>
                  <w:vMerge w:val="continue"/>
                  <w:vAlign w:val="center"/>
                </w:tcPr>
                <w:p w14:paraId="1EAF2F97">
                  <w:pPr>
                    <w:spacing w:line="240" w:lineRule="auto"/>
                    <w:ind w:firstLine="0" w:firstLineChars="0"/>
                    <w:jc w:val="center"/>
                    <w:rPr>
                      <w:kern w:val="0"/>
                      <w:sz w:val="21"/>
                      <w:szCs w:val="20"/>
                    </w:rPr>
                  </w:pPr>
                </w:p>
              </w:tc>
              <w:tc>
                <w:tcPr>
                  <w:tcW w:w="556" w:type="pct"/>
                  <w:vAlign w:val="center"/>
                </w:tcPr>
                <w:p w14:paraId="7EE2898B">
                  <w:pPr>
                    <w:spacing w:line="240" w:lineRule="auto"/>
                    <w:ind w:firstLine="0" w:firstLineChars="0"/>
                    <w:jc w:val="center"/>
                    <w:rPr>
                      <w:kern w:val="0"/>
                      <w:sz w:val="21"/>
                      <w:szCs w:val="20"/>
                    </w:rPr>
                  </w:pPr>
                  <w:r>
                    <w:rPr>
                      <w:rFonts w:hint="eastAsia"/>
                      <w:kern w:val="0"/>
                      <w:sz w:val="21"/>
                      <w:szCs w:val="20"/>
                    </w:rPr>
                    <w:t>49.8</w:t>
                  </w:r>
                </w:p>
              </w:tc>
              <w:tc>
                <w:tcPr>
                  <w:tcW w:w="346" w:type="pct"/>
                  <w:vMerge w:val="continue"/>
                  <w:vAlign w:val="center"/>
                </w:tcPr>
                <w:p w14:paraId="620CDE80">
                  <w:pPr>
                    <w:spacing w:line="240" w:lineRule="auto"/>
                    <w:ind w:firstLine="0" w:firstLineChars="0"/>
                    <w:jc w:val="center"/>
                    <w:rPr>
                      <w:kern w:val="0"/>
                      <w:sz w:val="21"/>
                      <w:szCs w:val="20"/>
                    </w:rPr>
                  </w:pPr>
                </w:p>
              </w:tc>
            </w:tr>
            <w:tr w14:paraId="35EFB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48" w:type="pct"/>
                  <w:shd w:val="clear" w:color="auto" w:fill="auto"/>
                  <w:vAlign w:val="center"/>
                </w:tcPr>
                <w:p w14:paraId="78ABD7D5">
                  <w:pPr>
                    <w:spacing w:line="240" w:lineRule="auto"/>
                    <w:ind w:firstLine="0" w:firstLineChars="0"/>
                    <w:jc w:val="center"/>
                    <w:rPr>
                      <w:sz w:val="21"/>
                      <w:szCs w:val="21"/>
                    </w:rPr>
                  </w:pPr>
                  <w:r>
                    <w:rPr>
                      <w:rFonts w:hint="eastAsia"/>
                      <w:sz w:val="21"/>
                      <w:szCs w:val="21"/>
                    </w:rPr>
                    <w:t>冷却塔</w:t>
                  </w:r>
                </w:p>
              </w:tc>
              <w:tc>
                <w:tcPr>
                  <w:tcW w:w="286" w:type="pct"/>
                  <w:vMerge w:val="continue"/>
                  <w:vAlign w:val="center"/>
                </w:tcPr>
                <w:p w14:paraId="2E28F753">
                  <w:pPr>
                    <w:spacing w:line="240" w:lineRule="auto"/>
                    <w:ind w:firstLine="420"/>
                    <w:jc w:val="center"/>
                    <w:rPr>
                      <w:sz w:val="21"/>
                      <w:szCs w:val="21"/>
                    </w:rPr>
                  </w:pPr>
                </w:p>
              </w:tc>
              <w:tc>
                <w:tcPr>
                  <w:tcW w:w="339" w:type="pct"/>
                  <w:vMerge w:val="continue"/>
                  <w:vAlign w:val="center"/>
                </w:tcPr>
                <w:p w14:paraId="428E30F6">
                  <w:pPr>
                    <w:spacing w:line="240" w:lineRule="auto"/>
                    <w:ind w:firstLine="0" w:firstLineChars="0"/>
                    <w:jc w:val="center"/>
                    <w:rPr>
                      <w:kern w:val="0"/>
                      <w:sz w:val="21"/>
                      <w:szCs w:val="20"/>
                    </w:rPr>
                  </w:pPr>
                </w:p>
              </w:tc>
              <w:tc>
                <w:tcPr>
                  <w:tcW w:w="396" w:type="pct"/>
                  <w:shd w:val="clear" w:color="auto" w:fill="auto"/>
                  <w:vAlign w:val="center"/>
                </w:tcPr>
                <w:p w14:paraId="22FE14D2">
                  <w:pPr>
                    <w:spacing w:line="240" w:lineRule="auto"/>
                    <w:ind w:firstLine="0" w:firstLineChars="0"/>
                    <w:jc w:val="center"/>
                    <w:rPr>
                      <w:sz w:val="21"/>
                      <w:szCs w:val="21"/>
                    </w:rPr>
                  </w:pPr>
                  <w:r>
                    <w:rPr>
                      <w:rFonts w:hint="eastAsia"/>
                      <w:sz w:val="21"/>
                      <w:szCs w:val="21"/>
                    </w:rPr>
                    <w:t>1</w:t>
                  </w:r>
                </w:p>
              </w:tc>
              <w:tc>
                <w:tcPr>
                  <w:tcW w:w="564" w:type="pct"/>
                  <w:shd w:val="clear" w:color="auto" w:fill="auto"/>
                  <w:vAlign w:val="center"/>
                </w:tcPr>
                <w:p w14:paraId="78CA4F9A">
                  <w:pPr>
                    <w:spacing w:line="240" w:lineRule="auto"/>
                    <w:ind w:firstLine="0" w:firstLineChars="0"/>
                    <w:jc w:val="center"/>
                    <w:rPr>
                      <w:kern w:val="0"/>
                      <w:sz w:val="21"/>
                      <w:szCs w:val="20"/>
                    </w:rPr>
                  </w:pPr>
                  <w:r>
                    <w:rPr>
                      <w:rFonts w:hint="eastAsia"/>
                      <w:kern w:val="0"/>
                      <w:sz w:val="21"/>
                      <w:szCs w:val="20"/>
                    </w:rPr>
                    <w:t>75</w:t>
                  </w:r>
                </w:p>
              </w:tc>
              <w:tc>
                <w:tcPr>
                  <w:tcW w:w="575" w:type="pct"/>
                  <w:shd w:val="clear" w:color="auto" w:fill="auto"/>
                  <w:vAlign w:val="center"/>
                </w:tcPr>
                <w:p w14:paraId="606AABB2">
                  <w:pPr>
                    <w:spacing w:line="240" w:lineRule="auto"/>
                    <w:ind w:firstLine="0" w:firstLineChars="0"/>
                    <w:jc w:val="center"/>
                    <w:rPr>
                      <w:kern w:val="0"/>
                      <w:sz w:val="21"/>
                      <w:szCs w:val="20"/>
                    </w:rPr>
                  </w:pPr>
                  <w:r>
                    <w:rPr>
                      <w:rFonts w:hint="eastAsia"/>
                      <w:kern w:val="0"/>
                      <w:sz w:val="21"/>
                      <w:szCs w:val="20"/>
                    </w:rPr>
                    <w:t>75</w:t>
                  </w:r>
                </w:p>
              </w:tc>
              <w:tc>
                <w:tcPr>
                  <w:tcW w:w="438" w:type="pct"/>
                  <w:vMerge w:val="continue"/>
                  <w:vAlign w:val="center"/>
                </w:tcPr>
                <w:p w14:paraId="46939150">
                  <w:pPr>
                    <w:spacing w:line="240" w:lineRule="auto"/>
                    <w:ind w:firstLine="0" w:firstLineChars="0"/>
                    <w:jc w:val="center"/>
                    <w:rPr>
                      <w:kern w:val="0"/>
                      <w:sz w:val="21"/>
                      <w:szCs w:val="20"/>
                    </w:rPr>
                  </w:pPr>
                </w:p>
              </w:tc>
              <w:tc>
                <w:tcPr>
                  <w:tcW w:w="511" w:type="pct"/>
                  <w:vMerge w:val="continue"/>
                  <w:vAlign w:val="center"/>
                </w:tcPr>
                <w:p w14:paraId="107697C5">
                  <w:pPr>
                    <w:spacing w:line="240" w:lineRule="auto"/>
                    <w:ind w:firstLine="0" w:firstLineChars="0"/>
                    <w:jc w:val="center"/>
                    <w:rPr>
                      <w:kern w:val="0"/>
                      <w:sz w:val="21"/>
                      <w:szCs w:val="20"/>
                    </w:rPr>
                  </w:pPr>
                </w:p>
              </w:tc>
              <w:tc>
                <w:tcPr>
                  <w:tcW w:w="337" w:type="pct"/>
                  <w:vMerge w:val="continue"/>
                  <w:vAlign w:val="center"/>
                </w:tcPr>
                <w:p w14:paraId="754B452A">
                  <w:pPr>
                    <w:spacing w:line="240" w:lineRule="auto"/>
                    <w:ind w:firstLine="0" w:firstLineChars="0"/>
                    <w:jc w:val="center"/>
                    <w:rPr>
                      <w:kern w:val="0"/>
                      <w:sz w:val="21"/>
                      <w:szCs w:val="20"/>
                    </w:rPr>
                  </w:pPr>
                </w:p>
              </w:tc>
              <w:tc>
                <w:tcPr>
                  <w:tcW w:w="556" w:type="pct"/>
                  <w:vAlign w:val="center"/>
                </w:tcPr>
                <w:p w14:paraId="55C3830F">
                  <w:pPr>
                    <w:spacing w:line="240" w:lineRule="auto"/>
                    <w:ind w:firstLine="0" w:firstLineChars="0"/>
                    <w:jc w:val="center"/>
                    <w:rPr>
                      <w:kern w:val="0"/>
                      <w:sz w:val="21"/>
                      <w:szCs w:val="20"/>
                    </w:rPr>
                  </w:pPr>
                  <w:r>
                    <w:rPr>
                      <w:rFonts w:hint="eastAsia"/>
                      <w:kern w:val="0"/>
                      <w:sz w:val="21"/>
                      <w:szCs w:val="20"/>
                    </w:rPr>
                    <w:t>40</w:t>
                  </w:r>
                </w:p>
              </w:tc>
              <w:tc>
                <w:tcPr>
                  <w:tcW w:w="346" w:type="pct"/>
                  <w:vMerge w:val="continue"/>
                  <w:vAlign w:val="center"/>
                </w:tcPr>
                <w:p w14:paraId="40AD320A">
                  <w:pPr>
                    <w:spacing w:line="240" w:lineRule="auto"/>
                    <w:ind w:firstLine="0" w:firstLineChars="0"/>
                    <w:jc w:val="center"/>
                    <w:rPr>
                      <w:kern w:val="0"/>
                      <w:sz w:val="21"/>
                      <w:szCs w:val="20"/>
                    </w:rPr>
                  </w:pPr>
                </w:p>
              </w:tc>
            </w:tr>
            <w:tr w14:paraId="344AC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48" w:type="pct"/>
                  <w:shd w:val="clear" w:color="auto" w:fill="auto"/>
                  <w:vAlign w:val="center"/>
                </w:tcPr>
                <w:p w14:paraId="2256439A">
                  <w:pPr>
                    <w:spacing w:line="240" w:lineRule="auto"/>
                    <w:ind w:firstLine="0" w:firstLineChars="0"/>
                    <w:jc w:val="center"/>
                    <w:rPr>
                      <w:sz w:val="21"/>
                      <w:szCs w:val="21"/>
                    </w:rPr>
                  </w:pPr>
                  <w:r>
                    <w:rPr>
                      <w:rFonts w:hint="eastAsia"/>
                      <w:sz w:val="21"/>
                      <w:szCs w:val="21"/>
                    </w:rPr>
                    <w:t>硬度计</w:t>
                  </w:r>
                </w:p>
              </w:tc>
              <w:tc>
                <w:tcPr>
                  <w:tcW w:w="286" w:type="pct"/>
                  <w:vMerge w:val="continue"/>
                  <w:vAlign w:val="center"/>
                </w:tcPr>
                <w:p w14:paraId="150279D7">
                  <w:pPr>
                    <w:spacing w:line="240" w:lineRule="auto"/>
                    <w:ind w:firstLine="420"/>
                    <w:jc w:val="center"/>
                    <w:rPr>
                      <w:sz w:val="21"/>
                      <w:szCs w:val="21"/>
                    </w:rPr>
                  </w:pPr>
                </w:p>
              </w:tc>
              <w:tc>
                <w:tcPr>
                  <w:tcW w:w="339" w:type="pct"/>
                  <w:vMerge w:val="continue"/>
                  <w:vAlign w:val="center"/>
                </w:tcPr>
                <w:p w14:paraId="73CEFD50">
                  <w:pPr>
                    <w:spacing w:line="240" w:lineRule="auto"/>
                    <w:ind w:firstLine="0" w:firstLineChars="0"/>
                    <w:jc w:val="center"/>
                    <w:rPr>
                      <w:kern w:val="0"/>
                      <w:sz w:val="21"/>
                      <w:szCs w:val="20"/>
                    </w:rPr>
                  </w:pPr>
                </w:p>
              </w:tc>
              <w:tc>
                <w:tcPr>
                  <w:tcW w:w="396" w:type="pct"/>
                  <w:shd w:val="clear" w:color="auto" w:fill="auto"/>
                  <w:vAlign w:val="center"/>
                </w:tcPr>
                <w:p w14:paraId="6BBA5FE6">
                  <w:pPr>
                    <w:spacing w:line="240" w:lineRule="auto"/>
                    <w:ind w:firstLine="0" w:firstLineChars="0"/>
                    <w:jc w:val="center"/>
                    <w:rPr>
                      <w:sz w:val="21"/>
                      <w:szCs w:val="21"/>
                    </w:rPr>
                  </w:pPr>
                  <w:r>
                    <w:rPr>
                      <w:rFonts w:hint="eastAsia"/>
                      <w:sz w:val="21"/>
                      <w:szCs w:val="21"/>
                    </w:rPr>
                    <w:t>1</w:t>
                  </w:r>
                </w:p>
              </w:tc>
              <w:tc>
                <w:tcPr>
                  <w:tcW w:w="564" w:type="pct"/>
                  <w:shd w:val="clear" w:color="auto" w:fill="auto"/>
                  <w:vAlign w:val="center"/>
                </w:tcPr>
                <w:p w14:paraId="627B8E85">
                  <w:pPr>
                    <w:spacing w:line="240" w:lineRule="auto"/>
                    <w:ind w:firstLine="0" w:firstLineChars="0"/>
                    <w:jc w:val="center"/>
                    <w:rPr>
                      <w:kern w:val="0"/>
                      <w:sz w:val="21"/>
                      <w:szCs w:val="20"/>
                    </w:rPr>
                  </w:pPr>
                  <w:r>
                    <w:rPr>
                      <w:rFonts w:hint="eastAsia"/>
                      <w:kern w:val="0"/>
                      <w:sz w:val="21"/>
                      <w:szCs w:val="20"/>
                    </w:rPr>
                    <w:t>75</w:t>
                  </w:r>
                </w:p>
              </w:tc>
              <w:tc>
                <w:tcPr>
                  <w:tcW w:w="575" w:type="pct"/>
                  <w:shd w:val="clear" w:color="auto" w:fill="auto"/>
                  <w:vAlign w:val="center"/>
                </w:tcPr>
                <w:p w14:paraId="457FAD4B">
                  <w:pPr>
                    <w:spacing w:line="240" w:lineRule="auto"/>
                    <w:ind w:firstLine="0" w:firstLineChars="0"/>
                    <w:jc w:val="center"/>
                    <w:rPr>
                      <w:kern w:val="0"/>
                      <w:sz w:val="21"/>
                      <w:szCs w:val="20"/>
                    </w:rPr>
                  </w:pPr>
                  <w:r>
                    <w:rPr>
                      <w:rFonts w:hint="eastAsia"/>
                      <w:kern w:val="0"/>
                      <w:sz w:val="21"/>
                      <w:szCs w:val="20"/>
                    </w:rPr>
                    <w:t>75</w:t>
                  </w:r>
                </w:p>
              </w:tc>
              <w:tc>
                <w:tcPr>
                  <w:tcW w:w="438" w:type="pct"/>
                  <w:vMerge w:val="continue"/>
                  <w:vAlign w:val="center"/>
                </w:tcPr>
                <w:p w14:paraId="0CC7A64A">
                  <w:pPr>
                    <w:spacing w:line="240" w:lineRule="auto"/>
                    <w:ind w:firstLine="0" w:firstLineChars="0"/>
                    <w:jc w:val="center"/>
                    <w:rPr>
                      <w:kern w:val="0"/>
                      <w:sz w:val="21"/>
                      <w:szCs w:val="20"/>
                    </w:rPr>
                  </w:pPr>
                </w:p>
              </w:tc>
              <w:tc>
                <w:tcPr>
                  <w:tcW w:w="511" w:type="pct"/>
                  <w:vMerge w:val="continue"/>
                  <w:vAlign w:val="center"/>
                </w:tcPr>
                <w:p w14:paraId="6190F629">
                  <w:pPr>
                    <w:spacing w:line="240" w:lineRule="auto"/>
                    <w:ind w:firstLine="0" w:firstLineChars="0"/>
                    <w:jc w:val="center"/>
                    <w:rPr>
                      <w:kern w:val="0"/>
                      <w:sz w:val="21"/>
                      <w:szCs w:val="20"/>
                    </w:rPr>
                  </w:pPr>
                </w:p>
              </w:tc>
              <w:tc>
                <w:tcPr>
                  <w:tcW w:w="337" w:type="pct"/>
                  <w:vMerge w:val="continue"/>
                  <w:vAlign w:val="center"/>
                </w:tcPr>
                <w:p w14:paraId="2DEA0132">
                  <w:pPr>
                    <w:spacing w:line="240" w:lineRule="auto"/>
                    <w:ind w:firstLine="0" w:firstLineChars="0"/>
                    <w:jc w:val="center"/>
                    <w:rPr>
                      <w:kern w:val="0"/>
                      <w:sz w:val="21"/>
                      <w:szCs w:val="20"/>
                    </w:rPr>
                  </w:pPr>
                </w:p>
              </w:tc>
              <w:tc>
                <w:tcPr>
                  <w:tcW w:w="556" w:type="pct"/>
                  <w:vAlign w:val="center"/>
                </w:tcPr>
                <w:p w14:paraId="6E9EEB2A">
                  <w:pPr>
                    <w:spacing w:line="240" w:lineRule="auto"/>
                    <w:ind w:firstLine="0" w:firstLineChars="0"/>
                    <w:jc w:val="center"/>
                    <w:rPr>
                      <w:kern w:val="0"/>
                      <w:sz w:val="21"/>
                      <w:szCs w:val="20"/>
                    </w:rPr>
                  </w:pPr>
                  <w:r>
                    <w:rPr>
                      <w:rFonts w:hint="eastAsia"/>
                      <w:kern w:val="0"/>
                      <w:sz w:val="21"/>
                      <w:szCs w:val="20"/>
                    </w:rPr>
                    <w:t>40</w:t>
                  </w:r>
                </w:p>
              </w:tc>
              <w:tc>
                <w:tcPr>
                  <w:tcW w:w="346" w:type="pct"/>
                  <w:vMerge w:val="continue"/>
                  <w:vAlign w:val="center"/>
                </w:tcPr>
                <w:p w14:paraId="5AF378E6">
                  <w:pPr>
                    <w:spacing w:line="240" w:lineRule="auto"/>
                    <w:ind w:firstLine="0" w:firstLineChars="0"/>
                    <w:jc w:val="center"/>
                    <w:rPr>
                      <w:kern w:val="0"/>
                      <w:sz w:val="21"/>
                      <w:szCs w:val="20"/>
                    </w:rPr>
                  </w:pPr>
                </w:p>
              </w:tc>
            </w:tr>
            <w:tr w14:paraId="5CD20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48" w:type="pct"/>
                  <w:shd w:val="clear" w:color="auto" w:fill="auto"/>
                  <w:vAlign w:val="center"/>
                </w:tcPr>
                <w:p w14:paraId="4196729B">
                  <w:pPr>
                    <w:spacing w:line="240" w:lineRule="auto"/>
                    <w:ind w:firstLine="0" w:firstLineChars="0"/>
                    <w:jc w:val="center"/>
                    <w:rPr>
                      <w:sz w:val="21"/>
                      <w:szCs w:val="21"/>
                    </w:rPr>
                  </w:pPr>
                  <w:r>
                    <w:rPr>
                      <w:rFonts w:hint="eastAsia"/>
                      <w:sz w:val="21"/>
                      <w:szCs w:val="21"/>
                    </w:rPr>
                    <w:t>溶脂仪</w:t>
                  </w:r>
                </w:p>
              </w:tc>
              <w:tc>
                <w:tcPr>
                  <w:tcW w:w="286" w:type="pct"/>
                  <w:vMerge w:val="continue"/>
                  <w:vAlign w:val="center"/>
                </w:tcPr>
                <w:p w14:paraId="37BBB6D9">
                  <w:pPr>
                    <w:spacing w:line="240" w:lineRule="auto"/>
                    <w:ind w:firstLine="420"/>
                    <w:jc w:val="center"/>
                    <w:rPr>
                      <w:sz w:val="21"/>
                      <w:szCs w:val="21"/>
                    </w:rPr>
                  </w:pPr>
                </w:p>
              </w:tc>
              <w:tc>
                <w:tcPr>
                  <w:tcW w:w="339" w:type="pct"/>
                  <w:vMerge w:val="continue"/>
                  <w:vAlign w:val="center"/>
                </w:tcPr>
                <w:p w14:paraId="65D8B933">
                  <w:pPr>
                    <w:spacing w:line="240" w:lineRule="auto"/>
                    <w:ind w:firstLine="0" w:firstLineChars="0"/>
                    <w:jc w:val="center"/>
                    <w:rPr>
                      <w:kern w:val="0"/>
                      <w:sz w:val="21"/>
                      <w:szCs w:val="20"/>
                    </w:rPr>
                  </w:pPr>
                </w:p>
              </w:tc>
              <w:tc>
                <w:tcPr>
                  <w:tcW w:w="396" w:type="pct"/>
                  <w:shd w:val="clear" w:color="auto" w:fill="auto"/>
                  <w:vAlign w:val="center"/>
                </w:tcPr>
                <w:p w14:paraId="244BDDE1">
                  <w:pPr>
                    <w:spacing w:line="240" w:lineRule="auto"/>
                    <w:ind w:firstLine="0" w:firstLineChars="0"/>
                    <w:jc w:val="center"/>
                    <w:rPr>
                      <w:sz w:val="21"/>
                      <w:szCs w:val="21"/>
                    </w:rPr>
                  </w:pPr>
                  <w:r>
                    <w:rPr>
                      <w:rFonts w:hint="eastAsia"/>
                      <w:sz w:val="21"/>
                      <w:szCs w:val="21"/>
                    </w:rPr>
                    <w:t>1</w:t>
                  </w:r>
                </w:p>
              </w:tc>
              <w:tc>
                <w:tcPr>
                  <w:tcW w:w="564" w:type="pct"/>
                  <w:shd w:val="clear" w:color="auto" w:fill="auto"/>
                  <w:vAlign w:val="center"/>
                </w:tcPr>
                <w:p w14:paraId="7C1213A5">
                  <w:pPr>
                    <w:spacing w:line="240" w:lineRule="auto"/>
                    <w:ind w:firstLine="0" w:firstLineChars="0"/>
                    <w:jc w:val="center"/>
                    <w:rPr>
                      <w:kern w:val="0"/>
                      <w:sz w:val="21"/>
                      <w:szCs w:val="20"/>
                    </w:rPr>
                  </w:pPr>
                  <w:r>
                    <w:rPr>
                      <w:rFonts w:hint="eastAsia"/>
                      <w:kern w:val="0"/>
                      <w:sz w:val="21"/>
                      <w:szCs w:val="20"/>
                    </w:rPr>
                    <w:t>70</w:t>
                  </w:r>
                </w:p>
              </w:tc>
              <w:tc>
                <w:tcPr>
                  <w:tcW w:w="575" w:type="pct"/>
                  <w:shd w:val="clear" w:color="auto" w:fill="auto"/>
                  <w:vAlign w:val="center"/>
                </w:tcPr>
                <w:p w14:paraId="352863C6">
                  <w:pPr>
                    <w:spacing w:line="240" w:lineRule="auto"/>
                    <w:ind w:firstLine="0" w:firstLineChars="0"/>
                    <w:jc w:val="center"/>
                    <w:rPr>
                      <w:kern w:val="0"/>
                      <w:sz w:val="21"/>
                      <w:szCs w:val="20"/>
                    </w:rPr>
                  </w:pPr>
                  <w:r>
                    <w:rPr>
                      <w:rFonts w:hint="eastAsia"/>
                      <w:kern w:val="0"/>
                      <w:sz w:val="21"/>
                      <w:szCs w:val="20"/>
                    </w:rPr>
                    <w:t>70</w:t>
                  </w:r>
                </w:p>
              </w:tc>
              <w:tc>
                <w:tcPr>
                  <w:tcW w:w="438" w:type="pct"/>
                  <w:vMerge w:val="continue"/>
                  <w:vAlign w:val="center"/>
                </w:tcPr>
                <w:p w14:paraId="1CF61294">
                  <w:pPr>
                    <w:spacing w:line="240" w:lineRule="auto"/>
                    <w:ind w:firstLine="0" w:firstLineChars="0"/>
                    <w:jc w:val="center"/>
                    <w:rPr>
                      <w:kern w:val="0"/>
                      <w:sz w:val="21"/>
                      <w:szCs w:val="20"/>
                    </w:rPr>
                  </w:pPr>
                </w:p>
              </w:tc>
              <w:tc>
                <w:tcPr>
                  <w:tcW w:w="511" w:type="pct"/>
                  <w:vMerge w:val="continue"/>
                  <w:vAlign w:val="center"/>
                </w:tcPr>
                <w:p w14:paraId="02FD8979">
                  <w:pPr>
                    <w:spacing w:line="240" w:lineRule="auto"/>
                    <w:ind w:firstLine="0" w:firstLineChars="0"/>
                    <w:jc w:val="center"/>
                    <w:rPr>
                      <w:kern w:val="0"/>
                      <w:sz w:val="21"/>
                      <w:szCs w:val="20"/>
                    </w:rPr>
                  </w:pPr>
                </w:p>
              </w:tc>
              <w:tc>
                <w:tcPr>
                  <w:tcW w:w="337" w:type="pct"/>
                  <w:vMerge w:val="continue"/>
                  <w:vAlign w:val="center"/>
                </w:tcPr>
                <w:p w14:paraId="0B3EA4F3">
                  <w:pPr>
                    <w:spacing w:line="240" w:lineRule="auto"/>
                    <w:ind w:firstLine="0" w:firstLineChars="0"/>
                    <w:jc w:val="center"/>
                    <w:rPr>
                      <w:kern w:val="0"/>
                      <w:sz w:val="21"/>
                      <w:szCs w:val="20"/>
                    </w:rPr>
                  </w:pPr>
                </w:p>
              </w:tc>
              <w:tc>
                <w:tcPr>
                  <w:tcW w:w="556" w:type="pct"/>
                  <w:vAlign w:val="center"/>
                </w:tcPr>
                <w:p w14:paraId="73B5F1A0">
                  <w:pPr>
                    <w:spacing w:line="240" w:lineRule="auto"/>
                    <w:ind w:firstLine="0" w:firstLineChars="0"/>
                    <w:jc w:val="center"/>
                    <w:rPr>
                      <w:kern w:val="0"/>
                      <w:sz w:val="21"/>
                      <w:szCs w:val="20"/>
                    </w:rPr>
                  </w:pPr>
                  <w:r>
                    <w:rPr>
                      <w:rFonts w:hint="eastAsia"/>
                      <w:kern w:val="0"/>
                      <w:sz w:val="21"/>
                      <w:szCs w:val="20"/>
                    </w:rPr>
                    <w:t>35</w:t>
                  </w:r>
                </w:p>
              </w:tc>
              <w:tc>
                <w:tcPr>
                  <w:tcW w:w="346" w:type="pct"/>
                  <w:vMerge w:val="continue"/>
                  <w:vAlign w:val="center"/>
                </w:tcPr>
                <w:p w14:paraId="6500EC37">
                  <w:pPr>
                    <w:spacing w:line="240" w:lineRule="auto"/>
                    <w:ind w:firstLine="0" w:firstLineChars="0"/>
                    <w:jc w:val="center"/>
                    <w:rPr>
                      <w:kern w:val="0"/>
                      <w:sz w:val="21"/>
                      <w:szCs w:val="20"/>
                    </w:rPr>
                  </w:pPr>
                </w:p>
              </w:tc>
            </w:tr>
            <w:tr w14:paraId="289F5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48" w:type="pct"/>
                  <w:shd w:val="clear" w:color="auto" w:fill="auto"/>
                  <w:vAlign w:val="center"/>
                </w:tcPr>
                <w:p w14:paraId="4FD8C734">
                  <w:pPr>
                    <w:spacing w:line="240" w:lineRule="auto"/>
                    <w:ind w:firstLine="0" w:firstLineChars="0"/>
                    <w:jc w:val="center"/>
                    <w:rPr>
                      <w:sz w:val="21"/>
                      <w:szCs w:val="21"/>
                    </w:rPr>
                  </w:pPr>
                  <w:r>
                    <w:rPr>
                      <w:rFonts w:hint="eastAsia"/>
                      <w:sz w:val="21"/>
                      <w:szCs w:val="21"/>
                    </w:rPr>
                    <w:t>拉伸冲击仪</w:t>
                  </w:r>
                </w:p>
              </w:tc>
              <w:tc>
                <w:tcPr>
                  <w:tcW w:w="286" w:type="pct"/>
                  <w:vMerge w:val="continue"/>
                  <w:vAlign w:val="center"/>
                </w:tcPr>
                <w:p w14:paraId="2D02B715">
                  <w:pPr>
                    <w:spacing w:line="240" w:lineRule="auto"/>
                    <w:ind w:firstLine="420"/>
                    <w:jc w:val="center"/>
                    <w:rPr>
                      <w:sz w:val="21"/>
                      <w:szCs w:val="21"/>
                    </w:rPr>
                  </w:pPr>
                </w:p>
              </w:tc>
              <w:tc>
                <w:tcPr>
                  <w:tcW w:w="339" w:type="pct"/>
                  <w:vMerge w:val="continue"/>
                  <w:vAlign w:val="center"/>
                </w:tcPr>
                <w:p w14:paraId="3A5660C8">
                  <w:pPr>
                    <w:spacing w:line="240" w:lineRule="auto"/>
                    <w:ind w:firstLine="0" w:firstLineChars="0"/>
                    <w:jc w:val="center"/>
                    <w:rPr>
                      <w:kern w:val="0"/>
                      <w:sz w:val="21"/>
                      <w:szCs w:val="20"/>
                    </w:rPr>
                  </w:pPr>
                </w:p>
              </w:tc>
              <w:tc>
                <w:tcPr>
                  <w:tcW w:w="396" w:type="pct"/>
                  <w:shd w:val="clear" w:color="auto" w:fill="auto"/>
                  <w:vAlign w:val="center"/>
                </w:tcPr>
                <w:p w14:paraId="408CB456">
                  <w:pPr>
                    <w:spacing w:line="240" w:lineRule="auto"/>
                    <w:ind w:firstLine="0" w:firstLineChars="0"/>
                    <w:jc w:val="center"/>
                    <w:rPr>
                      <w:sz w:val="21"/>
                      <w:szCs w:val="21"/>
                    </w:rPr>
                  </w:pPr>
                  <w:r>
                    <w:rPr>
                      <w:rFonts w:hint="eastAsia"/>
                      <w:sz w:val="21"/>
                      <w:szCs w:val="21"/>
                    </w:rPr>
                    <w:t>1</w:t>
                  </w:r>
                </w:p>
              </w:tc>
              <w:tc>
                <w:tcPr>
                  <w:tcW w:w="564" w:type="pct"/>
                  <w:shd w:val="clear" w:color="auto" w:fill="auto"/>
                  <w:vAlign w:val="center"/>
                </w:tcPr>
                <w:p w14:paraId="2BB4D22A">
                  <w:pPr>
                    <w:spacing w:line="240" w:lineRule="auto"/>
                    <w:ind w:firstLine="0" w:firstLineChars="0"/>
                    <w:jc w:val="center"/>
                    <w:rPr>
                      <w:kern w:val="0"/>
                      <w:sz w:val="21"/>
                      <w:szCs w:val="20"/>
                    </w:rPr>
                  </w:pPr>
                  <w:r>
                    <w:rPr>
                      <w:rFonts w:hint="eastAsia"/>
                      <w:kern w:val="0"/>
                      <w:sz w:val="21"/>
                      <w:szCs w:val="20"/>
                    </w:rPr>
                    <w:t>75</w:t>
                  </w:r>
                </w:p>
              </w:tc>
              <w:tc>
                <w:tcPr>
                  <w:tcW w:w="575" w:type="pct"/>
                  <w:shd w:val="clear" w:color="auto" w:fill="auto"/>
                  <w:vAlign w:val="center"/>
                </w:tcPr>
                <w:p w14:paraId="3BE1AB39">
                  <w:pPr>
                    <w:spacing w:line="240" w:lineRule="auto"/>
                    <w:ind w:firstLine="0" w:firstLineChars="0"/>
                    <w:jc w:val="center"/>
                    <w:rPr>
                      <w:kern w:val="0"/>
                      <w:sz w:val="21"/>
                      <w:szCs w:val="20"/>
                    </w:rPr>
                  </w:pPr>
                  <w:r>
                    <w:rPr>
                      <w:rFonts w:hint="eastAsia"/>
                      <w:kern w:val="0"/>
                      <w:sz w:val="21"/>
                      <w:szCs w:val="20"/>
                    </w:rPr>
                    <w:t>75</w:t>
                  </w:r>
                </w:p>
              </w:tc>
              <w:tc>
                <w:tcPr>
                  <w:tcW w:w="438" w:type="pct"/>
                  <w:vMerge w:val="continue"/>
                  <w:vAlign w:val="center"/>
                </w:tcPr>
                <w:p w14:paraId="02BEFFB3">
                  <w:pPr>
                    <w:spacing w:line="240" w:lineRule="auto"/>
                    <w:ind w:firstLine="0" w:firstLineChars="0"/>
                    <w:jc w:val="center"/>
                    <w:rPr>
                      <w:kern w:val="0"/>
                      <w:sz w:val="21"/>
                      <w:szCs w:val="20"/>
                    </w:rPr>
                  </w:pPr>
                </w:p>
              </w:tc>
              <w:tc>
                <w:tcPr>
                  <w:tcW w:w="511" w:type="pct"/>
                  <w:vMerge w:val="continue"/>
                  <w:vAlign w:val="center"/>
                </w:tcPr>
                <w:p w14:paraId="32B981E2">
                  <w:pPr>
                    <w:spacing w:line="240" w:lineRule="auto"/>
                    <w:ind w:firstLine="0" w:firstLineChars="0"/>
                    <w:jc w:val="center"/>
                    <w:rPr>
                      <w:kern w:val="0"/>
                      <w:sz w:val="21"/>
                      <w:szCs w:val="20"/>
                    </w:rPr>
                  </w:pPr>
                </w:p>
              </w:tc>
              <w:tc>
                <w:tcPr>
                  <w:tcW w:w="337" w:type="pct"/>
                  <w:vMerge w:val="continue"/>
                  <w:vAlign w:val="center"/>
                </w:tcPr>
                <w:p w14:paraId="49C3856F">
                  <w:pPr>
                    <w:spacing w:line="240" w:lineRule="auto"/>
                    <w:ind w:firstLine="0" w:firstLineChars="0"/>
                    <w:jc w:val="center"/>
                    <w:rPr>
                      <w:kern w:val="0"/>
                      <w:sz w:val="21"/>
                      <w:szCs w:val="20"/>
                    </w:rPr>
                  </w:pPr>
                </w:p>
              </w:tc>
              <w:tc>
                <w:tcPr>
                  <w:tcW w:w="556" w:type="pct"/>
                  <w:vAlign w:val="center"/>
                </w:tcPr>
                <w:p w14:paraId="4F625536">
                  <w:pPr>
                    <w:spacing w:line="240" w:lineRule="auto"/>
                    <w:ind w:firstLine="0" w:firstLineChars="0"/>
                    <w:jc w:val="center"/>
                    <w:rPr>
                      <w:kern w:val="0"/>
                      <w:sz w:val="21"/>
                      <w:szCs w:val="20"/>
                    </w:rPr>
                  </w:pPr>
                  <w:r>
                    <w:rPr>
                      <w:rFonts w:hint="eastAsia"/>
                      <w:kern w:val="0"/>
                      <w:sz w:val="21"/>
                      <w:szCs w:val="20"/>
                    </w:rPr>
                    <w:t>40</w:t>
                  </w:r>
                </w:p>
              </w:tc>
              <w:tc>
                <w:tcPr>
                  <w:tcW w:w="346" w:type="pct"/>
                  <w:vMerge w:val="continue"/>
                  <w:vAlign w:val="center"/>
                </w:tcPr>
                <w:p w14:paraId="366324F1">
                  <w:pPr>
                    <w:spacing w:line="240" w:lineRule="auto"/>
                    <w:ind w:firstLine="0" w:firstLineChars="0"/>
                    <w:jc w:val="center"/>
                    <w:rPr>
                      <w:kern w:val="0"/>
                      <w:sz w:val="21"/>
                      <w:szCs w:val="20"/>
                    </w:rPr>
                  </w:pPr>
                </w:p>
              </w:tc>
            </w:tr>
            <w:tr w14:paraId="3ADE6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48" w:type="pct"/>
                  <w:shd w:val="clear" w:color="auto" w:fill="auto"/>
                  <w:vAlign w:val="center"/>
                </w:tcPr>
                <w:p w14:paraId="64DEDFFD">
                  <w:pPr>
                    <w:spacing w:line="240" w:lineRule="auto"/>
                    <w:ind w:firstLine="0" w:firstLineChars="0"/>
                    <w:jc w:val="center"/>
                    <w:rPr>
                      <w:sz w:val="21"/>
                      <w:szCs w:val="21"/>
                    </w:rPr>
                  </w:pPr>
                  <w:r>
                    <w:rPr>
                      <w:rFonts w:hint="eastAsia"/>
                      <w:sz w:val="21"/>
                      <w:szCs w:val="21"/>
                    </w:rPr>
                    <w:t>溶胶机</w:t>
                  </w:r>
                </w:p>
              </w:tc>
              <w:tc>
                <w:tcPr>
                  <w:tcW w:w="286" w:type="pct"/>
                  <w:vMerge w:val="continue"/>
                  <w:vAlign w:val="center"/>
                </w:tcPr>
                <w:p w14:paraId="5952CF52">
                  <w:pPr>
                    <w:spacing w:line="240" w:lineRule="auto"/>
                    <w:ind w:firstLine="420"/>
                    <w:jc w:val="center"/>
                    <w:rPr>
                      <w:sz w:val="21"/>
                      <w:szCs w:val="21"/>
                    </w:rPr>
                  </w:pPr>
                </w:p>
              </w:tc>
              <w:tc>
                <w:tcPr>
                  <w:tcW w:w="339" w:type="pct"/>
                  <w:vMerge w:val="continue"/>
                  <w:vAlign w:val="center"/>
                </w:tcPr>
                <w:p w14:paraId="46C3B5E1">
                  <w:pPr>
                    <w:spacing w:line="240" w:lineRule="auto"/>
                    <w:ind w:firstLine="0" w:firstLineChars="0"/>
                    <w:jc w:val="center"/>
                    <w:rPr>
                      <w:kern w:val="0"/>
                      <w:sz w:val="21"/>
                      <w:szCs w:val="20"/>
                    </w:rPr>
                  </w:pPr>
                </w:p>
              </w:tc>
              <w:tc>
                <w:tcPr>
                  <w:tcW w:w="396" w:type="pct"/>
                  <w:shd w:val="clear" w:color="auto" w:fill="auto"/>
                  <w:vAlign w:val="center"/>
                </w:tcPr>
                <w:p w14:paraId="63FCEB00">
                  <w:pPr>
                    <w:spacing w:line="240" w:lineRule="auto"/>
                    <w:ind w:firstLine="0" w:firstLineChars="0"/>
                    <w:jc w:val="center"/>
                    <w:rPr>
                      <w:sz w:val="21"/>
                      <w:szCs w:val="21"/>
                    </w:rPr>
                  </w:pPr>
                  <w:r>
                    <w:rPr>
                      <w:rFonts w:hint="eastAsia"/>
                      <w:sz w:val="21"/>
                      <w:szCs w:val="21"/>
                    </w:rPr>
                    <w:t>1</w:t>
                  </w:r>
                </w:p>
              </w:tc>
              <w:tc>
                <w:tcPr>
                  <w:tcW w:w="564" w:type="pct"/>
                  <w:shd w:val="clear" w:color="auto" w:fill="auto"/>
                  <w:vAlign w:val="center"/>
                </w:tcPr>
                <w:p w14:paraId="759E9439">
                  <w:pPr>
                    <w:spacing w:line="240" w:lineRule="auto"/>
                    <w:ind w:firstLine="0" w:firstLineChars="0"/>
                    <w:jc w:val="center"/>
                    <w:rPr>
                      <w:kern w:val="0"/>
                      <w:sz w:val="21"/>
                      <w:szCs w:val="20"/>
                    </w:rPr>
                  </w:pPr>
                  <w:r>
                    <w:rPr>
                      <w:rFonts w:hint="eastAsia"/>
                      <w:kern w:val="0"/>
                      <w:sz w:val="21"/>
                      <w:szCs w:val="20"/>
                    </w:rPr>
                    <w:t>75</w:t>
                  </w:r>
                </w:p>
              </w:tc>
              <w:tc>
                <w:tcPr>
                  <w:tcW w:w="575" w:type="pct"/>
                  <w:shd w:val="clear" w:color="auto" w:fill="auto"/>
                  <w:vAlign w:val="center"/>
                </w:tcPr>
                <w:p w14:paraId="6B246E14">
                  <w:pPr>
                    <w:spacing w:line="240" w:lineRule="auto"/>
                    <w:ind w:firstLine="0" w:firstLineChars="0"/>
                    <w:jc w:val="center"/>
                    <w:rPr>
                      <w:kern w:val="0"/>
                      <w:sz w:val="21"/>
                      <w:szCs w:val="20"/>
                    </w:rPr>
                  </w:pPr>
                  <w:r>
                    <w:rPr>
                      <w:rFonts w:hint="eastAsia"/>
                      <w:kern w:val="0"/>
                      <w:sz w:val="21"/>
                      <w:szCs w:val="20"/>
                    </w:rPr>
                    <w:t>75</w:t>
                  </w:r>
                </w:p>
              </w:tc>
              <w:tc>
                <w:tcPr>
                  <w:tcW w:w="438" w:type="pct"/>
                  <w:vMerge w:val="continue"/>
                  <w:vAlign w:val="center"/>
                </w:tcPr>
                <w:p w14:paraId="0C0DE3C9">
                  <w:pPr>
                    <w:spacing w:line="240" w:lineRule="auto"/>
                    <w:ind w:firstLine="0" w:firstLineChars="0"/>
                    <w:jc w:val="center"/>
                    <w:rPr>
                      <w:kern w:val="0"/>
                      <w:sz w:val="21"/>
                      <w:szCs w:val="20"/>
                    </w:rPr>
                  </w:pPr>
                </w:p>
              </w:tc>
              <w:tc>
                <w:tcPr>
                  <w:tcW w:w="511" w:type="pct"/>
                  <w:vMerge w:val="continue"/>
                  <w:vAlign w:val="center"/>
                </w:tcPr>
                <w:p w14:paraId="2CD44535">
                  <w:pPr>
                    <w:spacing w:line="240" w:lineRule="auto"/>
                    <w:ind w:firstLine="0" w:firstLineChars="0"/>
                    <w:jc w:val="center"/>
                    <w:rPr>
                      <w:kern w:val="0"/>
                      <w:sz w:val="21"/>
                      <w:szCs w:val="20"/>
                    </w:rPr>
                  </w:pPr>
                </w:p>
              </w:tc>
              <w:tc>
                <w:tcPr>
                  <w:tcW w:w="337" w:type="pct"/>
                  <w:vMerge w:val="continue"/>
                  <w:vAlign w:val="center"/>
                </w:tcPr>
                <w:p w14:paraId="0E320744">
                  <w:pPr>
                    <w:spacing w:line="240" w:lineRule="auto"/>
                    <w:ind w:firstLine="0" w:firstLineChars="0"/>
                    <w:jc w:val="center"/>
                    <w:rPr>
                      <w:kern w:val="0"/>
                      <w:sz w:val="21"/>
                      <w:szCs w:val="20"/>
                    </w:rPr>
                  </w:pPr>
                </w:p>
              </w:tc>
              <w:tc>
                <w:tcPr>
                  <w:tcW w:w="556" w:type="pct"/>
                  <w:vAlign w:val="center"/>
                </w:tcPr>
                <w:p w14:paraId="4DB44B1C">
                  <w:pPr>
                    <w:spacing w:line="240" w:lineRule="auto"/>
                    <w:ind w:firstLine="0" w:firstLineChars="0"/>
                    <w:jc w:val="center"/>
                    <w:rPr>
                      <w:kern w:val="0"/>
                      <w:sz w:val="21"/>
                      <w:szCs w:val="20"/>
                    </w:rPr>
                  </w:pPr>
                  <w:r>
                    <w:rPr>
                      <w:rFonts w:hint="eastAsia"/>
                      <w:kern w:val="0"/>
                      <w:sz w:val="21"/>
                      <w:szCs w:val="20"/>
                    </w:rPr>
                    <w:t>40</w:t>
                  </w:r>
                </w:p>
              </w:tc>
              <w:tc>
                <w:tcPr>
                  <w:tcW w:w="346" w:type="pct"/>
                  <w:vMerge w:val="continue"/>
                  <w:vAlign w:val="center"/>
                </w:tcPr>
                <w:p w14:paraId="6828F06F">
                  <w:pPr>
                    <w:spacing w:line="240" w:lineRule="auto"/>
                    <w:ind w:firstLine="0" w:firstLineChars="0"/>
                    <w:jc w:val="center"/>
                    <w:rPr>
                      <w:kern w:val="0"/>
                      <w:sz w:val="21"/>
                      <w:szCs w:val="20"/>
                    </w:rPr>
                  </w:pPr>
                </w:p>
              </w:tc>
            </w:tr>
            <w:tr w14:paraId="6F17C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48" w:type="pct"/>
                  <w:shd w:val="clear" w:color="auto" w:fill="auto"/>
                  <w:vAlign w:val="center"/>
                </w:tcPr>
                <w:p w14:paraId="088577B4">
                  <w:pPr>
                    <w:spacing w:line="240" w:lineRule="auto"/>
                    <w:ind w:firstLine="0" w:firstLineChars="0"/>
                    <w:jc w:val="center"/>
                    <w:rPr>
                      <w:sz w:val="21"/>
                      <w:szCs w:val="21"/>
                    </w:rPr>
                  </w:pPr>
                  <w:r>
                    <w:rPr>
                      <w:rFonts w:hint="eastAsia"/>
                      <w:sz w:val="21"/>
                      <w:szCs w:val="21"/>
                    </w:rPr>
                    <w:t>空压机</w:t>
                  </w:r>
                </w:p>
              </w:tc>
              <w:tc>
                <w:tcPr>
                  <w:tcW w:w="286" w:type="pct"/>
                  <w:vMerge w:val="continue"/>
                  <w:vAlign w:val="center"/>
                </w:tcPr>
                <w:p w14:paraId="622F12BA">
                  <w:pPr>
                    <w:spacing w:line="240" w:lineRule="auto"/>
                    <w:ind w:firstLine="420"/>
                    <w:jc w:val="center"/>
                    <w:rPr>
                      <w:sz w:val="21"/>
                      <w:szCs w:val="21"/>
                    </w:rPr>
                  </w:pPr>
                </w:p>
              </w:tc>
              <w:tc>
                <w:tcPr>
                  <w:tcW w:w="339" w:type="pct"/>
                  <w:vMerge w:val="continue"/>
                  <w:vAlign w:val="center"/>
                </w:tcPr>
                <w:p w14:paraId="46A0E2CD">
                  <w:pPr>
                    <w:spacing w:line="240" w:lineRule="auto"/>
                    <w:ind w:firstLine="0" w:firstLineChars="0"/>
                    <w:jc w:val="center"/>
                    <w:rPr>
                      <w:kern w:val="0"/>
                      <w:sz w:val="21"/>
                      <w:szCs w:val="20"/>
                    </w:rPr>
                  </w:pPr>
                </w:p>
              </w:tc>
              <w:tc>
                <w:tcPr>
                  <w:tcW w:w="396" w:type="pct"/>
                  <w:shd w:val="clear" w:color="auto" w:fill="auto"/>
                  <w:vAlign w:val="center"/>
                </w:tcPr>
                <w:p w14:paraId="5B91D57D">
                  <w:pPr>
                    <w:spacing w:line="240" w:lineRule="auto"/>
                    <w:ind w:firstLine="0" w:firstLineChars="0"/>
                    <w:jc w:val="center"/>
                    <w:rPr>
                      <w:sz w:val="21"/>
                      <w:szCs w:val="21"/>
                    </w:rPr>
                  </w:pPr>
                  <w:r>
                    <w:rPr>
                      <w:rFonts w:hint="eastAsia"/>
                      <w:sz w:val="21"/>
                      <w:szCs w:val="21"/>
                    </w:rPr>
                    <w:t>1</w:t>
                  </w:r>
                </w:p>
              </w:tc>
              <w:tc>
                <w:tcPr>
                  <w:tcW w:w="564" w:type="pct"/>
                  <w:shd w:val="clear" w:color="auto" w:fill="auto"/>
                  <w:vAlign w:val="center"/>
                </w:tcPr>
                <w:p w14:paraId="11817879">
                  <w:pPr>
                    <w:spacing w:line="240" w:lineRule="auto"/>
                    <w:ind w:firstLine="0" w:firstLineChars="0"/>
                    <w:jc w:val="center"/>
                    <w:rPr>
                      <w:kern w:val="0"/>
                      <w:sz w:val="21"/>
                      <w:szCs w:val="20"/>
                    </w:rPr>
                  </w:pPr>
                  <w:r>
                    <w:rPr>
                      <w:rFonts w:hint="eastAsia"/>
                      <w:kern w:val="0"/>
                      <w:sz w:val="21"/>
                      <w:szCs w:val="20"/>
                    </w:rPr>
                    <w:t>85</w:t>
                  </w:r>
                </w:p>
              </w:tc>
              <w:tc>
                <w:tcPr>
                  <w:tcW w:w="575" w:type="pct"/>
                  <w:shd w:val="clear" w:color="auto" w:fill="auto"/>
                  <w:vAlign w:val="center"/>
                </w:tcPr>
                <w:p w14:paraId="49D4FBC5">
                  <w:pPr>
                    <w:spacing w:line="240" w:lineRule="auto"/>
                    <w:ind w:firstLine="0" w:firstLineChars="0"/>
                    <w:jc w:val="center"/>
                    <w:rPr>
                      <w:kern w:val="0"/>
                      <w:sz w:val="21"/>
                      <w:szCs w:val="20"/>
                    </w:rPr>
                  </w:pPr>
                  <w:r>
                    <w:rPr>
                      <w:rFonts w:hint="eastAsia"/>
                      <w:kern w:val="0"/>
                      <w:sz w:val="21"/>
                      <w:szCs w:val="20"/>
                    </w:rPr>
                    <w:t>85</w:t>
                  </w:r>
                </w:p>
              </w:tc>
              <w:tc>
                <w:tcPr>
                  <w:tcW w:w="438" w:type="pct"/>
                  <w:vMerge w:val="continue"/>
                  <w:vAlign w:val="center"/>
                </w:tcPr>
                <w:p w14:paraId="4913214C">
                  <w:pPr>
                    <w:spacing w:line="240" w:lineRule="auto"/>
                    <w:ind w:firstLine="0" w:firstLineChars="0"/>
                    <w:jc w:val="center"/>
                    <w:rPr>
                      <w:kern w:val="0"/>
                      <w:sz w:val="21"/>
                      <w:szCs w:val="20"/>
                    </w:rPr>
                  </w:pPr>
                </w:p>
              </w:tc>
              <w:tc>
                <w:tcPr>
                  <w:tcW w:w="511" w:type="pct"/>
                  <w:vMerge w:val="continue"/>
                  <w:vAlign w:val="center"/>
                </w:tcPr>
                <w:p w14:paraId="45631C24">
                  <w:pPr>
                    <w:spacing w:line="240" w:lineRule="auto"/>
                    <w:ind w:firstLine="0" w:firstLineChars="0"/>
                    <w:jc w:val="center"/>
                    <w:rPr>
                      <w:kern w:val="0"/>
                      <w:sz w:val="21"/>
                      <w:szCs w:val="20"/>
                    </w:rPr>
                  </w:pPr>
                </w:p>
              </w:tc>
              <w:tc>
                <w:tcPr>
                  <w:tcW w:w="337" w:type="pct"/>
                  <w:vMerge w:val="continue"/>
                  <w:vAlign w:val="center"/>
                </w:tcPr>
                <w:p w14:paraId="17154FC8">
                  <w:pPr>
                    <w:spacing w:line="240" w:lineRule="auto"/>
                    <w:ind w:firstLine="0" w:firstLineChars="0"/>
                    <w:jc w:val="center"/>
                    <w:rPr>
                      <w:kern w:val="0"/>
                      <w:sz w:val="21"/>
                      <w:szCs w:val="20"/>
                    </w:rPr>
                  </w:pPr>
                </w:p>
              </w:tc>
              <w:tc>
                <w:tcPr>
                  <w:tcW w:w="556" w:type="pct"/>
                  <w:vAlign w:val="center"/>
                </w:tcPr>
                <w:p w14:paraId="45A0DED1">
                  <w:pPr>
                    <w:spacing w:line="240" w:lineRule="auto"/>
                    <w:ind w:firstLine="0" w:firstLineChars="0"/>
                    <w:jc w:val="center"/>
                    <w:rPr>
                      <w:kern w:val="0"/>
                      <w:sz w:val="21"/>
                      <w:szCs w:val="20"/>
                    </w:rPr>
                  </w:pPr>
                  <w:r>
                    <w:rPr>
                      <w:rFonts w:hint="eastAsia"/>
                      <w:kern w:val="0"/>
                      <w:sz w:val="21"/>
                      <w:szCs w:val="20"/>
                    </w:rPr>
                    <w:t>50</w:t>
                  </w:r>
                </w:p>
              </w:tc>
              <w:tc>
                <w:tcPr>
                  <w:tcW w:w="346" w:type="pct"/>
                  <w:vMerge w:val="continue"/>
                  <w:vAlign w:val="center"/>
                </w:tcPr>
                <w:p w14:paraId="549630E6">
                  <w:pPr>
                    <w:spacing w:line="240" w:lineRule="auto"/>
                    <w:ind w:firstLine="0" w:firstLineChars="0"/>
                    <w:jc w:val="center"/>
                    <w:rPr>
                      <w:kern w:val="0"/>
                      <w:sz w:val="21"/>
                      <w:szCs w:val="20"/>
                    </w:rPr>
                  </w:pPr>
                </w:p>
              </w:tc>
            </w:tr>
            <w:tr w14:paraId="6CACF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3" w:hRule="atLeast"/>
              </w:trPr>
              <w:tc>
                <w:tcPr>
                  <w:tcW w:w="648" w:type="pct"/>
                  <w:shd w:val="clear" w:color="auto" w:fill="auto"/>
                  <w:vAlign w:val="center"/>
                </w:tcPr>
                <w:p w14:paraId="5F5CAD5C">
                  <w:pPr>
                    <w:spacing w:line="240" w:lineRule="auto"/>
                    <w:ind w:firstLine="0" w:firstLineChars="0"/>
                    <w:jc w:val="center"/>
                    <w:rPr>
                      <w:sz w:val="21"/>
                      <w:szCs w:val="21"/>
                    </w:rPr>
                  </w:pPr>
                  <w:r>
                    <w:rPr>
                      <w:rFonts w:hint="eastAsia"/>
                      <w:sz w:val="21"/>
                      <w:szCs w:val="21"/>
                    </w:rPr>
                    <w:t>打包机</w:t>
                  </w:r>
                </w:p>
              </w:tc>
              <w:tc>
                <w:tcPr>
                  <w:tcW w:w="286" w:type="pct"/>
                  <w:vMerge w:val="continue"/>
                  <w:vAlign w:val="center"/>
                </w:tcPr>
                <w:p w14:paraId="0CF34E3B">
                  <w:pPr>
                    <w:spacing w:line="240" w:lineRule="auto"/>
                    <w:ind w:firstLine="420"/>
                    <w:jc w:val="center"/>
                    <w:rPr>
                      <w:sz w:val="21"/>
                      <w:szCs w:val="21"/>
                    </w:rPr>
                  </w:pPr>
                </w:p>
              </w:tc>
              <w:tc>
                <w:tcPr>
                  <w:tcW w:w="339" w:type="pct"/>
                  <w:vMerge w:val="continue"/>
                  <w:vAlign w:val="center"/>
                </w:tcPr>
                <w:p w14:paraId="0D2651E5">
                  <w:pPr>
                    <w:spacing w:line="240" w:lineRule="auto"/>
                    <w:ind w:firstLine="0" w:firstLineChars="0"/>
                    <w:jc w:val="center"/>
                    <w:rPr>
                      <w:kern w:val="0"/>
                      <w:sz w:val="21"/>
                      <w:szCs w:val="20"/>
                    </w:rPr>
                  </w:pPr>
                </w:p>
              </w:tc>
              <w:tc>
                <w:tcPr>
                  <w:tcW w:w="396" w:type="pct"/>
                  <w:shd w:val="clear" w:color="auto" w:fill="auto"/>
                  <w:vAlign w:val="center"/>
                </w:tcPr>
                <w:p w14:paraId="7EB20183">
                  <w:pPr>
                    <w:spacing w:line="240" w:lineRule="auto"/>
                    <w:ind w:firstLine="0" w:firstLineChars="0"/>
                    <w:jc w:val="center"/>
                    <w:rPr>
                      <w:sz w:val="21"/>
                      <w:szCs w:val="21"/>
                    </w:rPr>
                  </w:pPr>
                  <w:r>
                    <w:rPr>
                      <w:rFonts w:hint="eastAsia"/>
                      <w:sz w:val="21"/>
                      <w:szCs w:val="21"/>
                    </w:rPr>
                    <w:t>2</w:t>
                  </w:r>
                </w:p>
              </w:tc>
              <w:tc>
                <w:tcPr>
                  <w:tcW w:w="564" w:type="pct"/>
                  <w:shd w:val="clear" w:color="auto" w:fill="auto"/>
                  <w:vAlign w:val="center"/>
                </w:tcPr>
                <w:p w14:paraId="2E884B94">
                  <w:pPr>
                    <w:spacing w:line="240" w:lineRule="auto"/>
                    <w:ind w:firstLine="0" w:firstLineChars="0"/>
                    <w:jc w:val="center"/>
                    <w:rPr>
                      <w:kern w:val="0"/>
                      <w:sz w:val="21"/>
                      <w:szCs w:val="20"/>
                    </w:rPr>
                  </w:pPr>
                  <w:r>
                    <w:rPr>
                      <w:rFonts w:hint="eastAsia"/>
                      <w:kern w:val="0"/>
                      <w:sz w:val="21"/>
                      <w:szCs w:val="20"/>
                    </w:rPr>
                    <w:t>75</w:t>
                  </w:r>
                </w:p>
              </w:tc>
              <w:tc>
                <w:tcPr>
                  <w:tcW w:w="575" w:type="pct"/>
                  <w:shd w:val="clear" w:color="auto" w:fill="auto"/>
                  <w:vAlign w:val="center"/>
                </w:tcPr>
                <w:p w14:paraId="4DA10D7D">
                  <w:pPr>
                    <w:spacing w:line="240" w:lineRule="auto"/>
                    <w:ind w:firstLine="0" w:firstLineChars="0"/>
                    <w:jc w:val="center"/>
                    <w:rPr>
                      <w:kern w:val="0"/>
                      <w:sz w:val="21"/>
                      <w:szCs w:val="20"/>
                    </w:rPr>
                  </w:pPr>
                  <w:r>
                    <w:rPr>
                      <w:rFonts w:hint="eastAsia"/>
                      <w:kern w:val="0"/>
                      <w:sz w:val="21"/>
                      <w:szCs w:val="20"/>
                    </w:rPr>
                    <w:t>78</w:t>
                  </w:r>
                </w:p>
              </w:tc>
              <w:tc>
                <w:tcPr>
                  <w:tcW w:w="438" w:type="pct"/>
                  <w:vMerge w:val="continue"/>
                  <w:vAlign w:val="center"/>
                </w:tcPr>
                <w:p w14:paraId="0ACB1156">
                  <w:pPr>
                    <w:spacing w:line="240" w:lineRule="auto"/>
                    <w:ind w:firstLine="0" w:firstLineChars="0"/>
                    <w:jc w:val="center"/>
                    <w:rPr>
                      <w:kern w:val="0"/>
                      <w:sz w:val="21"/>
                      <w:szCs w:val="20"/>
                    </w:rPr>
                  </w:pPr>
                </w:p>
              </w:tc>
              <w:tc>
                <w:tcPr>
                  <w:tcW w:w="511" w:type="pct"/>
                  <w:vMerge w:val="continue"/>
                  <w:vAlign w:val="center"/>
                </w:tcPr>
                <w:p w14:paraId="13E2F095">
                  <w:pPr>
                    <w:spacing w:line="240" w:lineRule="auto"/>
                    <w:ind w:firstLine="0" w:firstLineChars="0"/>
                    <w:jc w:val="center"/>
                    <w:rPr>
                      <w:kern w:val="0"/>
                      <w:sz w:val="21"/>
                      <w:szCs w:val="20"/>
                    </w:rPr>
                  </w:pPr>
                </w:p>
              </w:tc>
              <w:tc>
                <w:tcPr>
                  <w:tcW w:w="337" w:type="pct"/>
                  <w:vMerge w:val="continue"/>
                  <w:vAlign w:val="center"/>
                </w:tcPr>
                <w:p w14:paraId="78D7CEC2">
                  <w:pPr>
                    <w:spacing w:line="240" w:lineRule="auto"/>
                    <w:ind w:firstLine="0" w:firstLineChars="0"/>
                    <w:jc w:val="center"/>
                    <w:rPr>
                      <w:kern w:val="0"/>
                      <w:sz w:val="21"/>
                      <w:szCs w:val="20"/>
                    </w:rPr>
                  </w:pPr>
                </w:p>
              </w:tc>
              <w:tc>
                <w:tcPr>
                  <w:tcW w:w="556" w:type="pct"/>
                  <w:vAlign w:val="center"/>
                </w:tcPr>
                <w:p w14:paraId="0AF7DAC5">
                  <w:pPr>
                    <w:spacing w:line="240" w:lineRule="auto"/>
                    <w:ind w:firstLine="0" w:firstLineChars="0"/>
                    <w:jc w:val="center"/>
                    <w:rPr>
                      <w:kern w:val="0"/>
                      <w:sz w:val="21"/>
                      <w:szCs w:val="20"/>
                    </w:rPr>
                  </w:pPr>
                  <w:r>
                    <w:rPr>
                      <w:rFonts w:hint="eastAsia"/>
                      <w:kern w:val="0"/>
                      <w:sz w:val="21"/>
                      <w:szCs w:val="20"/>
                    </w:rPr>
                    <w:t>43</w:t>
                  </w:r>
                </w:p>
              </w:tc>
              <w:tc>
                <w:tcPr>
                  <w:tcW w:w="346" w:type="pct"/>
                  <w:vMerge w:val="continue"/>
                  <w:vAlign w:val="center"/>
                </w:tcPr>
                <w:p w14:paraId="5B077714">
                  <w:pPr>
                    <w:spacing w:line="240" w:lineRule="auto"/>
                    <w:ind w:firstLine="0" w:firstLineChars="0"/>
                    <w:jc w:val="center"/>
                    <w:rPr>
                      <w:kern w:val="0"/>
                      <w:sz w:val="21"/>
                      <w:szCs w:val="20"/>
                    </w:rPr>
                  </w:pPr>
                </w:p>
              </w:tc>
            </w:tr>
          </w:tbl>
          <w:p w14:paraId="5EDD975A">
            <w:pPr>
              <w:numPr>
                <w:ilvl w:val="0"/>
                <w:numId w:val="3"/>
              </w:numPr>
              <w:ind w:firstLine="482"/>
              <w:jc w:val="both"/>
              <w:rPr>
                <w:b/>
              </w:rPr>
            </w:pPr>
            <w:r>
              <w:rPr>
                <w:rFonts w:hint="eastAsia"/>
                <w:b/>
              </w:rPr>
              <w:t>声环境影响预测</w:t>
            </w:r>
          </w:p>
          <w:p w14:paraId="6983BB74">
            <w:pPr>
              <w:adjustRightInd w:val="0"/>
              <w:snapToGrid w:val="0"/>
              <w:ind w:firstLine="480"/>
              <w:jc w:val="both"/>
              <w:textAlignment w:val="baseline"/>
              <w:rPr>
                <w:kern w:val="0"/>
                <w:szCs w:val="20"/>
              </w:rPr>
            </w:pPr>
            <w:r>
              <w:rPr>
                <w:rFonts w:hint="eastAsia"/>
                <w:kern w:val="0"/>
                <w:szCs w:val="20"/>
              </w:rPr>
              <w:t>本项目噪声主要来源于各生产设备运行时产生，将项目生产厂房视为一个噪声源，由表4-13可知，各噪声源叠加后的噪声排放值约为59.2dB(A)。根据《环境影响评价技术导则-声环境》（HJ2.4-2021），</w:t>
            </w:r>
            <w:r>
              <w:rPr>
                <w:kern w:val="0"/>
                <w:szCs w:val="20"/>
              </w:rPr>
              <w:t>噪声预测采用</w:t>
            </w:r>
            <w:r>
              <w:rPr>
                <w:rFonts w:hint="eastAsia"/>
                <w:kern w:val="0"/>
                <w:szCs w:val="20"/>
              </w:rPr>
              <w:t>以下</w:t>
            </w:r>
            <w:r>
              <w:rPr>
                <w:kern w:val="0"/>
                <w:szCs w:val="20"/>
              </w:rPr>
              <w:t>预测模式，计算公式如下：</w:t>
            </w:r>
          </w:p>
          <w:p w14:paraId="1F42D888">
            <w:pPr>
              <w:ind w:firstLine="480"/>
              <w:jc w:val="both"/>
            </w:pPr>
            <w:r>
              <w:rPr>
                <w:rFonts w:hint="eastAsia"/>
              </w:rPr>
              <w:t>1）多个设备同时运行时在预测点产生的总噪声贡献值（Leqg）的计算公式为：</w:t>
            </w:r>
          </w:p>
          <w:p w14:paraId="5DE7F2A4">
            <w:pPr>
              <w:ind w:firstLine="480"/>
              <w:jc w:val="center"/>
            </w:pPr>
            <w:r>
              <w:rPr>
                <w:position w:val="-30"/>
              </w:rPr>
              <w:object>
                <v:shape id="_x0000_i1029" o:spt="75" type="#_x0000_t75" style="height:36.75pt;width:128.25pt;" o:ole="t" filled="f" o:preferrelative="t" stroked="f" coordsize="21600,21600">
                  <v:path/>
                  <v:fill on="f" focussize="0,0"/>
                  <v:stroke on="f" joinstyle="miter"/>
                  <v:imagedata r:id="rId31" o:title=""/>
                  <o:lock v:ext="edit" aspectratio="t"/>
                  <w10:wrap type="none"/>
                  <w10:anchorlock/>
                </v:shape>
                <o:OLEObject Type="Embed" ProgID="Equation.3" ShapeID="_x0000_i1029" DrawAspect="Content" ObjectID="_1468075729" r:id="rId30">
                  <o:LockedField>false</o:LockedField>
                </o:OLEObject>
              </w:object>
            </w:r>
          </w:p>
          <w:p w14:paraId="14519240">
            <w:pPr>
              <w:ind w:firstLine="480"/>
              <w:jc w:val="both"/>
            </w:pPr>
            <w:r>
              <w:rPr>
                <w:rFonts w:hint="eastAsia"/>
              </w:rPr>
              <w:t>式中：Leqg—噪声贡献值，dB(A)；</w:t>
            </w:r>
          </w:p>
          <w:p w14:paraId="6A6AB274">
            <w:pPr>
              <w:ind w:firstLine="480"/>
              <w:jc w:val="both"/>
            </w:pPr>
            <w:r>
              <w:rPr>
                <w:rFonts w:hint="eastAsia"/>
              </w:rPr>
              <w:t>T—预测计算的时间段，s；</w:t>
            </w:r>
          </w:p>
          <w:p w14:paraId="0B0FE15F">
            <w:pPr>
              <w:ind w:firstLine="480"/>
              <w:jc w:val="both"/>
            </w:pPr>
            <w:r>
              <w:rPr>
                <w:rFonts w:hint="eastAsia"/>
              </w:rPr>
              <w:t>t</w:t>
            </w:r>
            <w:r>
              <w:rPr>
                <w:rFonts w:hint="eastAsia"/>
                <w:vertAlign w:val="subscript"/>
              </w:rPr>
              <w:t>i</w:t>
            </w:r>
            <w:r>
              <w:rPr>
                <w:rFonts w:hint="eastAsia"/>
              </w:rPr>
              <w:t>—i声源在T时段内的运行时间，s；</w:t>
            </w:r>
          </w:p>
          <w:p w14:paraId="7646AC86">
            <w:pPr>
              <w:ind w:firstLine="480"/>
              <w:jc w:val="both"/>
            </w:pPr>
            <w:r>
              <w:rPr>
                <w:rFonts w:hint="eastAsia"/>
              </w:rPr>
              <w:t>L</w:t>
            </w:r>
            <w:r>
              <w:rPr>
                <w:rFonts w:hint="eastAsia"/>
                <w:vertAlign w:val="subscript"/>
              </w:rPr>
              <w:t>Ai</w:t>
            </w:r>
            <w:r>
              <w:rPr>
                <w:rFonts w:hint="eastAsia"/>
              </w:rPr>
              <w:t>—i声源在预测点产生的等效连续A声级，dB(A)；</w:t>
            </w:r>
          </w:p>
          <w:p w14:paraId="5757D8E8">
            <w:pPr>
              <w:ind w:firstLine="480"/>
              <w:jc w:val="both"/>
            </w:pPr>
            <w:r>
              <w:rPr>
                <w:rFonts w:hint="eastAsia"/>
              </w:rPr>
              <w:t>2）</w:t>
            </w:r>
            <w:r>
              <w:t>点</w:t>
            </w:r>
            <w:r>
              <w:rPr>
                <w:rFonts w:hint="eastAsia"/>
              </w:rPr>
              <w:t>声源在预测点的噪声源强度采用几何发散衰减计算</w:t>
            </w:r>
            <w:r>
              <w:t>源式</w:t>
            </w:r>
            <w:r>
              <w:rPr>
                <w:rFonts w:hint="eastAsia"/>
              </w:rPr>
              <w:t>：</w:t>
            </w:r>
          </w:p>
          <w:p w14:paraId="2C8EE1CF">
            <w:pPr>
              <w:ind w:firstLine="480"/>
              <w:jc w:val="center"/>
            </w:pPr>
            <w:r>
              <w:rPr>
                <w:position w:val="-10"/>
              </w:rPr>
              <w:object>
                <v:shape id="_x0000_i1030" o:spt="75" type="#_x0000_t75" style="height:17.25pt;width:147.75pt;" o:ole="t" filled="f" o:preferrelative="t" stroked="f" coordsize="21600,21600">
                  <v:path/>
                  <v:fill on="f" focussize="0,0"/>
                  <v:stroke on="f" joinstyle="miter"/>
                  <v:imagedata r:id="rId33" o:title=""/>
                  <o:lock v:ext="edit" aspectratio="t"/>
                  <w10:wrap type="none"/>
                  <w10:anchorlock/>
                </v:shape>
                <o:OLEObject Type="Embed" ProgID="Equation.3" ShapeID="_x0000_i1030" DrawAspect="Content" ObjectID="_1468075730" r:id="rId32">
                  <o:LockedField>false</o:LockedField>
                </o:OLEObject>
              </w:object>
            </w:r>
          </w:p>
          <w:p w14:paraId="546A8939">
            <w:pPr>
              <w:ind w:firstLine="480"/>
              <w:jc w:val="both"/>
            </w:pPr>
            <w:r>
              <w:t>式中</w:t>
            </w:r>
            <w:r>
              <w:rPr>
                <w:rFonts w:hint="eastAsia"/>
              </w:rPr>
              <w:t>：L</w:t>
            </w:r>
            <w:r>
              <w:rPr>
                <w:rFonts w:hint="eastAsia"/>
                <w:vertAlign w:val="subscript"/>
              </w:rPr>
              <w:t>p</w:t>
            </w:r>
            <w:r>
              <w:t>（r）</w:t>
            </w:r>
            <w:r>
              <w:rPr>
                <w:rFonts w:hint="eastAsia"/>
              </w:rPr>
              <w:t>—距声源r米处的噪声预测值，dB（A）；</w:t>
            </w:r>
          </w:p>
          <w:p w14:paraId="28147BE2">
            <w:pPr>
              <w:ind w:firstLine="480"/>
              <w:jc w:val="both"/>
            </w:pPr>
            <w:r>
              <w:rPr>
                <w:rFonts w:hint="eastAsia"/>
              </w:rPr>
              <w:t>L</w:t>
            </w:r>
            <w:r>
              <w:rPr>
                <w:rFonts w:hint="eastAsia"/>
                <w:vertAlign w:val="subscript"/>
              </w:rPr>
              <w:t>p</w:t>
            </w:r>
            <w:r>
              <w:t>（r</w:t>
            </w:r>
            <w:r>
              <w:rPr>
                <w:vertAlign w:val="subscript"/>
              </w:rPr>
              <w:t>0</w:t>
            </w:r>
            <w:r>
              <w:t>）</w:t>
            </w:r>
            <w:r>
              <w:rPr>
                <w:rFonts w:hint="eastAsia"/>
              </w:rPr>
              <w:t>—参考位置r</w:t>
            </w:r>
            <w:r>
              <w:rPr>
                <w:rFonts w:hint="eastAsia"/>
                <w:vertAlign w:val="subscript"/>
              </w:rPr>
              <w:t>0</w:t>
            </w:r>
            <w:r>
              <w:rPr>
                <w:rFonts w:hint="eastAsia"/>
              </w:rPr>
              <w:t>处的声压级，dB（A）；</w:t>
            </w:r>
          </w:p>
          <w:p w14:paraId="58F4B889">
            <w:pPr>
              <w:ind w:firstLine="480"/>
              <w:jc w:val="both"/>
            </w:pPr>
            <w:r>
              <w:rPr>
                <w:rFonts w:hint="eastAsia"/>
              </w:rPr>
              <w:t>r—预测点距声源的距离，m；</w:t>
            </w:r>
          </w:p>
          <w:p w14:paraId="7695F6C4">
            <w:pPr>
              <w:ind w:firstLine="480"/>
              <w:jc w:val="both"/>
            </w:pPr>
            <w:r>
              <w:rPr>
                <w:rFonts w:hint="eastAsia"/>
              </w:rPr>
              <w:t>r</w:t>
            </w:r>
            <w:r>
              <w:rPr>
                <w:rFonts w:hint="eastAsia"/>
                <w:vertAlign w:val="subscript"/>
              </w:rPr>
              <w:t>0</w:t>
            </w:r>
            <w:r>
              <w:rPr>
                <w:rFonts w:hint="eastAsia"/>
              </w:rPr>
              <w:t>—参考位置距声源的距离，m。</w:t>
            </w:r>
          </w:p>
          <w:p w14:paraId="4AC65B09">
            <w:pPr>
              <w:ind w:firstLine="480"/>
              <w:jc w:val="both"/>
            </w:pPr>
            <w:r>
              <w:rPr>
                <w:rFonts w:hint="eastAsia"/>
              </w:rPr>
              <w:t>3）噪声预测值（Leq）计算公式为：</w:t>
            </w:r>
          </w:p>
          <w:p w14:paraId="596762C7">
            <w:pPr>
              <w:ind w:firstLine="480"/>
              <w:jc w:val="center"/>
            </w:pPr>
            <w:r>
              <w:rPr>
                <w:position w:val="-10"/>
              </w:rPr>
              <w:object>
                <v:shape id="_x0000_i1031" o:spt="75" type="#_x0000_t75" style="height:18.75pt;width:141pt;" o:ole="t" filled="f" o:preferrelative="t" stroked="f" coordsize="21600,21600">
                  <v:path/>
                  <v:fill on="f" focussize="0,0"/>
                  <v:stroke on="f" joinstyle="miter"/>
                  <v:imagedata r:id="rId35" o:title=""/>
                  <o:lock v:ext="edit" aspectratio="t"/>
                  <w10:wrap type="none"/>
                  <w10:anchorlock/>
                </v:shape>
                <o:OLEObject Type="Embed" ProgID="Equation.3" ShapeID="_x0000_i1031" DrawAspect="Content" ObjectID="_1468075731" r:id="rId34">
                  <o:LockedField>false</o:LockedField>
                </o:OLEObject>
              </w:object>
            </w:r>
          </w:p>
          <w:p w14:paraId="2B42B02A">
            <w:pPr>
              <w:ind w:firstLine="480"/>
              <w:jc w:val="both"/>
            </w:pPr>
            <w:r>
              <w:rPr>
                <w:rFonts w:hint="eastAsia"/>
              </w:rPr>
              <w:t>式中：Leq—预测点的噪声预测值，dB；</w:t>
            </w:r>
          </w:p>
          <w:p w14:paraId="68D8B951">
            <w:pPr>
              <w:ind w:firstLine="480"/>
              <w:jc w:val="both"/>
            </w:pPr>
            <w:r>
              <w:rPr>
                <w:rFonts w:hint="eastAsia"/>
              </w:rPr>
              <w:t>Leqg—建设项目声源在预测点产生的噪声贡献值，dB；</w:t>
            </w:r>
          </w:p>
          <w:p w14:paraId="09A2CB0F">
            <w:pPr>
              <w:ind w:firstLine="480"/>
              <w:jc w:val="both"/>
            </w:pPr>
            <w:r>
              <w:rPr>
                <w:rFonts w:hint="eastAsia"/>
              </w:rPr>
              <w:t>Leqb—预测点的背景噪声值，dB。</w:t>
            </w:r>
          </w:p>
          <w:p w14:paraId="6F0D3DD3">
            <w:pPr>
              <w:ind w:firstLine="480"/>
              <w:jc w:val="both"/>
            </w:pPr>
            <w:r>
              <w:rPr>
                <w:rFonts w:hint="eastAsia"/>
                <w:color w:val="000000"/>
              </w:rPr>
              <w:t>项目</w:t>
            </w:r>
            <w:r>
              <w:t>采用以上噪声预测模式对项目主要噪声源对厂界四周的影响值进行预测</w:t>
            </w:r>
            <w:r>
              <w:rPr>
                <w:rFonts w:hint="eastAsia"/>
              </w:rPr>
              <w:t>（项目夜间不进行生产）</w:t>
            </w:r>
            <w:r>
              <w:t>，预测结果见</w:t>
            </w:r>
            <w:r>
              <w:rPr>
                <w:rFonts w:hint="eastAsia"/>
              </w:rPr>
              <w:t>下</w:t>
            </w:r>
            <w:r>
              <w:t>表。</w:t>
            </w:r>
          </w:p>
          <w:p w14:paraId="6D4E1465">
            <w:pPr>
              <w:topLinePunct/>
              <w:snapToGrid w:val="0"/>
              <w:spacing w:line="240" w:lineRule="auto"/>
              <w:ind w:firstLine="0" w:firstLineChars="0"/>
              <w:jc w:val="center"/>
              <w:rPr>
                <w:rFonts w:cs="宋体"/>
                <w:b/>
                <w:bCs/>
                <w:color w:val="000000"/>
                <w:kern w:val="0"/>
                <w:sz w:val="21"/>
                <w:szCs w:val="21"/>
              </w:rPr>
            </w:pPr>
            <w:r>
              <w:rPr>
                <w:rFonts w:hint="eastAsia" w:cs="宋体"/>
                <w:b/>
                <w:bCs/>
                <w:color w:val="000000"/>
                <w:kern w:val="0"/>
                <w:sz w:val="21"/>
                <w:szCs w:val="21"/>
              </w:rPr>
              <w:t>表</w:t>
            </w:r>
            <w:r>
              <w:rPr>
                <w:rFonts w:cs="宋体"/>
                <w:b/>
                <w:bCs/>
                <w:color w:val="000000"/>
                <w:kern w:val="0"/>
                <w:sz w:val="21"/>
                <w:szCs w:val="21"/>
              </w:rPr>
              <w:t>4</w:t>
            </w:r>
            <w:r>
              <w:rPr>
                <w:rFonts w:hint="eastAsia" w:cs="宋体"/>
                <w:b/>
                <w:bCs/>
                <w:color w:val="000000"/>
                <w:kern w:val="0"/>
                <w:sz w:val="21"/>
                <w:szCs w:val="21"/>
              </w:rPr>
              <w:t>-14 项目噪声预测结果[单位：dB（A）</w:t>
            </w:r>
            <w:r>
              <w:rPr>
                <w:rFonts w:cs="宋体"/>
                <w:b/>
                <w:bCs/>
                <w:color w:val="000000"/>
                <w:kern w:val="0"/>
                <w:sz w:val="21"/>
                <w:szCs w:val="21"/>
              </w:rPr>
              <w:t>]</w:t>
            </w:r>
          </w:p>
          <w:tbl>
            <w:tblPr>
              <w:tblStyle w:val="34"/>
              <w:tblW w:w="82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1"/>
              <w:gridCol w:w="1357"/>
              <w:gridCol w:w="1356"/>
              <w:gridCol w:w="1358"/>
              <w:gridCol w:w="1356"/>
            </w:tblGrid>
            <w:tr w14:paraId="3D53A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1" w:type="dxa"/>
                  <w:vAlign w:val="center"/>
                </w:tcPr>
                <w:p w14:paraId="37A7F84E">
                  <w:pPr>
                    <w:topLinePunct/>
                    <w:snapToGrid w:val="0"/>
                    <w:spacing w:line="240" w:lineRule="auto"/>
                    <w:ind w:firstLine="0" w:firstLineChars="0"/>
                    <w:jc w:val="center"/>
                    <w:rPr>
                      <w:b/>
                      <w:kern w:val="0"/>
                      <w:sz w:val="21"/>
                      <w:szCs w:val="21"/>
                    </w:rPr>
                  </w:pPr>
                  <w:r>
                    <w:rPr>
                      <w:rFonts w:hint="eastAsia"/>
                      <w:b/>
                      <w:kern w:val="0"/>
                      <w:sz w:val="21"/>
                      <w:szCs w:val="21"/>
                    </w:rPr>
                    <w:t>厂界方位</w:t>
                  </w:r>
                </w:p>
              </w:tc>
              <w:tc>
                <w:tcPr>
                  <w:tcW w:w="1357" w:type="dxa"/>
                  <w:vAlign w:val="center"/>
                </w:tcPr>
                <w:p w14:paraId="5A749B38">
                  <w:pPr>
                    <w:topLinePunct/>
                    <w:snapToGrid w:val="0"/>
                    <w:spacing w:line="240" w:lineRule="auto"/>
                    <w:ind w:firstLine="0" w:firstLineChars="0"/>
                    <w:jc w:val="center"/>
                    <w:rPr>
                      <w:b/>
                      <w:kern w:val="0"/>
                      <w:sz w:val="21"/>
                      <w:szCs w:val="21"/>
                    </w:rPr>
                  </w:pPr>
                  <w:r>
                    <w:rPr>
                      <w:rFonts w:hint="eastAsia"/>
                      <w:b/>
                      <w:kern w:val="0"/>
                      <w:sz w:val="21"/>
                      <w:szCs w:val="21"/>
                    </w:rPr>
                    <w:t>东面</w:t>
                  </w:r>
                </w:p>
              </w:tc>
              <w:tc>
                <w:tcPr>
                  <w:tcW w:w="1356" w:type="dxa"/>
                  <w:vAlign w:val="center"/>
                </w:tcPr>
                <w:p w14:paraId="78D7F4F2">
                  <w:pPr>
                    <w:topLinePunct/>
                    <w:snapToGrid w:val="0"/>
                    <w:spacing w:line="240" w:lineRule="auto"/>
                    <w:ind w:firstLine="0" w:firstLineChars="0"/>
                    <w:jc w:val="center"/>
                    <w:rPr>
                      <w:b/>
                      <w:kern w:val="0"/>
                      <w:sz w:val="21"/>
                      <w:szCs w:val="21"/>
                    </w:rPr>
                  </w:pPr>
                  <w:r>
                    <w:rPr>
                      <w:rFonts w:hint="eastAsia"/>
                      <w:b/>
                      <w:kern w:val="0"/>
                      <w:sz w:val="21"/>
                      <w:szCs w:val="21"/>
                    </w:rPr>
                    <w:t>南面</w:t>
                  </w:r>
                </w:p>
              </w:tc>
              <w:tc>
                <w:tcPr>
                  <w:tcW w:w="1358" w:type="dxa"/>
                  <w:vAlign w:val="center"/>
                </w:tcPr>
                <w:p w14:paraId="26CF896F">
                  <w:pPr>
                    <w:topLinePunct/>
                    <w:snapToGrid w:val="0"/>
                    <w:spacing w:line="240" w:lineRule="auto"/>
                    <w:ind w:firstLine="0" w:firstLineChars="0"/>
                    <w:jc w:val="center"/>
                    <w:rPr>
                      <w:b/>
                      <w:kern w:val="0"/>
                      <w:sz w:val="21"/>
                      <w:szCs w:val="21"/>
                    </w:rPr>
                  </w:pPr>
                  <w:r>
                    <w:rPr>
                      <w:rFonts w:hint="eastAsia"/>
                      <w:b/>
                      <w:kern w:val="0"/>
                      <w:sz w:val="21"/>
                      <w:szCs w:val="21"/>
                    </w:rPr>
                    <w:t>西面</w:t>
                  </w:r>
                </w:p>
              </w:tc>
              <w:tc>
                <w:tcPr>
                  <w:tcW w:w="1356" w:type="dxa"/>
                  <w:vAlign w:val="center"/>
                </w:tcPr>
                <w:p w14:paraId="1BD064B6">
                  <w:pPr>
                    <w:topLinePunct/>
                    <w:snapToGrid w:val="0"/>
                    <w:spacing w:line="240" w:lineRule="auto"/>
                    <w:ind w:firstLine="0" w:firstLineChars="0"/>
                    <w:jc w:val="center"/>
                    <w:rPr>
                      <w:b/>
                      <w:kern w:val="0"/>
                      <w:sz w:val="21"/>
                      <w:szCs w:val="21"/>
                    </w:rPr>
                  </w:pPr>
                  <w:r>
                    <w:rPr>
                      <w:rFonts w:hint="eastAsia"/>
                      <w:b/>
                      <w:kern w:val="0"/>
                      <w:sz w:val="21"/>
                      <w:szCs w:val="21"/>
                    </w:rPr>
                    <w:t>北面</w:t>
                  </w:r>
                </w:p>
              </w:tc>
            </w:tr>
            <w:tr w14:paraId="2FEE2B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2841" w:type="dxa"/>
                  <w:vAlign w:val="center"/>
                </w:tcPr>
                <w:p w14:paraId="68DE5FE4">
                  <w:pPr>
                    <w:topLinePunct/>
                    <w:snapToGrid w:val="0"/>
                    <w:spacing w:line="240" w:lineRule="auto"/>
                    <w:ind w:firstLine="0" w:firstLineChars="0"/>
                    <w:jc w:val="center"/>
                    <w:rPr>
                      <w:b/>
                      <w:kern w:val="0"/>
                      <w:sz w:val="21"/>
                      <w:szCs w:val="21"/>
                    </w:rPr>
                  </w:pPr>
                  <w:r>
                    <w:rPr>
                      <w:rFonts w:hint="eastAsia"/>
                      <w:b/>
                      <w:kern w:val="0"/>
                      <w:sz w:val="21"/>
                      <w:szCs w:val="21"/>
                    </w:rPr>
                    <w:t>距厂界距离（m）</w:t>
                  </w:r>
                </w:p>
              </w:tc>
              <w:tc>
                <w:tcPr>
                  <w:tcW w:w="1357" w:type="dxa"/>
                  <w:vAlign w:val="center"/>
                </w:tcPr>
                <w:p w14:paraId="7CAE9B2A">
                  <w:pPr>
                    <w:topLinePunct/>
                    <w:snapToGrid w:val="0"/>
                    <w:spacing w:line="240" w:lineRule="auto"/>
                    <w:ind w:firstLine="0" w:firstLineChars="0"/>
                    <w:jc w:val="center"/>
                    <w:rPr>
                      <w:kern w:val="0"/>
                      <w:sz w:val="21"/>
                      <w:szCs w:val="21"/>
                    </w:rPr>
                  </w:pPr>
                  <w:r>
                    <w:rPr>
                      <w:rFonts w:hint="eastAsia"/>
                      <w:kern w:val="0"/>
                      <w:sz w:val="21"/>
                      <w:szCs w:val="21"/>
                    </w:rPr>
                    <w:t>31</w:t>
                  </w:r>
                </w:p>
              </w:tc>
              <w:tc>
                <w:tcPr>
                  <w:tcW w:w="1356" w:type="dxa"/>
                  <w:vAlign w:val="center"/>
                </w:tcPr>
                <w:p w14:paraId="6D9F8E9E">
                  <w:pPr>
                    <w:topLinePunct/>
                    <w:snapToGrid w:val="0"/>
                    <w:spacing w:line="240" w:lineRule="auto"/>
                    <w:ind w:firstLine="0" w:firstLineChars="0"/>
                    <w:jc w:val="center"/>
                    <w:rPr>
                      <w:kern w:val="0"/>
                      <w:sz w:val="21"/>
                      <w:szCs w:val="21"/>
                    </w:rPr>
                  </w:pPr>
                  <w:r>
                    <w:rPr>
                      <w:rFonts w:hint="eastAsia"/>
                      <w:kern w:val="0"/>
                      <w:sz w:val="21"/>
                      <w:szCs w:val="21"/>
                    </w:rPr>
                    <w:t>13</w:t>
                  </w:r>
                </w:p>
              </w:tc>
              <w:tc>
                <w:tcPr>
                  <w:tcW w:w="1358" w:type="dxa"/>
                  <w:vAlign w:val="center"/>
                </w:tcPr>
                <w:p w14:paraId="6955EF9D">
                  <w:pPr>
                    <w:topLinePunct/>
                    <w:snapToGrid w:val="0"/>
                    <w:spacing w:line="240" w:lineRule="auto"/>
                    <w:ind w:firstLine="0" w:firstLineChars="0"/>
                    <w:jc w:val="center"/>
                    <w:rPr>
                      <w:kern w:val="0"/>
                      <w:sz w:val="21"/>
                      <w:szCs w:val="21"/>
                    </w:rPr>
                  </w:pPr>
                  <w:r>
                    <w:rPr>
                      <w:rFonts w:hint="eastAsia"/>
                      <w:kern w:val="0"/>
                      <w:sz w:val="21"/>
                      <w:szCs w:val="21"/>
                    </w:rPr>
                    <w:t>31</w:t>
                  </w:r>
                </w:p>
              </w:tc>
              <w:tc>
                <w:tcPr>
                  <w:tcW w:w="1356" w:type="dxa"/>
                  <w:vAlign w:val="center"/>
                </w:tcPr>
                <w:p w14:paraId="0C7FA74C">
                  <w:pPr>
                    <w:topLinePunct/>
                    <w:snapToGrid w:val="0"/>
                    <w:spacing w:line="240" w:lineRule="auto"/>
                    <w:ind w:firstLine="0" w:firstLineChars="0"/>
                    <w:jc w:val="center"/>
                    <w:rPr>
                      <w:kern w:val="0"/>
                      <w:sz w:val="21"/>
                      <w:szCs w:val="21"/>
                    </w:rPr>
                  </w:pPr>
                  <w:r>
                    <w:rPr>
                      <w:rFonts w:hint="eastAsia"/>
                      <w:kern w:val="0"/>
                      <w:sz w:val="21"/>
                      <w:szCs w:val="21"/>
                    </w:rPr>
                    <w:t>13</w:t>
                  </w:r>
                </w:p>
              </w:tc>
            </w:tr>
            <w:tr w14:paraId="29E2C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841" w:type="dxa"/>
                  <w:vAlign w:val="center"/>
                </w:tcPr>
                <w:p w14:paraId="3F2ADE21">
                  <w:pPr>
                    <w:topLinePunct/>
                    <w:snapToGrid w:val="0"/>
                    <w:spacing w:line="240" w:lineRule="auto"/>
                    <w:ind w:firstLine="0" w:firstLineChars="0"/>
                    <w:jc w:val="center"/>
                    <w:rPr>
                      <w:b/>
                      <w:kern w:val="0"/>
                      <w:sz w:val="21"/>
                      <w:szCs w:val="21"/>
                    </w:rPr>
                  </w:pPr>
                  <w:r>
                    <w:rPr>
                      <w:rFonts w:hint="eastAsia"/>
                      <w:b/>
                      <w:kern w:val="0"/>
                      <w:sz w:val="21"/>
                      <w:szCs w:val="21"/>
                    </w:rPr>
                    <w:t>（所有设备）厂界噪声预测值</w:t>
                  </w:r>
                </w:p>
              </w:tc>
              <w:tc>
                <w:tcPr>
                  <w:tcW w:w="1357" w:type="dxa"/>
                  <w:vAlign w:val="center"/>
                </w:tcPr>
                <w:p w14:paraId="1B2DF11E">
                  <w:pPr>
                    <w:topLinePunct/>
                    <w:snapToGrid w:val="0"/>
                    <w:spacing w:line="240" w:lineRule="auto"/>
                    <w:ind w:firstLine="0" w:firstLineChars="0"/>
                    <w:jc w:val="center"/>
                    <w:rPr>
                      <w:kern w:val="0"/>
                      <w:sz w:val="21"/>
                      <w:szCs w:val="21"/>
                    </w:rPr>
                  </w:pPr>
                  <w:r>
                    <w:rPr>
                      <w:rFonts w:hint="eastAsia"/>
                      <w:kern w:val="0"/>
                      <w:sz w:val="21"/>
                      <w:szCs w:val="21"/>
                    </w:rPr>
                    <w:t>29.4</w:t>
                  </w:r>
                </w:p>
              </w:tc>
              <w:tc>
                <w:tcPr>
                  <w:tcW w:w="1356" w:type="dxa"/>
                  <w:vAlign w:val="center"/>
                </w:tcPr>
                <w:p w14:paraId="0FBFEDA7">
                  <w:pPr>
                    <w:topLinePunct/>
                    <w:snapToGrid w:val="0"/>
                    <w:spacing w:line="240" w:lineRule="auto"/>
                    <w:ind w:firstLine="0" w:firstLineChars="0"/>
                    <w:jc w:val="center"/>
                    <w:rPr>
                      <w:kern w:val="0"/>
                      <w:sz w:val="21"/>
                      <w:szCs w:val="21"/>
                    </w:rPr>
                  </w:pPr>
                  <w:r>
                    <w:rPr>
                      <w:rFonts w:hint="eastAsia"/>
                      <w:kern w:val="0"/>
                      <w:sz w:val="21"/>
                      <w:szCs w:val="21"/>
                    </w:rPr>
                    <w:t>36.9</w:t>
                  </w:r>
                </w:p>
              </w:tc>
              <w:tc>
                <w:tcPr>
                  <w:tcW w:w="1358" w:type="dxa"/>
                  <w:vAlign w:val="center"/>
                </w:tcPr>
                <w:p w14:paraId="5827E051">
                  <w:pPr>
                    <w:topLinePunct/>
                    <w:snapToGrid w:val="0"/>
                    <w:spacing w:line="240" w:lineRule="auto"/>
                    <w:ind w:firstLine="0" w:firstLineChars="0"/>
                    <w:jc w:val="center"/>
                    <w:rPr>
                      <w:kern w:val="0"/>
                      <w:sz w:val="21"/>
                      <w:szCs w:val="21"/>
                    </w:rPr>
                  </w:pPr>
                  <w:r>
                    <w:rPr>
                      <w:rFonts w:hint="eastAsia"/>
                      <w:kern w:val="0"/>
                      <w:sz w:val="21"/>
                      <w:szCs w:val="21"/>
                    </w:rPr>
                    <w:t>29.4</w:t>
                  </w:r>
                </w:p>
              </w:tc>
              <w:tc>
                <w:tcPr>
                  <w:tcW w:w="1356" w:type="dxa"/>
                  <w:vAlign w:val="center"/>
                </w:tcPr>
                <w:p w14:paraId="49AF5C21">
                  <w:pPr>
                    <w:topLinePunct/>
                    <w:snapToGrid w:val="0"/>
                    <w:spacing w:line="240" w:lineRule="auto"/>
                    <w:ind w:firstLine="0" w:firstLineChars="0"/>
                    <w:jc w:val="center"/>
                    <w:rPr>
                      <w:kern w:val="0"/>
                      <w:sz w:val="21"/>
                      <w:szCs w:val="21"/>
                    </w:rPr>
                  </w:pPr>
                  <w:r>
                    <w:rPr>
                      <w:rFonts w:hint="eastAsia"/>
                      <w:kern w:val="0"/>
                      <w:sz w:val="21"/>
                      <w:szCs w:val="21"/>
                    </w:rPr>
                    <w:t>36.9</w:t>
                  </w:r>
                </w:p>
              </w:tc>
            </w:tr>
            <w:tr w14:paraId="0A593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9" w:hRule="atLeast"/>
                <w:jc w:val="center"/>
              </w:trPr>
              <w:tc>
                <w:tcPr>
                  <w:tcW w:w="2841" w:type="dxa"/>
                  <w:vAlign w:val="center"/>
                </w:tcPr>
                <w:p w14:paraId="64FC5F07">
                  <w:pPr>
                    <w:topLinePunct/>
                    <w:snapToGrid w:val="0"/>
                    <w:spacing w:line="240" w:lineRule="auto"/>
                    <w:ind w:firstLine="0" w:firstLineChars="0"/>
                    <w:jc w:val="center"/>
                    <w:rPr>
                      <w:b/>
                      <w:kern w:val="0"/>
                      <w:sz w:val="21"/>
                      <w:szCs w:val="21"/>
                    </w:rPr>
                  </w:pPr>
                  <w:r>
                    <w:rPr>
                      <w:rFonts w:hint="eastAsia"/>
                      <w:b/>
                      <w:kern w:val="0"/>
                      <w:sz w:val="21"/>
                      <w:szCs w:val="21"/>
                    </w:rPr>
                    <w:t>执行标准</w:t>
                  </w:r>
                </w:p>
              </w:tc>
              <w:tc>
                <w:tcPr>
                  <w:tcW w:w="5427" w:type="dxa"/>
                  <w:gridSpan w:val="4"/>
                  <w:vAlign w:val="center"/>
                </w:tcPr>
                <w:p w14:paraId="243126D3">
                  <w:pPr>
                    <w:topLinePunct/>
                    <w:snapToGrid w:val="0"/>
                    <w:spacing w:line="240" w:lineRule="auto"/>
                    <w:ind w:firstLine="0" w:firstLineChars="0"/>
                    <w:jc w:val="center"/>
                    <w:rPr>
                      <w:kern w:val="0"/>
                      <w:sz w:val="21"/>
                      <w:szCs w:val="21"/>
                    </w:rPr>
                  </w:pPr>
                  <w:r>
                    <w:rPr>
                      <w:rFonts w:hint="eastAsia"/>
                      <w:sz w:val="21"/>
                    </w:rPr>
                    <w:t>《工业企业厂界环境噪声排放标准》（GB12348-2008）中2类标准：</w:t>
                  </w:r>
                  <w:r>
                    <w:rPr>
                      <w:kern w:val="0"/>
                      <w:sz w:val="21"/>
                      <w:szCs w:val="21"/>
                    </w:rPr>
                    <w:t>≤</w:t>
                  </w:r>
                  <w:r>
                    <w:rPr>
                      <w:rFonts w:hint="eastAsia"/>
                      <w:kern w:val="0"/>
                      <w:sz w:val="21"/>
                      <w:szCs w:val="21"/>
                    </w:rPr>
                    <w:t>60</w:t>
                  </w:r>
                  <w:r>
                    <w:rPr>
                      <w:kern w:val="0"/>
                      <w:sz w:val="21"/>
                      <w:szCs w:val="21"/>
                    </w:rPr>
                    <w:t>（昼间）</w:t>
                  </w:r>
                </w:p>
              </w:tc>
            </w:tr>
            <w:tr w14:paraId="351D8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2841" w:type="dxa"/>
                  <w:vAlign w:val="center"/>
                </w:tcPr>
                <w:p w14:paraId="16E7DC81">
                  <w:pPr>
                    <w:topLinePunct/>
                    <w:snapToGrid w:val="0"/>
                    <w:spacing w:line="240" w:lineRule="auto"/>
                    <w:ind w:firstLine="0" w:firstLineChars="0"/>
                    <w:jc w:val="center"/>
                    <w:rPr>
                      <w:b/>
                      <w:kern w:val="0"/>
                      <w:sz w:val="21"/>
                      <w:szCs w:val="21"/>
                    </w:rPr>
                  </w:pPr>
                  <w:r>
                    <w:rPr>
                      <w:rFonts w:hint="eastAsia"/>
                      <w:b/>
                      <w:kern w:val="0"/>
                      <w:sz w:val="21"/>
                      <w:szCs w:val="21"/>
                    </w:rPr>
                    <w:t>是否达标</w:t>
                  </w:r>
                </w:p>
              </w:tc>
              <w:tc>
                <w:tcPr>
                  <w:tcW w:w="5427" w:type="dxa"/>
                  <w:gridSpan w:val="4"/>
                  <w:vAlign w:val="center"/>
                </w:tcPr>
                <w:p w14:paraId="6287C4EC">
                  <w:pPr>
                    <w:topLinePunct/>
                    <w:snapToGrid w:val="0"/>
                    <w:spacing w:line="240" w:lineRule="auto"/>
                    <w:ind w:firstLine="0" w:firstLineChars="0"/>
                    <w:jc w:val="center"/>
                    <w:rPr>
                      <w:kern w:val="0"/>
                      <w:sz w:val="21"/>
                      <w:szCs w:val="21"/>
                    </w:rPr>
                  </w:pPr>
                  <w:r>
                    <w:rPr>
                      <w:rFonts w:hint="eastAsia"/>
                      <w:kern w:val="0"/>
                      <w:sz w:val="21"/>
                      <w:szCs w:val="21"/>
                    </w:rPr>
                    <w:t>达标</w:t>
                  </w:r>
                </w:p>
              </w:tc>
            </w:tr>
          </w:tbl>
          <w:p w14:paraId="157208E1">
            <w:pPr>
              <w:ind w:firstLine="480"/>
              <w:jc w:val="both"/>
            </w:pPr>
            <w:r>
              <w:rPr>
                <w:rFonts w:hint="eastAsia"/>
              </w:rPr>
              <w:t>根据上表预测结果可知，项目主要噪声设备经墙体隔声、基础减震措施后，对厂界的昼间噪声贡献值均可达到《工业企业厂界环境噪声排放标准》（GB12348-2008）中2类标准，故项目噪声对周边环境无不良影响。</w:t>
            </w:r>
          </w:p>
          <w:p w14:paraId="08D10FDD">
            <w:pPr>
              <w:ind w:firstLine="482"/>
              <w:rPr>
                <w:rFonts w:hAnsi="宋体"/>
                <w:b/>
                <w:kern w:val="0"/>
              </w:rPr>
            </w:pPr>
            <w:r>
              <w:rPr>
                <w:rFonts w:hint="eastAsia" w:hAnsi="宋体"/>
                <w:b/>
                <w:kern w:val="0"/>
              </w:rPr>
              <w:t>3、噪声防治措施</w:t>
            </w:r>
          </w:p>
          <w:p w14:paraId="41BAC588">
            <w:pPr>
              <w:ind w:firstLine="480"/>
              <w:jc w:val="both"/>
              <w:rPr>
                <w:rFonts w:hAnsi="宋体"/>
                <w:kern w:val="0"/>
              </w:rPr>
            </w:pPr>
            <w:r>
              <w:rPr>
                <w:rFonts w:hAnsi="宋体"/>
                <w:kern w:val="0"/>
              </w:rPr>
              <w:t>项目</w:t>
            </w:r>
            <w:r>
              <w:rPr>
                <w:rFonts w:hint="eastAsia" w:hAnsi="宋体"/>
                <w:kern w:val="0"/>
              </w:rPr>
              <w:t>生产设备</w:t>
            </w:r>
            <w:r>
              <w:rPr>
                <w:rFonts w:hAnsi="宋体"/>
                <w:kern w:val="0"/>
              </w:rPr>
              <w:t>产生的噪声</w:t>
            </w:r>
            <w:r>
              <w:rPr>
                <w:rFonts w:hint="eastAsia" w:hAnsi="宋体"/>
                <w:kern w:val="0"/>
              </w:rPr>
              <w:t>采取降噪措施后</w:t>
            </w:r>
            <w:r>
              <w:rPr>
                <w:rFonts w:hAnsi="宋体"/>
                <w:kern w:val="0"/>
              </w:rPr>
              <w:t>，可有效降低噪声对周围环境</w:t>
            </w:r>
            <w:r>
              <w:rPr>
                <w:rFonts w:hint="eastAsia" w:hAnsi="宋体"/>
                <w:kern w:val="0"/>
              </w:rPr>
              <w:t>的</w:t>
            </w:r>
            <w:r>
              <w:rPr>
                <w:rFonts w:hAnsi="宋体"/>
                <w:kern w:val="0"/>
              </w:rPr>
              <w:t>影响，具体降噪措施如下：</w:t>
            </w:r>
          </w:p>
          <w:p w14:paraId="333D4320">
            <w:pPr>
              <w:ind w:firstLine="480"/>
              <w:jc w:val="both"/>
              <w:rPr>
                <w:kern w:val="0"/>
              </w:rPr>
            </w:pPr>
            <w:r>
              <w:rPr>
                <w:rFonts w:hAnsi="宋体"/>
                <w:kern w:val="0"/>
              </w:rPr>
              <w:t>①合理布</w:t>
            </w:r>
            <w:r>
              <w:rPr>
                <w:rFonts w:hint="eastAsia" w:hAnsi="宋体"/>
                <w:kern w:val="0"/>
              </w:rPr>
              <w:t>局</w:t>
            </w:r>
            <w:r>
              <w:rPr>
                <w:rFonts w:hAnsi="宋体"/>
                <w:kern w:val="0"/>
              </w:rPr>
              <w:t>生产</w:t>
            </w:r>
            <w:r>
              <w:rPr>
                <w:rFonts w:hint="eastAsia" w:hAnsi="宋体"/>
                <w:kern w:val="0"/>
              </w:rPr>
              <w:t>设备</w:t>
            </w:r>
            <w:r>
              <w:rPr>
                <w:rFonts w:hAnsi="宋体"/>
                <w:kern w:val="0"/>
              </w:rPr>
              <w:t>，</w:t>
            </w:r>
            <w:r>
              <w:rPr>
                <w:rFonts w:hint="eastAsia" w:hAnsi="宋体"/>
                <w:kern w:val="0"/>
              </w:rPr>
              <w:t>噪声源尽可能远离厂界，以减轻对外界环境的影响，空压机独立设置空压机房，并安装隔声罩。</w:t>
            </w:r>
          </w:p>
          <w:p w14:paraId="72EC1EE3">
            <w:pPr>
              <w:ind w:firstLine="480"/>
              <w:jc w:val="both"/>
              <w:rPr>
                <w:rFonts w:hAnsi="宋体"/>
                <w:kern w:val="0"/>
              </w:rPr>
            </w:pPr>
            <w:r>
              <w:rPr>
                <w:rFonts w:hAnsi="宋体"/>
                <w:kern w:val="0"/>
              </w:rPr>
              <w:t>②</w:t>
            </w:r>
            <w:r>
              <w:rPr>
                <w:spacing w:val="1"/>
              </w:rPr>
              <w:t>选</w:t>
            </w:r>
            <w:r>
              <w:rPr>
                <w:rFonts w:hint="eastAsia"/>
                <w:spacing w:val="1"/>
              </w:rPr>
              <w:t>用</w:t>
            </w:r>
            <w:r>
              <w:rPr>
                <w:spacing w:val="1"/>
              </w:rPr>
              <w:t>低噪声设备，并对高噪声设备采取</w:t>
            </w:r>
            <w:r>
              <w:t>隔声</w:t>
            </w:r>
            <w:r>
              <w:rPr>
                <w:rFonts w:hint="eastAsia"/>
              </w:rPr>
              <w:t>、减震</w:t>
            </w:r>
            <w:r>
              <w:t>措</w:t>
            </w:r>
            <w:r>
              <w:rPr>
                <w:spacing w:val="-1"/>
              </w:rPr>
              <w:t>施。</w:t>
            </w:r>
          </w:p>
          <w:p w14:paraId="1DC187C4">
            <w:pPr>
              <w:ind w:firstLine="480"/>
              <w:jc w:val="both"/>
              <w:rPr>
                <w:rFonts w:hAnsi="宋体"/>
                <w:kern w:val="0"/>
              </w:rPr>
            </w:pPr>
            <w:r>
              <w:rPr>
                <w:rFonts w:hAnsi="宋体"/>
                <w:kern w:val="0"/>
              </w:rPr>
              <w:t>③</w:t>
            </w:r>
            <w:r>
              <w:rPr>
                <w:rFonts w:hint="eastAsia"/>
              </w:rPr>
              <w:t>加强</w:t>
            </w:r>
            <w:r>
              <w:rPr>
                <w:spacing w:val="1"/>
              </w:rPr>
              <w:t>设备</w:t>
            </w:r>
            <w:r>
              <w:rPr>
                <w:rFonts w:hint="eastAsia"/>
                <w:spacing w:val="1"/>
              </w:rPr>
              <w:t>的维护与管理</w:t>
            </w:r>
            <w:r>
              <w:rPr>
                <w:rFonts w:hint="eastAsia"/>
              </w:rPr>
              <w:t>，</w:t>
            </w:r>
            <w:r>
              <w:rPr>
                <w:rFonts w:hAnsi="宋体"/>
                <w:kern w:val="0"/>
              </w:rPr>
              <w:t>使设备处于良好的运行状态</w:t>
            </w:r>
            <w:r>
              <w:rPr>
                <w:rFonts w:hint="eastAsia" w:hAnsi="宋体"/>
                <w:kern w:val="0"/>
              </w:rPr>
              <w:t>，避免设备异常运行时产生的高噪声现象</w:t>
            </w:r>
            <w:r>
              <w:rPr>
                <w:rFonts w:hAnsi="宋体"/>
                <w:kern w:val="0"/>
              </w:rPr>
              <w:t>。</w:t>
            </w:r>
          </w:p>
          <w:p w14:paraId="79D81E16">
            <w:pPr>
              <w:pStyle w:val="23"/>
              <w:snapToGrid/>
              <w:ind w:firstLine="482"/>
              <w:jc w:val="both"/>
              <w:rPr>
                <w:b/>
                <w:sz w:val="24"/>
                <w:szCs w:val="24"/>
              </w:rPr>
            </w:pPr>
            <w:r>
              <w:rPr>
                <w:rFonts w:hint="eastAsia"/>
                <w:b/>
                <w:sz w:val="24"/>
                <w:szCs w:val="24"/>
              </w:rPr>
              <w:t>4</w:t>
            </w:r>
            <w:r>
              <w:rPr>
                <w:b/>
                <w:sz w:val="24"/>
                <w:szCs w:val="24"/>
              </w:rPr>
              <w:t>、噪声达标情况分析</w:t>
            </w:r>
          </w:p>
          <w:p w14:paraId="11600DFA">
            <w:pPr>
              <w:pStyle w:val="127"/>
              <w:adjustRightInd/>
              <w:ind w:firstLine="480" w:firstLineChars="200"/>
              <w:rPr>
                <w:rFonts w:ascii="Times New Roman"/>
                <w:kern w:val="2"/>
                <w:szCs w:val="24"/>
              </w:rPr>
            </w:pPr>
            <w:r>
              <w:rPr>
                <w:rFonts w:ascii="Times New Roman"/>
                <w:kern w:val="2"/>
                <w:szCs w:val="24"/>
              </w:rPr>
              <w:t>项目</w:t>
            </w:r>
            <w:r>
              <w:rPr>
                <w:rFonts w:hint="eastAsia" w:ascii="Times New Roman"/>
                <w:kern w:val="2"/>
                <w:szCs w:val="24"/>
              </w:rPr>
              <w:t>厂界</w:t>
            </w:r>
            <w:r>
              <w:rPr>
                <w:rFonts w:ascii="Times New Roman"/>
                <w:kern w:val="2"/>
                <w:szCs w:val="24"/>
              </w:rPr>
              <w:t>50m范围内无声环境保护目标</w:t>
            </w:r>
            <w:r>
              <w:rPr>
                <w:rFonts w:hint="eastAsia" w:ascii="Times New Roman"/>
                <w:kern w:val="2"/>
                <w:szCs w:val="24"/>
              </w:rPr>
              <w:t>，</w:t>
            </w:r>
            <w:r>
              <w:rPr>
                <w:rFonts w:ascii="Times New Roman"/>
                <w:kern w:val="2"/>
                <w:szCs w:val="24"/>
              </w:rPr>
              <w:t>通过采取</w:t>
            </w:r>
            <w:r>
              <w:rPr>
                <w:rFonts w:hint="eastAsia" w:ascii="Times New Roman"/>
                <w:kern w:val="2"/>
                <w:szCs w:val="24"/>
              </w:rPr>
              <w:t>隔声、减震等降噪</w:t>
            </w:r>
            <w:r>
              <w:rPr>
                <w:rFonts w:ascii="Times New Roman"/>
                <w:kern w:val="2"/>
                <w:szCs w:val="24"/>
              </w:rPr>
              <w:t>措施后，项目厂界</w:t>
            </w:r>
            <w:r>
              <w:rPr>
                <w:rFonts w:hint="eastAsia" w:ascii="Times New Roman"/>
                <w:kern w:val="2"/>
                <w:szCs w:val="24"/>
              </w:rPr>
              <w:t>的昼间</w:t>
            </w:r>
            <w:r>
              <w:rPr>
                <w:rFonts w:ascii="Times New Roman"/>
                <w:kern w:val="2"/>
                <w:szCs w:val="24"/>
              </w:rPr>
              <w:t>噪声</w:t>
            </w:r>
            <w:r>
              <w:rPr>
                <w:rFonts w:hint="eastAsia" w:ascii="Times New Roman"/>
                <w:kern w:val="2"/>
                <w:szCs w:val="24"/>
              </w:rPr>
              <w:t>贡献值</w:t>
            </w:r>
            <w:r>
              <w:rPr>
                <w:rFonts w:ascii="Times New Roman"/>
                <w:kern w:val="2"/>
                <w:szCs w:val="24"/>
              </w:rPr>
              <w:t>能</w:t>
            </w:r>
            <w:r>
              <w:rPr>
                <w:rFonts w:hint="eastAsia" w:ascii="Times New Roman"/>
                <w:kern w:val="2"/>
                <w:szCs w:val="24"/>
              </w:rPr>
              <w:t>达到</w:t>
            </w:r>
            <w:r>
              <w:rPr>
                <w:rFonts w:ascii="Times New Roman"/>
                <w:kern w:val="2"/>
                <w:szCs w:val="24"/>
              </w:rPr>
              <w:t>《工业企业厂界环境噪声排放标准》（GB12348-2008）中的</w:t>
            </w:r>
            <w:r>
              <w:rPr>
                <w:rFonts w:hint="eastAsia" w:ascii="Times New Roman"/>
                <w:kern w:val="2"/>
                <w:szCs w:val="24"/>
              </w:rPr>
              <w:t>2</w:t>
            </w:r>
            <w:r>
              <w:rPr>
                <w:rFonts w:ascii="Times New Roman"/>
                <w:kern w:val="2"/>
                <w:szCs w:val="24"/>
              </w:rPr>
              <w:t>类标准，</w:t>
            </w:r>
            <w:r>
              <w:rPr>
                <w:rFonts w:hint="eastAsia" w:ascii="Times New Roman"/>
                <w:kern w:val="2"/>
                <w:szCs w:val="24"/>
              </w:rPr>
              <w:t>因此，项目厂界噪声对周边环境影响较小。</w:t>
            </w:r>
          </w:p>
          <w:p w14:paraId="5C84E47A">
            <w:pPr>
              <w:pStyle w:val="19"/>
              <w:ind w:firstLine="482"/>
              <w:jc w:val="both"/>
              <w:rPr>
                <w:rFonts w:ascii="Times New Roman" w:hAnsi="Times New Roman" w:eastAsia="宋体"/>
                <w:b/>
                <w:snapToGrid/>
                <w:szCs w:val="24"/>
              </w:rPr>
            </w:pPr>
            <w:r>
              <w:rPr>
                <w:rFonts w:hint="eastAsia" w:ascii="Times New Roman" w:hAnsi="Times New Roman" w:eastAsia="宋体"/>
                <w:b/>
                <w:snapToGrid/>
                <w:szCs w:val="24"/>
              </w:rPr>
              <w:t>5、</w:t>
            </w:r>
            <w:r>
              <w:rPr>
                <w:rFonts w:ascii="Times New Roman" w:hAnsi="Times New Roman" w:eastAsia="宋体"/>
                <w:b/>
                <w:snapToGrid/>
                <w:szCs w:val="24"/>
              </w:rPr>
              <w:t>监测计划</w:t>
            </w:r>
          </w:p>
          <w:p w14:paraId="463B699B">
            <w:pPr>
              <w:ind w:firstLine="480"/>
              <w:jc w:val="both"/>
            </w:pPr>
            <w:r>
              <w:t>根据《排污单位自行监测技术指南 总则》（HJ819-2017），本</w:t>
            </w:r>
            <w:r>
              <w:rPr>
                <w:rFonts w:hint="eastAsia"/>
              </w:rPr>
              <w:t>项目</w:t>
            </w:r>
            <w:r>
              <w:t>噪声监测计划见下表：</w:t>
            </w:r>
          </w:p>
          <w:p w14:paraId="096AA15C">
            <w:pPr>
              <w:pStyle w:val="16"/>
              <w:rPr>
                <w:kern w:val="2"/>
                <w:szCs w:val="24"/>
              </w:rPr>
            </w:pPr>
            <w:r>
              <w:rPr>
                <w:kern w:val="2"/>
                <w:szCs w:val="24"/>
              </w:rPr>
              <w:t>表4-</w:t>
            </w:r>
            <w:r>
              <w:rPr>
                <w:rFonts w:hint="eastAsia"/>
                <w:kern w:val="2"/>
                <w:szCs w:val="24"/>
              </w:rPr>
              <w:t>15</w:t>
            </w:r>
            <w:r>
              <w:rPr>
                <w:kern w:val="2"/>
                <w:szCs w:val="24"/>
              </w:rPr>
              <w:t xml:space="preserve"> 项目噪声监测计划表</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4"/>
              <w:gridCol w:w="1253"/>
              <w:gridCol w:w="1531"/>
              <w:gridCol w:w="1386"/>
              <w:gridCol w:w="3250"/>
            </w:tblGrid>
            <w:tr w14:paraId="643A1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jc w:val="center"/>
              </w:trPr>
              <w:tc>
                <w:tcPr>
                  <w:tcW w:w="652" w:type="pct"/>
                  <w:vAlign w:val="center"/>
                </w:tcPr>
                <w:p w14:paraId="11009660">
                  <w:pPr>
                    <w:pStyle w:val="8"/>
                    <w:rPr>
                      <w:b/>
                      <w:bCs/>
                    </w:rPr>
                  </w:pPr>
                  <w:r>
                    <w:rPr>
                      <w:b/>
                      <w:bCs/>
                    </w:rPr>
                    <w:t>监测项目</w:t>
                  </w:r>
                </w:p>
              </w:tc>
              <w:tc>
                <w:tcPr>
                  <w:tcW w:w="734" w:type="pct"/>
                  <w:vAlign w:val="center"/>
                </w:tcPr>
                <w:p w14:paraId="5A60B4CD">
                  <w:pPr>
                    <w:pStyle w:val="8"/>
                    <w:rPr>
                      <w:b/>
                      <w:bCs/>
                    </w:rPr>
                  </w:pPr>
                  <w:r>
                    <w:rPr>
                      <w:b/>
                      <w:bCs/>
                    </w:rPr>
                    <w:t>监测点</w:t>
                  </w:r>
                </w:p>
              </w:tc>
              <w:tc>
                <w:tcPr>
                  <w:tcW w:w="897" w:type="pct"/>
                  <w:vAlign w:val="center"/>
                </w:tcPr>
                <w:p w14:paraId="29990E7D">
                  <w:pPr>
                    <w:pStyle w:val="8"/>
                    <w:rPr>
                      <w:b/>
                      <w:bCs/>
                    </w:rPr>
                  </w:pPr>
                  <w:r>
                    <w:rPr>
                      <w:b/>
                      <w:bCs/>
                    </w:rPr>
                    <w:t>监测指标</w:t>
                  </w:r>
                </w:p>
              </w:tc>
              <w:tc>
                <w:tcPr>
                  <w:tcW w:w="812" w:type="pct"/>
                  <w:vAlign w:val="center"/>
                </w:tcPr>
                <w:p w14:paraId="54AF3C4B">
                  <w:pPr>
                    <w:pStyle w:val="8"/>
                    <w:rPr>
                      <w:b/>
                      <w:bCs/>
                    </w:rPr>
                  </w:pPr>
                  <w:r>
                    <w:rPr>
                      <w:b/>
                      <w:bCs/>
                    </w:rPr>
                    <w:t>监测频次</w:t>
                  </w:r>
                </w:p>
              </w:tc>
              <w:tc>
                <w:tcPr>
                  <w:tcW w:w="1904" w:type="pct"/>
                  <w:vAlign w:val="center"/>
                </w:tcPr>
                <w:p w14:paraId="4F757CD0">
                  <w:pPr>
                    <w:pStyle w:val="8"/>
                    <w:rPr>
                      <w:b/>
                      <w:bCs/>
                    </w:rPr>
                  </w:pPr>
                  <w:r>
                    <w:rPr>
                      <w:b/>
                      <w:bCs/>
                    </w:rPr>
                    <w:t>执行排放标准</w:t>
                  </w:r>
                </w:p>
              </w:tc>
            </w:tr>
            <w:tr w14:paraId="507BB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2" w:type="pct"/>
                  <w:vAlign w:val="center"/>
                </w:tcPr>
                <w:p w14:paraId="3E781DB6">
                  <w:pPr>
                    <w:pStyle w:val="8"/>
                  </w:pPr>
                  <w:r>
                    <w:t>噪声</w:t>
                  </w:r>
                </w:p>
              </w:tc>
              <w:tc>
                <w:tcPr>
                  <w:tcW w:w="734" w:type="pct"/>
                  <w:vAlign w:val="center"/>
                </w:tcPr>
                <w:p w14:paraId="3ADBFEAA">
                  <w:pPr>
                    <w:pStyle w:val="8"/>
                  </w:pPr>
                  <w:r>
                    <w:rPr>
                      <w:rFonts w:hint="eastAsia"/>
                    </w:rPr>
                    <w:t>四周厂界外1米处</w:t>
                  </w:r>
                </w:p>
              </w:tc>
              <w:tc>
                <w:tcPr>
                  <w:tcW w:w="897" w:type="pct"/>
                  <w:vAlign w:val="center"/>
                </w:tcPr>
                <w:p w14:paraId="7CDA94D0">
                  <w:pPr>
                    <w:pStyle w:val="8"/>
                  </w:pPr>
                  <w:r>
                    <w:t>连续等效</w:t>
                  </w:r>
                  <w:r>
                    <w:rPr>
                      <w:rFonts w:hint="eastAsia"/>
                    </w:rPr>
                    <w:t>A</w:t>
                  </w:r>
                  <w:r>
                    <w:t>声级</w:t>
                  </w:r>
                </w:p>
              </w:tc>
              <w:tc>
                <w:tcPr>
                  <w:tcW w:w="812" w:type="pct"/>
                  <w:vAlign w:val="center"/>
                </w:tcPr>
                <w:p w14:paraId="06BECD8F">
                  <w:pPr>
                    <w:pStyle w:val="8"/>
                  </w:pPr>
                  <w:r>
                    <w:t>每季度1次</w:t>
                  </w:r>
                </w:p>
              </w:tc>
              <w:tc>
                <w:tcPr>
                  <w:tcW w:w="1904" w:type="pct"/>
                  <w:vAlign w:val="center"/>
                </w:tcPr>
                <w:p w14:paraId="78FD78F2">
                  <w:pPr>
                    <w:pStyle w:val="8"/>
                  </w:pPr>
                  <w:r>
                    <w:t>《工业企业厂界环境噪声排放标准》（GB3096-2008）</w:t>
                  </w:r>
                  <w:r>
                    <w:rPr>
                      <w:rFonts w:hint="eastAsia"/>
                    </w:rPr>
                    <w:t>2类</w:t>
                  </w:r>
                  <w:r>
                    <w:t>标准</w:t>
                  </w:r>
                </w:p>
              </w:tc>
            </w:tr>
          </w:tbl>
          <w:p w14:paraId="27387A5C">
            <w:pPr>
              <w:ind w:firstLine="482"/>
              <w:rPr>
                <w:b/>
              </w:rPr>
            </w:pPr>
            <w:r>
              <w:rPr>
                <w:rFonts w:hint="eastAsia"/>
                <w:b/>
              </w:rPr>
              <w:t>四、</w:t>
            </w:r>
            <w:r>
              <w:rPr>
                <w:b/>
              </w:rPr>
              <w:t>固体废物</w:t>
            </w:r>
          </w:p>
          <w:p w14:paraId="2BFB33A8">
            <w:pPr>
              <w:ind w:firstLine="482"/>
              <w:rPr>
                <w:b/>
              </w:rPr>
            </w:pPr>
            <w:r>
              <w:rPr>
                <w:rFonts w:hint="eastAsia"/>
                <w:b/>
              </w:rPr>
              <w:t>1、</w:t>
            </w:r>
            <w:r>
              <w:rPr>
                <w:b/>
              </w:rPr>
              <w:t>固体废物产生情况及去向</w:t>
            </w:r>
          </w:p>
          <w:p w14:paraId="1D41D47E">
            <w:pPr>
              <w:ind w:firstLine="480"/>
              <w:jc w:val="both"/>
              <w:rPr>
                <w:rFonts w:cs="宋体"/>
                <w:snapToGrid w:val="0"/>
                <w:kern w:val="0"/>
              </w:rPr>
            </w:pPr>
            <w:r>
              <w:rPr>
                <w:rFonts w:hint="eastAsia" w:cs="宋体"/>
                <w:snapToGrid w:val="0"/>
                <w:kern w:val="0"/>
              </w:rPr>
              <w:t>（1）生活垃圾</w:t>
            </w:r>
          </w:p>
          <w:p w14:paraId="5C8A2263">
            <w:pPr>
              <w:ind w:firstLine="480"/>
              <w:jc w:val="both"/>
              <w:rPr>
                <w:rFonts w:cs="宋体"/>
                <w:snapToGrid w:val="0"/>
                <w:kern w:val="0"/>
              </w:rPr>
            </w:pPr>
            <w:r>
              <w:rPr>
                <w:rFonts w:hint="eastAsia" w:cs="宋体"/>
                <w:snapToGrid w:val="0"/>
                <w:kern w:val="0"/>
              </w:rPr>
              <w:t>根据建设单位提供的资料，本项目员工8人，根据《社会区域类环境影响评价》（中国环境科学出版社），我国目前城市人均办公垃圾为</w:t>
            </w:r>
            <w:r>
              <w:rPr>
                <w:rFonts w:cs="宋体"/>
                <w:snapToGrid w:val="0"/>
                <w:kern w:val="0"/>
              </w:rPr>
              <w:t>0.5~1.0 kg/</w:t>
            </w:r>
            <w:r>
              <w:rPr>
                <w:rFonts w:hint="eastAsia" w:cs="宋体"/>
                <w:snapToGrid w:val="0"/>
                <w:kern w:val="0"/>
              </w:rPr>
              <w:t>人·</w:t>
            </w:r>
            <w:r>
              <w:rPr>
                <w:rFonts w:cs="宋体"/>
                <w:snapToGrid w:val="0"/>
                <w:kern w:val="0"/>
              </w:rPr>
              <w:t>d</w:t>
            </w:r>
            <w:r>
              <w:rPr>
                <w:rFonts w:hint="eastAsia" w:cs="宋体"/>
                <w:snapToGrid w:val="0"/>
                <w:kern w:val="0"/>
              </w:rPr>
              <w:t>，本项目按0.5</w:t>
            </w:r>
            <w:r>
              <w:rPr>
                <w:rFonts w:cs="宋体"/>
                <w:snapToGrid w:val="0"/>
                <w:kern w:val="0"/>
              </w:rPr>
              <w:t>kg/</w:t>
            </w:r>
            <w:r>
              <w:rPr>
                <w:rFonts w:hint="eastAsia" w:cs="宋体"/>
                <w:snapToGrid w:val="0"/>
                <w:kern w:val="0"/>
              </w:rPr>
              <w:t>人·</w:t>
            </w:r>
            <w:r>
              <w:rPr>
                <w:rFonts w:cs="宋体"/>
                <w:snapToGrid w:val="0"/>
                <w:kern w:val="0"/>
              </w:rPr>
              <w:t>d</w:t>
            </w:r>
            <w:r>
              <w:rPr>
                <w:rFonts w:hint="eastAsia" w:cs="宋体"/>
                <w:snapToGrid w:val="0"/>
                <w:kern w:val="0"/>
              </w:rPr>
              <w:t>计算，项目年生产250天，则年产生的生活垃圾量约为1</w:t>
            </w:r>
            <w:r>
              <w:rPr>
                <w:rFonts w:cs="宋体"/>
                <w:snapToGrid w:val="0"/>
                <w:kern w:val="0"/>
              </w:rPr>
              <w:t>t</w:t>
            </w:r>
            <w:r>
              <w:rPr>
                <w:rFonts w:hint="eastAsia" w:cs="宋体"/>
                <w:snapToGrid w:val="0"/>
                <w:kern w:val="0"/>
              </w:rPr>
              <w:t>，经收集后交环卫部门清运处理。</w:t>
            </w:r>
          </w:p>
          <w:p w14:paraId="2CD1AB86">
            <w:pPr>
              <w:ind w:firstLine="480"/>
              <w:jc w:val="both"/>
              <w:rPr>
                <w:rFonts w:cs="宋体"/>
                <w:snapToGrid w:val="0"/>
                <w:kern w:val="0"/>
              </w:rPr>
            </w:pPr>
            <w:r>
              <w:rPr>
                <w:rFonts w:cs="宋体"/>
                <w:snapToGrid w:val="0"/>
                <w:kern w:val="0"/>
              </w:rPr>
              <w:t>（</w:t>
            </w:r>
            <w:r>
              <w:rPr>
                <w:rFonts w:hint="eastAsia" w:cs="宋体"/>
                <w:snapToGrid w:val="0"/>
                <w:kern w:val="0"/>
              </w:rPr>
              <w:t>2</w:t>
            </w:r>
            <w:r>
              <w:rPr>
                <w:rFonts w:cs="宋体"/>
                <w:snapToGrid w:val="0"/>
                <w:kern w:val="0"/>
              </w:rPr>
              <w:t>）一般工业固废</w:t>
            </w:r>
          </w:p>
          <w:p w14:paraId="289C90BA">
            <w:pPr>
              <w:ind w:firstLine="480"/>
              <w:jc w:val="both"/>
              <w:rPr>
                <w:rFonts w:cs="宋体"/>
                <w:snapToGrid w:val="0"/>
                <w:kern w:val="0"/>
              </w:rPr>
            </w:pPr>
            <w:r>
              <w:rPr>
                <w:rFonts w:cs="宋体"/>
                <w:snapToGrid w:val="0"/>
                <w:kern w:val="0"/>
              </w:rPr>
              <w:t>废包装材料</w:t>
            </w:r>
            <w:r>
              <w:rPr>
                <w:rFonts w:hint="eastAsia" w:cs="宋体"/>
                <w:snapToGrid w:val="0"/>
                <w:kern w:val="0"/>
              </w:rPr>
              <w:t>：项目原料拆包装、产品包装过程</w:t>
            </w:r>
            <w:r>
              <w:rPr>
                <w:rFonts w:cs="宋体"/>
                <w:snapToGrid w:val="0"/>
                <w:kern w:val="0"/>
              </w:rPr>
              <w:t>会产生一定量的</w:t>
            </w:r>
            <w:r>
              <w:rPr>
                <w:rFonts w:hint="eastAsia"/>
              </w:rPr>
              <w:t>废包装材料，主要为</w:t>
            </w:r>
            <w:bookmarkStart w:id="302" w:name="OLE_LINK248"/>
            <w:r>
              <w:rPr>
                <w:rFonts w:hint="eastAsia"/>
              </w:rPr>
              <w:t>塑料包装袋</w:t>
            </w:r>
            <w:bookmarkEnd w:id="302"/>
            <w:r>
              <w:rPr>
                <w:rFonts w:hint="eastAsia"/>
              </w:rPr>
              <w:t>、泡沫箱、纸箱和包装服饰，产生量约为0.7t/a，根据《关于发布&lt;固体废物分类与代码目录&gt;的公告》（公告2024年第4号），废包装材料属于SW17可再生类废物中</w:t>
            </w:r>
            <w:r>
              <w:rPr>
                <w:rFonts w:hint="eastAsia" w:cs="宋体"/>
                <w:bCs/>
                <w:snapToGrid w:val="0"/>
                <w:kern w:val="0"/>
              </w:rPr>
              <w:t>废塑料（900-003-S17）、废纸（</w:t>
            </w:r>
            <w:bookmarkStart w:id="303" w:name="OLE_LINK249"/>
            <w:r>
              <w:rPr>
                <w:rFonts w:hint="eastAsia" w:cs="宋体"/>
                <w:bCs/>
                <w:snapToGrid w:val="0"/>
                <w:kern w:val="0"/>
              </w:rPr>
              <w:t>900-005-S17</w:t>
            </w:r>
            <w:bookmarkEnd w:id="303"/>
            <w:r>
              <w:rPr>
                <w:rFonts w:hint="eastAsia" w:cs="宋体"/>
                <w:bCs/>
                <w:snapToGrid w:val="0"/>
                <w:kern w:val="0"/>
              </w:rPr>
              <w:t>）和废纺织品（900-007-S17），收集后</w:t>
            </w:r>
            <w:r>
              <w:rPr>
                <w:rFonts w:hint="eastAsia"/>
              </w:rPr>
              <w:t>交由专业回收单位回收处理</w:t>
            </w:r>
            <w:r>
              <w:rPr>
                <w:rFonts w:hint="eastAsia" w:cs="宋体"/>
                <w:snapToGrid w:val="0"/>
                <w:kern w:val="0"/>
              </w:rPr>
              <w:t>。</w:t>
            </w:r>
          </w:p>
          <w:p w14:paraId="0E0D3720">
            <w:pPr>
              <w:ind w:firstLine="480"/>
              <w:jc w:val="both"/>
              <w:rPr>
                <w:rFonts w:cs="宋体"/>
                <w:snapToGrid w:val="0"/>
                <w:kern w:val="0"/>
              </w:rPr>
            </w:pPr>
            <w:bookmarkStart w:id="304" w:name="OLE_LINK140"/>
            <w:r>
              <w:rPr>
                <w:rFonts w:hint="eastAsia" w:cs="宋体"/>
                <w:snapToGrid w:val="0"/>
                <w:kern w:val="0"/>
              </w:rPr>
              <w:t>冷却废水污泥</w:t>
            </w:r>
            <w:bookmarkEnd w:id="304"/>
            <w:r>
              <w:rPr>
                <w:rFonts w:hint="eastAsia" w:cs="宋体"/>
                <w:snapToGrid w:val="0"/>
                <w:kern w:val="0"/>
              </w:rPr>
              <w:t>：本项目生产废水（冷却水）处理设施运行过程中产生少量的废污泥，参照《集中式污染治理设施产排污染系数手册》中污水处理厂污泥产生系数手册可知，公式如下：</w:t>
            </w:r>
          </w:p>
          <w:p w14:paraId="6EE8043F">
            <w:pPr>
              <w:ind w:firstLine="0" w:firstLineChars="0"/>
              <w:jc w:val="center"/>
              <w:rPr>
                <w:rFonts w:cs="宋体"/>
                <w:snapToGrid w:val="0"/>
                <w:kern w:val="0"/>
              </w:rPr>
            </w:pPr>
            <w:r>
              <w:rPr>
                <w:rFonts w:hint="eastAsia" w:cs="宋体"/>
                <w:snapToGrid w:val="0"/>
                <w:kern w:val="0"/>
              </w:rPr>
              <w:t>S=K</w:t>
            </w:r>
            <w:r>
              <w:rPr>
                <w:rFonts w:hint="eastAsia" w:cs="宋体"/>
                <w:snapToGrid w:val="0"/>
                <w:kern w:val="0"/>
                <w:vertAlign w:val="subscript"/>
              </w:rPr>
              <w:t>4</w:t>
            </w:r>
            <w:r>
              <w:rPr>
                <w:rFonts w:hint="eastAsia" w:cs="宋体"/>
                <w:snapToGrid w:val="0"/>
                <w:kern w:val="0"/>
              </w:rPr>
              <w:t>Q+K</w:t>
            </w:r>
            <w:r>
              <w:rPr>
                <w:rFonts w:hint="eastAsia" w:cs="宋体"/>
                <w:snapToGrid w:val="0"/>
                <w:kern w:val="0"/>
                <w:vertAlign w:val="subscript"/>
              </w:rPr>
              <w:t>3</w:t>
            </w:r>
            <w:r>
              <w:rPr>
                <w:rFonts w:hint="eastAsia" w:cs="宋体"/>
                <w:snapToGrid w:val="0"/>
                <w:kern w:val="0"/>
              </w:rPr>
              <w:t>C</w:t>
            </w:r>
          </w:p>
          <w:p w14:paraId="2F6548C4">
            <w:pPr>
              <w:ind w:firstLine="480"/>
              <w:jc w:val="both"/>
              <w:rPr>
                <w:rFonts w:cs="宋体"/>
                <w:snapToGrid w:val="0"/>
                <w:kern w:val="0"/>
              </w:rPr>
            </w:pPr>
            <w:r>
              <w:rPr>
                <w:rFonts w:hint="eastAsia" w:cs="宋体"/>
                <w:snapToGrid w:val="0"/>
                <w:kern w:val="0"/>
              </w:rPr>
              <w:t>式中：S</w:t>
            </w:r>
            <w:r>
              <w:rPr>
                <w:rFonts w:hint="eastAsia" w:ascii="宋体" w:hAnsi="宋体" w:cs="宋体"/>
                <w:snapToGrid w:val="0"/>
                <w:kern w:val="0"/>
              </w:rPr>
              <w:t>－</w:t>
            </w:r>
            <w:r>
              <w:rPr>
                <w:rFonts w:hint="eastAsia" w:cs="宋体"/>
                <w:snapToGrid w:val="0"/>
                <w:kern w:val="0"/>
              </w:rPr>
              <w:t>含水率80%的污泥产生量，吨/年；</w:t>
            </w:r>
          </w:p>
          <w:p w14:paraId="56DD41EA">
            <w:pPr>
              <w:ind w:firstLine="480"/>
              <w:jc w:val="both"/>
              <w:rPr>
                <w:rFonts w:cs="宋体"/>
                <w:snapToGrid w:val="0"/>
                <w:kern w:val="0"/>
              </w:rPr>
            </w:pPr>
            <w:r>
              <w:rPr>
                <w:rFonts w:hint="eastAsia" w:cs="宋体"/>
                <w:snapToGrid w:val="0"/>
                <w:kern w:val="0"/>
              </w:rPr>
              <w:t>K</w:t>
            </w:r>
            <w:r>
              <w:rPr>
                <w:rFonts w:hint="eastAsia" w:cs="宋体"/>
                <w:snapToGrid w:val="0"/>
                <w:kern w:val="0"/>
                <w:vertAlign w:val="subscript"/>
              </w:rPr>
              <w:t>3</w:t>
            </w:r>
            <w:r>
              <w:rPr>
                <w:rFonts w:hint="eastAsia" w:ascii="宋体" w:hAnsi="宋体" w:cs="宋体"/>
                <w:snapToGrid w:val="0"/>
                <w:kern w:val="0"/>
              </w:rPr>
              <w:t>－</w:t>
            </w:r>
            <w:r>
              <w:rPr>
                <w:rFonts w:hint="eastAsia" w:cs="宋体"/>
                <w:snapToGrid w:val="0"/>
                <w:kern w:val="0"/>
              </w:rPr>
              <w:t>化学污泥产生系数，取4.53吨/吨-絮凝剂使用量；</w:t>
            </w:r>
          </w:p>
          <w:p w14:paraId="3A5D37FE">
            <w:pPr>
              <w:ind w:firstLine="480"/>
              <w:jc w:val="both"/>
              <w:rPr>
                <w:rFonts w:cs="宋体"/>
                <w:snapToGrid w:val="0"/>
                <w:kern w:val="0"/>
              </w:rPr>
            </w:pPr>
            <w:r>
              <w:rPr>
                <w:rFonts w:hint="eastAsia" w:cs="宋体"/>
                <w:snapToGrid w:val="0"/>
                <w:kern w:val="0"/>
              </w:rPr>
              <w:t>K</w:t>
            </w:r>
            <w:r>
              <w:rPr>
                <w:rFonts w:hint="eastAsia" w:cs="宋体"/>
                <w:snapToGrid w:val="0"/>
                <w:kern w:val="0"/>
                <w:vertAlign w:val="subscript"/>
              </w:rPr>
              <w:t>4</w:t>
            </w:r>
            <w:r>
              <w:rPr>
                <w:rFonts w:hint="eastAsia" w:ascii="宋体" w:hAnsi="宋体" w:cs="宋体"/>
                <w:snapToGrid w:val="0"/>
                <w:kern w:val="0"/>
              </w:rPr>
              <w:t>－</w:t>
            </w:r>
            <w:r>
              <w:rPr>
                <w:rFonts w:hint="eastAsia" w:cs="宋体"/>
                <w:snapToGrid w:val="0"/>
                <w:kern w:val="0"/>
              </w:rPr>
              <w:t>污泥综合产生系数，取6.0吨/万吨-废水处理量；</w:t>
            </w:r>
          </w:p>
          <w:p w14:paraId="247957FF">
            <w:pPr>
              <w:ind w:firstLine="480"/>
              <w:jc w:val="both"/>
              <w:rPr>
                <w:rFonts w:cs="宋体"/>
                <w:snapToGrid w:val="0"/>
                <w:kern w:val="0"/>
              </w:rPr>
            </w:pPr>
            <w:r>
              <w:rPr>
                <w:rFonts w:hint="eastAsia" w:cs="宋体"/>
                <w:snapToGrid w:val="0"/>
                <w:kern w:val="0"/>
              </w:rPr>
              <w:t>Q</w:t>
            </w:r>
            <w:bookmarkStart w:id="305" w:name="OLE_LINK141"/>
            <w:r>
              <w:rPr>
                <w:rFonts w:hint="eastAsia" w:ascii="宋体" w:hAnsi="宋体" w:cs="宋体"/>
                <w:snapToGrid w:val="0"/>
                <w:kern w:val="0"/>
              </w:rPr>
              <w:t>－</w:t>
            </w:r>
            <w:bookmarkEnd w:id="305"/>
            <w:r>
              <w:rPr>
                <w:rFonts w:hint="eastAsia" w:cs="宋体"/>
                <w:snapToGrid w:val="0"/>
                <w:kern w:val="0"/>
              </w:rPr>
              <w:t>实际废水处理量，万吨/年；</w:t>
            </w:r>
          </w:p>
          <w:p w14:paraId="381DF79F">
            <w:pPr>
              <w:ind w:firstLine="480"/>
              <w:jc w:val="both"/>
              <w:rPr>
                <w:rFonts w:cs="宋体"/>
                <w:snapToGrid w:val="0"/>
                <w:kern w:val="0"/>
              </w:rPr>
            </w:pPr>
            <w:r>
              <w:rPr>
                <w:rFonts w:hint="eastAsia" w:cs="宋体"/>
                <w:snapToGrid w:val="0"/>
                <w:kern w:val="0"/>
              </w:rPr>
              <w:t>C－污水处理厂无机絮凝剂的使用量，0.01t/a。</w:t>
            </w:r>
          </w:p>
          <w:p w14:paraId="22A889EC">
            <w:pPr>
              <w:ind w:firstLine="480"/>
              <w:jc w:val="both"/>
              <w:rPr>
                <w:rFonts w:cs="宋体"/>
                <w:snapToGrid w:val="0"/>
                <w:kern w:val="0"/>
              </w:rPr>
            </w:pPr>
            <w:r>
              <w:rPr>
                <w:rFonts w:hint="eastAsia" w:cs="宋体"/>
                <w:snapToGrid w:val="0"/>
                <w:kern w:val="0"/>
              </w:rPr>
              <w:t>项目废水处理量为</w:t>
            </w:r>
            <w:bookmarkStart w:id="306" w:name="OLE_LINK208"/>
            <w:r>
              <w:rPr>
                <w:rFonts w:hint="eastAsia" w:cs="宋体"/>
                <w:snapToGrid w:val="0"/>
                <w:kern w:val="0"/>
              </w:rPr>
              <w:t>10.24t/a</w:t>
            </w:r>
            <w:bookmarkEnd w:id="306"/>
            <w:r>
              <w:rPr>
                <w:rFonts w:hint="eastAsia" w:cs="宋体"/>
                <w:snapToGrid w:val="0"/>
                <w:kern w:val="0"/>
              </w:rPr>
              <w:t>，根据以上公式计算，项目生产废水处理设施剩余污泥量为</w:t>
            </w:r>
            <w:bookmarkStart w:id="307" w:name="OLE_LINK209"/>
            <w:r>
              <w:rPr>
                <w:rFonts w:hint="eastAsia" w:cs="宋体"/>
                <w:snapToGrid w:val="0"/>
                <w:kern w:val="0"/>
              </w:rPr>
              <w:t>0.0514</w:t>
            </w:r>
            <w:bookmarkEnd w:id="307"/>
            <w:r>
              <w:rPr>
                <w:rFonts w:hint="eastAsia" w:cs="宋体"/>
                <w:snapToGrid w:val="0"/>
                <w:kern w:val="0"/>
              </w:rPr>
              <w:t>t/a。本项目自建污水处理设施拟处理的废水来源于直接冷却废水，不含镍、铬等重金属或其他有毒有害物质，因此，项目自建污水处理设施产生的污泥属于一般工业固体废物，根据《关于发布&lt;固体废物分类与代码目录&gt;的公告》（公告2024年第4号），冷却废水污泥属于SW07污泥，废物代码为900-099-S07：其他污泥，收集后</w:t>
            </w:r>
            <w:bookmarkStart w:id="308" w:name="OLE_LINK143"/>
            <w:r>
              <w:rPr>
                <w:rFonts w:hint="eastAsia" w:cs="宋体"/>
                <w:snapToGrid w:val="0"/>
                <w:kern w:val="0"/>
              </w:rPr>
              <w:t>交由有相应处理工艺的资质单位处理，</w:t>
            </w:r>
            <w:bookmarkEnd w:id="308"/>
            <w:r>
              <w:rPr>
                <w:rFonts w:hint="eastAsia" w:cs="宋体"/>
                <w:snapToGrid w:val="0"/>
                <w:kern w:val="0"/>
              </w:rPr>
              <w:t>不外排。</w:t>
            </w:r>
          </w:p>
          <w:p w14:paraId="1CF30E3E">
            <w:pPr>
              <w:widowControl/>
              <w:ind w:firstLine="480"/>
              <w:jc w:val="both"/>
            </w:pPr>
            <w:r>
              <w:t>（</w:t>
            </w:r>
            <w:r>
              <w:rPr>
                <w:rFonts w:hint="eastAsia"/>
              </w:rPr>
              <w:t>3</w:t>
            </w:r>
            <w:r>
              <w:t>）危险废物</w:t>
            </w:r>
          </w:p>
          <w:p w14:paraId="1D3E8891">
            <w:pPr>
              <w:widowControl/>
              <w:ind w:firstLine="480"/>
              <w:jc w:val="both"/>
              <w:rPr>
                <w:rFonts w:cs="宋体"/>
                <w:bCs/>
                <w:snapToGrid w:val="0"/>
                <w:kern w:val="0"/>
              </w:rPr>
            </w:pPr>
            <w:bookmarkStart w:id="309" w:name="OLE_LINK182"/>
            <w:r>
              <w:rPr>
                <w:rFonts w:hint="eastAsia" w:cs="宋体"/>
                <w:bCs/>
                <w:snapToGrid w:val="0"/>
                <w:kern w:val="0"/>
              </w:rPr>
              <w:t>废包装桶：项目使用润滑油会产生废包装桶，产生量约0.03t/a，</w:t>
            </w:r>
            <w:bookmarkStart w:id="310" w:name="OLE_LINK19"/>
            <w:r>
              <w:rPr>
                <w:rFonts w:hint="eastAsia" w:cs="宋体"/>
                <w:bCs/>
                <w:snapToGrid w:val="0"/>
                <w:kern w:val="0"/>
              </w:rPr>
              <w:t>属于</w:t>
            </w:r>
            <w:bookmarkStart w:id="311" w:name="OLE_LINK7"/>
            <w:r>
              <w:rPr>
                <w:rFonts w:hint="eastAsia" w:cs="宋体"/>
                <w:bCs/>
                <w:snapToGrid w:val="0"/>
                <w:kern w:val="0"/>
              </w:rPr>
              <w:t>《国家危险废物名录（2025年版）》</w:t>
            </w:r>
            <w:bookmarkEnd w:id="311"/>
            <w:r>
              <w:rPr>
                <w:rFonts w:hint="eastAsia" w:cs="宋体"/>
                <w:bCs/>
                <w:snapToGrid w:val="0"/>
                <w:kern w:val="0"/>
              </w:rPr>
              <w:t>中HW49 其他废物，代码为900-041-49，收集后交由有危险废物处理资质单位处理。</w:t>
            </w:r>
          </w:p>
          <w:bookmarkEnd w:id="310"/>
          <w:p w14:paraId="78EA1E68">
            <w:pPr>
              <w:widowControl/>
              <w:ind w:firstLine="480"/>
              <w:jc w:val="both"/>
              <w:rPr>
                <w:bCs/>
              </w:rPr>
            </w:pPr>
            <w:r>
              <w:rPr>
                <w:rFonts w:hint="eastAsia"/>
                <w:bCs/>
              </w:rPr>
              <w:t>废</w:t>
            </w:r>
            <w:bookmarkStart w:id="312" w:name="OLE_LINK231"/>
            <w:r>
              <w:rPr>
                <w:rFonts w:hint="eastAsia"/>
                <w:bCs/>
              </w:rPr>
              <w:t>润滑油</w:t>
            </w:r>
            <w:bookmarkEnd w:id="312"/>
            <w:r>
              <w:rPr>
                <w:rFonts w:hint="eastAsia"/>
                <w:bCs/>
              </w:rPr>
              <w:t>：项目设备维护保养过程中会产生废润滑油，产生量约0.07t/a，属于《国家危险废物名录（2025年版）》中HW08废矿物油与含矿物油废物，废物代码900-214-08，收集后交由有危险废物处理资质单位处理。</w:t>
            </w:r>
          </w:p>
          <w:p w14:paraId="42925DAA">
            <w:pPr>
              <w:widowControl/>
              <w:ind w:firstLine="480"/>
              <w:jc w:val="both"/>
              <w:rPr>
                <w:bCs/>
              </w:rPr>
            </w:pPr>
            <w:r>
              <w:rPr>
                <w:rFonts w:hint="eastAsia"/>
                <w:bCs/>
              </w:rPr>
              <w:t>废含油抹布/手套：项目设备维护和保养过程会产生废含油</w:t>
            </w:r>
            <w:bookmarkStart w:id="313" w:name="OLE_LINK25"/>
            <w:r>
              <w:rPr>
                <w:rFonts w:hint="eastAsia"/>
                <w:bCs/>
              </w:rPr>
              <w:t>抹布/手套</w:t>
            </w:r>
            <w:bookmarkEnd w:id="313"/>
            <w:r>
              <w:rPr>
                <w:rFonts w:hint="eastAsia"/>
                <w:bCs/>
              </w:rPr>
              <w:t>，产生量约0.2t/a，属于</w:t>
            </w:r>
            <w:bookmarkStart w:id="314" w:name="OLE_LINK20"/>
            <w:r>
              <w:rPr>
                <w:rFonts w:hint="eastAsia"/>
                <w:bCs/>
              </w:rPr>
              <w:t>《国家危险废物名录（2025年版）》</w:t>
            </w:r>
            <w:bookmarkEnd w:id="314"/>
            <w:r>
              <w:rPr>
                <w:rFonts w:hint="eastAsia"/>
                <w:bCs/>
              </w:rPr>
              <w:t>中</w:t>
            </w:r>
            <w:bookmarkStart w:id="315" w:name="OLE_LINK22"/>
            <w:r>
              <w:rPr>
                <w:rFonts w:hint="eastAsia"/>
                <w:bCs/>
              </w:rPr>
              <w:t>HW49 其他废物，代码为900-041-49，</w:t>
            </w:r>
            <w:bookmarkEnd w:id="315"/>
            <w:bookmarkStart w:id="316" w:name="OLE_LINK21"/>
            <w:r>
              <w:rPr>
                <w:rFonts w:hint="eastAsia"/>
                <w:bCs/>
              </w:rPr>
              <w:t>收集后交由有危险废物处理资质单位处理。</w:t>
            </w:r>
          </w:p>
          <w:bookmarkEnd w:id="309"/>
          <w:bookmarkEnd w:id="316"/>
          <w:p w14:paraId="04FB19BC">
            <w:pPr>
              <w:widowControl/>
              <w:ind w:firstLine="480"/>
              <w:jc w:val="both"/>
              <w:rPr>
                <w:bCs/>
                <w:color w:val="auto"/>
              </w:rPr>
            </w:pPr>
            <w:r>
              <w:rPr>
                <w:rFonts w:hint="eastAsia"/>
                <w:bCs/>
                <w:color w:val="auto"/>
              </w:rPr>
              <w:t>喷淋废水（含沉渣）：项目经水喷淋处理的投料、破碎粉尘（颗粒物）即沉渣量为0.626t/a，喷淋塔废水的更换量为12t/a，则项目喷淋废水（含沉渣）产生量为12.626t/a，</w:t>
            </w:r>
            <w:bookmarkStart w:id="317" w:name="OLE_LINK325"/>
            <w:r>
              <w:rPr>
                <w:rFonts w:hint="eastAsia"/>
                <w:bCs/>
                <w:color w:val="auto"/>
              </w:rPr>
              <w:t>属于《国家危险废物名录（2025年版）》中HW09</w:t>
            </w:r>
            <w:bookmarkStart w:id="318" w:name="OLE_LINK300"/>
            <w:r>
              <w:rPr>
                <w:rFonts w:hint="eastAsia" w:cs="宋体"/>
                <w:bCs/>
                <w:color w:val="auto"/>
              </w:rPr>
              <w:t>油/水、烃/水混合物或乳化液</w:t>
            </w:r>
            <w:bookmarkEnd w:id="318"/>
            <w:r>
              <w:rPr>
                <w:rFonts w:hint="eastAsia" w:cs="宋体"/>
                <w:bCs/>
                <w:color w:val="auto"/>
              </w:rPr>
              <w:t>，代码为900-007</w:t>
            </w:r>
            <w:r>
              <w:rPr>
                <w:rFonts w:hint="eastAsia"/>
                <w:bCs/>
                <w:color w:val="auto"/>
              </w:rPr>
              <w:t>-09，收集后交由有危险废物处理资质单位处理。</w:t>
            </w:r>
          </w:p>
          <w:bookmarkEnd w:id="317"/>
          <w:p w14:paraId="4B81A9DD">
            <w:pPr>
              <w:widowControl/>
              <w:ind w:firstLine="480"/>
              <w:jc w:val="both"/>
              <w:rPr>
                <w:bCs/>
                <w:color w:val="auto"/>
              </w:rPr>
            </w:pPr>
            <w:bookmarkStart w:id="319" w:name="OLE_LINK330"/>
            <w:r>
              <w:rPr>
                <w:rFonts w:hint="eastAsia"/>
                <w:bCs/>
                <w:color w:val="auto"/>
              </w:rPr>
              <w:t>废过滤棉</w:t>
            </w:r>
            <w:bookmarkEnd w:id="319"/>
            <w:r>
              <w:rPr>
                <w:rFonts w:hint="eastAsia"/>
                <w:bCs/>
                <w:color w:val="auto"/>
              </w:rPr>
              <w:t>：项目废气处理设施“干式过滤器”需定期更换废过滤棉，产生量约0.4t/a，属于《国家危险废物名录（2025年版）》中HW49 其他废物，代码为900-041-49，收集后交由有危险废物处理资质单位处理。</w:t>
            </w:r>
          </w:p>
          <w:p w14:paraId="6A439959">
            <w:pPr>
              <w:widowControl/>
              <w:ind w:firstLine="480"/>
              <w:jc w:val="both"/>
            </w:pPr>
            <w:r>
              <w:rPr>
                <w:rFonts w:hint="eastAsia"/>
                <w:bCs/>
              </w:rPr>
              <w:t>废活性炭：项目废气处理过程中会产生</w:t>
            </w:r>
            <w:r>
              <w:rPr>
                <w:bCs/>
              </w:rPr>
              <w:t>废活性炭</w:t>
            </w:r>
            <w:r>
              <w:rPr>
                <w:rFonts w:hint="eastAsia"/>
                <w:bCs/>
              </w:rPr>
              <w:t>，</w:t>
            </w:r>
            <w:r>
              <w:rPr>
                <w:rFonts w:hint="eastAsia" w:cs="宋体"/>
                <w:snapToGrid w:val="0"/>
                <w:kern w:val="0"/>
              </w:rPr>
              <w:t>属于《国家危险废物名录（2025年版）》中</w:t>
            </w:r>
            <w:r>
              <w:t>HW4</w:t>
            </w:r>
            <w:r>
              <w:rPr>
                <w:rFonts w:hint="eastAsia"/>
              </w:rPr>
              <w:t>9</w:t>
            </w:r>
            <w:r>
              <w:t>其他废物，代码</w:t>
            </w:r>
            <w:r>
              <w:rPr>
                <w:rFonts w:hint="eastAsia"/>
              </w:rPr>
              <w:t>为</w:t>
            </w:r>
            <w:r>
              <w:t>900-039-49</w:t>
            </w:r>
            <w:r>
              <w:rPr>
                <w:rFonts w:hint="eastAsia"/>
              </w:rPr>
              <w:t>，</w:t>
            </w:r>
            <w:r>
              <w:rPr>
                <w:rFonts w:hint="eastAsia" w:cs="宋体"/>
                <w:snapToGrid w:val="0"/>
                <w:kern w:val="0"/>
              </w:rPr>
              <w:t>收集后交由有危险废物处理资质单位处理。</w:t>
            </w:r>
          </w:p>
          <w:p w14:paraId="5F056C5B">
            <w:pPr>
              <w:ind w:firstLine="480"/>
              <w:jc w:val="both"/>
            </w:pPr>
            <w:r>
              <w:t>根据工程分析，项目活性炭吸附处理</w:t>
            </w:r>
            <w:r>
              <w:rPr>
                <w:rFonts w:hint="eastAsia"/>
              </w:rPr>
              <w:t>的有机</w:t>
            </w:r>
            <w:r>
              <w:t>废气量约为</w:t>
            </w:r>
            <w:r>
              <w:rPr>
                <w:rFonts w:hint="eastAsia"/>
              </w:rPr>
              <w:t>2.8t/a</w:t>
            </w:r>
            <w:r>
              <w:t>。</w:t>
            </w:r>
            <w:r>
              <w:rPr>
                <w:rFonts w:hint="eastAsia"/>
              </w:rPr>
              <w:t>根据</w:t>
            </w:r>
            <w:bookmarkStart w:id="320" w:name="OLE_LINK302"/>
            <w:r>
              <w:rPr>
                <w:rFonts w:hint="eastAsia"/>
              </w:rPr>
              <w:t>《广东省生态环境厅关于印发工业源挥发性有机物和氮氧化物减排量核算方法的通知》（粤环函〔2023〕538 号）</w:t>
            </w:r>
            <w:bookmarkEnd w:id="320"/>
            <w:r>
              <w:rPr>
                <w:rFonts w:hint="eastAsia"/>
              </w:rPr>
              <w:t>，活性炭的吸附比例建议取值15%，</w:t>
            </w:r>
            <w:r>
              <w:t>则</w:t>
            </w:r>
            <w:r>
              <w:rPr>
                <w:rFonts w:hint="eastAsia"/>
              </w:rPr>
              <w:t>理论所需</w:t>
            </w:r>
            <w:r>
              <w:t>活性炭</w:t>
            </w:r>
            <w:r>
              <w:rPr>
                <w:rFonts w:hint="eastAsia"/>
              </w:rPr>
              <w:t>用</w:t>
            </w:r>
            <w:r>
              <w:t>量为</w:t>
            </w:r>
            <w:r>
              <w:rPr>
                <w:rFonts w:hint="eastAsia"/>
              </w:rPr>
              <w:t>18.67</w:t>
            </w:r>
            <w:r>
              <w:t>t/a。</w:t>
            </w:r>
          </w:p>
          <w:p w14:paraId="327BBC6D">
            <w:pPr>
              <w:spacing w:line="240" w:lineRule="auto"/>
              <w:ind w:firstLine="0" w:firstLineChars="0"/>
              <w:jc w:val="center"/>
              <w:rPr>
                <w:b/>
                <w:sz w:val="21"/>
              </w:rPr>
            </w:pPr>
            <w:r>
              <w:rPr>
                <w:b/>
                <w:sz w:val="21"/>
              </w:rPr>
              <w:t>表4-</w:t>
            </w:r>
            <w:r>
              <w:rPr>
                <w:rFonts w:hint="eastAsia"/>
                <w:b/>
                <w:sz w:val="21"/>
              </w:rPr>
              <w:t>16 项目活性炭吸附装置主要技术参数表</w:t>
            </w:r>
          </w:p>
          <w:tbl>
            <w:tblPr>
              <w:tblStyle w:val="35"/>
              <w:tblW w:w="421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0"/>
              <w:gridCol w:w="2750"/>
              <w:gridCol w:w="3118"/>
            </w:tblGrid>
            <w:tr w14:paraId="34996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pct"/>
                  <w:vAlign w:val="center"/>
                </w:tcPr>
                <w:p w14:paraId="5F8C1F9F">
                  <w:pPr>
                    <w:widowControl/>
                    <w:adjustRightInd w:val="0"/>
                    <w:snapToGrid w:val="0"/>
                    <w:spacing w:line="240" w:lineRule="auto"/>
                    <w:ind w:firstLine="0" w:firstLineChars="0"/>
                    <w:jc w:val="center"/>
                    <w:outlineLvl w:val="1"/>
                    <w:rPr>
                      <w:sz w:val="21"/>
                      <w:szCs w:val="21"/>
                    </w:rPr>
                  </w:pPr>
                  <w:r>
                    <w:rPr>
                      <w:rFonts w:hint="eastAsia"/>
                      <w:sz w:val="21"/>
                      <w:szCs w:val="21"/>
                    </w:rPr>
                    <w:t>设备名称</w:t>
                  </w:r>
                </w:p>
              </w:tc>
              <w:tc>
                <w:tcPr>
                  <w:tcW w:w="4075" w:type="pct"/>
                  <w:gridSpan w:val="2"/>
                  <w:vAlign w:val="center"/>
                </w:tcPr>
                <w:p w14:paraId="1B6D82EB">
                  <w:pPr>
                    <w:widowControl/>
                    <w:adjustRightInd w:val="0"/>
                    <w:snapToGrid w:val="0"/>
                    <w:spacing w:line="240" w:lineRule="auto"/>
                    <w:ind w:firstLine="0" w:firstLineChars="0"/>
                    <w:jc w:val="center"/>
                    <w:textAlignment w:val="center"/>
                    <w:rPr>
                      <w:sz w:val="21"/>
                      <w:szCs w:val="21"/>
                    </w:rPr>
                  </w:pPr>
                  <w:r>
                    <w:rPr>
                      <w:rFonts w:hint="eastAsia"/>
                      <w:sz w:val="21"/>
                      <w:szCs w:val="21"/>
                    </w:rPr>
                    <w:t>相关参数</w:t>
                  </w:r>
                </w:p>
              </w:tc>
            </w:tr>
            <w:tr w14:paraId="5EA24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pct"/>
                  <w:vMerge w:val="restart"/>
                  <w:vAlign w:val="center"/>
                </w:tcPr>
                <w:p w14:paraId="7800C7E4">
                  <w:pPr>
                    <w:widowControl/>
                    <w:adjustRightInd w:val="0"/>
                    <w:snapToGrid w:val="0"/>
                    <w:spacing w:line="240" w:lineRule="auto"/>
                    <w:ind w:firstLine="0" w:firstLineChars="0"/>
                    <w:jc w:val="center"/>
                    <w:outlineLvl w:val="1"/>
                    <w:rPr>
                      <w:sz w:val="21"/>
                      <w:szCs w:val="21"/>
                    </w:rPr>
                  </w:pPr>
                  <w:r>
                    <w:rPr>
                      <w:rFonts w:hint="eastAsia"/>
                      <w:sz w:val="21"/>
                      <w:szCs w:val="21"/>
                    </w:rPr>
                    <w:t>二级活性炭吸附装置</w:t>
                  </w:r>
                </w:p>
              </w:tc>
              <w:tc>
                <w:tcPr>
                  <w:tcW w:w="1910" w:type="pct"/>
                  <w:vAlign w:val="center"/>
                </w:tcPr>
                <w:p w14:paraId="59A9C296">
                  <w:pPr>
                    <w:widowControl/>
                    <w:adjustRightInd w:val="0"/>
                    <w:snapToGrid w:val="0"/>
                    <w:spacing w:line="240" w:lineRule="auto"/>
                    <w:ind w:firstLine="0" w:firstLineChars="0"/>
                    <w:jc w:val="center"/>
                    <w:textAlignment w:val="center"/>
                    <w:rPr>
                      <w:sz w:val="21"/>
                      <w:szCs w:val="21"/>
                    </w:rPr>
                  </w:pPr>
                  <w:r>
                    <w:rPr>
                      <w:rFonts w:hint="eastAsia" w:cs="宋体"/>
                      <w:kern w:val="0"/>
                      <w:sz w:val="21"/>
                      <w:szCs w:val="21"/>
                      <w:lang w:bidi="ar"/>
                    </w:rPr>
                    <w:t>设计风量</w:t>
                  </w:r>
                  <w:r>
                    <w:rPr>
                      <w:kern w:val="0"/>
                      <w:sz w:val="21"/>
                      <w:szCs w:val="21"/>
                      <w:lang w:bidi="ar"/>
                    </w:rPr>
                    <w:t>Q</w:t>
                  </w:r>
                  <w:r>
                    <w:rPr>
                      <w:rFonts w:hint="eastAsia"/>
                      <w:kern w:val="0"/>
                      <w:sz w:val="21"/>
                      <w:szCs w:val="21"/>
                      <w:lang w:bidi="ar"/>
                    </w:rPr>
                    <w:t>（m</w:t>
                  </w:r>
                  <w:r>
                    <w:rPr>
                      <w:rFonts w:hint="eastAsia"/>
                      <w:kern w:val="0"/>
                      <w:sz w:val="21"/>
                      <w:szCs w:val="21"/>
                      <w:vertAlign w:val="superscript"/>
                      <w:lang w:bidi="ar"/>
                    </w:rPr>
                    <w:t>3</w:t>
                  </w:r>
                  <w:r>
                    <w:rPr>
                      <w:rFonts w:hint="eastAsia"/>
                      <w:kern w:val="0"/>
                      <w:sz w:val="21"/>
                      <w:szCs w:val="21"/>
                      <w:lang w:bidi="ar"/>
                    </w:rPr>
                    <w:t>/h）</w:t>
                  </w:r>
                </w:p>
              </w:tc>
              <w:tc>
                <w:tcPr>
                  <w:tcW w:w="2165" w:type="pct"/>
                  <w:vAlign w:val="center"/>
                </w:tcPr>
                <w:p w14:paraId="372D0731">
                  <w:pPr>
                    <w:spacing w:line="240" w:lineRule="auto"/>
                    <w:ind w:firstLine="0" w:firstLineChars="0"/>
                    <w:jc w:val="center"/>
                    <w:rPr>
                      <w:bCs/>
                      <w:kern w:val="0"/>
                      <w:sz w:val="21"/>
                      <w:szCs w:val="21"/>
                    </w:rPr>
                  </w:pPr>
                  <w:r>
                    <w:rPr>
                      <w:rFonts w:hint="eastAsia"/>
                      <w:kern w:val="0"/>
                      <w:sz w:val="21"/>
                      <w:szCs w:val="21"/>
                      <w:lang w:bidi="ar"/>
                    </w:rPr>
                    <w:t>11500</w:t>
                  </w:r>
                </w:p>
              </w:tc>
            </w:tr>
            <w:tr w14:paraId="36A4A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pct"/>
                  <w:vMerge w:val="continue"/>
                  <w:vAlign w:val="center"/>
                </w:tcPr>
                <w:p w14:paraId="4FD83BF0">
                  <w:pPr>
                    <w:widowControl/>
                    <w:adjustRightInd w:val="0"/>
                    <w:snapToGrid w:val="0"/>
                    <w:spacing w:line="240" w:lineRule="auto"/>
                    <w:ind w:firstLine="0" w:firstLineChars="0"/>
                    <w:jc w:val="center"/>
                    <w:outlineLvl w:val="1"/>
                    <w:rPr>
                      <w:sz w:val="21"/>
                      <w:szCs w:val="21"/>
                    </w:rPr>
                  </w:pPr>
                </w:p>
              </w:tc>
              <w:tc>
                <w:tcPr>
                  <w:tcW w:w="1910" w:type="pct"/>
                  <w:vAlign w:val="center"/>
                </w:tcPr>
                <w:p w14:paraId="3A09CDC3">
                  <w:pPr>
                    <w:widowControl/>
                    <w:adjustRightInd w:val="0"/>
                    <w:snapToGrid w:val="0"/>
                    <w:spacing w:line="240" w:lineRule="auto"/>
                    <w:ind w:firstLine="0" w:firstLineChars="0"/>
                    <w:jc w:val="center"/>
                    <w:textAlignment w:val="center"/>
                    <w:rPr>
                      <w:rFonts w:cs="宋体"/>
                      <w:kern w:val="0"/>
                      <w:sz w:val="21"/>
                      <w:szCs w:val="21"/>
                      <w:lang w:bidi="ar"/>
                    </w:rPr>
                  </w:pPr>
                  <w:r>
                    <w:rPr>
                      <w:rFonts w:hint="eastAsia" w:cs="宋体"/>
                      <w:kern w:val="0"/>
                      <w:sz w:val="21"/>
                      <w:szCs w:val="21"/>
                      <w:lang w:bidi="ar"/>
                    </w:rPr>
                    <w:t>活性炭材质</w:t>
                  </w:r>
                </w:p>
              </w:tc>
              <w:tc>
                <w:tcPr>
                  <w:tcW w:w="2165" w:type="pct"/>
                  <w:vAlign w:val="center"/>
                </w:tcPr>
                <w:p w14:paraId="1B2C4EB8">
                  <w:pPr>
                    <w:spacing w:line="240" w:lineRule="auto"/>
                    <w:ind w:firstLine="0" w:firstLineChars="0"/>
                    <w:jc w:val="center"/>
                    <w:rPr>
                      <w:kern w:val="0"/>
                      <w:sz w:val="21"/>
                      <w:szCs w:val="21"/>
                      <w:lang w:bidi="ar"/>
                    </w:rPr>
                  </w:pPr>
                  <w:r>
                    <w:rPr>
                      <w:rFonts w:hint="eastAsia"/>
                      <w:kern w:val="0"/>
                      <w:sz w:val="21"/>
                      <w:szCs w:val="21"/>
                      <w:lang w:bidi="ar"/>
                    </w:rPr>
                    <w:t>蜂窝状活性炭</w:t>
                  </w:r>
                </w:p>
              </w:tc>
            </w:tr>
            <w:tr w14:paraId="77784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pct"/>
                  <w:vMerge w:val="continue"/>
                  <w:vAlign w:val="center"/>
                </w:tcPr>
                <w:p w14:paraId="3284BA02">
                  <w:pPr>
                    <w:widowControl/>
                    <w:adjustRightInd w:val="0"/>
                    <w:snapToGrid w:val="0"/>
                    <w:spacing w:line="240" w:lineRule="auto"/>
                    <w:ind w:firstLine="0" w:firstLineChars="0"/>
                    <w:jc w:val="center"/>
                    <w:outlineLvl w:val="1"/>
                    <w:rPr>
                      <w:sz w:val="21"/>
                      <w:szCs w:val="21"/>
                    </w:rPr>
                  </w:pPr>
                </w:p>
              </w:tc>
              <w:tc>
                <w:tcPr>
                  <w:tcW w:w="1910" w:type="pct"/>
                  <w:vAlign w:val="center"/>
                </w:tcPr>
                <w:p w14:paraId="71EF6163">
                  <w:pPr>
                    <w:widowControl/>
                    <w:adjustRightInd w:val="0"/>
                    <w:snapToGrid w:val="0"/>
                    <w:spacing w:line="240" w:lineRule="auto"/>
                    <w:ind w:firstLine="0" w:firstLineChars="0"/>
                    <w:jc w:val="center"/>
                    <w:textAlignment w:val="center"/>
                    <w:rPr>
                      <w:sz w:val="21"/>
                      <w:szCs w:val="21"/>
                    </w:rPr>
                  </w:pPr>
                  <w:r>
                    <w:rPr>
                      <w:rFonts w:hint="eastAsia" w:cs="宋体"/>
                      <w:kern w:val="0"/>
                      <w:sz w:val="21"/>
                      <w:szCs w:val="21"/>
                      <w:lang w:bidi="ar"/>
                    </w:rPr>
                    <w:t>活性炭箱尺寸（长</w:t>
                  </w:r>
                  <w:r>
                    <w:rPr>
                      <w:kern w:val="0"/>
                      <w:sz w:val="21"/>
                      <w:szCs w:val="21"/>
                      <w:lang w:bidi="ar"/>
                    </w:rPr>
                    <w:t>L×</w:t>
                  </w:r>
                  <w:r>
                    <w:rPr>
                      <w:rFonts w:hint="eastAsia" w:cs="宋体"/>
                      <w:kern w:val="0"/>
                      <w:sz w:val="21"/>
                      <w:szCs w:val="21"/>
                      <w:lang w:bidi="ar"/>
                    </w:rPr>
                    <w:t>宽</w:t>
                  </w:r>
                  <w:r>
                    <w:rPr>
                      <w:kern w:val="0"/>
                      <w:sz w:val="21"/>
                      <w:szCs w:val="21"/>
                      <w:lang w:bidi="ar"/>
                    </w:rPr>
                    <w:t>B×</w:t>
                  </w:r>
                  <w:r>
                    <w:rPr>
                      <w:rFonts w:hint="eastAsia" w:cs="宋体"/>
                      <w:kern w:val="0"/>
                      <w:sz w:val="21"/>
                      <w:szCs w:val="21"/>
                      <w:lang w:bidi="ar"/>
                    </w:rPr>
                    <w:t>高</w:t>
                  </w:r>
                  <w:r>
                    <w:rPr>
                      <w:kern w:val="0"/>
                      <w:sz w:val="21"/>
                      <w:szCs w:val="21"/>
                      <w:lang w:bidi="ar"/>
                    </w:rPr>
                    <w:t>H</w:t>
                  </w:r>
                  <w:r>
                    <w:rPr>
                      <w:rFonts w:hint="eastAsia"/>
                      <w:kern w:val="0"/>
                      <w:sz w:val="21"/>
                      <w:szCs w:val="21"/>
                      <w:lang w:bidi="ar"/>
                    </w:rPr>
                    <w:t>，m</w:t>
                  </w:r>
                  <w:r>
                    <w:rPr>
                      <w:rFonts w:hint="eastAsia" w:cs="宋体"/>
                      <w:kern w:val="0"/>
                      <w:sz w:val="21"/>
                      <w:szCs w:val="21"/>
                      <w:lang w:bidi="ar"/>
                    </w:rPr>
                    <w:t>）</w:t>
                  </w:r>
                </w:p>
              </w:tc>
              <w:tc>
                <w:tcPr>
                  <w:tcW w:w="2165" w:type="pct"/>
                  <w:vAlign w:val="center"/>
                </w:tcPr>
                <w:p w14:paraId="61D5E85C">
                  <w:pPr>
                    <w:widowControl/>
                    <w:adjustRightInd w:val="0"/>
                    <w:snapToGrid w:val="0"/>
                    <w:spacing w:line="240" w:lineRule="auto"/>
                    <w:ind w:firstLine="0" w:firstLineChars="0"/>
                    <w:jc w:val="center"/>
                    <w:textAlignment w:val="center"/>
                    <w:rPr>
                      <w:sz w:val="21"/>
                      <w:szCs w:val="21"/>
                    </w:rPr>
                  </w:pPr>
                  <w:r>
                    <w:rPr>
                      <w:rFonts w:hint="eastAsia"/>
                      <w:kern w:val="0"/>
                      <w:sz w:val="21"/>
                      <w:szCs w:val="21"/>
                      <w:lang w:bidi="ar"/>
                    </w:rPr>
                    <w:t>2.5</w:t>
                  </w:r>
                  <w:r>
                    <w:rPr>
                      <w:kern w:val="0"/>
                      <w:sz w:val="21"/>
                      <w:szCs w:val="21"/>
                      <w:lang w:bidi="ar"/>
                    </w:rPr>
                    <w:t>×</w:t>
                  </w:r>
                  <w:r>
                    <w:rPr>
                      <w:rFonts w:hint="eastAsia"/>
                      <w:kern w:val="0"/>
                      <w:sz w:val="21"/>
                      <w:szCs w:val="21"/>
                      <w:lang w:bidi="ar"/>
                    </w:rPr>
                    <w:t>1.3</w:t>
                  </w:r>
                  <w:r>
                    <w:rPr>
                      <w:kern w:val="0"/>
                      <w:sz w:val="21"/>
                      <w:szCs w:val="21"/>
                      <w:lang w:bidi="ar"/>
                    </w:rPr>
                    <w:t>×</w:t>
                  </w:r>
                  <w:r>
                    <w:rPr>
                      <w:rFonts w:hint="eastAsia"/>
                      <w:kern w:val="0"/>
                      <w:sz w:val="21"/>
                      <w:szCs w:val="21"/>
                      <w:lang w:bidi="ar"/>
                    </w:rPr>
                    <w:t>1.2</w:t>
                  </w:r>
                </w:p>
              </w:tc>
            </w:tr>
            <w:tr w14:paraId="652F3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pct"/>
                  <w:vMerge w:val="continue"/>
                  <w:vAlign w:val="center"/>
                </w:tcPr>
                <w:p w14:paraId="0F1CCF0B">
                  <w:pPr>
                    <w:widowControl/>
                    <w:adjustRightInd w:val="0"/>
                    <w:snapToGrid w:val="0"/>
                    <w:spacing w:line="240" w:lineRule="auto"/>
                    <w:ind w:firstLine="0" w:firstLineChars="0"/>
                    <w:jc w:val="center"/>
                    <w:outlineLvl w:val="1"/>
                    <w:rPr>
                      <w:sz w:val="21"/>
                      <w:szCs w:val="21"/>
                    </w:rPr>
                  </w:pPr>
                </w:p>
              </w:tc>
              <w:tc>
                <w:tcPr>
                  <w:tcW w:w="1910" w:type="pct"/>
                  <w:vAlign w:val="center"/>
                </w:tcPr>
                <w:p w14:paraId="67AAB7F9">
                  <w:pPr>
                    <w:widowControl/>
                    <w:adjustRightInd w:val="0"/>
                    <w:snapToGrid w:val="0"/>
                    <w:spacing w:line="240" w:lineRule="auto"/>
                    <w:ind w:firstLine="0" w:firstLineChars="0"/>
                    <w:jc w:val="center"/>
                    <w:textAlignment w:val="center"/>
                    <w:rPr>
                      <w:rFonts w:cs="宋体"/>
                      <w:kern w:val="0"/>
                      <w:sz w:val="21"/>
                      <w:szCs w:val="21"/>
                      <w:lang w:bidi="ar"/>
                    </w:rPr>
                  </w:pPr>
                  <w:r>
                    <w:rPr>
                      <w:rFonts w:hint="eastAsia" w:cs="宋体"/>
                      <w:kern w:val="0"/>
                      <w:sz w:val="21"/>
                      <w:szCs w:val="21"/>
                      <w:lang w:bidi="ar"/>
                    </w:rPr>
                    <w:t>填充密度</w:t>
                  </w:r>
                  <w:r>
                    <w:rPr>
                      <w:kern w:val="0"/>
                      <w:sz w:val="21"/>
                      <w:szCs w:val="21"/>
                      <w:lang w:bidi="ar"/>
                    </w:rPr>
                    <w:t>ρ</w:t>
                  </w:r>
                  <w:r>
                    <w:rPr>
                      <w:rFonts w:hint="eastAsia" w:cs="宋体"/>
                      <w:kern w:val="0"/>
                      <w:sz w:val="21"/>
                      <w:szCs w:val="21"/>
                      <w:lang w:bidi="ar"/>
                    </w:rPr>
                    <w:t>（</w:t>
                  </w:r>
                  <w:r>
                    <w:rPr>
                      <w:kern w:val="0"/>
                      <w:sz w:val="21"/>
                      <w:szCs w:val="21"/>
                      <w:lang w:bidi="ar"/>
                    </w:rPr>
                    <w:t>g/</w:t>
                  </w:r>
                  <w:r>
                    <w:rPr>
                      <w:rFonts w:hint="eastAsia"/>
                      <w:kern w:val="0"/>
                      <w:sz w:val="21"/>
                      <w:szCs w:val="21"/>
                      <w:lang w:bidi="ar"/>
                    </w:rPr>
                    <w:t>c</w:t>
                  </w:r>
                  <w:r>
                    <w:rPr>
                      <w:kern w:val="0"/>
                      <w:sz w:val="21"/>
                      <w:szCs w:val="21"/>
                      <w:lang w:bidi="ar"/>
                    </w:rPr>
                    <w:t>m</w:t>
                  </w:r>
                  <w:r>
                    <w:rPr>
                      <w:kern w:val="0"/>
                      <w:sz w:val="21"/>
                      <w:szCs w:val="21"/>
                      <w:vertAlign w:val="superscript"/>
                      <w:lang w:bidi="ar"/>
                    </w:rPr>
                    <w:t>3</w:t>
                  </w:r>
                  <w:r>
                    <w:rPr>
                      <w:rFonts w:hint="eastAsia" w:cs="宋体"/>
                      <w:kern w:val="0"/>
                      <w:sz w:val="21"/>
                      <w:szCs w:val="21"/>
                      <w:lang w:bidi="ar"/>
                    </w:rPr>
                    <w:t>）</w:t>
                  </w:r>
                </w:p>
              </w:tc>
              <w:tc>
                <w:tcPr>
                  <w:tcW w:w="2165" w:type="pct"/>
                  <w:vAlign w:val="center"/>
                </w:tcPr>
                <w:p w14:paraId="592CC1D3">
                  <w:pPr>
                    <w:widowControl/>
                    <w:adjustRightInd w:val="0"/>
                    <w:snapToGrid w:val="0"/>
                    <w:spacing w:line="240" w:lineRule="auto"/>
                    <w:ind w:firstLine="0" w:firstLineChars="0"/>
                    <w:jc w:val="center"/>
                    <w:textAlignment w:val="center"/>
                    <w:rPr>
                      <w:kern w:val="0"/>
                      <w:sz w:val="21"/>
                      <w:szCs w:val="21"/>
                      <w:lang w:bidi="ar"/>
                    </w:rPr>
                  </w:pPr>
                  <w:r>
                    <w:rPr>
                      <w:rFonts w:hint="eastAsia"/>
                      <w:kern w:val="0"/>
                      <w:sz w:val="21"/>
                      <w:szCs w:val="21"/>
                      <w:lang w:bidi="ar"/>
                    </w:rPr>
                    <w:t>0.5</w:t>
                  </w:r>
                </w:p>
              </w:tc>
            </w:tr>
            <w:tr w14:paraId="54A21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pct"/>
                  <w:vMerge w:val="continue"/>
                  <w:vAlign w:val="center"/>
                </w:tcPr>
                <w:p w14:paraId="7D89466E">
                  <w:pPr>
                    <w:widowControl/>
                    <w:adjustRightInd w:val="0"/>
                    <w:snapToGrid w:val="0"/>
                    <w:spacing w:line="240" w:lineRule="auto"/>
                    <w:ind w:firstLine="0" w:firstLineChars="0"/>
                    <w:jc w:val="center"/>
                    <w:outlineLvl w:val="1"/>
                    <w:rPr>
                      <w:sz w:val="21"/>
                      <w:szCs w:val="21"/>
                    </w:rPr>
                  </w:pPr>
                </w:p>
              </w:tc>
              <w:tc>
                <w:tcPr>
                  <w:tcW w:w="1910" w:type="pct"/>
                  <w:vAlign w:val="center"/>
                </w:tcPr>
                <w:p w14:paraId="30E5F7E0">
                  <w:pPr>
                    <w:widowControl/>
                    <w:adjustRightInd w:val="0"/>
                    <w:snapToGrid w:val="0"/>
                    <w:spacing w:line="240" w:lineRule="auto"/>
                    <w:ind w:firstLine="0" w:firstLineChars="0"/>
                    <w:jc w:val="center"/>
                    <w:textAlignment w:val="center"/>
                    <w:rPr>
                      <w:rFonts w:cs="宋体"/>
                      <w:kern w:val="0"/>
                      <w:sz w:val="21"/>
                      <w:szCs w:val="21"/>
                      <w:lang w:bidi="ar"/>
                    </w:rPr>
                  </w:pPr>
                  <w:r>
                    <w:rPr>
                      <w:rFonts w:hint="eastAsia" w:cs="宋体"/>
                      <w:kern w:val="0"/>
                      <w:sz w:val="21"/>
                      <w:szCs w:val="21"/>
                      <w:lang w:bidi="ar"/>
                    </w:rPr>
                    <w:t>单层活性炭厚度h（m）</w:t>
                  </w:r>
                </w:p>
              </w:tc>
              <w:tc>
                <w:tcPr>
                  <w:tcW w:w="2165" w:type="pct"/>
                  <w:vAlign w:val="center"/>
                </w:tcPr>
                <w:p w14:paraId="4FBD8F92">
                  <w:pPr>
                    <w:widowControl/>
                    <w:adjustRightInd w:val="0"/>
                    <w:snapToGrid w:val="0"/>
                    <w:spacing w:line="240" w:lineRule="auto"/>
                    <w:ind w:firstLine="0" w:firstLineChars="0"/>
                    <w:jc w:val="center"/>
                    <w:textAlignment w:val="center"/>
                    <w:rPr>
                      <w:kern w:val="0"/>
                      <w:sz w:val="21"/>
                      <w:szCs w:val="21"/>
                      <w:lang w:bidi="ar"/>
                    </w:rPr>
                  </w:pPr>
                  <w:r>
                    <w:rPr>
                      <w:rFonts w:hint="eastAsia"/>
                      <w:kern w:val="0"/>
                      <w:sz w:val="21"/>
                      <w:szCs w:val="21"/>
                      <w:lang w:bidi="ar"/>
                    </w:rPr>
                    <w:t>0.4</w:t>
                  </w:r>
                </w:p>
              </w:tc>
            </w:tr>
            <w:tr w14:paraId="19292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pct"/>
                  <w:vMerge w:val="continue"/>
                  <w:vAlign w:val="center"/>
                </w:tcPr>
                <w:p w14:paraId="1FCE618A">
                  <w:pPr>
                    <w:widowControl/>
                    <w:adjustRightInd w:val="0"/>
                    <w:snapToGrid w:val="0"/>
                    <w:spacing w:line="240" w:lineRule="auto"/>
                    <w:ind w:firstLine="0" w:firstLineChars="0"/>
                    <w:jc w:val="center"/>
                    <w:outlineLvl w:val="1"/>
                    <w:rPr>
                      <w:sz w:val="21"/>
                      <w:szCs w:val="21"/>
                    </w:rPr>
                  </w:pPr>
                </w:p>
              </w:tc>
              <w:tc>
                <w:tcPr>
                  <w:tcW w:w="1910" w:type="pct"/>
                  <w:vAlign w:val="center"/>
                </w:tcPr>
                <w:p w14:paraId="03C58777">
                  <w:pPr>
                    <w:widowControl/>
                    <w:adjustRightInd w:val="0"/>
                    <w:snapToGrid w:val="0"/>
                    <w:spacing w:line="240" w:lineRule="auto"/>
                    <w:ind w:firstLine="0" w:firstLineChars="0"/>
                    <w:jc w:val="center"/>
                    <w:textAlignment w:val="center"/>
                    <w:rPr>
                      <w:sz w:val="21"/>
                      <w:szCs w:val="21"/>
                    </w:rPr>
                  </w:pPr>
                  <w:r>
                    <w:rPr>
                      <w:rFonts w:hint="eastAsia" w:cs="宋体"/>
                      <w:kern w:val="0"/>
                      <w:sz w:val="21"/>
                      <w:szCs w:val="21"/>
                      <w:lang w:bidi="ar"/>
                    </w:rPr>
                    <w:t>炭数q（层）</w:t>
                  </w:r>
                </w:p>
              </w:tc>
              <w:tc>
                <w:tcPr>
                  <w:tcW w:w="2165" w:type="pct"/>
                  <w:vAlign w:val="center"/>
                </w:tcPr>
                <w:p w14:paraId="69DA62ED">
                  <w:pPr>
                    <w:widowControl/>
                    <w:adjustRightInd w:val="0"/>
                    <w:snapToGrid w:val="0"/>
                    <w:spacing w:line="240" w:lineRule="auto"/>
                    <w:ind w:firstLine="0" w:firstLineChars="0"/>
                    <w:jc w:val="center"/>
                    <w:textAlignment w:val="center"/>
                    <w:rPr>
                      <w:sz w:val="21"/>
                      <w:szCs w:val="21"/>
                    </w:rPr>
                  </w:pPr>
                  <w:r>
                    <w:rPr>
                      <w:rFonts w:hint="eastAsia"/>
                      <w:kern w:val="0"/>
                      <w:sz w:val="21"/>
                      <w:szCs w:val="21"/>
                      <w:lang w:bidi="ar"/>
                    </w:rPr>
                    <w:t>2</w:t>
                  </w:r>
                </w:p>
              </w:tc>
            </w:tr>
            <w:tr w14:paraId="4AD00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pct"/>
                  <w:vMerge w:val="continue"/>
                  <w:vAlign w:val="center"/>
                </w:tcPr>
                <w:p w14:paraId="48C2D032">
                  <w:pPr>
                    <w:widowControl/>
                    <w:adjustRightInd w:val="0"/>
                    <w:snapToGrid w:val="0"/>
                    <w:spacing w:line="240" w:lineRule="auto"/>
                    <w:ind w:firstLine="0" w:firstLineChars="0"/>
                    <w:jc w:val="center"/>
                    <w:outlineLvl w:val="1"/>
                    <w:rPr>
                      <w:sz w:val="21"/>
                      <w:szCs w:val="21"/>
                    </w:rPr>
                  </w:pPr>
                </w:p>
              </w:tc>
              <w:tc>
                <w:tcPr>
                  <w:tcW w:w="1910" w:type="pct"/>
                  <w:vAlign w:val="center"/>
                </w:tcPr>
                <w:p w14:paraId="2DCB8C58">
                  <w:pPr>
                    <w:widowControl/>
                    <w:adjustRightInd w:val="0"/>
                    <w:snapToGrid w:val="0"/>
                    <w:spacing w:line="240" w:lineRule="auto"/>
                    <w:ind w:firstLine="0" w:firstLineChars="0"/>
                    <w:jc w:val="center"/>
                    <w:textAlignment w:val="center"/>
                    <w:rPr>
                      <w:sz w:val="21"/>
                      <w:szCs w:val="21"/>
                    </w:rPr>
                  </w:pPr>
                  <w:r>
                    <w:rPr>
                      <w:rFonts w:hint="eastAsia" w:cs="宋体"/>
                      <w:kern w:val="0"/>
                      <w:sz w:val="21"/>
                      <w:szCs w:val="21"/>
                      <w:lang w:bidi="ar"/>
                    </w:rPr>
                    <w:t>过滤风速</w:t>
                  </w:r>
                  <w:r>
                    <w:rPr>
                      <w:kern w:val="0"/>
                      <w:sz w:val="21"/>
                      <w:szCs w:val="21"/>
                      <w:lang w:bidi="ar"/>
                    </w:rPr>
                    <w:t>V</w:t>
                  </w:r>
                  <w:r>
                    <w:rPr>
                      <w:rFonts w:hint="eastAsia"/>
                      <w:kern w:val="0"/>
                      <w:sz w:val="21"/>
                      <w:szCs w:val="21"/>
                      <w:lang w:bidi="ar"/>
                    </w:rPr>
                    <w:t>（m/s）</w:t>
                  </w:r>
                </w:p>
              </w:tc>
              <w:tc>
                <w:tcPr>
                  <w:tcW w:w="2165" w:type="pct"/>
                  <w:vAlign w:val="center"/>
                </w:tcPr>
                <w:p w14:paraId="1CAEEFB5">
                  <w:pPr>
                    <w:widowControl/>
                    <w:adjustRightInd w:val="0"/>
                    <w:snapToGrid w:val="0"/>
                    <w:spacing w:line="240" w:lineRule="auto"/>
                    <w:ind w:firstLine="0" w:firstLineChars="0"/>
                    <w:jc w:val="center"/>
                    <w:textAlignment w:val="center"/>
                    <w:rPr>
                      <w:sz w:val="21"/>
                      <w:szCs w:val="21"/>
                    </w:rPr>
                  </w:pPr>
                  <w:r>
                    <w:rPr>
                      <w:rFonts w:hint="eastAsia"/>
                      <w:kern w:val="0"/>
                      <w:sz w:val="21"/>
                      <w:szCs w:val="21"/>
                      <w:lang w:bidi="ar"/>
                    </w:rPr>
                    <w:t>0.98，</w:t>
                  </w:r>
                  <w:r>
                    <w:rPr>
                      <w:kern w:val="0"/>
                      <w:sz w:val="21"/>
                      <w:szCs w:val="21"/>
                      <w:lang w:bidi="ar"/>
                    </w:rPr>
                    <w:t>V=（Q/3600）/（L*B）</w:t>
                  </w:r>
                </w:p>
              </w:tc>
            </w:tr>
            <w:tr w14:paraId="6CDF8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4" w:type="pct"/>
                  <w:vMerge w:val="continue"/>
                  <w:vAlign w:val="center"/>
                </w:tcPr>
                <w:p w14:paraId="69A700D6">
                  <w:pPr>
                    <w:widowControl/>
                    <w:adjustRightInd w:val="0"/>
                    <w:snapToGrid w:val="0"/>
                    <w:spacing w:line="240" w:lineRule="auto"/>
                    <w:ind w:firstLine="0" w:firstLineChars="0"/>
                    <w:jc w:val="center"/>
                    <w:outlineLvl w:val="1"/>
                    <w:rPr>
                      <w:sz w:val="21"/>
                      <w:szCs w:val="21"/>
                    </w:rPr>
                  </w:pPr>
                </w:p>
              </w:tc>
              <w:tc>
                <w:tcPr>
                  <w:tcW w:w="1910" w:type="pct"/>
                  <w:vAlign w:val="center"/>
                </w:tcPr>
                <w:p w14:paraId="1DF0AF0B">
                  <w:pPr>
                    <w:widowControl/>
                    <w:adjustRightInd w:val="0"/>
                    <w:snapToGrid w:val="0"/>
                    <w:spacing w:line="240" w:lineRule="auto"/>
                    <w:ind w:firstLine="0" w:firstLineChars="0"/>
                    <w:jc w:val="center"/>
                    <w:textAlignment w:val="center"/>
                    <w:rPr>
                      <w:sz w:val="21"/>
                      <w:szCs w:val="21"/>
                    </w:rPr>
                  </w:pPr>
                  <w:r>
                    <w:rPr>
                      <w:rFonts w:hint="eastAsia" w:cs="宋体"/>
                      <w:kern w:val="0"/>
                      <w:sz w:val="21"/>
                      <w:szCs w:val="21"/>
                      <w:lang w:bidi="ar"/>
                    </w:rPr>
                    <w:t>过滤停留时间</w:t>
                  </w:r>
                  <w:r>
                    <w:rPr>
                      <w:kern w:val="0"/>
                      <w:sz w:val="21"/>
                      <w:szCs w:val="21"/>
                      <w:lang w:bidi="ar"/>
                    </w:rPr>
                    <w:t>T</w:t>
                  </w:r>
                  <w:r>
                    <w:rPr>
                      <w:rFonts w:hint="eastAsia"/>
                      <w:kern w:val="0"/>
                      <w:sz w:val="21"/>
                      <w:szCs w:val="21"/>
                      <w:lang w:bidi="ar"/>
                    </w:rPr>
                    <w:t>（s）</w:t>
                  </w:r>
                </w:p>
              </w:tc>
              <w:tc>
                <w:tcPr>
                  <w:tcW w:w="2165" w:type="pct"/>
                  <w:vAlign w:val="center"/>
                </w:tcPr>
                <w:p w14:paraId="32CE80F3">
                  <w:pPr>
                    <w:widowControl/>
                    <w:adjustRightInd w:val="0"/>
                    <w:snapToGrid w:val="0"/>
                    <w:spacing w:line="240" w:lineRule="auto"/>
                    <w:ind w:firstLine="0" w:firstLineChars="0"/>
                    <w:jc w:val="center"/>
                    <w:textAlignment w:val="center"/>
                    <w:rPr>
                      <w:sz w:val="21"/>
                      <w:szCs w:val="21"/>
                    </w:rPr>
                  </w:pPr>
                  <w:r>
                    <w:rPr>
                      <w:rFonts w:hint="eastAsia"/>
                      <w:kern w:val="0"/>
                      <w:sz w:val="21"/>
                      <w:szCs w:val="21"/>
                      <w:lang w:bidi="ar"/>
                    </w:rPr>
                    <w:t>0.82，T=q*h/V</w:t>
                  </w:r>
                </w:p>
              </w:tc>
            </w:tr>
            <w:tr w14:paraId="5E875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pct"/>
                  <w:vMerge w:val="continue"/>
                  <w:vAlign w:val="center"/>
                </w:tcPr>
                <w:p w14:paraId="4B30681F">
                  <w:pPr>
                    <w:widowControl/>
                    <w:adjustRightInd w:val="0"/>
                    <w:snapToGrid w:val="0"/>
                    <w:spacing w:line="240" w:lineRule="auto"/>
                    <w:ind w:firstLine="0" w:firstLineChars="0"/>
                    <w:jc w:val="center"/>
                    <w:outlineLvl w:val="1"/>
                    <w:rPr>
                      <w:sz w:val="21"/>
                      <w:szCs w:val="21"/>
                    </w:rPr>
                  </w:pPr>
                </w:p>
              </w:tc>
              <w:tc>
                <w:tcPr>
                  <w:tcW w:w="1910" w:type="pct"/>
                  <w:vAlign w:val="center"/>
                </w:tcPr>
                <w:p w14:paraId="48DAD9B8">
                  <w:pPr>
                    <w:widowControl/>
                    <w:adjustRightInd w:val="0"/>
                    <w:snapToGrid w:val="0"/>
                    <w:spacing w:line="240" w:lineRule="auto"/>
                    <w:ind w:firstLine="0" w:firstLineChars="0"/>
                    <w:jc w:val="center"/>
                    <w:textAlignment w:val="center"/>
                    <w:rPr>
                      <w:sz w:val="21"/>
                      <w:szCs w:val="21"/>
                    </w:rPr>
                  </w:pPr>
                  <w:r>
                    <w:rPr>
                      <w:rFonts w:hint="eastAsia" w:cs="宋体"/>
                      <w:kern w:val="0"/>
                      <w:sz w:val="21"/>
                      <w:szCs w:val="21"/>
                      <w:lang w:bidi="ar"/>
                    </w:rPr>
                    <w:t>单级活性炭装填量</w:t>
                  </w:r>
                  <w:r>
                    <w:rPr>
                      <w:kern w:val="0"/>
                      <w:sz w:val="21"/>
                      <w:szCs w:val="21"/>
                      <w:lang w:bidi="ar"/>
                    </w:rPr>
                    <w:t>G</w:t>
                  </w:r>
                  <w:r>
                    <w:rPr>
                      <w:rFonts w:hint="eastAsia"/>
                      <w:kern w:val="0"/>
                      <w:sz w:val="21"/>
                      <w:szCs w:val="21"/>
                      <w:vertAlign w:val="subscript"/>
                      <w:lang w:bidi="ar"/>
                    </w:rPr>
                    <w:t>1</w:t>
                  </w:r>
                  <w:r>
                    <w:rPr>
                      <w:rFonts w:hint="eastAsia"/>
                      <w:kern w:val="0"/>
                      <w:sz w:val="21"/>
                      <w:szCs w:val="21"/>
                      <w:lang w:bidi="ar"/>
                    </w:rPr>
                    <w:t>（t）</w:t>
                  </w:r>
                </w:p>
              </w:tc>
              <w:tc>
                <w:tcPr>
                  <w:tcW w:w="2165" w:type="pct"/>
                  <w:vAlign w:val="center"/>
                </w:tcPr>
                <w:p w14:paraId="0E2DF2C1">
                  <w:pPr>
                    <w:widowControl/>
                    <w:adjustRightInd w:val="0"/>
                    <w:snapToGrid w:val="0"/>
                    <w:spacing w:line="240" w:lineRule="auto"/>
                    <w:ind w:firstLine="0" w:firstLineChars="0"/>
                    <w:jc w:val="center"/>
                    <w:textAlignment w:val="center"/>
                    <w:rPr>
                      <w:kern w:val="0"/>
                      <w:sz w:val="21"/>
                      <w:szCs w:val="21"/>
                      <w:lang w:bidi="ar"/>
                    </w:rPr>
                  </w:pPr>
                  <w:r>
                    <w:rPr>
                      <w:rFonts w:hint="eastAsia"/>
                      <w:kern w:val="0"/>
                      <w:sz w:val="21"/>
                      <w:szCs w:val="21"/>
                      <w:lang w:bidi="ar"/>
                    </w:rPr>
                    <w:t>1.3，G=L*B*h*q*</w:t>
                  </w:r>
                  <w:r>
                    <w:rPr>
                      <w:kern w:val="0"/>
                      <w:sz w:val="21"/>
                      <w:szCs w:val="21"/>
                      <w:lang w:bidi="ar"/>
                    </w:rPr>
                    <w:t>ρ</w:t>
                  </w:r>
                </w:p>
              </w:tc>
            </w:tr>
            <w:tr w14:paraId="1F345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pct"/>
                  <w:vMerge w:val="continue"/>
                  <w:vAlign w:val="center"/>
                </w:tcPr>
                <w:p w14:paraId="43523991">
                  <w:pPr>
                    <w:widowControl/>
                    <w:adjustRightInd w:val="0"/>
                    <w:snapToGrid w:val="0"/>
                    <w:spacing w:line="240" w:lineRule="auto"/>
                    <w:ind w:firstLine="0" w:firstLineChars="0"/>
                    <w:jc w:val="center"/>
                    <w:outlineLvl w:val="1"/>
                    <w:rPr>
                      <w:sz w:val="21"/>
                      <w:szCs w:val="21"/>
                    </w:rPr>
                  </w:pPr>
                </w:p>
              </w:tc>
              <w:tc>
                <w:tcPr>
                  <w:tcW w:w="1910" w:type="pct"/>
                  <w:vAlign w:val="center"/>
                </w:tcPr>
                <w:p w14:paraId="0C619A8B">
                  <w:pPr>
                    <w:widowControl/>
                    <w:adjustRightInd w:val="0"/>
                    <w:snapToGrid w:val="0"/>
                    <w:spacing w:line="240" w:lineRule="auto"/>
                    <w:ind w:firstLine="0" w:firstLineChars="0"/>
                    <w:jc w:val="center"/>
                    <w:textAlignment w:val="center"/>
                    <w:rPr>
                      <w:rFonts w:cs="宋体"/>
                      <w:kern w:val="0"/>
                      <w:sz w:val="21"/>
                      <w:szCs w:val="21"/>
                      <w:lang w:bidi="ar"/>
                    </w:rPr>
                  </w:pPr>
                  <w:r>
                    <w:rPr>
                      <w:rFonts w:hint="eastAsia" w:cs="宋体"/>
                      <w:kern w:val="0"/>
                      <w:sz w:val="21"/>
                      <w:szCs w:val="21"/>
                      <w:lang w:bidi="ar"/>
                    </w:rPr>
                    <w:t>二级活性炭装填量G</w:t>
                  </w:r>
                  <w:r>
                    <w:rPr>
                      <w:rFonts w:hint="eastAsia" w:cs="宋体"/>
                      <w:kern w:val="0"/>
                      <w:sz w:val="21"/>
                      <w:szCs w:val="21"/>
                      <w:vertAlign w:val="subscript"/>
                      <w:lang w:bidi="ar"/>
                    </w:rPr>
                    <w:t>2</w:t>
                  </w:r>
                  <w:r>
                    <w:rPr>
                      <w:rFonts w:hint="eastAsia"/>
                      <w:kern w:val="0"/>
                      <w:sz w:val="21"/>
                      <w:szCs w:val="21"/>
                      <w:lang w:bidi="ar"/>
                    </w:rPr>
                    <w:t>（t）</w:t>
                  </w:r>
                </w:p>
              </w:tc>
              <w:tc>
                <w:tcPr>
                  <w:tcW w:w="2165" w:type="pct"/>
                  <w:vAlign w:val="center"/>
                </w:tcPr>
                <w:p w14:paraId="06C9FED1">
                  <w:pPr>
                    <w:widowControl/>
                    <w:adjustRightInd w:val="0"/>
                    <w:snapToGrid w:val="0"/>
                    <w:spacing w:line="240" w:lineRule="auto"/>
                    <w:ind w:firstLine="0" w:firstLineChars="0"/>
                    <w:jc w:val="center"/>
                    <w:textAlignment w:val="center"/>
                    <w:rPr>
                      <w:kern w:val="0"/>
                      <w:sz w:val="21"/>
                      <w:szCs w:val="21"/>
                      <w:lang w:bidi="ar"/>
                    </w:rPr>
                  </w:pPr>
                  <w:r>
                    <w:rPr>
                      <w:rFonts w:hint="eastAsia"/>
                      <w:kern w:val="0"/>
                      <w:sz w:val="21"/>
                      <w:szCs w:val="21"/>
                      <w:lang w:bidi="ar"/>
                    </w:rPr>
                    <w:t>2.6</w:t>
                  </w:r>
                </w:p>
              </w:tc>
            </w:tr>
            <w:tr w14:paraId="76550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4" w:type="pct"/>
                  <w:vMerge w:val="continue"/>
                  <w:vAlign w:val="center"/>
                </w:tcPr>
                <w:p w14:paraId="145ECED3">
                  <w:pPr>
                    <w:widowControl/>
                    <w:adjustRightInd w:val="0"/>
                    <w:snapToGrid w:val="0"/>
                    <w:spacing w:line="240" w:lineRule="auto"/>
                    <w:ind w:firstLine="0" w:firstLineChars="0"/>
                    <w:jc w:val="center"/>
                    <w:outlineLvl w:val="1"/>
                    <w:rPr>
                      <w:sz w:val="21"/>
                      <w:szCs w:val="21"/>
                    </w:rPr>
                  </w:pPr>
                </w:p>
              </w:tc>
              <w:tc>
                <w:tcPr>
                  <w:tcW w:w="1910" w:type="pct"/>
                  <w:vAlign w:val="center"/>
                </w:tcPr>
                <w:p w14:paraId="7CB58472">
                  <w:pPr>
                    <w:widowControl/>
                    <w:adjustRightInd w:val="0"/>
                    <w:snapToGrid w:val="0"/>
                    <w:spacing w:line="240" w:lineRule="auto"/>
                    <w:ind w:firstLine="0" w:firstLineChars="0"/>
                    <w:jc w:val="center"/>
                    <w:textAlignment w:val="center"/>
                    <w:rPr>
                      <w:sz w:val="21"/>
                      <w:szCs w:val="21"/>
                    </w:rPr>
                  </w:pPr>
                  <w:r>
                    <w:rPr>
                      <w:rFonts w:hint="eastAsia" w:cs="宋体"/>
                      <w:kern w:val="0"/>
                      <w:sz w:val="21"/>
                      <w:szCs w:val="21"/>
                      <w:lang w:bidi="ar"/>
                    </w:rPr>
                    <w:t>活性炭更换周期（次/年）</w:t>
                  </w:r>
                </w:p>
              </w:tc>
              <w:tc>
                <w:tcPr>
                  <w:tcW w:w="2165" w:type="pct"/>
                  <w:vAlign w:val="center"/>
                </w:tcPr>
                <w:p w14:paraId="69CA6A29">
                  <w:pPr>
                    <w:widowControl/>
                    <w:adjustRightInd w:val="0"/>
                    <w:snapToGrid w:val="0"/>
                    <w:spacing w:line="240" w:lineRule="auto"/>
                    <w:ind w:firstLine="0" w:firstLineChars="0"/>
                    <w:jc w:val="center"/>
                    <w:textAlignment w:val="center"/>
                    <w:rPr>
                      <w:kern w:val="0"/>
                      <w:sz w:val="21"/>
                      <w:szCs w:val="21"/>
                      <w:lang w:bidi="ar"/>
                    </w:rPr>
                  </w:pPr>
                  <w:r>
                    <w:rPr>
                      <w:rFonts w:hint="eastAsia"/>
                      <w:sz w:val="21"/>
                      <w:szCs w:val="21"/>
                    </w:rPr>
                    <w:t>8</w:t>
                  </w:r>
                </w:p>
              </w:tc>
            </w:tr>
            <w:tr w14:paraId="559EC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4" w:type="pct"/>
                  <w:vMerge w:val="continue"/>
                  <w:vAlign w:val="center"/>
                </w:tcPr>
                <w:p w14:paraId="26C83529">
                  <w:pPr>
                    <w:widowControl/>
                    <w:adjustRightInd w:val="0"/>
                    <w:snapToGrid w:val="0"/>
                    <w:spacing w:line="240" w:lineRule="auto"/>
                    <w:ind w:firstLine="0" w:firstLineChars="0"/>
                    <w:jc w:val="center"/>
                    <w:outlineLvl w:val="1"/>
                    <w:rPr>
                      <w:sz w:val="21"/>
                      <w:szCs w:val="21"/>
                    </w:rPr>
                  </w:pPr>
                </w:p>
              </w:tc>
              <w:tc>
                <w:tcPr>
                  <w:tcW w:w="1910" w:type="pct"/>
                  <w:vAlign w:val="center"/>
                </w:tcPr>
                <w:p w14:paraId="372BE7F4">
                  <w:pPr>
                    <w:widowControl/>
                    <w:adjustRightInd w:val="0"/>
                    <w:snapToGrid w:val="0"/>
                    <w:spacing w:line="240" w:lineRule="auto"/>
                    <w:ind w:firstLine="0" w:firstLineChars="0"/>
                    <w:jc w:val="center"/>
                    <w:textAlignment w:val="center"/>
                    <w:rPr>
                      <w:rFonts w:cs="宋体"/>
                      <w:kern w:val="0"/>
                      <w:sz w:val="21"/>
                      <w:szCs w:val="21"/>
                      <w:lang w:bidi="ar"/>
                    </w:rPr>
                  </w:pPr>
                  <w:r>
                    <w:rPr>
                      <w:rFonts w:hint="eastAsia" w:cs="宋体"/>
                      <w:kern w:val="0"/>
                      <w:sz w:val="21"/>
                      <w:szCs w:val="21"/>
                      <w:lang w:bidi="ar"/>
                    </w:rPr>
                    <w:t>活性炭年更换总量（t/a）</w:t>
                  </w:r>
                </w:p>
              </w:tc>
              <w:tc>
                <w:tcPr>
                  <w:tcW w:w="2165" w:type="pct"/>
                  <w:vAlign w:val="center"/>
                </w:tcPr>
                <w:p w14:paraId="3F6FE25A">
                  <w:pPr>
                    <w:widowControl/>
                    <w:adjustRightInd w:val="0"/>
                    <w:snapToGrid w:val="0"/>
                    <w:spacing w:line="240" w:lineRule="auto"/>
                    <w:ind w:firstLine="0" w:firstLineChars="0"/>
                    <w:jc w:val="center"/>
                    <w:textAlignment w:val="center"/>
                    <w:rPr>
                      <w:sz w:val="21"/>
                      <w:szCs w:val="21"/>
                    </w:rPr>
                  </w:pPr>
                  <w:r>
                    <w:rPr>
                      <w:rFonts w:hint="eastAsia"/>
                      <w:sz w:val="21"/>
                      <w:szCs w:val="21"/>
                    </w:rPr>
                    <w:t>20.8</w:t>
                  </w:r>
                </w:p>
              </w:tc>
            </w:tr>
            <w:tr w14:paraId="7A7A7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pct"/>
                  <w:vMerge w:val="continue"/>
                  <w:vAlign w:val="center"/>
                </w:tcPr>
                <w:p w14:paraId="0757B284">
                  <w:pPr>
                    <w:widowControl/>
                    <w:adjustRightInd w:val="0"/>
                    <w:snapToGrid w:val="0"/>
                    <w:spacing w:line="240" w:lineRule="auto"/>
                    <w:ind w:firstLine="0" w:firstLineChars="0"/>
                    <w:jc w:val="center"/>
                    <w:outlineLvl w:val="1"/>
                    <w:rPr>
                      <w:sz w:val="21"/>
                      <w:szCs w:val="21"/>
                    </w:rPr>
                  </w:pPr>
                </w:p>
              </w:tc>
              <w:tc>
                <w:tcPr>
                  <w:tcW w:w="1910" w:type="pct"/>
                  <w:vAlign w:val="center"/>
                </w:tcPr>
                <w:p w14:paraId="05C86C0A">
                  <w:pPr>
                    <w:widowControl/>
                    <w:adjustRightInd w:val="0"/>
                    <w:snapToGrid w:val="0"/>
                    <w:spacing w:line="240" w:lineRule="auto"/>
                    <w:ind w:firstLine="0" w:firstLineChars="0"/>
                    <w:jc w:val="center"/>
                    <w:textAlignment w:val="center"/>
                    <w:rPr>
                      <w:rFonts w:cs="宋体"/>
                      <w:kern w:val="0"/>
                      <w:sz w:val="21"/>
                      <w:szCs w:val="21"/>
                      <w:lang w:bidi="ar"/>
                    </w:rPr>
                  </w:pPr>
                  <w:r>
                    <w:rPr>
                      <w:rFonts w:hint="eastAsia" w:cs="宋体"/>
                      <w:kern w:val="0"/>
                      <w:sz w:val="21"/>
                      <w:szCs w:val="21"/>
                      <w:lang w:bidi="ar"/>
                    </w:rPr>
                    <w:t>有机废气吸附量（t/a）</w:t>
                  </w:r>
                </w:p>
              </w:tc>
              <w:tc>
                <w:tcPr>
                  <w:tcW w:w="2165" w:type="pct"/>
                  <w:vAlign w:val="center"/>
                </w:tcPr>
                <w:p w14:paraId="3B247349">
                  <w:pPr>
                    <w:widowControl/>
                    <w:adjustRightInd w:val="0"/>
                    <w:snapToGrid w:val="0"/>
                    <w:spacing w:line="240" w:lineRule="auto"/>
                    <w:ind w:firstLine="0" w:firstLineChars="0"/>
                    <w:jc w:val="center"/>
                    <w:textAlignment w:val="center"/>
                    <w:rPr>
                      <w:kern w:val="0"/>
                      <w:sz w:val="21"/>
                      <w:szCs w:val="21"/>
                      <w:lang w:bidi="ar"/>
                    </w:rPr>
                  </w:pPr>
                  <w:r>
                    <w:rPr>
                      <w:rFonts w:hint="eastAsia"/>
                      <w:kern w:val="0"/>
                      <w:sz w:val="21"/>
                      <w:szCs w:val="21"/>
                      <w:lang w:bidi="ar"/>
                    </w:rPr>
                    <w:t>2.8</w:t>
                  </w:r>
                </w:p>
              </w:tc>
            </w:tr>
            <w:tr w14:paraId="1A15A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4" w:type="pct"/>
                  <w:vMerge w:val="continue"/>
                  <w:vAlign w:val="center"/>
                </w:tcPr>
                <w:p w14:paraId="55C614D5">
                  <w:pPr>
                    <w:widowControl/>
                    <w:adjustRightInd w:val="0"/>
                    <w:snapToGrid w:val="0"/>
                    <w:spacing w:line="240" w:lineRule="auto"/>
                    <w:ind w:firstLine="0" w:firstLineChars="0"/>
                    <w:jc w:val="center"/>
                    <w:outlineLvl w:val="1"/>
                    <w:rPr>
                      <w:sz w:val="21"/>
                      <w:szCs w:val="21"/>
                    </w:rPr>
                  </w:pPr>
                </w:p>
              </w:tc>
              <w:tc>
                <w:tcPr>
                  <w:tcW w:w="1910" w:type="pct"/>
                  <w:vAlign w:val="center"/>
                </w:tcPr>
                <w:p w14:paraId="77CD2378">
                  <w:pPr>
                    <w:widowControl/>
                    <w:adjustRightInd w:val="0"/>
                    <w:snapToGrid w:val="0"/>
                    <w:spacing w:line="240" w:lineRule="auto"/>
                    <w:ind w:firstLine="0" w:firstLineChars="0"/>
                    <w:jc w:val="center"/>
                    <w:textAlignment w:val="center"/>
                    <w:rPr>
                      <w:rFonts w:cs="宋体"/>
                      <w:kern w:val="0"/>
                      <w:sz w:val="21"/>
                      <w:szCs w:val="21"/>
                      <w:lang w:bidi="ar"/>
                    </w:rPr>
                  </w:pPr>
                  <w:r>
                    <w:rPr>
                      <w:rFonts w:hint="eastAsia" w:cs="宋体"/>
                      <w:kern w:val="0"/>
                      <w:sz w:val="21"/>
                      <w:szCs w:val="21"/>
                      <w:lang w:bidi="ar"/>
                    </w:rPr>
                    <w:t>废活性炭量（t/a）</w:t>
                  </w:r>
                </w:p>
              </w:tc>
              <w:tc>
                <w:tcPr>
                  <w:tcW w:w="2165" w:type="pct"/>
                  <w:vAlign w:val="center"/>
                </w:tcPr>
                <w:p w14:paraId="0B4120E2">
                  <w:pPr>
                    <w:widowControl/>
                    <w:adjustRightInd w:val="0"/>
                    <w:snapToGrid w:val="0"/>
                    <w:spacing w:line="240" w:lineRule="auto"/>
                    <w:ind w:firstLine="0" w:firstLineChars="0"/>
                    <w:jc w:val="center"/>
                    <w:textAlignment w:val="center"/>
                    <w:rPr>
                      <w:kern w:val="0"/>
                      <w:sz w:val="21"/>
                      <w:szCs w:val="21"/>
                      <w:lang w:bidi="ar"/>
                    </w:rPr>
                  </w:pPr>
                  <w:bookmarkStart w:id="321" w:name="OLE_LINK29"/>
                  <w:r>
                    <w:rPr>
                      <w:rFonts w:hint="eastAsia"/>
                      <w:kern w:val="0"/>
                      <w:sz w:val="21"/>
                      <w:szCs w:val="21"/>
                      <w:lang w:bidi="ar"/>
                    </w:rPr>
                    <w:t>23.6</w:t>
                  </w:r>
                  <w:bookmarkEnd w:id="321"/>
                </w:p>
              </w:tc>
            </w:tr>
            <w:tr w14:paraId="3E9AD8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3"/>
                  <w:vAlign w:val="center"/>
                </w:tcPr>
                <w:p w14:paraId="00858B3C">
                  <w:pPr>
                    <w:spacing w:line="240" w:lineRule="auto"/>
                    <w:ind w:firstLine="0" w:firstLineChars="0"/>
                    <w:rPr>
                      <w:sz w:val="21"/>
                      <w:szCs w:val="21"/>
                    </w:rPr>
                  </w:pPr>
                  <w:r>
                    <w:rPr>
                      <w:rFonts w:hint="eastAsia"/>
                      <w:sz w:val="21"/>
                      <w:szCs w:val="21"/>
                    </w:rPr>
                    <w:t>注：根据《吸附法工业有机废气治理工程技术规范》（HJ 2026-2013），采用蜂窝状吸附剂时，气体流速宜低于1.2m/s”，项目二级活性炭吸附装置的气体流速为0.98m/s，满足气体流速要求。</w:t>
                  </w:r>
                </w:p>
              </w:tc>
            </w:tr>
          </w:tbl>
          <w:p w14:paraId="3902BDDA">
            <w:pPr>
              <w:ind w:firstLine="480"/>
              <w:jc w:val="both"/>
            </w:pPr>
            <w:r>
              <w:rPr>
                <w:rFonts w:hint="eastAsia"/>
              </w:rPr>
              <w:t>根据上表可知，项目废活性炭产生量为23.6t/a，活性炭更换周期为8次/年，则项目活性</w:t>
            </w:r>
            <w:bookmarkStart w:id="322" w:name="OLE_LINK241"/>
            <w:r>
              <w:rPr>
                <w:rFonts w:hint="eastAsia"/>
              </w:rPr>
              <w:t>炭年更换总量为20.8t/a＞理论所需活性炭用量18.67t/a，可满足废气处理需求</w:t>
            </w:r>
            <w:bookmarkStart w:id="323" w:name="OLE_LINK242"/>
            <w:r>
              <w:rPr>
                <w:rFonts w:hint="eastAsia"/>
              </w:rPr>
              <w:t>。</w:t>
            </w:r>
          </w:p>
          <w:bookmarkEnd w:id="322"/>
          <w:bookmarkEnd w:id="323"/>
          <w:p w14:paraId="6D7D393A">
            <w:pPr>
              <w:widowControl/>
              <w:tabs>
                <w:tab w:val="left" w:pos="0"/>
              </w:tabs>
              <w:spacing w:line="240" w:lineRule="auto"/>
              <w:ind w:firstLine="422"/>
              <w:jc w:val="center"/>
              <w:rPr>
                <w:b/>
                <w:sz w:val="21"/>
                <w:szCs w:val="21"/>
              </w:rPr>
            </w:pPr>
            <w:r>
              <w:rPr>
                <w:rFonts w:hint="eastAsia"/>
                <w:b/>
                <w:sz w:val="21"/>
                <w:szCs w:val="21"/>
              </w:rPr>
              <w:t xml:space="preserve">表4-17 </w:t>
            </w:r>
            <w:r>
              <w:rPr>
                <w:b/>
                <w:sz w:val="21"/>
                <w:szCs w:val="21"/>
              </w:rPr>
              <w:t>固体废物</w:t>
            </w:r>
            <w:r>
              <w:rPr>
                <w:rFonts w:hint="eastAsia"/>
                <w:b/>
                <w:sz w:val="21"/>
                <w:szCs w:val="21"/>
              </w:rPr>
              <w:t>产生情况汇总表</w:t>
            </w:r>
          </w:p>
          <w:tbl>
            <w:tblPr>
              <w:tblStyle w:val="34"/>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7"/>
              <w:gridCol w:w="1187"/>
              <w:gridCol w:w="388"/>
              <w:gridCol w:w="1340"/>
              <w:gridCol w:w="810"/>
              <w:gridCol w:w="857"/>
              <w:gridCol w:w="809"/>
              <w:gridCol w:w="763"/>
              <w:gridCol w:w="674"/>
              <w:gridCol w:w="1066"/>
            </w:tblGrid>
            <w:tr w14:paraId="54DD9D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6" w:hRule="atLeast"/>
                <w:jc w:val="center"/>
              </w:trPr>
              <w:tc>
                <w:tcPr>
                  <w:tcW w:w="373" w:type="pct"/>
                  <w:vAlign w:val="center"/>
                </w:tcPr>
                <w:p w14:paraId="2F61C629">
                  <w:pPr>
                    <w:widowControl/>
                    <w:adjustRightInd w:val="0"/>
                    <w:snapToGrid w:val="0"/>
                    <w:spacing w:line="240" w:lineRule="auto"/>
                    <w:ind w:firstLine="0" w:firstLineChars="0"/>
                    <w:jc w:val="center"/>
                    <w:rPr>
                      <w:b/>
                      <w:sz w:val="21"/>
                      <w:szCs w:val="21"/>
                    </w:rPr>
                  </w:pPr>
                  <w:r>
                    <w:rPr>
                      <w:b/>
                      <w:sz w:val="21"/>
                      <w:szCs w:val="21"/>
                    </w:rPr>
                    <w:t>产生环节</w:t>
                  </w:r>
                </w:p>
              </w:tc>
              <w:tc>
                <w:tcPr>
                  <w:tcW w:w="695" w:type="pct"/>
                  <w:vAlign w:val="center"/>
                </w:tcPr>
                <w:p w14:paraId="471A1749">
                  <w:pPr>
                    <w:widowControl/>
                    <w:adjustRightInd w:val="0"/>
                    <w:snapToGrid w:val="0"/>
                    <w:spacing w:line="240" w:lineRule="auto"/>
                    <w:ind w:firstLine="0" w:firstLineChars="0"/>
                    <w:jc w:val="center"/>
                    <w:rPr>
                      <w:b/>
                      <w:sz w:val="21"/>
                      <w:szCs w:val="21"/>
                    </w:rPr>
                  </w:pPr>
                  <w:r>
                    <w:rPr>
                      <w:rFonts w:hint="eastAsia"/>
                      <w:b/>
                      <w:sz w:val="21"/>
                      <w:szCs w:val="21"/>
                    </w:rPr>
                    <w:t>固体废物</w:t>
                  </w:r>
                  <w:r>
                    <w:rPr>
                      <w:b/>
                      <w:sz w:val="21"/>
                      <w:szCs w:val="21"/>
                    </w:rPr>
                    <w:t>名称</w:t>
                  </w:r>
                </w:p>
              </w:tc>
              <w:tc>
                <w:tcPr>
                  <w:tcW w:w="1012" w:type="pct"/>
                  <w:gridSpan w:val="2"/>
                  <w:vAlign w:val="center"/>
                </w:tcPr>
                <w:p w14:paraId="78702DF0">
                  <w:pPr>
                    <w:widowControl/>
                    <w:adjustRightInd w:val="0"/>
                    <w:snapToGrid w:val="0"/>
                    <w:spacing w:line="240" w:lineRule="auto"/>
                    <w:ind w:firstLine="0" w:firstLineChars="0"/>
                    <w:jc w:val="center"/>
                    <w:rPr>
                      <w:b/>
                      <w:sz w:val="21"/>
                      <w:szCs w:val="21"/>
                    </w:rPr>
                  </w:pPr>
                  <w:r>
                    <w:rPr>
                      <w:rFonts w:hint="eastAsia"/>
                      <w:b/>
                      <w:sz w:val="21"/>
                      <w:szCs w:val="21"/>
                    </w:rPr>
                    <w:t>固废</w:t>
                  </w:r>
                  <w:r>
                    <w:rPr>
                      <w:b/>
                      <w:sz w:val="21"/>
                      <w:szCs w:val="21"/>
                    </w:rPr>
                    <w:t>属性</w:t>
                  </w:r>
                </w:p>
              </w:tc>
              <w:tc>
                <w:tcPr>
                  <w:tcW w:w="474" w:type="pct"/>
                  <w:vAlign w:val="center"/>
                </w:tcPr>
                <w:p w14:paraId="0BDC5760">
                  <w:pPr>
                    <w:widowControl/>
                    <w:adjustRightInd w:val="0"/>
                    <w:snapToGrid w:val="0"/>
                    <w:spacing w:line="240" w:lineRule="auto"/>
                    <w:ind w:firstLine="0" w:firstLineChars="0"/>
                    <w:jc w:val="center"/>
                    <w:rPr>
                      <w:b/>
                      <w:sz w:val="21"/>
                      <w:szCs w:val="21"/>
                    </w:rPr>
                  </w:pPr>
                  <w:r>
                    <w:rPr>
                      <w:b/>
                      <w:sz w:val="21"/>
                      <w:szCs w:val="21"/>
                    </w:rPr>
                    <w:t>产生量t/a</w:t>
                  </w:r>
                </w:p>
              </w:tc>
              <w:tc>
                <w:tcPr>
                  <w:tcW w:w="502" w:type="pct"/>
                  <w:vAlign w:val="center"/>
                </w:tcPr>
                <w:p w14:paraId="61BCEB36">
                  <w:pPr>
                    <w:widowControl/>
                    <w:adjustRightInd w:val="0"/>
                    <w:snapToGrid w:val="0"/>
                    <w:spacing w:line="240" w:lineRule="auto"/>
                    <w:ind w:firstLine="0" w:firstLineChars="0"/>
                    <w:jc w:val="center"/>
                    <w:rPr>
                      <w:b/>
                      <w:sz w:val="21"/>
                      <w:szCs w:val="21"/>
                    </w:rPr>
                  </w:pPr>
                  <w:r>
                    <w:rPr>
                      <w:b/>
                      <w:sz w:val="21"/>
                      <w:szCs w:val="21"/>
                    </w:rPr>
                    <w:t>主要有毒有害物质名称</w:t>
                  </w:r>
                </w:p>
              </w:tc>
              <w:tc>
                <w:tcPr>
                  <w:tcW w:w="474" w:type="pct"/>
                  <w:vAlign w:val="center"/>
                </w:tcPr>
                <w:p w14:paraId="2F7CD116">
                  <w:pPr>
                    <w:widowControl/>
                    <w:adjustRightInd w:val="0"/>
                    <w:snapToGrid w:val="0"/>
                    <w:spacing w:line="240" w:lineRule="auto"/>
                    <w:ind w:firstLine="0" w:firstLineChars="0"/>
                    <w:jc w:val="center"/>
                    <w:rPr>
                      <w:b/>
                      <w:sz w:val="21"/>
                      <w:szCs w:val="21"/>
                    </w:rPr>
                  </w:pPr>
                  <w:r>
                    <w:rPr>
                      <w:b/>
                      <w:sz w:val="21"/>
                      <w:szCs w:val="21"/>
                    </w:rPr>
                    <w:t>物料性状</w:t>
                  </w:r>
                </w:p>
              </w:tc>
              <w:tc>
                <w:tcPr>
                  <w:tcW w:w="447" w:type="pct"/>
                  <w:vAlign w:val="center"/>
                </w:tcPr>
                <w:p w14:paraId="02F89B71">
                  <w:pPr>
                    <w:widowControl/>
                    <w:adjustRightInd w:val="0"/>
                    <w:snapToGrid w:val="0"/>
                    <w:spacing w:line="240" w:lineRule="auto"/>
                    <w:ind w:firstLine="0" w:firstLineChars="0"/>
                    <w:jc w:val="center"/>
                    <w:rPr>
                      <w:b/>
                      <w:sz w:val="21"/>
                      <w:szCs w:val="21"/>
                    </w:rPr>
                  </w:pPr>
                  <w:r>
                    <w:rPr>
                      <w:b/>
                      <w:sz w:val="21"/>
                      <w:szCs w:val="21"/>
                    </w:rPr>
                    <w:t>环境危险特性</w:t>
                  </w:r>
                </w:p>
              </w:tc>
              <w:tc>
                <w:tcPr>
                  <w:tcW w:w="395" w:type="pct"/>
                  <w:vAlign w:val="center"/>
                </w:tcPr>
                <w:p w14:paraId="42B7B4AA">
                  <w:pPr>
                    <w:widowControl/>
                    <w:adjustRightInd w:val="0"/>
                    <w:snapToGrid w:val="0"/>
                    <w:spacing w:line="240" w:lineRule="auto"/>
                    <w:ind w:firstLine="0" w:firstLineChars="0"/>
                    <w:jc w:val="center"/>
                    <w:rPr>
                      <w:b/>
                      <w:sz w:val="21"/>
                      <w:szCs w:val="21"/>
                    </w:rPr>
                  </w:pPr>
                  <w:r>
                    <w:rPr>
                      <w:b/>
                      <w:sz w:val="21"/>
                      <w:szCs w:val="21"/>
                    </w:rPr>
                    <w:t>贮存方式</w:t>
                  </w:r>
                </w:p>
              </w:tc>
              <w:tc>
                <w:tcPr>
                  <w:tcW w:w="625" w:type="pct"/>
                  <w:vAlign w:val="center"/>
                </w:tcPr>
                <w:p w14:paraId="1E9B9542">
                  <w:pPr>
                    <w:widowControl/>
                    <w:adjustRightInd w:val="0"/>
                    <w:snapToGrid w:val="0"/>
                    <w:spacing w:line="240" w:lineRule="auto"/>
                    <w:ind w:firstLine="0" w:firstLineChars="0"/>
                    <w:jc w:val="center"/>
                    <w:rPr>
                      <w:b/>
                      <w:sz w:val="21"/>
                      <w:szCs w:val="21"/>
                    </w:rPr>
                  </w:pPr>
                  <w:r>
                    <w:rPr>
                      <w:b/>
                      <w:sz w:val="21"/>
                      <w:szCs w:val="21"/>
                    </w:rPr>
                    <w:t>处置方式</w:t>
                  </w:r>
                </w:p>
              </w:tc>
            </w:tr>
            <w:tr w14:paraId="6CCE1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373" w:type="pct"/>
                  <w:vAlign w:val="center"/>
                </w:tcPr>
                <w:p w14:paraId="19B4FDED">
                  <w:pPr>
                    <w:widowControl/>
                    <w:adjustRightInd w:val="0"/>
                    <w:snapToGrid w:val="0"/>
                    <w:spacing w:line="240" w:lineRule="auto"/>
                    <w:ind w:firstLine="0" w:firstLineChars="0"/>
                    <w:jc w:val="center"/>
                    <w:rPr>
                      <w:bCs/>
                      <w:sz w:val="21"/>
                      <w:szCs w:val="21"/>
                    </w:rPr>
                  </w:pPr>
                  <w:r>
                    <w:rPr>
                      <w:rFonts w:hint="eastAsia"/>
                      <w:bCs/>
                      <w:sz w:val="21"/>
                      <w:szCs w:val="21"/>
                    </w:rPr>
                    <w:t>员工</w:t>
                  </w:r>
                  <w:r>
                    <w:rPr>
                      <w:bCs/>
                      <w:sz w:val="21"/>
                      <w:szCs w:val="21"/>
                    </w:rPr>
                    <w:t>生活</w:t>
                  </w:r>
                </w:p>
              </w:tc>
              <w:tc>
                <w:tcPr>
                  <w:tcW w:w="695" w:type="pct"/>
                  <w:vAlign w:val="center"/>
                </w:tcPr>
                <w:p w14:paraId="60C9BD33">
                  <w:pPr>
                    <w:widowControl/>
                    <w:adjustRightInd w:val="0"/>
                    <w:snapToGrid w:val="0"/>
                    <w:spacing w:line="240" w:lineRule="auto"/>
                    <w:ind w:firstLine="0" w:firstLineChars="0"/>
                    <w:jc w:val="center"/>
                    <w:rPr>
                      <w:bCs/>
                      <w:sz w:val="21"/>
                      <w:szCs w:val="21"/>
                    </w:rPr>
                  </w:pPr>
                  <w:r>
                    <w:rPr>
                      <w:bCs/>
                      <w:sz w:val="21"/>
                      <w:szCs w:val="21"/>
                    </w:rPr>
                    <w:t>生活垃圾</w:t>
                  </w:r>
                </w:p>
              </w:tc>
              <w:tc>
                <w:tcPr>
                  <w:tcW w:w="1012" w:type="pct"/>
                  <w:gridSpan w:val="2"/>
                  <w:vAlign w:val="center"/>
                </w:tcPr>
                <w:p w14:paraId="47788BD5">
                  <w:pPr>
                    <w:widowControl/>
                    <w:adjustRightInd w:val="0"/>
                    <w:snapToGrid w:val="0"/>
                    <w:spacing w:line="240" w:lineRule="auto"/>
                    <w:ind w:firstLine="0" w:firstLineChars="0"/>
                    <w:jc w:val="center"/>
                    <w:rPr>
                      <w:bCs/>
                      <w:sz w:val="21"/>
                      <w:szCs w:val="21"/>
                    </w:rPr>
                  </w:pPr>
                  <w:r>
                    <w:rPr>
                      <w:bCs/>
                      <w:sz w:val="21"/>
                      <w:szCs w:val="21"/>
                    </w:rPr>
                    <w:t>生活垃圾</w:t>
                  </w:r>
                </w:p>
              </w:tc>
              <w:tc>
                <w:tcPr>
                  <w:tcW w:w="474" w:type="pct"/>
                  <w:vAlign w:val="center"/>
                </w:tcPr>
                <w:p w14:paraId="52A05D37">
                  <w:pPr>
                    <w:widowControl/>
                    <w:adjustRightInd w:val="0"/>
                    <w:snapToGrid w:val="0"/>
                    <w:spacing w:line="240" w:lineRule="auto"/>
                    <w:ind w:firstLine="0" w:firstLineChars="0"/>
                    <w:jc w:val="center"/>
                    <w:rPr>
                      <w:bCs/>
                      <w:sz w:val="21"/>
                      <w:szCs w:val="21"/>
                    </w:rPr>
                  </w:pPr>
                  <w:r>
                    <w:rPr>
                      <w:rFonts w:hint="eastAsia"/>
                      <w:bCs/>
                      <w:color w:val="000000"/>
                      <w:sz w:val="21"/>
                      <w:szCs w:val="21"/>
                    </w:rPr>
                    <w:t>1</w:t>
                  </w:r>
                </w:p>
              </w:tc>
              <w:tc>
                <w:tcPr>
                  <w:tcW w:w="502" w:type="pct"/>
                  <w:vAlign w:val="center"/>
                </w:tcPr>
                <w:p w14:paraId="1D550C05">
                  <w:pPr>
                    <w:widowControl/>
                    <w:adjustRightInd w:val="0"/>
                    <w:snapToGrid w:val="0"/>
                    <w:spacing w:line="240" w:lineRule="auto"/>
                    <w:ind w:firstLine="0" w:firstLineChars="0"/>
                    <w:jc w:val="center"/>
                    <w:rPr>
                      <w:bCs/>
                      <w:sz w:val="21"/>
                      <w:szCs w:val="21"/>
                    </w:rPr>
                  </w:pPr>
                  <w:r>
                    <w:rPr>
                      <w:bCs/>
                      <w:sz w:val="21"/>
                      <w:szCs w:val="21"/>
                    </w:rPr>
                    <w:t>/</w:t>
                  </w:r>
                </w:p>
              </w:tc>
              <w:tc>
                <w:tcPr>
                  <w:tcW w:w="474" w:type="pct"/>
                  <w:vAlign w:val="center"/>
                </w:tcPr>
                <w:p w14:paraId="5145974A">
                  <w:pPr>
                    <w:widowControl/>
                    <w:adjustRightInd w:val="0"/>
                    <w:snapToGrid w:val="0"/>
                    <w:spacing w:line="240" w:lineRule="auto"/>
                    <w:ind w:firstLine="0" w:firstLineChars="0"/>
                    <w:jc w:val="center"/>
                    <w:rPr>
                      <w:bCs/>
                      <w:sz w:val="21"/>
                      <w:szCs w:val="21"/>
                    </w:rPr>
                  </w:pPr>
                  <w:r>
                    <w:rPr>
                      <w:bCs/>
                      <w:sz w:val="21"/>
                      <w:szCs w:val="21"/>
                    </w:rPr>
                    <w:t>固态</w:t>
                  </w:r>
                </w:p>
              </w:tc>
              <w:tc>
                <w:tcPr>
                  <w:tcW w:w="447" w:type="pct"/>
                  <w:vAlign w:val="center"/>
                </w:tcPr>
                <w:p w14:paraId="6690CD48">
                  <w:pPr>
                    <w:widowControl/>
                    <w:adjustRightInd w:val="0"/>
                    <w:snapToGrid w:val="0"/>
                    <w:spacing w:line="240" w:lineRule="auto"/>
                    <w:ind w:firstLine="0" w:firstLineChars="0"/>
                    <w:jc w:val="center"/>
                    <w:rPr>
                      <w:bCs/>
                      <w:color w:val="000000"/>
                      <w:sz w:val="21"/>
                      <w:szCs w:val="21"/>
                    </w:rPr>
                  </w:pPr>
                  <w:r>
                    <w:rPr>
                      <w:bCs/>
                      <w:color w:val="000000"/>
                      <w:sz w:val="21"/>
                      <w:szCs w:val="21"/>
                    </w:rPr>
                    <w:t>/</w:t>
                  </w:r>
                </w:p>
              </w:tc>
              <w:tc>
                <w:tcPr>
                  <w:tcW w:w="395" w:type="pct"/>
                  <w:vAlign w:val="center"/>
                </w:tcPr>
                <w:p w14:paraId="48EC5346">
                  <w:pPr>
                    <w:widowControl/>
                    <w:adjustRightInd w:val="0"/>
                    <w:snapToGrid w:val="0"/>
                    <w:spacing w:line="240" w:lineRule="auto"/>
                    <w:ind w:firstLine="0" w:firstLineChars="0"/>
                    <w:jc w:val="center"/>
                    <w:rPr>
                      <w:bCs/>
                      <w:color w:val="000000"/>
                      <w:sz w:val="21"/>
                      <w:szCs w:val="21"/>
                    </w:rPr>
                  </w:pPr>
                  <w:r>
                    <w:rPr>
                      <w:bCs/>
                      <w:color w:val="000000"/>
                      <w:sz w:val="21"/>
                      <w:szCs w:val="21"/>
                    </w:rPr>
                    <w:t>桶装</w:t>
                  </w:r>
                </w:p>
              </w:tc>
              <w:tc>
                <w:tcPr>
                  <w:tcW w:w="625" w:type="pct"/>
                  <w:vAlign w:val="center"/>
                </w:tcPr>
                <w:p w14:paraId="2DF0DA23">
                  <w:pPr>
                    <w:widowControl/>
                    <w:adjustRightInd w:val="0"/>
                    <w:snapToGrid w:val="0"/>
                    <w:spacing w:line="240" w:lineRule="auto"/>
                    <w:ind w:firstLine="0" w:firstLineChars="0"/>
                    <w:jc w:val="center"/>
                    <w:rPr>
                      <w:bCs/>
                      <w:color w:val="000000"/>
                      <w:sz w:val="21"/>
                      <w:szCs w:val="21"/>
                    </w:rPr>
                  </w:pPr>
                  <w:r>
                    <w:rPr>
                      <w:rFonts w:hint="eastAsia"/>
                      <w:bCs/>
                      <w:sz w:val="21"/>
                      <w:szCs w:val="21"/>
                    </w:rPr>
                    <w:t>交由环卫部门处理</w:t>
                  </w:r>
                </w:p>
              </w:tc>
            </w:tr>
            <w:tr w14:paraId="40459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373" w:type="pct"/>
                  <w:vAlign w:val="center"/>
                </w:tcPr>
                <w:p w14:paraId="29859F61">
                  <w:pPr>
                    <w:adjustRightInd w:val="0"/>
                    <w:snapToGrid w:val="0"/>
                    <w:spacing w:line="240" w:lineRule="auto"/>
                    <w:ind w:firstLine="0" w:firstLineChars="0"/>
                    <w:jc w:val="center"/>
                    <w:rPr>
                      <w:bCs/>
                      <w:sz w:val="21"/>
                      <w:szCs w:val="21"/>
                    </w:rPr>
                  </w:pPr>
                  <w:bookmarkStart w:id="324" w:name="OLE_LINK142" w:colFirst="5" w:colLast="8"/>
                  <w:r>
                    <w:rPr>
                      <w:rFonts w:hint="eastAsia"/>
                      <w:bCs/>
                      <w:sz w:val="21"/>
                      <w:szCs w:val="21"/>
                    </w:rPr>
                    <w:t>生产中</w:t>
                  </w:r>
                </w:p>
              </w:tc>
              <w:tc>
                <w:tcPr>
                  <w:tcW w:w="695" w:type="pct"/>
                  <w:vAlign w:val="center"/>
                </w:tcPr>
                <w:p w14:paraId="0EC51630">
                  <w:pPr>
                    <w:adjustRightInd w:val="0"/>
                    <w:snapToGrid w:val="0"/>
                    <w:spacing w:line="240" w:lineRule="auto"/>
                    <w:ind w:firstLine="0" w:firstLineChars="0"/>
                    <w:jc w:val="center"/>
                    <w:rPr>
                      <w:bCs/>
                      <w:sz w:val="21"/>
                      <w:szCs w:val="21"/>
                    </w:rPr>
                  </w:pPr>
                  <w:r>
                    <w:rPr>
                      <w:rFonts w:hint="eastAsia"/>
                      <w:bCs/>
                      <w:sz w:val="21"/>
                      <w:szCs w:val="21"/>
                    </w:rPr>
                    <w:t>废包装材料</w:t>
                  </w:r>
                </w:p>
              </w:tc>
              <w:tc>
                <w:tcPr>
                  <w:tcW w:w="227" w:type="pct"/>
                  <w:vMerge w:val="restart"/>
                  <w:vAlign w:val="center"/>
                </w:tcPr>
                <w:p w14:paraId="0C9AC1ED">
                  <w:pPr>
                    <w:adjustRightInd w:val="0"/>
                    <w:snapToGrid w:val="0"/>
                    <w:spacing w:line="240" w:lineRule="auto"/>
                    <w:ind w:firstLine="0" w:firstLineChars="0"/>
                    <w:jc w:val="center"/>
                    <w:rPr>
                      <w:bCs/>
                      <w:sz w:val="21"/>
                      <w:szCs w:val="21"/>
                    </w:rPr>
                  </w:pPr>
                  <w:r>
                    <w:rPr>
                      <w:rFonts w:hint="eastAsia"/>
                      <w:bCs/>
                      <w:sz w:val="21"/>
                      <w:szCs w:val="21"/>
                    </w:rPr>
                    <w:t>一般工业固废</w:t>
                  </w:r>
                </w:p>
              </w:tc>
              <w:tc>
                <w:tcPr>
                  <w:tcW w:w="784" w:type="pct"/>
                  <w:vAlign w:val="center"/>
                </w:tcPr>
                <w:p w14:paraId="2212876A">
                  <w:pPr>
                    <w:adjustRightInd w:val="0"/>
                    <w:snapToGrid w:val="0"/>
                    <w:spacing w:line="240" w:lineRule="auto"/>
                    <w:ind w:firstLine="0" w:firstLineChars="0"/>
                    <w:jc w:val="center"/>
                    <w:rPr>
                      <w:color w:val="000000"/>
                      <w:sz w:val="21"/>
                      <w:szCs w:val="21"/>
                    </w:rPr>
                  </w:pPr>
                  <w:r>
                    <w:rPr>
                      <w:rFonts w:hint="eastAsia"/>
                      <w:color w:val="000000"/>
                      <w:sz w:val="21"/>
                      <w:szCs w:val="21"/>
                    </w:rPr>
                    <w:t>900-003-S17、900-005-S17、900-007-S17</w:t>
                  </w:r>
                </w:p>
              </w:tc>
              <w:tc>
                <w:tcPr>
                  <w:tcW w:w="474" w:type="pct"/>
                  <w:vAlign w:val="center"/>
                </w:tcPr>
                <w:p w14:paraId="3B873763">
                  <w:pPr>
                    <w:adjustRightInd w:val="0"/>
                    <w:snapToGrid w:val="0"/>
                    <w:spacing w:line="240" w:lineRule="auto"/>
                    <w:ind w:firstLine="0" w:firstLineChars="0"/>
                    <w:jc w:val="center"/>
                    <w:rPr>
                      <w:bCs/>
                      <w:sz w:val="21"/>
                      <w:szCs w:val="21"/>
                    </w:rPr>
                  </w:pPr>
                  <w:bookmarkStart w:id="325" w:name="OLE_LINK250"/>
                  <w:r>
                    <w:rPr>
                      <w:rFonts w:hint="eastAsia"/>
                      <w:bCs/>
                      <w:sz w:val="21"/>
                      <w:szCs w:val="21"/>
                    </w:rPr>
                    <w:t>0.</w:t>
                  </w:r>
                  <w:bookmarkEnd w:id="325"/>
                  <w:r>
                    <w:rPr>
                      <w:rFonts w:hint="eastAsia"/>
                      <w:bCs/>
                      <w:sz w:val="21"/>
                      <w:szCs w:val="21"/>
                    </w:rPr>
                    <w:t>7</w:t>
                  </w:r>
                </w:p>
              </w:tc>
              <w:tc>
                <w:tcPr>
                  <w:tcW w:w="502" w:type="pct"/>
                  <w:vAlign w:val="center"/>
                </w:tcPr>
                <w:p w14:paraId="2BB62D9B">
                  <w:pPr>
                    <w:adjustRightInd w:val="0"/>
                    <w:snapToGrid w:val="0"/>
                    <w:spacing w:line="240" w:lineRule="auto"/>
                    <w:ind w:firstLine="0" w:firstLineChars="0"/>
                    <w:jc w:val="center"/>
                    <w:rPr>
                      <w:bCs/>
                      <w:sz w:val="21"/>
                      <w:szCs w:val="21"/>
                    </w:rPr>
                  </w:pPr>
                  <w:r>
                    <w:rPr>
                      <w:rFonts w:hint="eastAsia"/>
                      <w:bCs/>
                      <w:sz w:val="21"/>
                      <w:szCs w:val="21"/>
                    </w:rPr>
                    <w:t>/</w:t>
                  </w:r>
                </w:p>
              </w:tc>
              <w:tc>
                <w:tcPr>
                  <w:tcW w:w="474" w:type="pct"/>
                  <w:vAlign w:val="center"/>
                </w:tcPr>
                <w:p w14:paraId="451E3C2C">
                  <w:pPr>
                    <w:adjustRightInd w:val="0"/>
                    <w:snapToGrid w:val="0"/>
                    <w:spacing w:line="240" w:lineRule="auto"/>
                    <w:ind w:firstLine="0" w:firstLineChars="0"/>
                    <w:jc w:val="center"/>
                    <w:rPr>
                      <w:bCs/>
                      <w:sz w:val="21"/>
                      <w:szCs w:val="21"/>
                    </w:rPr>
                  </w:pPr>
                  <w:r>
                    <w:rPr>
                      <w:bCs/>
                      <w:sz w:val="21"/>
                      <w:szCs w:val="21"/>
                    </w:rPr>
                    <w:t>固态</w:t>
                  </w:r>
                </w:p>
              </w:tc>
              <w:tc>
                <w:tcPr>
                  <w:tcW w:w="447" w:type="pct"/>
                  <w:vAlign w:val="center"/>
                </w:tcPr>
                <w:p w14:paraId="77642EA8">
                  <w:pPr>
                    <w:adjustRightInd w:val="0"/>
                    <w:snapToGrid w:val="0"/>
                    <w:spacing w:line="240" w:lineRule="auto"/>
                    <w:ind w:firstLine="0" w:firstLineChars="0"/>
                    <w:jc w:val="center"/>
                    <w:rPr>
                      <w:sz w:val="21"/>
                      <w:szCs w:val="21"/>
                    </w:rPr>
                  </w:pPr>
                  <w:r>
                    <w:rPr>
                      <w:rFonts w:hint="eastAsia"/>
                      <w:sz w:val="21"/>
                      <w:szCs w:val="21"/>
                    </w:rPr>
                    <w:t>/</w:t>
                  </w:r>
                </w:p>
              </w:tc>
              <w:tc>
                <w:tcPr>
                  <w:tcW w:w="395" w:type="pct"/>
                  <w:vAlign w:val="center"/>
                </w:tcPr>
                <w:p w14:paraId="3CB11DBB">
                  <w:pPr>
                    <w:adjustRightInd w:val="0"/>
                    <w:snapToGrid w:val="0"/>
                    <w:spacing w:line="240" w:lineRule="auto"/>
                    <w:ind w:firstLine="0" w:firstLineChars="0"/>
                    <w:jc w:val="center"/>
                    <w:rPr>
                      <w:bCs/>
                      <w:sz w:val="21"/>
                      <w:szCs w:val="21"/>
                    </w:rPr>
                  </w:pPr>
                  <w:r>
                    <w:rPr>
                      <w:bCs/>
                      <w:color w:val="000000"/>
                      <w:sz w:val="21"/>
                      <w:szCs w:val="21"/>
                    </w:rPr>
                    <w:t>桶装</w:t>
                  </w:r>
                </w:p>
              </w:tc>
              <w:tc>
                <w:tcPr>
                  <w:tcW w:w="625" w:type="pct"/>
                  <w:vAlign w:val="center"/>
                </w:tcPr>
                <w:p w14:paraId="638ACD56">
                  <w:pPr>
                    <w:adjustRightInd w:val="0"/>
                    <w:snapToGrid w:val="0"/>
                    <w:spacing w:line="240" w:lineRule="auto"/>
                    <w:ind w:firstLine="0" w:firstLineChars="0"/>
                    <w:jc w:val="center"/>
                    <w:rPr>
                      <w:bCs/>
                      <w:sz w:val="21"/>
                      <w:szCs w:val="21"/>
                    </w:rPr>
                  </w:pPr>
                  <w:r>
                    <w:rPr>
                      <w:rFonts w:hint="eastAsia"/>
                      <w:bCs/>
                      <w:sz w:val="21"/>
                      <w:szCs w:val="21"/>
                    </w:rPr>
                    <w:t>交由专业回收单位回收</w:t>
                  </w:r>
                </w:p>
              </w:tc>
            </w:tr>
            <w:bookmarkEnd w:id="324"/>
            <w:tr w14:paraId="33CCB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3" w:type="pct"/>
                  <w:vAlign w:val="center"/>
                </w:tcPr>
                <w:p w14:paraId="4A9B1CA3">
                  <w:pPr>
                    <w:adjustRightInd w:val="0"/>
                    <w:snapToGrid w:val="0"/>
                    <w:spacing w:line="240" w:lineRule="auto"/>
                    <w:ind w:firstLine="0" w:firstLineChars="0"/>
                    <w:jc w:val="center"/>
                    <w:rPr>
                      <w:bCs/>
                      <w:sz w:val="21"/>
                      <w:szCs w:val="21"/>
                    </w:rPr>
                  </w:pPr>
                  <w:r>
                    <w:rPr>
                      <w:rFonts w:hint="eastAsia"/>
                      <w:bCs/>
                      <w:sz w:val="21"/>
                      <w:szCs w:val="21"/>
                    </w:rPr>
                    <w:t>废水处理设施</w:t>
                  </w:r>
                </w:p>
              </w:tc>
              <w:tc>
                <w:tcPr>
                  <w:tcW w:w="695" w:type="pct"/>
                  <w:vAlign w:val="center"/>
                </w:tcPr>
                <w:p w14:paraId="7CF10027">
                  <w:pPr>
                    <w:adjustRightInd w:val="0"/>
                    <w:snapToGrid w:val="0"/>
                    <w:spacing w:line="240" w:lineRule="auto"/>
                    <w:ind w:firstLine="0" w:firstLineChars="0"/>
                    <w:jc w:val="center"/>
                    <w:rPr>
                      <w:bCs/>
                      <w:sz w:val="21"/>
                      <w:szCs w:val="21"/>
                    </w:rPr>
                  </w:pPr>
                  <w:r>
                    <w:rPr>
                      <w:rFonts w:hint="eastAsia"/>
                      <w:bCs/>
                      <w:sz w:val="21"/>
                      <w:szCs w:val="21"/>
                    </w:rPr>
                    <w:t>冷却废水污泥</w:t>
                  </w:r>
                </w:p>
              </w:tc>
              <w:tc>
                <w:tcPr>
                  <w:tcW w:w="227" w:type="pct"/>
                  <w:vMerge w:val="continue"/>
                  <w:vAlign w:val="center"/>
                </w:tcPr>
                <w:p w14:paraId="4C6585B4">
                  <w:pPr>
                    <w:adjustRightInd w:val="0"/>
                    <w:snapToGrid w:val="0"/>
                    <w:spacing w:line="240" w:lineRule="auto"/>
                    <w:ind w:firstLine="0" w:firstLineChars="0"/>
                    <w:jc w:val="center"/>
                    <w:rPr>
                      <w:bCs/>
                      <w:sz w:val="21"/>
                      <w:szCs w:val="21"/>
                    </w:rPr>
                  </w:pPr>
                </w:p>
              </w:tc>
              <w:tc>
                <w:tcPr>
                  <w:tcW w:w="784" w:type="pct"/>
                  <w:vAlign w:val="center"/>
                </w:tcPr>
                <w:p w14:paraId="671D12AC">
                  <w:pPr>
                    <w:adjustRightInd w:val="0"/>
                    <w:snapToGrid w:val="0"/>
                    <w:spacing w:line="240" w:lineRule="auto"/>
                    <w:ind w:firstLine="0" w:firstLineChars="0"/>
                    <w:jc w:val="center"/>
                    <w:rPr>
                      <w:color w:val="000000"/>
                      <w:sz w:val="21"/>
                      <w:szCs w:val="21"/>
                    </w:rPr>
                  </w:pPr>
                  <w:r>
                    <w:rPr>
                      <w:rFonts w:hint="eastAsia"/>
                      <w:color w:val="000000"/>
                      <w:sz w:val="21"/>
                      <w:szCs w:val="21"/>
                    </w:rPr>
                    <w:t>900-099-S07</w:t>
                  </w:r>
                </w:p>
              </w:tc>
              <w:tc>
                <w:tcPr>
                  <w:tcW w:w="474" w:type="pct"/>
                  <w:vAlign w:val="center"/>
                </w:tcPr>
                <w:p w14:paraId="192C9A2A">
                  <w:pPr>
                    <w:adjustRightInd w:val="0"/>
                    <w:snapToGrid w:val="0"/>
                    <w:spacing w:line="240" w:lineRule="auto"/>
                    <w:ind w:firstLine="0" w:firstLineChars="0"/>
                    <w:jc w:val="center"/>
                    <w:rPr>
                      <w:bCs/>
                      <w:sz w:val="21"/>
                      <w:szCs w:val="21"/>
                    </w:rPr>
                  </w:pPr>
                  <w:r>
                    <w:rPr>
                      <w:rFonts w:hint="eastAsia"/>
                      <w:bCs/>
                      <w:sz w:val="21"/>
                      <w:szCs w:val="21"/>
                    </w:rPr>
                    <w:t>0.0514</w:t>
                  </w:r>
                </w:p>
              </w:tc>
              <w:tc>
                <w:tcPr>
                  <w:tcW w:w="502" w:type="pct"/>
                  <w:vAlign w:val="center"/>
                </w:tcPr>
                <w:p w14:paraId="6F77763C">
                  <w:pPr>
                    <w:adjustRightInd w:val="0"/>
                    <w:snapToGrid w:val="0"/>
                    <w:spacing w:line="240" w:lineRule="auto"/>
                    <w:ind w:firstLine="0" w:firstLineChars="0"/>
                    <w:jc w:val="center"/>
                    <w:rPr>
                      <w:bCs/>
                      <w:sz w:val="21"/>
                      <w:szCs w:val="21"/>
                    </w:rPr>
                  </w:pPr>
                  <w:r>
                    <w:rPr>
                      <w:rFonts w:hint="eastAsia"/>
                      <w:bCs/>
                      <w:sz w:val="21"/>
                      <w:szCs w:val="21"/>
                    </w:rPr>
                    <w:t>/</w:t>
                  </w:r>
                </w:p>
              </w:tc>
              <w:tc>
                <w:tcPr>
                  <w:tcW w:w="474" w:type="pct"/>
                  <w:vAlign w:val="center"/>
                </w:tcPr>
                <w:p w14:paraId="2F9E8225">
                  <w:pPr>
                    <w:adjustRightInd w:val="0"/>
                    <w:snapToGrid w:val="0"/>
                    <w:spacing w:line="240" w:lineRule="auto"/>
                    <w:ind w:firstLine="0" w:firstLineChars="0"/>
                    <w:jc w:val="center"/>
                    <w:rPr>
                      <w:bCs/>
                      <w:sz w:val="21"/>
                      <w:szCs w:val="21"/>
                    </w:rPr>
                  </w:pPr>
                  <w:r>
                    <w:rPr>
                      <w:bCs/>
                      <w:sz w:val="21"/>
                      <w:szCs w:val="21"/>
                    </w:rPr>
                    <w:t>固态</w:t>
                  </w:r>
                </w:p>
              </w:tc>
              <w:tc>
                <w:tcPr>
                  <w:tcW w:w="447" w:type="pct"/>
                  <w:vAlign w:val="center"/>
                </w:tcPr>
                <w:p w14:paraId="03CD5919">
                  <w:pPr>
                    <w:adjustRightInd w:val="0"/>
                    <w:snapToGrid w:val="0"/>
                    <w:spacing w:line="240" w:lineRule="auto"/>
                    <w:ind w:firstLine="0" w:firstLineChars="0"/>
                    <w:jc w:val="center"/>
                    <w:rPr>
                      <w:sz w:val="21"/>
                      <w:szCs w:val="21"/>
                    </w:rPr>
                  </w:pPr>
                  <w:r>
                    <w:rPr>
                      <w:rFonts w:hint="eastAsia"/>
                      <w:sz w:val="21"/>
                      <w:szCs w:val="21"/>
                    </w:rPr>
                    <w:t>/</w:t>
                  </w:r>
                </w:p>
              </w:tc>
              <w:tc>
                <w:tcPr>
                  <w:tcW w:w="395" w:type="pct"/>
                  <w:vAlign w:val="center"/>
                </w:tcPr>
                <w:p w14:paraId="19F7D045">
                  <w:pPr>
                    <w:adjustRightInd w:val="0"/>
                    <w:snapToGrid w:val="0"/>
                    <w:spacing w:line="240" w:lineRule="auto"/>
                    <w:ind w:firstLine="0" w:firstLineChars="0"/>
                    <w:jc w:val="center"/>
                    <w:rPr>
                      <w:bCs/>
                      <w:sz w:val="21"/>
                      <w:szCs w:val="21"/>
                    </w:rPr>
                  </w:pPr>
                  <w:r>
                    <w:rPr>
                      <w:rFonts w:hint="eastAsia"/>
                      <w:bCs/>
                      <w:color w:val="000000"/>
                      <w:sz w:val="21"/>
                      <w:szCs w:val="21"/>
                    </w:rPr>
                    <w:t>袋装</w:t>
                  </w:r>
                </w:p>
              </w:tc>
              <w:tc>
                <w:tcPr>
                  <w:tcW w:w="625" w:type="pct"/>
                  <w:vAlign w:val="center"/>
                </w:tcPr>
                <w:p w14:paraId="3CC10A57">
                  <w:pPr>
                    <w:adjustRightInd w:val="0"/>
                    <w:snapToGrid w:val="0"/>
                    <w:spacing w:line="240" w:lineRule="auto"/>
                    <w:ind w:firstLine="0" w:firstLineChars="0"/>
                    <w:jc w:val="center"/>
                    <w:rPr>
                      <w:bCs/>
                      <w:sz w:val="21"/>
                      <w:szCs w:val="21"/>
                    </w:rPr>
                  </w:pPr>
                  <w:bookmarkStart w:id="326" w:name="OLE_LINK240"/>
                  <w:r>
                    <w:rPr>
                      <w:rFonts w:hint="eastAsia"/>
                      <w:bCs/>
                      <w:sz w:val="21"/>
                      <w:szCs w:val="21"/>
                    </w:rPr>
                    <w:t>交由有相应处理工艺的资质单位处理</w:t>
                  </w:r>
                  <w:bookmarkEnd w:id="326"/>
                </w:p>
              </w:tc>
            </w:tr>
            <w:tr w14:paraId="3C92A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373" w:type="pct"/>
                  <w:vAlign w:val="center"/>
                </w:tcPr>
                <w:p w14:paraId="06B77E13">
                  <w:pPr>
                    <w:adjustRightInd w:val="0"/>
                    <w:snapToGrid w:val="0"/>
                    <w:spacing w:line="240" w:lineRule="auto"/>
                    <w:ind w:firstLine="0" w:firstLineChars="0"/>
                    <w:jc w:val="center"/>
                    <w:rPr>
                      <w:bCs/>
                      <w:sz w:val="21"/>
                      <w:szCs w:val="21"/>
                    </w:rPr>
                  </w:pPr>
                  <w:bookmarkStart w:id="327" w:name="OLE_LINK185" w:colFirst="7" w:colLast="8"/>
                  <w:r>
                    <w:rPr>
                      <w:rFonts w:hint="eastAsia"/>
                      <w:bCs/>
                      <w:sz w:val="21"/>
                      <w:szCs w:val="21"/>
                    </w:rPr>
                    <w:t>原料包装</w:t>
                  </w:r>
                </w:p>
              </w:tc>
              <w:tc>
                <w:tcPr>
                  <w:tcW w:w="695" w:type="pct"/>
                  <w:vAlign w:val="center"/>
                </w:tcPr>
                <w:p w14:paraId="01ADBB27">
                  <w:pPr>
                    <w:adjustRightInd w:val="0"/>
                    <w:snapToGrid w:val="0"/>
                    <w:spacing w:line="240" w:lineRule="auto"/>
                    <w:ind w:firstLine="0" w:firstLineChars="0"/>
                    <w:jc w:val="center"/>
                    <w:rPr>
                      <w:bCs/>
                      <w:sz w:val="21"/>
                      <w:szCs w:val="21"/>
                    </w:rPr>
                  </w:pPr>
                  <w:r>
                    <w:rPr>
                      <w:rFonts w:hint="eastAsia"/>
                      <w:bCs/>
                      <w:sz w:val="21"/>
                      <w:szCs w:val="21"/>
                    </w:rPr>
                    <w:t>废包装桶</w:t>
                  </w:r>
                </w:p>
              </w:tc>
              <w:tc>
                <w:tcPr>
                  <w:tcW w:w="227" w:type="pct"/>
                  <w:vMerge w:val="restart"/>
                  <w:vAlign w:val="center"/>
                </w:tcPr>
                <w:p w14:paraId="4A5DEDA3">
                  <w:pPr>
                    <w:adjustRightInd w:val="0"/>
                    <w:snapToGrid w:val="0"/>
                    <w:spacing w:line="240" w:lineRule="auto"/>
                    <w:ind w:firstLine="0" w:firstLineChars="0"/>
                    <w:jc w:val="center"/>
                    <w:rPr>
                      <w:bCs/>
                      <w:sz w:val="21"/>
                      <w:szCs w:val="21"/>
                    </w:rPr>
                  </w:pPr>
                  <w:r>
                    <w:rPr>
                      <w:rFonts w:hint="eastAsia"/>
                      <w:bCs/>
                      <w:sz w:val="21"/>
                      <w:szCs w:val="21"/>
                    </w:rPr>
                    <w:t>危险废物</w:t>
                  </w:r>
                </w:p>
              </w:tc>
              <w:tc>
                <w:tcPr>
                  <w:tcW w:w="784" w:type="pct"/>
                  <w:vAlign w:val="center"/>
                </w:tcPr>
                <w:p w14:paraId="65B5540D">
                  <w:pPr>
                    <w:adjustRightInd w:val="0"/>
                    <w:snapToGrid w:val="0"/>
                    <w:spacing w:line="240" w:lineRule="auto"/>
                    <w:ind w:firstLine="0" w:firstLineChars="0"/>
                    <w:jc w:val="center"/>
                    <w:rPr>
                      <w:color w:val="000000"/>
                      <w:sz w:val="21"/>
                      <w:szCs w:val="21"/>
                    </w:rPr>
                  </w:pPr>
                  <w:r>
                    <w:rPr>
                      <w:rFonts w:hint="eastAsia"/>
                      <w:color w:val="000000"/>
                      <w:sz w:val="21"/>
                      <w:szCs w:val="21"/>
                    </w:rPr>
                    <w:t>900-041-49</w:t>
                  </w:r>
                </w:p>
              </w:tc>
              <w:tc>
                <w:tcPr>
                  <w:tcW w:w="474" w:type="pct"/>
                  <w:vAlign w:val="center"/>
                </w:tcPr>
                <w:p w14:paraId="3C41B6C1">
                  <w:pPr>
                    <w:adjustRightInd w:val="0"/>
                    <w:snapToGrid w:val="0"/>
                    <w:spacing w:line="240" w:lineRule="auto"/>
                    <w:ind w:firstLine="0" w:firstLineChars="0"/>
                    <w:jc w:val="center"/>
                    <w:rPr>
                      <w:bCs/>
                      <w:sz w:val="21"/>
                      <w:szCs w:val="21"/>
                    </w:rPr>
                  </w:pPr>
                  <w:r>
                    <w:rPr>
                      <w:rFonts w:hint="eastAsia"/>
                      <w:bCs/>
                      <w:sz w:val="21"/>
                      <w:szCs w:val="21"/>
                    </w:rPr>
                    <w:t>0.03</w:t>
                  </w:r>
                </w:p>
              </w:tc>
              <w:tc>
                <w:tcPr>
                  <w:tcW w:w="502" w:type="pct"/>
                  <w:vAlign w:val="center"/>
                </w:tcPr>
                <w:p w14:paraId="79525F18">
                  <w:pPr>
                    <w:adjustRightInd w:val="0"/>
                    <w:snapToGrid w:val="0"/>
                    <w:spacing w:line="240" w:lineRule="auto"/>
                    <w:ind w:firstLine="0" w:firstLineChars="0"/>
                    <w:jc w:val="center"/>
                    <w:rPr>
                      <w:bCs/>
                      <w:sz w:val="21"/>
                      <w:szCs w:val="21"/>
                    </w:rPr>
                  </w:pPr>
                  <w:r>
                    <w:rPr>
                      <w:rFonts w:hint="eastAsia"/>
                      <w:bCs/>
                      <w:sz w:val="21"/>
                      <w:szCs w:val="21"/>
                    </w:rPr>
                    <w:t>润滑油</w:t>
                  </w:r>
                </w:p>
              </w:tc>
              <w:tc>
                <w:tcPr>
                  <w:tcW w:w="474" w:type="pct"/>
                  <w:vAlign w:val="center"/>
                </w:tcPr>
                <w:p w14:paraId="1A7BAC4C">
                  <w:pPr>
                    <w:adjustRightInd w:val="0"/>
                    <w:snapToGrid w:val="0"/>
                    <w:spacing w:line="240" w:lineRule="auto"/>
                    <w:ind w:firstLine="0" w:firstLineChars="0"/>
                    <w:jc w:val="center"/>
                    <w:rPr>
                      <w:bCs/>
                      <w:sz w:val="21"/>
                      <w:szCs w:val="21"/>
                    </w:rPr>
                  </w:pPr>
                  <w:r>
                    <w:rPr>
                      <w:bCs/>
                      <w:sz w:val="21"/>
                      <w:szCs w:val="21"/>
                    </w:rPr>
                    <w:t>固态</w:t>
                  </w:r>
                </w:p>
              </w:tc>
              <w:tc>
                <w:tcPr>
                  <w:tcW w:w="447" w:type="pct"/>
                  <w:vAlign w:val="center"/>
                </w:tcPr>
                <w:p w14:paraId="31A0221E">
                  <w:pPr>
                    <w:adjustRightInd w:val="0"/>
                    <w:snapToGrid w:val="0"/>
                    <w:spacing w:line="240" w:lineRule="auto"/>
                    <w:ind w:firstLine="0" w:firstLineChars="0"/>
                    <w:jc w:val="center"/>
                    <w:rPr>
                      <w:sz w:val="21"/>
                      <w:szCs w:val="21"/>
                    </w:rPr>
                  </w:pPr>
                  <w:bookmarkStart w:id="328" w:name="OLE_LINK27"/>
                  <w:r>
                    <w:rPr>
                      <w:rFonts w:hint="eastAsia"/>
                      <w:kern w:val="0"/>
                      <w:sz w:val="21"/>
                      <w:szCs w:val="21"/>
                    </w:rPr>
                    <w:t>T，</w:t>
                  </w:r>
                  <w:r>
                    <w:rPr>
                      <w:color w:val="000000"/>
                      <w:kern w:val="0"/>
                      <w:sz w:val="21"/>
                      <w:szCs w:val="21"/>
                    </w:rPr>
                    <w:t>I</w:t>
                  </w:r>
                  <w:bookmarkEnd w:id="328"/>
                </w:p>
              </w:tc>
              <w:tc>
                <w:tcPr>
                  <w:tcW w:w="395" w:type="pct"/>
                  <w:vAlign w:val="center"/>
                </w:tcPr>
                <w:p w14:paraId="3939B9B3">
                  <w:pPr>
                    <w:adjustRightInd w:val="0"/>
                    <w:snapToGrid w:val="0"/>
                    <w:spacing w:line="240" w:lineRule="auto"/>
                    <w:ind w:firstLine="0" w:firstLineChars="0"/>
                    <w:jc w:val="center"/>
                    <w:rPr>
                      <w:bCs/>
                      <w:sz w:val="21"/>
                      <w:szCs w:val="21"/>
                    </w:rPr>
                  </w:pPr>
                  <w:r>
                    <w:rPr>
                      <w:bCs/>
                      <w:color w:val="000000"/>
                      <w:sz w:val="21"/>
                      <w:szCs w:val="21"/>
                    </w:rPr>
                    <w:t>桶装</w:t>
                  </w:r>
                </w:p>
              </w:tc>
              <w:tc>
                <w:tcPr>
                  <w:tcW w:w="625" w:type="pct"/>
                  <w:vMerge w:val="restart"/>
                  <w:vAlign w:val="center"/>
                </w:tcPr>
                <w:p w14:paraId="2B643DA9">
                  <w:pPr>
                    <w:adjustRightInd w:val="0"/>
                    <w:snapToGrid w:val="0"/>
                    <w:spacing w:line="240" w:lineRule="auto"/>
                    <w:ind w:firstLine="0" w:firstLineChars="0"/>
                    <w:jc w:val="center"/>
                    <w:rPr>
                      <w:bCs/>
                      <w:sz w:val="21"/>
                      <w:szCs w:val="21"/>
                    </w:rPr>
                  </w:pPr>
                  <w:r>
                    <w:rPr>
                      <w:bCs/>
                      <w:sz w:val="21"/>
                      <w:szCs w:val="21"/>
                    </w:rPr>
                    <w:t>交由有危险废物处理资质单位</w:t>
                  </w:r>
                  <w:r>
                    <w:rPr>
                      <w:rFonts w:hint="eastAsia"/>
                      <w:bCs/>
                      <w:sz w:val="21"/>
                      <w:szCs w:val="21"/>
                    </w:rPr>
                    <w:t>处置</w:t>
                  </w:r>
                </w:p>
              </w:tc>
            </w:tr>
            <w:bookmarkEnd w:id="327"/>
            <w:tr w14:paraId="5BE79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2" w:hRule="atLeast"/>
                <w:jc w:val="center"/>
              </w:trPr>
              <w:tc>
                <w:tcPr>
                  <w:tcW w:w="373" w:type="pct"/>
                  <w:vMerge w:val="restart"/>
                  <w:vAlign w:val="center"/>
                </w:tcPr>
                <w:p w14:paraId="77DAD2E5">
                  <w:pPr>
                    <w:adjustRightInd w:val="0"/>
                    <w:snapToGrid w:val="0"/>
                    <w:spacing w:line="240" w:lineRule="auto"/>
                    <w:ind w:firstLine="0" w:firstLineChars="0"/>
                    <w:jc w:val="center"/>
                    <w:rPr>
                      <w:bCs/>
                      <w:sz w:val="21"/>
                      <w:szCs w:val="21"/>
                    </w:rPr>
                  </w:pPr>
                  <w:bookmarkStart w:id="329" w:name="OLE_LINK183"/>
                  <w:bookmarkStart w:id="330" w:name="OLE_LINK186" w:colFirst="7" w:colLast="8"/>
                  <w:r>
                    <w:rPr>
                      <w:rFonts w:hint="eastAsia"/>
                      <w:bCs/>
                      <w:sz w:val="21"/>
                      <w:szCs w:val="21"/>
                    </w:rPr>
                    <w:t>设备维护和保养</w:t>
                  </w:r>
                  <w:bookmarkEnd w:id="329"/>
                </w:p>
              </w:tc>
              <w:tc>
                <w:tcPr>
                  <w:tcW w:w="695" w:type="pct"/>
                  <w:vAlign w:val="center"/>
                </w:tcPr>
                <w:p w14:paraId="708CA8E4">
                  <w:pPr>
                    <w:adjustRightInd w:val="0"/>
                    <w:snapToGrid w:val="0"/>
                    <w:spacing w:line="240" w:lineRule="auto"/>
                    <w:ind w:firstLine="0" w:firstLineChars="0"/>
                    <w:jc w:val="center"/>
                    <w:rPr>
                      <w:bCs/>
                      <w:sz w:val="21"/>
                      <w:szCs w:val="21"/>
                    </w:rPr>
                  </w:pPr>
                  <w:bookmarkStart w:id="331" w:name="OLE_LINK24"/>
                  <w:r>
                    <w:rPr>
                      <w:rFonts w:hint="eastAsia"/>
                      <w:bCs/>
                      <w:sz w:val="21"/>
                      <w:szCs w:val="21"/>
                    </w:rPr>
                    <w:t>废润滑油</w:t>
                  </w:r>
                  <w:bookmarkEnd w:id="331"/>
                </w:p>
              </w:tc>
              <w:tc>
                <w:tcPr>
                  <w:tcW w:w="227" w:type="pct"/>
                  <w:vMerge w:val="continue"/>
                  <w:vAlign w:val="center"/>
                </w:tcPr>
                <w:p w14:paraId="2E0325FE">
                  <w:pPr>
                    <w:adjustRightInd w:val="0"/>
                    <w:snapToGrid w:val="0"/>
                    <w:spacing w:line="240" w:lineRule="auto"/>
                    <w:ind w:firstLine="0" w:firstLineChars="0"/>
                    <w:jc w:val="center"/>
                    <w:rPr>
                      <w:bCs/>
                      <w:sz w:val="21"/>
                      <w:szCs w:val="21"/>
                    </w:rPr>
                  </w:pPr>
                </w:p>
              </w:tc>
              <w:tc>
                <w:tcPr>
                  <w:tcW w:w="784" w:type="pct"/>
                  <w:vAlign w:val="center"/>
                </w:tcPr>
                <w:p w14:paraId="0C3F1207">
                  <w:pPr>
                    <w:adjustRightInd w:val="0"/>
                    <w:snapToGrid w:val="0"/>
                    <w:spacing w:line="240" w:lineRule="auto"/>
                    <w:ind w:firstLine="0" w:firstLineChars="0"/>
                    <w:jc w:val="center"/>
                    <w:rPr>
                      <w:color w:val="000000"/>
                      <w:sz w:val="21"/>
                      <w:szCs w:val="21"/>
                    </w:rPr>
                  </w:pPr>
                  <w:bookmarkStart w:id="332" w:name="OLE_LINK187"/>
                  <w:r>
                    <w:rPr>
                      <w:rFonts w:hint="eastAsia"/>
                      <w:color w:val="000000"/>
                      <w:sz w:val="21"/>
                      <w:szCs w:val="21"/>
                    </w:rPr>
                    <w:t>900-214-08</w:t>
                  </w:r>
                  <w:bookmarkEnd w:id="332"/>
                </w:p>
              </w:tc>
              <w:tc>
                <w:tcPr>
                  <w:tcW w:w="474" w:type="pct"/>
                  <w:vAlign w:val="center"/>
                </w:tcPr>
                <w:p w14:paraId="0B58ACDF">
                  <w:pPr>
                    <w:adjustRightInd w:val="0"/>
                    <w:snapToGrid w:val="0"/>
                    <w:spacing w:line="240" w:lineRule="auto"/>
                    <w:ind w:firstLine="0" w:firstLineChars="0"/>
                    <w:jc w:val="center"/>
                    <w:rPr>
                      <w:bCs/>
                      <w:sz w:val="21"/>
                      <w:szCs w:val="21"/>
                    </w:rPr>
                  </w:pPr>
                  <w:r>
                    <w:rPr>
                      <w:rFonts w:hint="eastAsia"/>
                      <w:bCs/>
                      <w:sz w:val="21"/>
                      <w:szCs w:val="21"/>
                    </w:rPr>
                    <w:t>0.07</w:t>
                  </w:r>
                </w:p>
              </w:tc>
              <w:tc>
                <w:tcPr>
                  <w:tcW w:w="502" w:type="pct"/>
                  <w:vAlign w:val="center"/>
                </w:tcPr>
                <w:p w14:paraId="6B76C22A">
                  <w:pPr>
                    <w:adjustRightInd w:val="0"/>
                    <w:snapToGrid w:val="0"/>
                    <w:spacing w:line="240" w:lineRule="auto"/>
                    <w:ind w:firstLine="0" w:firstLineChars="0"/>
                    <w:jc w:val="center"/>
                    <w:rPr>
                      <w:bCs/>
                      <w:sz w:val="21"/>
                      <w:szCs w:val="21"/>
                    </w:rPr>
                  </w:pPr>
                  <w:bookmarkStart w:id="333" w:name="OLE_LINK48"/>
                  <w:r>
                    <w:rPr>
                      <w:rFonts w:hint="eastAsia"/>
                      <w:bCs/>
                      <w:sz w:val="21"/>
                      <w:szCs w:val="21"/>
                    </w:rPr>
                    <w:t>润滑油</w:t>
                  </w:r>
                  <w:bookmarkEnd w:id="333"/>
                </w:p>
              </w:tc>
              <w:tc>
                <w:tcPr>
                  <w:tcW w:w="474" w:type="pct"/>
                  <w:vAlign w:val="center"/>
                </w:tcPr>
                <w:p w14:paraId="30832E80">
                  <w:pPr>
                    <w:adjustRightInd w:val="0"/>
                    <w:snapToGrid w:val="0"/>
                    <w:spacing w:line="240" w:lineRule="auto"/>
                    <w:ind w:firstLine="0" w:firstLineChars="0"/>
                    <w:jc w:val="center"/>
                    <w:rPr>
                      <w:bCs/>
                      <w:sz w:val="21"/>
                      <w:szCs w:val="21"/>
                    </w:rPr>
                  </w:pPr>
                  <w:bookmarkStart w:id="334" w:name="OLE_LINK184"/>
                  <w:r>
                    <w:rPr>
                      <w:rFonts w:hint="eastAsia"/>
                      <w:bCs/>
                      <w:sz w:val="21"/>
                      <w:szCs w:val="21"/>
                    </w:rPr>
                    <w:t>液态</w:t>
                  </w:r>
                  <w:bookmarkEnd w:id="334"/>
                </w:p>
              </w:tc>
              <w:tc>
                <w:tcPr>
                  <w:tcW w:w="447" w:type="pct"/>
                  <w:vAlign w:val="center"/>
                </w:tcPr>
                <w:p w14:paraId="09D17FD6">
                  <w:pPr>
                    <w:adjustRightInd w:val="0"/>
                    <w:snapToGrid w:val="0"/>
                    <w:spacing w:line="240" w:lineRule="auto"/>
                    <w:ind w:firstLine="0" w:firstLineChars="0"/>
                    <w:jc w:val="center"/>
                    <w:rPr>
                      <w:kern w:val="0"/>
                      <w:sz w:val="21"/>
                      <w:szCs w:val="21"/>
                    </w:rPr>
                  </w:pPr>
                  <w:r>
                    <w:rPr>
                      <w:rFonts w:hint="eastAsia"/>
                      <w:kern w:val="0"/>
                      <w:sz w:val="21"/>
                      <w:szCs w:val="21"/>
                    </w:rPr>
                    <w:t>T，I</w:t>
                  </w:r>
                </w:p>
              </w:tc>
              <w:tc>
                <w:tcPr>
                  <w:tcW w:w="395" w:type="pct"/>
                  <w:vAlign w:val="center"/>
                </w:tcPr>
                <w:p w14:paraId="722037C1">
                  <w:pPr>
                    <w:adjustRightInd w:val="0"/>
                    <w:snapToGrid w:val="0"/>
                    <w:spacing w:line="240" w:lineRule="auto"/>
                    <w:ind w:firstLine="0" w:firstLineChars="0"/>
                    <w:jc w:val="center"/>
                    <w:rPr>
                      <w:bCs/>
                      <w:color w:val="000000"/>
                      <w:sz w:val="21"/>
                      <w:szCs w:val="21"/>
                    </w:rPr>
                  </w:pPr>
                  <w:r>
                    <w:rPr>
                      <w:bCs/>
                      <w:color w:val="000000"/>
                      <w:sz w:val="21"/>
                      <w:szCs w:val="21"/>
                    </w:rPr>
                    <w:t>桶装</w:t>
                  </w:r>
                </w:p>
              </w:tc>
              <w:tc>
                <w:tcPr>
                  <w:tcW w:w="625" w:type="pct"/>
                  <w:vMerge w:val="continue"/>
                  <w:vAlign w:val="center"/>
                </w:tcPr>
                <w:p w14:paraId="14036BEC">
                  <w:pPr>
                    <w:adjustRightInd w:val="0"/>
                    <w:snapToGrid w:val="0"/>
                    <w:spacing w:line="240" w:lineRule="auto"/>
                    <w:ind w:firstLine="0" w:firstLineChars="0"/>
                    <w:jc w:val="center"/>
                    <w:rPr>
                      <w:bCs/>
                      <w:sz w:val="21"/>
                      <w:szCs w:val="21"/>
                    </w:rPr>
                  </w:pPr>
                </w:p>
              </w:tc>
            </w:tr>
            <w:tr w14:paraId="6715F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373" w:type="pct"/>
                  <w:vMerge w:val="continue"/>
                  <w:vAlign w:val="center"/>
                </w:tcPr>
                <w:p w14:paraId="7620DE3F">
                  <w:pPr>
                    <w:adjustRightInd w:val="0"/>
                    <w:snapToGrid w:val="0"/>
                    <w:spacing w:line="240" w:lineRule="auto"/>
                    <w:ind w:firstLine="0" w:firstLineChars="0"/>
                    <w:jc w:val="center"/>
                    <w:rPr>
                      <w:bCs/>
                      <w:sz w:val="21"/>
                      <w:szCs w:val="21"/>
                    </w:rPr>
                  </w:pPr>
                </w:p>
              </w:tc>
              <w:tc>
                <w:tcPr>
                  <w:tcW w:w="695" w:type="pct"/>
                  <w:vAlign w:val="center"/>
                </w:tcPr>
                <w:p w14:paraId="277B8226">
                  <w:pPr>
                    <w:adjustRightInd w:val="0"/>
                    <w:snapToGrid w:val="0"/>
                    <w:spacing w:line="240" w:lineRule="auto"/>
                    <w:ind w:firstLine="0" w:firstLineChars="0"/>
                    <w:jc w:val="center"/>
                    <w:rPr>
                      <w:bCs/>
                      <w:sz w:val="21"/>
                      <w:szCs w:val="21"/>
                    </w:rPr>
                  </w:pPr>
                  <w:r>
                    <w:rPr>
                      <w:rFonts w:hint="eastAsia"/>
                      <w:bCs/>
                      <w:sz w:val="21"/>
                      <w:szCs w:val="21"/>
                    </w:rPr>
                    <w:t>废含油抹布/手套</w:t>
                  </w:r>
                </w:p>
              </w:tc>
              <w:tc>
                <w:tcPr>
                  <w:tcW w:w="227" w:type="pct"/>
                  <w:vMerge w:val="continue"/>
                  <w:vAlign w:val="center"/>
                </w:tcPr>
                <w:p w14:paraId="258FF498">
                  <w:pPr>
                    <w:adjustRightInd w:val="0"/>
                    <w:snapToGrid w:val="0"/>
                    <w:spacing w:line="240" w:lineRule="auto"/>
                    <w:ind w:firstLine="0" w:firstLineChars="0"/>
                    <w:jc w:val="center"/>
                    <w:rPr>
                      <w:bCs/>
                      <w:sz w:val="21"/>
                      <w:szCs w:val="21"/>
                    </w:rPr>
                  </w:pPr>
                </w:p>
              </w:tc>
              <w:tc>
                <w:tcPr>
                  <w:tcW w:w="784" w:type="pct"/>
                  <w:vAlign w:val="center"/>
                </w:tcPr>
                <w:p w14:paraId="6D1A3F14">
                  <w:pPr>
                    <w:adjustRightInd w:val="0"/>
                    <w:snapToGrid w:val="0"/>
                    <w:spacing w:line="240" w:lineRule="auto"/>
                    <w:ind w:firstLine="0" w:firstLineChars="0"/>
                    <w:jc w:val="center"/>
                    <w:rPr>
                      <w:color w:val="000000"/>
                      <w:sz w:val="21"/>
                      <w:szCs w:val="21"/>
                    </w:rPr>
                  </w:pPr>
                  <w:bookmarkStart w:id="335" w:name="OLE_LINK189"/>
                  <w:r>
                    <w:rPr>
                      <w:rFonts w:hint="eastAsia"/>
                      <w:color w:val="000000"/>
                      <w:sz w:val="21"/>
                      <w:szCs w:val="21"/>
                    </w:rPr>
                    <w:t>900-041-49</w:t>
                  </w:r>
                  <w:bookmarkEnd w:id="335"/>
                </w:p>
              </w:tc>
              <w:tc>
                <w:tcPr>
                  <w:tcW w:w="474" w:type="pct"/>
                  <w:vAlign w:val="center"/>
                </w:tcPr>
                <w:p w14:paraId="4954D7CB">
                  <w:pPr>
                    <w:adjustRightInd w:val="0"/>
                    <w:snapToGrid w:val="0"/>
                    <w:spacing w:line="240" w:lineRule="auto"/>
                    <w:ind w:firstLine="0" w:firstLineChars="0"/>
                    <w:jc w:val="center"/>
                    <w:rPr>
                      <w:bCs/>
                      <w:sz w:val="21"/>
                      <w:szCs w:val="21"/>
                    </w:rPr>
                  </w:pPr>
                  <w:r>
                    <w:rPr>
                      <w:rFonts w:hint="eastAsia"/>
                      <w:bCs/>
                      <w:sz w:val="21"/>
                      <w:szCs w:val="21"/>
                    </w:rPr>
                    <w:t>0.2</w:t>
                  </w:r>
                </w:p>
              </w:tc>
              <w:tc>
                <w:tcPr>
                  <w:tcW w:w="502" w:type="pct"/>
                  <w:vAlign w:val="center"/>
                </w:tcPr>
                <w:p w14:paraId="4813EE38">
                  <w:pPr>
                    <w:adjustRightInd w:val="0"/>
                    <w:snapToGrid w:val="0"/>
                    <w:spacing w:line="240" w:lineRule="auto"/>
                    <w:ind w:firstLine="0" w:firstLineChars="0"/>
                    <w:jc w:val="center"/>
                    <w:rPr>
                      <w:bCs/>
                      <w:sz w:val="21"/>
                      <w:szCs w:val="21"/>
                    </w:rPr>
                  </w:pPr>
                  <w:r>
                    <w:rPr>
                      <w:rFonts w:hint="eastAsia"/>
                      <w:bCs/>
                      <w:sz w:val="21"/>
                      <w:szCs w:val="21"/>
                    </w:rPr>
                    <w:t>润滑油</w:t>
                  </w:r>
                </w:p>
              </w:tc>
              <w:tc>
                <w:tcPr>
                  <w:tcW w:w="474" w:type="pct"/>
                  <w:vAlign w:val="center"/>
                </w:tcPr>
                <w:p w14:paraId="13EFE601">
                  <w:pPr>
                    <w:adjustRightInd w:val="0"/>
                    <w:snapToGrid w:val="0"/>
                    <w:spacing w:line="240" w:lineRule="auto"/>
                    <w:ind w:firstLine="0" w:firstLineChars="0"/>
                    <w:jc w:val="center"/>
                    <w:rPr>
                      <w:bCs/>
                      <w:sz w:val="21"/>
                      <w:szCs w:val="21"/>
                    </w:rPr>
                  </w:pPr>
                  <w:r>
                    <w:rPr>
                      <w:rFonts w:hint="eastAsia"/>
                      <w:bCs/>
                      <w:sz w:val="21"/>
                      <w:szCs w:val="21"/>
                    </w:rPr>
                    <w:t>固态</w:t>
                  </w:r>
                </w:p>
              </w:tc>
              <w:tc>
                <w:tcPr>
                  <w:tcW w:w="447" w:type="pct"/>
                  <w:vAlign w:val="center"/>
                </w:tcPr>
                <w:p w14:paraId="0B4B6C9A">
                  <w:pPr>
                    <w:adjustRightInd w:val="0"/>
                    <w:snapToGrid w:val="0"/>
                    <w:spacing w:line="240" w:lineRule="auto"/>
                    <w:ind w:firstLine="0" w:firstLineChars="0"/>
                    <w:jc w:val="center"/>
                    <w:rPr>
                      <w:kern w:val="0"/>
                      <w:sz w:val="21"/>
                      <w:szCs w:val="21"/>
                    </w:rPr>
                  </w:pPr>
                  <w:r>
                    <w:rPr>
                      <w:rFonts w:hint="eastAsia"/>
                      <w:kern w:val="0"/>
                      <w:sz w:val="21"/>
                      <w:szCs w:val="21"/>
                    </w:rPr>
                    <w:t>T，I</w:t>
                  </w:r>
                </w:p>
              </w:tc>
              <w:tc>
                <w:tcPr>
                  <w:tcW w:w="395" w:type="pct"/>
                  <w:vAlign w:val="center"/>
                </w:tcPr>
                <w:p w14:paraId="5C0C8CE5">
                  <w:pPr>
                    <w:adjustRightInd w:val="0"/>
                    <w:snapToGrid w:val="0"/>
                    <w:spacing w:line="240" w:lineRule="auto"/>
                    <w:ind w:firstLine="0" w:firstLineChars="0"/>
                    <w:jc w:val="center"/>
                    <w:rPr>
                      <w:bCs/>
                      <w:color w:val="000000"/>
                      <w:sz w:val="21"/>
                      <w:szCs w:val="21"/>
                    </w:rPr>
                  </w:pPr>
                  <w:r>
                    <w:rPr>
                      <w:bCs/>
                      <w:color w:val="000000"/>
                      <w:sz w:val="21"/>
                      <w:szCs w:val="21"/>
                    </w:rPr>
                    <w:t>桶装</w:t>
                  </w:r>
                </w:p>
              </w:tc>
              <w:tc>
                <w:tcPr>
                  <w:tcW w:w="625" w:type="pct"/>
                  <w:vMerge w:val="continue"/>
                  <w:vAlign w:val="center"/>
                </w:tcPr>
                <w:p w14:paraId="338BC837">
                  <w:pPr>
                    <w:adjustRightInd w:val="0"/>
                    <w:snapToGrid w:val="0"/>
                    <w:spacing w:line="240" w:lineRule="auto"/>
                    <w:ind w:firstLine="0" w:firstLineChars="0"/>
                    <w:jc w:val="center"/>
                    <w:rPr>
                      <w:bCs/>
                      <w:sz w:val="21"/>
                      <w:szCs w:val="21"/>
                    </w:rPr>
                  </w:pPr>
                </w:p>
              </w:tc>
            </w:tr>
            <w:bookmarkEnd w:id="330"/>
            <w:tr w14:paraId="4F603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373" w:type="pct"/>
                  <w:vMerge w:val="restart"/>
                  <w:vAlign w:val="center"/>
                </w:tcPr>
                <w:p w14:paraId="05ED27F8">
                  <w:pPr>
                    <w:adjustRightInd w:val="0"/>
                    <w:snapToGrid w:val="0"/>
                    <w:spacing w:line="240" w:lineRule="auto"/>
                    <w:ind w:firstLine="0" w:firstLineChars="0"/>
                    <w:jc w:val="center"/>
                    <w:rPr>
                      <w:bCs/>
                      <w:sz w:val="21"/>
                      <w:szCs w:val="21"/>
                    </w:rPr>
                  </w:pPr>
                  <w:r>
                    <w:rPr>
                      <w:rFonts w:hint="eastAsia"/>
                      <w:bCs/>
                      <w:sz w:val="21"/>
                      <w:szCs w:val="21"/>
                    </w:rPr>
                    <w:t>废气处理</w:t>
                  </w:r>
                </w:p>
              </w:tc>
              <w:tc>
                <w:tcPr>
                  <w:tcW w:w="695" w:type="pct"/>
                  <w:vAlign w:val="center"/>
                </w:tcPr>
                <w:p w14:paraId="56111449">
                  <w:pPr>
                    <w:adjustRightInd w:val="0"/>
                    <w:snapToGrid w:val="0"/>
                    <w:spacing w:line="240" w:lineRule="auto"/>
                    <w:ind w:firstLine="0" w:firstLineChars="0"/>
                    <w:jc w:val="center"/>
                    <w:rPr>
                      <w:bCs/>
                      <w:sz w:val="21"/>
                      <w:szCs w:val="21"/>
                    </w:rPr>
                  </w:pPr>
                  <w:r>
                    <w:rPr>
                      <w:bCs/>
                      <w:sz w:val="21"/>
                      <w:szCs w:val="21"/>
                    </w:rPr>
                    <w:t>喷淋废水（含沉渣）</w:t>
                  </w:r>
                </w:p>
              </w:tc>
              <w:tc>
                <w:tcPr>
                  <w:tcW w:w="227" w:type="pct"/>
                  <w:vMerge w:val="continue"/>
                  <w:vAlign w:val="center"/>
                </w:tcPr>
                <w:p w14:paraId="433B98BF">
                  <w:pPr>
                    <w:adjustRightInd w:val="0"/>
                    <w:snapToGrid w:val="0"/>
                    <w:spacing w:line="240" w:lineRule="auto"/>
                    <w:ind w:firstLine="0" w:firstLineChars="0"/>
                    <w:jc w:val="center"/>
                    <w:rPr>
                      <w:bCs/>
                      <w:sz w:val="21"/>
                      <w:szCs w:val="21"/>
                    </w:rPr>
                  </w:pPr>
                </w:p>
              </w:tc>
              <w:tc>
                <w:tcPr>
                  <w:tcW w:w="784" w:type="pct"/>
                  <w:vAlign w:val="center"/>
                </w:tcPr>
                <w:p w14:paraId="7629EE8E">
                  <w:pPr>
                    <w:adjustRightInd w:val="0"/>
                    <w:snapToGrid w:val="0"/>
                    <w:spacing w:line="240" w:lineRule="auto"/>
                    <w:ind w:firstLine="0" w:firstLineChars="0"/>
                    <w:jc w:val="center"/>
                    <w:rPr>
                      <w:color w:val="000000"/>
                      <w:sz w:val="21"/>
                      <w:szCs w:val="21"/>
                    </w:rPr>
                  </w:pPr>
                  <w:r>
                    <w:rPr>
                      <w:rFonts w:hint="eastAsia"/>
                      <w:color w:val="000000"/>
                      <w:sz w:val="21"/>
                      <w:szCs w:val="21"/>
                    </w:rPr>
                    <w:t>900-007-09</w:t>
                  </w:r>
                </w:p>
              </w:tc>
              <w:tc>
                <w:tcPr>
                  <w:tcW w:w="474" w:type="pct"/>
                  <w:vAlign w:val="center"/>
                </w:tcPr>
                <w:p w14:paraId="505D8B40">
                  <w:pPr>
                    <w:adjustRightInd w:val="0"/>
                    <w:snapToGrid w:val="0"/>
                    <w:spacing w:line="240" w:lineRule="auto"/>
                    <w:ind w:firstLine="0" w:firstLineChars="0"/>
                    <w:jc w:val="center"/>
                    <w:rPr>
                      <w:bCs/>
                      <w:sz w:val="21"/>
                      <w:szCs w:val="21"/>
                    </w:rPr>
                  </w:pPr>
                  <w:r>
                    <w:rPr>
                      <w:rFonts w:hint="eastAsia"/>
                      <w:bCs/>
                      <w:sz w:val="21"/>
                      <w:szCs w:val="21"/>
                    </w:rPr>
                    <w:t>12.626</w:t>
                  </w:r>
                </w:p>
              </w:tc>
              <w:tc>
                <w:tcPr>
                  <w:tcW w:w="502" w:type="pct"/>
                  <w:vAlign w:val="center"/>
                </w:tcPr>
                <w:p w14:paraId="00D4E281">
                  <w:pPr>
                    <w:adjustRightInd w:val="0"/>
                    <w:snapToGrid w:val="0"/>
                    <w:spacing w:line="240" w:lineRule="auto"/>
                    <w:ind w:firstLine="0" w:firstLineChars="0"/>
                    <w:jc w:val="center"/>
                    <w:rPr>
                      <w:bCs/>
                      <w:sz w:val="21"/>
                      <w:szCs w:val="21"/>
                    </w:rPr>
                  </w:pPr>
                  <w:r>
                    <w:rPr>
                      <w:rFonts w:hint="eastAsia"/>
                      <w:bCs/>
                      <w:sz w:val="21"/>
                      <w:szCs w:val="21"/>
                    </w:rPr>
                    <w:t>颗粒物</w:t>
                  </w:r>
                </w:p>
              </w:tc>
              <w:tc>
                <w:tcPr>
                  <w:tcW w:w="474" w:type="pct"/>
                  <w:vAlign w:val="center"/>
                </w:tcPr>
                <w:p w14:paraId="592F795C">
                  <w:pPr>
                    <w:adjustRightInd w:val="0"/>
                    <w:snapToGrid w:val="0"/>
                    <w:spacing w:line="240" w:lineRule="auto"/>
                    <w:ind w:firstLine="0" w:firstLineChars="0"/>
                    <w:jc w:val="center"/>
                    <w:rPr>
                      <w:bCs/>
                      <w:sz w:val="21"/>
                      <w:szCs w:val="21"/>
                    </w:rPr>
                  </w:pPr>
                  <w:r>
                    <w:rPr>
                      <w:rFonts w:hint="eastAsia"/>
                      <w:bCs/>
                      <w:sz w:val="21"/>
                      <w:szCs w:val="21"/>
                    </w:rPr>
                    <w:t>液态</w:t>
                  </w:r>
                </w:p>
              </w:tc>
              <w:tc>
                <w:tcPr>
                  <w:tcW w:w="447" w:type="pct"/>
                  <w:vAlign w:val="center"/>
                </w:tcPr>
                <w:p w14:paraId="0EEF3E25">
                  <w:pPr>
                    <w:adjustRightInd w:val="0"/>
                    <w:snapToGrid w:val="0"/>
                    <w:spacing w:line="240" w:lineRule="auto"/>
                    <w:ind w:firstLine="0" w:firstLineChars="0"/>
                    <w:jc w:val="center"/>
                    <w:rPr>
                      <w:kern w:val="0"/>
                      <w:sz w:val="21"/>
                      <w:szCs w:val="21"/>
                    </w:rPr>
                  </w:pPr>
                  <w:r>
                    <w:rPr>
                      <w:rFonts w:hint="eastAsia"/>
                      <w:kern w:val="0"/>
                      <w:sz w:val="21"/>
                      <w:szCs w:val="21"/>
                    </w:rPr>
                    <w:t>T</w:t>
                  </w:r>
                </w:p>
              </w:tc>
              <w:tc>
                <w:tcPr>
                  <w:tcW w:w="395" w:type="pct"/>
                  <w:vAlign w:val="center"/>
                </w:tcPr>
                <w:p w14:paraId="1FA79EF3">
                  <w:pPr>
                    <w:adjustRightInd w:val="0"/>
                    <w:snapToGrid w:val="0"/>
                    <w:spacing w:line="240" w:lineRule="auto"/>
                    <w:ind w:firstLine="0" w:firstLineChars="0"/>
                    <w:jc w:val="center"/>
                    <w:rPr>
                      <w:bCs/>
                      <w:color w:val="000000"/>
                      <w:sz w:val="21"/>
                      <w:szCs w:val="21"/>
                    </w:rPr>
                  </w:pPr>
                  <w:bookmarkStart w:id="336" w:name="OLE_LINK329"/>
                  <w:r>
                    <w:rPr>
                      <w:bCs/>
                      <w:color w:val="000000"/>
                      <w:sz w:val="21"/>
                      <w:szCs w:val="21"/>
                    </w:rPr>
                    <w:t>桶装</w:t>
                  </w:r>
                  <w:bookmarkEnd w:id="336"/>
                </w:p>
              </w:tc>
              <w:tc>
                <w:tcPr>
                  <w:tcW w:w="625" w:type="pct"/>
                  <w:vMerge w:val="continue"/>
                  <w:vAlign w:val="center"/>
                </w:tcPr>
                <w:p w14:paraId="16261AC5">
                  <w:pPr>
                    <w:adjustRightInd w:val="0"/>
                    <w:snapToGrid w:val="0"/>
                    <w:spacing w:line="240" w:lineRule="auto"/>
                    <w:ind w:firstLine="0" w:firstLineChars="0"/>
                    <w:jc w:val="center"/>
                    <w:rPr>
                      <w:bCs/>
                      <w:sz w:val="21"/>
                      <w:szCs w:val="21"/>
                    </w:rPr>
                  </w:pPr>
                </w:p>
              </w:tc>
            </w:tr>
            <w:tr w14:paraId="3D410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7" w:hRule="atLeast"/>
                <w:jc w:val="center"/>
              </w:trPr>
              <w:tc>
                <w:tcPr>
                  <w:tcW w:w="373" w:type="pct"/>
                  <w:vMerge w:val="continue"/>
                  <w:vAlign w:val="center"/>
                </w:tcPr>
                <w:p w14:paraId="3657F700">
                  <w:pPr>
                    <w:adjustRightInd w:val="0"/>
                    <w:snapToGrid w:val="0"/>
                    <w:spacing w:line="240" w:lineRule="auto"/>
                    <w:ind w:firstLine="0" w:firstLineChars="0"/>
                    <w:jc w:val="center"/>
                    <w:rPr>
                      <w:bCs/>
                      <w:sz w:val="21"/>
                      <w:szCs w:val="21"/>
                    </w:rPr>
                  </w:pPr>
                </w:p>
              </w:tc>
              <w:tc>
                <w:tcPr>
                  <w:tcW w:w="695" w:type="pct"/>
                  <w:vAlign w:val="center"/>
                </w:tcPr>
                <w:p w14:paraId="3B5CC007">
                  <w:pPr>
                    <w:adjustRightInd w:val="0"/>
                    <w:snapToGrid w:val="0"/>
                    <w:spacing w:line="240" w:lineRule="auto"/>
                    <w:ind w:firstLine="0" w:firstLineChars="0"/>
                    <w:jc w:val="center"/>
                    <w:rPr>
                      <w:bCs/>
                      <w:color w:val="auto"/>
                      <w:sz w:val="21"/>
                      <w:szCs w:val="21"/>
                    </w:rPr>
                  </w:pPr>
                  <w:bookmarkStart w:id="337" w:name="OLE_LINK327"/>
                  <w:r>
                    <w:rPr>
                      <w:rFonts w:hint="eastAsia"/>
                      <w:bCs/>
                      <w:color w:val="auto"/>
                      <w:sz w:val="21"/>
                      <w:szCs w:val="21"/>
                    </w:rPr>
                    <w:t>废过滤棉</w:t>
                  </w:r>
                  <w:bookmarkEnd w:id="337"/>
                </w:p>
              </w:tc>
              <w:tc>
                <w:tcPr>
                  <w:tcW w:w="227" w:type="pct"/>
                  <w:vMerge w:val="continue"/>
                  <w:vAlign w:val="center"/>
                </w:tcPr>
                <w:p w14:paraId="5D2A5D8F">
                  <w:pPr>
                    <w:adjustRightInd w:val="0"/>
                    <w:snapToGrid w:val="0"/>
                    <w:spacing w:line="240" w:lineRule="auto"/>
                    <w:ind w:firstLine="0" w:firstLineChars="0"/>
                    <w:jc w:val="center"/>
                    <w:rPr>
                      <w:bCs/>
                      <w:color w:val="auto"/>
                      <w:sz w:val="21"/>
                      <w:szCs w:val="21"/>
                    </w:rPr>
                  </w:pPr>
                </w:p>
              </w:tc>
              <w:tc>
                <w:tcPr>
                  <w:tcW w:w="784" w:type="pct"/>
                  <w:vAlign w:val="center"/>
                </w:tcPr>
                <w:p w14:paraId="3D73D007">
                  <w:pPr>
                    <w:adjustRightInd w:val="0"/>
                    <w:snapToGrid w:val="0"/>
                    <w:spacing w:line="240" w:lineRule="auto"/>
                    <w:ind w:firstLine="0" w:firstLineChars="0"/>
                    <w:jc w:val="center"/>
                    <w:rPr>
                      <w:color w:val="auto"/>
                      <w:sz w:val="21"/>
                      <w:szCs w:val="21"/>
                    </w:rPr>
                  </w:pPr>
                  <w:r>
                    <w:rPr>
                      <w:rFonts w:hint="eastAsia"/>
                      <w:color w:val="auto"/>
                      <w:sz w:val="21"/>
                      <w:szCs w:val="21"/>
                    </w:rPr>
                    <w:t>900-041-49</w:t>
                  </w:r>
                </w:p>
              </w:tc>
              <w:tc>
                <w:tcPr>
                  <w:tcW w:w="474" w:type="pct"/>
                  <w:vAlign w:val="center"/>
                </w:tcPr>
                <w:p w14:paraId="3E665843">
                  <w:pPr>
                    <w:adjustRightInd w:val="0"/>
                    <w:snapToGrid w:val="0"/>
                    <w:spacing w:line="240" w:lineRule="auto"/>
                    <w:ind w:firstLine="0" w:firstLineChars="0"/>
                    <w:jc w:val="center"/>
                    <w:rPr>
                      <w:bCs/>
                      <w:color w:val="auto"/>
                      <w:sz w:val="21"/>
                      <w:szCs w:val="21"/>
                    </w:rPr>
                  </w:pPr>
                  <w:r>
                    <w:rPr>
                      <w:rFonts w:hint="eastAsia"/>
                      <w:bCs/>
                      <w:color w:val="auto"/>
                      <w:sz w:val="21"/>
                      <w:szCs w:val="21"/>
                    </w:rPr>
                    <w:t>0.4</w:t>
                  </w:r>
                </w:p>
              </w:tc>
              <w:tc>
                <w:tcPr>
                  <w:tcW w:w="502" w:type="pct"/>
                  <w:vAlign w:val="center"/>
                </w:tcPr>
                <w:p w14:paraId="374A7B49">
                  <w:pPr>
                    <w:adjustRightInd w:val="0"/>
                    <w:snapToGrid w:val="0"/>
                    <w:spacing w:line="240" w:lineRule="auto"/>
                    <w:ind w:firstLine="0" w:firstLineChars="0"/>
                    <w:jc w:val="center"/>
                    <w:rPr>
                      <w:bCs/>
                      <w:color w:val="auto"/>
                      <w:sz w:val="21"/>
                      <w:szCs w:val="21"/>
                    </w:rPr>
                  </w:pPr>
                  <w:r>
                    <w:rPr>
                      <w:rFonts w:hint="eastAsia"/>
                      <w:bCs/>
                      <w:color w:val="auto"/>
                      <w:sz w:val="21"/>
                      <w:szCs w:val="21"/>
                    </w:rPr>
                    <w:t>颗粒物等</w:t>
                  </w:r>
                </w:p>
              </w:tc>
              <w:tc>
                <w:tcPr>
                  <w:tcW w:w="474" w:type="pct"/>
                  <w:vAlign w:val="center"/>
                </w:tcPr>
                <w:p w14:paraId="3A5E6BBE">
                  <w:pPr>
                    <w:adjustRightInd w:val="0"/>
                    <w:snapToGrid w:val="0"/>
                    <w:spacing w:line="240" w:lineRule="auto"/>
                    <w:ind w:firstLine="0" w:firstLineChars="0"/>
                    <w:jc w:val="center"/>
                    <w:rPr>
                      <w:bCs/>
                      <w:color w:val="auto"/>
                      <w:sz w:val="21"/>
                      <w:szCs w:val="21"/>
                    </w:rPr>
                  </w:pPr>
                  <w:r>
                    <w:rPr>
                      <w:rFonts w:hint="eastAsia"/>
                      <w:bCs/>
                      <w:color w:val="auto"/>
                      <w:sz w:val="21"/>
                      <w:szCs w:val="21"/>
                    </w:rPr>
                    <w:t>固态</w:t>
                  </w:r>
                </w:p>
              </w:tc>
              <w:tc>
                <w:tcPr>
                  <w:tcW w:w="447" w:type="pct"/>
                  <w:vAlign w:val="center"/>
                </w:tcPr>
                <w:p w14:paraId="7DFCDA2B">
                  <w:pPr>
                    <w:adjustRightInd w:val="0"/>
                    <w:snapToGrid w:val="0"/>
                    <w:spacing w:line="240" w:lineRule="auto"/>
                    <w:ind w:firstLine="0" w:firstLineChars="0"/>
                    <w:jc w:val="center"/>
                    <w:rPr>
                      <w:color w:val="auto"/>
                      <w:sz w:val="21"/>
                      <w:szCs w:val="21"/>
                    </w:rPr>
                  </w:pPr>
                  <w:r>
                    <w:rPr>
                      <w:rFonts w:hint="eastAsia"/>
                      <w:color w:val="auto"/>
                      <w:sz w:val="21"/>
                      <w:szCs w:val="21"/>
                    </w:rPr>
                    <w:t>T</w:t>
                  </w:r>
                </w:p>
              </w:tc>
              <w:tc>
                <w:tcPr>
                  <w:tcW w:w="395" w:type="pct"/>
                  <w:vAlign w:val="center"/>
                </w:tcPr>
                <w:p w14:paraId="19948BDE">
                  <w:pPr>
                    <w:adjustRightInd w:val="0"/>
                    <w:snapToGrid w:val="0"/>
                    <w:spacing w:line="240" w:lineRule="auto"/>
                    <w:ind w:firstLine="0" w:firstLineChars="0"/>
                    <w:jc w:val="center"/>
                    <w:rPr>
                      <w:bCs/>
                      <w:color w:val="auto"/>
                      <w:sz w:val="21"/>
                      <w:szCs w:val="21"/>
                    </w:rPr>
                  </w:pPr>
                  <w:r>
                    <w:rPr>
                      <w:rFonts w:hint="eastAsia"/>
                      <w:bCs/>
                      <w:color w:val="auto"/>
                      <w:sz w:val="21"/>
                      <w:szCs w:val="21"/>
                    </w:rPr>
                    <w:t>桶装</w:t>
                  </w:r>
                </w:p>
              </w:tc>
              <w:tc>
                <w:tcPr>
                  <w:tcW w:w="625" w:type="pct"/>
                  <w:vMerge w:val="continue"/>
                  <w:vAlign w:val="center"/>
                </w:tcPr>
                <w:p w14:paraId="65EA3C21">
                  <w:pPr>
                    <w:adjustRightInd w:val="0"/>
                    <w:snapToGrid w:val="0"/>
                    <w:spacing w:line="240" w:lineRule="auto"/>
                    <w:ind w:firstLine="0" w:firstLineChars="0"/>
                    <w:jc w:val="center"/>
                    <w:rPr>
                      <w:bCs/>
                      <w:sz w:val="21"/>
                      <w:szCs w:val="21"/>
                    </w:rPr>
                  </w:pPr>
                </w:p>
              </w:tc>
            </w:tr>
            <w:tr w14:paraId="4BE6E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jc w:val="center"/>
              </w:trPr>
              <w:tc>
                <w:tcPr>
                  <w:tcW w:w="373" w:type="pct"/>
                  <w:vMerge w:val="continue"/>
                  <w:vAlign w:val="center"/>
                </w:tcPr>
                <w:p w14:paraId="602C7DFA">
                  <w:pPr>
                    <w:adjustRightInd w:val="0"/>
                    <w:snapToGrid w:val="0"/>
                    <w:spacing w:line="240" w:lineRule="auto"/>
                    <w:ind w:firstLine="0" w:firstLineChars="0"/>
                    <w:jc w:val="center"/>
                    <w:rPr>
                      <w:bCs/>
                      <w:sz w:val="21"/>
                      <w:szCs w:val="21"/>
                    </w:rPr>
                  </w:pPr>
                  <w:bookmarkStart w:id="338" w:name="OLE_LINK326" w:colFirst="6" w:colLast="8"/>
                </w:p>
              </w:tc>
              <w:tc>
                <w:tcPr>
                  <w:tcW w:w="695" w:type="pct"/>
                  <w:vAlign w:val="center"/>
                </w:tcPr>
                <w:p w14:paraId="72B1183E">
                  <w:pPr>
                    <w:adjustRightInd w:val="0"/>
                    <w:snapToGrid w:val="0"/>
                    <w:spacing w:line="240" w:lineRule="auto"/>
                    <w:ind w:firstLine="0" w:firstLineChars="0"/>
                    <w:jc w:val="center"/>
                    <w:rPr>
                      <w:bCs/>
                      <w:color w:val="auto"/>
                      <w:sz w:val="21"/>
                      <w:szCs w:val="21"/>
                    </w:rPr>
                  </w:pPr>
                  <w:r>
                    <w:rPr>
                      <w:rFonts w:hint="eastAsia"/>
                      <w:bCs/>
                      <w:color w:val="auto"/>
                      <w:sz w:val="21"/>
                      <w:szCs w:val="21"/>
                    </w:rPr>
                    <w:t>废活性炭</w:t>
                  </w:r>
                </w:p>
              </w:tc>
              <w:tc>
                <w:tcPr>
                  <w:tcW w:w="227" w:type="pct"/>
                  <w:vMerge w:val="continue"/>
                  <w:vAlign w:val="center"/>
                </w:tcPr>
                <w:p w14:paraId="28D68BA6">
                  <w:pPr>
                    <w:adjustRightInd w:val="0"/>
                    <w:snapToGrid w:val="0"/>
                    <w:spacing w:line="240" w:lineRule="auto"/>
                    <w:ind w:firstLine="0" w:firstLineChars="0"/>
                    <w:jc w:val="center"/>
                    <w:rPr>
                      <w:bCs/>
                      <w:color w:val="auto"/>
                      <w:sz w:val="21"/>
                      <w:szCs w:val="21"/>
                    </w:rPr>
                  </w:pPr>
                </w:p>
              </w:tc>
              <w:tc>
                <w:tcPr>
                  <w:tcW w:w="784" w:type="pct"/>
                  <w:vAlign w:val="center"/>
                </w:tcPr>
                <w:p w14:paraId="4F1E9B5F">
                  <w:pPr>
                    <w:adjustRightInd w:val="0"/>
                    <w:snapToGrid w:val="0"/>
                    <w:spacing w:line="240" w:lineRule="auto"/>
                    <w:ind w:firstLine="0" w:firstLineChars="0"/>
                    <w:jc w:val="center"/>
                    <w:rPr>
                      <w:bCs/>
                      <w:color w:val="auto"/>
                      <w:sz w:val="21"/>
                      <w:szCs w:val="21"/>
                    </w:rPr>
                  </w:pPr>
                  <w:r>
                    <w:rPr>
                      <w:color w:val="auto"/>
                      <w:sz w:val="21"/>
                      <w:szCs w:val="21"/>
                    </w:rPr>
                    <w:t>900-039-49</w:t>
                  </w:r>
                </w:p>
              </w:tc>
              <w:tc>
                <w:tcPr>
                  <w:tcW w:w="474" w:type="pct"/>
                  <w:vAlign w:val="center"/>
                </w:tcPr>
                <w:p w14:paraId="58CEAC63">
                  <w:pPr>
                    <w:adjustRightInd w:val="0"/>
                    <w:snapToGrid w:val="0"/>
                    <w:spacing w:line="240" w:lineRule="auto"/>
                    <w:ind w:firstLine="0" w:firstLineChars="0"/>
                    <w:jc w:val="center"/>
                    <w:rPr>
                      <w:bCs/>
                      <w:color w:val="auto"/>
                      <w:sz w:val="21"/>
                      <w:szCs w:val="21"/>
                    </w:rPr>
                  </w:pPr>
                  <w:bookmarkStart w:id="339" w:name="OLE_LINK252"/>
                  <w:r>
                    <w:rPr>
                      <w:rFonts w:hint="eastAsia"/>
                      <w:bCs/>
                      <w:color w:val="auto"/>
                      <w:sz w:val="21"/>
                      <w:szCs w:val="21"/>
                    </w:rPr>
                    <w:t>23.6</w:t>
                  </w:r>
                  <w:bookmarkEnd w:id="339"/>
                </w:p>
              </w:tc>
              <w:tc>
                <w:tcPr>
                  <w:tcW w:w="502" w:type="pct"/>
                  <w:vAlign w:val="center"/>
                </w:tcPr>
                <w:p w14:paraId="0A895D77">
                  <w:pPr>
                    <w:adjustRightInd w:val="0"/>
                    <w:snapToGrid w:val="0"/>
                    <w:spacing w:line="240" w:lineRule="auto"/>
                    <w:ind w:firstLine="0" w:firstLineChars="0"/>
                    <w:jc w:val="center"/>
                    <w:rPr>
                      <w:bCs/>
                      <w:color w:val="auto"/>
                      <w:sz w:val="21"/>
                      <w:szCs w:val="21"/>
                    </w:rPr>
                  </w:pPr>
                  <w:r>
                    <w:rPr>
                      <w:rFonts w:hint="eastAsia"/>
                      <w:bCs/>
                      <w:color w:val="auto"/>
                      <w:sz w:val="21"/>
                      <w:szCs w:val="21"/>
                    </w:rPr>
                    <w:t>有机废气等</w:t>
                  </w:r>
                </w:p>
              </w:tc>
              <w:tc>
                <w:tcPr>
                  <w:tcW w:w="474" w:type="pct"/>
                  <w:vAlign w:val="center"/>
                </w:tcPr>
                <w:p w14:paraId="43E1E71E">
                  <w:pPr>
                    <w:adjustRightInd w:val="0"/>
                    <w:snapToGrid w:val="0"/>
                    <w:spacing w:line="240" w:lineRule="auto"/>
                    <w:ind w:firstLine="0" w:firstLineChars="0"/>
                    <w:jc w:val="center"/>
                    <w:rPr>
                      <w:bCs/>
                      <w:color w:val="auto"/>
                      <w:sz w:val="21"/>
                      <w:szCs w:val="21"/>
                    </w:rPr>
                  </w:pPr>
                  <w:r>
                    <w:rPr>
                      <w:rFonts w:hint="eastAsia"/>
                      <w:bCs/>
                      <w:color w:val="auto"/>
                      <w:sz w:val="21"/>
                      <w:szCs w:val="21"/>
                    </w:rPr>
                    <w:t>固态</w:t>
                  </w:r>
                </w:p>
              </w:tc>
              <w:tc>
                <w:tcPr>
                  <w:tcW w:w="447" w:type="pct"/>
                  <w:vAlign w:val="center"/>
                </w:tcPr>
                <w:p w14:paraId="28E6FE77">
                  <w:pPr>
                    <w:adjustRightInd w:val="0"/>
                    <w:snapToGrid w:val="0"/>
                    <w:spacing w:line="240" w:lineRule="auto"/>
                    <w:ind w:firstLine="0" w:firstLineChars="0"/>
                    <w:jc w:val="center"/>
                    <w:rPr>
                      <w:color w:val="auto"/>
                      <w:sz w:val="21"/>
                      <w:szCs w:val="21"/>
                    </w:rPr>
                  </w:pPr>
                  <w:r>
                    <w:rPr>
                      <w:rFonts w:hint="eastAsia"/>
                      <w:color w:val="auto"/>
                      <w:sz w:val="21"/>
                      <w:szCs w:val="21"/>
                    </w:rPr>
                    <w:t>T</w:t>
                  </w:r>
                </w:p>
              </w:tc>
              <w:tc>
                <w:tcPr>
                  <w:tcW w:w="395" w:type="pct"/>
                  <w:vAlign w:val="center"/>
                </w:tcPr>
                <w:p w14:paraId="0A7F1E19">
                  <w:pPr>
                    <w:adjustRightInd w:val="0"/>
                    <w:snapToGrid w:val="0"/>
                    <w:spacing w:line="240" w:lineRule="auto"/>
                    <w:ind w:firstLine="0" w:firstLineChars="0"/>
                    <w:jc w:val="center"/>
                    <w:rPr>
                      <w:bCs/>
                      <w:color w:val="auto"/>
                      <w:sz w:val="21"/>
                      <w:szCs w:val="21"/>
                    </w:rPr>
                  </w:pPr>
                  <w:bookmarkStart w:id="340" w:name="OLE_LINK210"/>
                  <w:r>
                    <w:rPr>
                      <w:rFonts w:hint="eastAsia"/>
                      <w:bCs/>
                      <w:color w:val="auto"/>
                      <w:sz w:val="21"/>
                      <w:szCs w:val="21"/>
                    </w:rPr>
                    <w:t>袋装</w:t>
                  </w:r>
                  <w:bookmarkEnd w:id="340"/>
                </w:p>
              </w:tc>
              <w:tc>
                <w:tcPr>
                  <w:tcW w:w="625" w:type="pct"/>
                  <w:vMerge w:val="continue"/>
                  <w:vAlign w:val="center"/>
                </w:tcPr>
                <w:p w14:paraId="136EF561">
                  <w:pPr>
                    <w:adjustRightInd w:val="0"/>
                    <w:snapToGrid w:val="0"/>
                    <w:spacing w:line="240" w:lineRule="auto"/>
                    <w:ind w:firstLine="0" w:firstLineChars="0"/>
                    <w:jc w:val="center"/>
                    <w:rPr>
                      <w:bCs/>
                      <w:sz w:val="21"/>
                      <w:szCs w:val="21"/>
                    </w:rPr>
                  </w:pPr>
                </w:p>
              </w:tc>
            </w:tr>
            <w:bookmarkEnd w:id="338"/>
          </w:tbl>
          <w:p w14:paraId="52DA4E67">
            <w:pPr>
              <w:widowControl/>
              <w:spacing w:line="240" w:lineRule="auto"/>
              <w:ind w:firstLine="422"/>
              <w:jc w:val="center"/>
              <w:rPr>
                <w:b/>
                <w:sz w:val="21"/>
                <w:szCs w:val="21"/>
              </w:rPr>
            </w:pPr>
            <w:r>
              <w:rPr>
                <w:b/>
                <w:sz w:val="21"/>
                <w:szCs w:val="21"/>
              </w:rPr>
              <w:t>表 4-</w:t>
            </w:r>
            <w:r>
              <w:rPr>
                <w:rFonts w:hint="eastAsia"/>
                <w:b/>
                <w:sz w:val="21"/>
                <w:szCs w:val="21"/>
              </w:rPr>
              <w:t xml:space="preserve">18 </w:t>
            </w:r>
            <w:r>
              <w:rPr>
                <w:b/>
                <w:sz w:val="21"/>
                <w:szCs w:val="21"/>
              </w:rPr>
              <w:t>建设项目危险废物贮存场所（设施）基本情况表</w:t>
            </w:r>
          </w:p>
          <w:tbl>
            <w:tblPr>
              <w:tblStyle w:val="34"/>
              <w:tblW w:w="500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3"/>
              <w:gridCol w:w="1041"/>
              <w:gridCol w:w="1256"/>
              <w:gridCol w:w="1128"/>
              <w:gridCol w:w="1419"/>
              <w:gridCol w:w="509"/>
              <w:gridCol w:w="678"/>
              <w:gridCol w:w="719"/>
              <w:gridCol w:w="707"/>
              <w:gridCol w:w="656"/>
            </w:tblGrid>
            <w:tr w14:paraId="28332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7" w:type="pct"/>
                  <w:vAlign w:val="center"/>
                </w:tcPr>
                <w:p w14:paraId="2CFA589E">
                  <w:pPr>
                    <w:adjustRightInd w:val="0"/>
                    <w:snapToGrid w:val="0"/>
                    <w:spacing w:line="240" w:lineRule="auto"/>
                    <w:ind w:firstLine="0" w:firstLineChars="0"/>
                    <w:jc w:val="center"/>
                    <w:rPr>
                      <w:b/>
                      <w:sz w:val="21"/>
                      <w:szCs w:val="21"/>
                    </w:rPr>
                  </w:pPr>
                  <w:r>
                    <w:rPr>
                      <w:b/>
                      <w:sz w:val="21"/>
                      <w:szCs w:val="21"/>
                    </w:rPr>
                    <w:t>序号</w:t>
                  </w:r>
                </w:p>
              </w:tc>
              <w:tc>
                <w:tcPr>
                  <w:tcW w:w="609" w:type="pct"/>
                  <w:vAlign w:val="center"/>
                </w:tcPr>
                <w:p w14:paraId="0347E1A9">
                  <w:pPr>
                    <w:adjustRightInd w:val="0"/>
                    <w:snapToGrid w:val="0"/>
                    <w:spacing w:line="240" w:lineRule="auto"/>
                    <w:ind w:firstLine="0" w:firstLineChars="0"/>
                    <w:jc w:val="center"/>
                    <w:rPr>
                      <w:b/>
                      <w:sz w:val="21"/>
                      <w:szCs w:val="21"/>
                    </w:rPr>
                  </w:pPr>
                  <w:r>
                    <w:rPr>
                      <w:b/>
                      <w:sz w:val="21"/>
                      <w:szCs w:val="21"/>
                    </w:rPr>
                    <w:t>贮存场所（设施）名称</w:t>
                  </w:r>
                </w:p>
              </w:tc>
              <w:tc>
                <w:tcPr>
                  <w:tcW w:w="735" w:type="pct"/>
                  <w:vAlign w:val="center"/>
                </w:tcPr>
                <w:p w14:paraId="600DF255">
                  <w:pPr>
                    <w:adjustRightInd w:val="0"/>
                    <w:snapToGrid w:val="0"/>
                    <w:spacing w:line="240" w:lineRule="auto"/>
                    <w:ind w:firstLine="0" w:firstLineChars="0"/>
                    <w:jc w:val="center"/>
                    <w:rPr>
                      <w:b/>
                      <w:sz w:val="21"/>
                      <w:szCs w:val="21"/>
                    </w:rPr>
                  </w:pPr>
                  <w:r>
                    <w:rPr>
                      <w:b/>
                      <w:sz w:val="21"/>
                      <w:szCs w:val="21"/>
                    </w:rPr>
                    <w:t>危险废物名称</w:t>
                  </w:r>
                </w:p>
              </w:tc>
              <w:tc>
                <w:tcPr>
                  <w:tcW w:w="661" w:type="pct"/>
                  <w:vAlign w:val="center"/>
                </w:tcPr>
                <w:p w14:paraId="2EC80399">
                  <w:pPr>
                    <w:adjustRightInd w:val="0"/>
                    <w:snapToGrid w:val="0"/>
                    <w:spacing w:line="240" w:lineRule="auto"/>
                    <w:ind w:firstLine="0" w:firstLineChars="0"/>
                    <w:jc w:val="center"/>
                    <w:rPr>
                      <w:b/>
                      <w:sz w:val="21"/>
                      <w:szCs w:val="21"/>
                    </w:rPr>
                  </w:pPr>
                  <w:r>
                    <w:rPr>
                      <w:b/>
                      <w:sz w:val="21"/>
                      <w:szCs w:val="21"/>
                    </w:rPr>
                    <w:t>危险废物</w:t>
                  </w:r>
                </w:p>
                <w:p w14:paraId="505D9121">
                  <w:pPr>
                    <w:adjustRightInd w:val="0"/>
                    <w:snapToGrid w:val="0"/>
                    <w:spacing w:line="240" w:lineRule="auto"/>
                    <w:ind w:firstLine="0" w:firstLineChars="0"/>
                    <w:jc w:val="center"/>
                    <w:rPr>
                      <w:b/>
                      <w:sz w:val="21"/>
                      <w:szCs w:val="21"/>
                    </w:rPr>
                  </w:pPr>
                  <w:r>
                    <w:rPr>
                      <w:b/>
                      <w:sz w:val="21"/>
                      <w:szCs w:val="21"/>
                    </w:rPr>
                    <w:t>类别</w:t>
                  </w:r>
                </w:p>
              </w:tc>
              <w:tc>
                <w:tcPr>
                  <w:tcW w:w="831" w:type="pct"/>
                  <w:vAlign w:val="center"/>
                </w:tcPr>
                <w:p w14:paraId="4A2EAF2F">
                  <w:pPr>
                    <w:adjustRightInd w:val="0"/>
                    <w:snapToGrid w:val="0"/>
                    <w:spacing w:line="240" w:lineRule="auto"/>
                    <w:ind w:firstLine="0" w:firstLineChars="0"/>
                    <w:jc w:val="center"/>
                    <w:rPr>
                      <w:b/>
                      <w:sz w:val="21"/>
                      <w:szCs w:val="21"/>
                    </w:rPr>
                  </w:pPr>
                  <w:r>
                    <w:rPr>
                      <w:b/>
                      <w:sz w:val="21"/>
                      <w:szCs w:val="21"/>
                    </w:rPr>
                    <w:t>危险废物代码</w:t>
                  </w:r>
                </w:p>
              </w:tc>
              <w:tc>
                <w:tcPr>
                  <w:tcW w:w="298" w:type="pct"/>
                  <w:vAlign w:val="center"/>
                </w:tcPr>
                <w:p w14:paraId="38D18271">
                  <w:pPr>
                    <w:adjustRightInd w:val="0"/>
                    <w:snapToGrid w:val="0"/>
                    <w:spacing w:line="240" w:lineRule="auto"/>
                    <w:ind w:firstLine="0" w:firstLineChars="0"/>
                    <w:jc w:val="center"/>
                    <w:rPr>
                      <w:b/>
                      <w:sz w:val="21"/>
                      <w:szCs w:val="21"/>
                    </w:rPr>
                  </w:pPr>
                  <w:r>
                    <w:rPr>
                      <w:b/>
                      <w:sz w:val="21"/>
                      <w:szCs w:val="21"/>
                    </w:rPr>
                    <w:t>位置</w:t>
                  </w:r>
                </w:p>
              </w:tc>
              <w:tc>
                <w:tcPr>
                  <w:tcW w:w="397" w:type="pct"/>
                  <w:vAlign w:val="center"/>
                </w:tcPr>
                <w:p w14:paraId="795BF5F9">
                  <w:pPr>
                    <w:adjustRightInd w:val="0"/>
                    <w:snapToGrid w:val="0"/>
                    <w:spacing w:line="240" w:lineRule="auto"/>
                    <w:ind w:firstLine="0" w:firstLineChars="0"/>
                    <w:jc w:val="center"/>
                    <w:rPr>
                      <w:b/>
                      <w:sz w:val="21"/>
                      <w:szCs w:val="21"/>
                    </w:rPr>
                  </w:pPr>
                  <w:r>
                    <w:rPr>
                      <w:b/>
                      <w:sz w:val="21"/>
                      <w:szCs w:val="21"/>
                    </w:rPr>
                    <w:t>占地</w:t>
                  </w:r>
                </w:p>
                <w:p w14:paraId="3CDD5A26">
                  <w:pPr>
                    <w:adjustRightInd w:val="0"/>
                    <w:snapToGrid w:val="0"/>
                    <w:spacing w:line="240" w:lineRule="auto"/>
                    <w:ind w:firstLine="0" w:firstLineChars="0"/>
                    <w:jc w:val="center"/>
                    <w:rPr>
                      <w:b/>
                      <w:sz w:val="21"/>
                      <w:szCs w:val="21"/>
                    </w:rPr>
                  </w:pPr>
                  <w:r>
                    <w:rPr>
                      <w:b/>
                      <w:sz w:val="21"/>
                      <w:szCs w:val="21"/>
                    </w:rPr>
                    <w:t>面积</w:t>
                  </w:r>
                </w:p>
              </w:tc>
              <w:tc>
                <w:tcPr>
                  <w:tcW w:w="421" w:type="pct"/>
                  <w:vAlign w:val="center"/>
                </w:tcPr>
                <w:p w14:paraId="289F8CEF">
                  <w:pPr>
                    <w:adjustRightInd w:val="0"/>
                    <w:snapToGrid w:val="0"/>
                    <w:spacing w:line="240" w:lineRule="auto"/>
                    <w:ind w:firstLine="0" w:firstLineChars="0"/>
                    <w:jc w:val="center"/>
                    <w:rPr>
                      <w:b/>
                      <w:sz w:val="21"/>
                      <w:szCs w:val="21"/>
                    </w:rPr>
                  </w:pPr>
                  <w:r>
                    <w:rPr>
                      <w:b/>
                      <w:sz w:val="21"/>
                      <w:szCs w:val="21"/>
                    </w:rPr>
                    <w:t>贮存</w:t>
                  </w:r>
                </w:p>
                <w:p w14:paraId="3E8B1C37">
                  <w:pPr>
                    <w:adjustRightInd w:val="0"/>
                    <w:snapToGrid w:val="0"/>
                    <w:spacing w:line="240" w:lineRule="auto"/>
                    <w:ind w:firstLine="0" w:firstLineChars="0"/>
                    <w:jc w:val="center"/>
                    <w:rPr>
                      <w:b/>
                      <w:sz w:val="21"/>
                      <w:szCs w:val="21"/>
                    </w:rPr>
                  </w:pPr>
                  <w:r>
                    <w:rPr>
                      <w:b/>
                      <w:sz w:val="21"/>
                      <w:szCs w:val="21"/>
                    </w:rPr>
                    <w:t>方式</w:t>
                  </w:r>
                </w:p>
              </w:tc>
              <w:tc>
                <w:tcPr>
                  <w:tcW w:w="414" w:type="pct"/>
                  <w:vAlign w:val="center"/>
                </w:tcPr>
                <w:p w14:paraId="7DFF3915">
                  <w:pPr>
                    <w:adjustRightInd w:val="0"/>
                    <w:snapToGrid w:val="0"/>
                    <w:spacing w:line="240" w:lineRule="auto"/>
                    <w:ind w:firstLine="0" w:firstLineChars="0"/>
                    <w:jc w:val="center"/>
                    <w:rPr>
                      <w:b/>
                      <w:sz w:val="21"/>
                      <w:szCs w:val="21"/>
                    </w:rPr>
                  </w:pPr>
                  <w:r>
                    <w:rPr>
                      <w:b/>
                      <w:sz w:val="21"/>
                      <w:szCs w:val="21"/>
                    </w:rPr>
                    <w:t>贮存</w:t>
                  </w:r>
                </w:p>
                <w:p w14:paraId="243B7D8D">
                  <w:pPr>
                    <w:adjustRightInd w:val="0"/>
                    <w:snapToGrid w:val="0"/>
                    <w:spacing w:line="240" w:lineRule="auto"/>
                    <w:ind w:firstLine="0" w:firstLineChars="0"/>
                    <w:jc w:val="center"/>
                    <w:rPr>
                      <w:b/>
                      <w:sz w:val="21"/>
                      <w:szCs w:val="21"/>
                    </w:rPr>
                  </w:pPr>
                  <w:r>
                    <w:rPr>
                      <w:b/>
                      <w:sz w:val="21"/>
                      <w:szCs w:val="21"/>
                    </w:rPr>
                    <w:t>能力</w:t>
                  </w:r>
                </w:p>
              </w:tc>
              <w:tc>
                <w:tcPr>
                  <w:tcW w:w="384" w:type="pct"/>
                  <w:vAlign w:val="center"/>
                </w:tcPr>
                <w:p w14:paraId="288B8F1C">
                  <w:pPr>
                    <w:adjustRightInd w:val="0"/>
                    <w:snapToGrid w:val="0"/>
                    <w:spacing w:line="240" w:lineRule="auto"/>
                    <w:ind w:firstLine="0" w:firstLineChars="0"/>
                    <w:jc w:val="center"/>
                    <w:rPr>
                      <w:b/>
                      <w:sz w:val="21"/>
                      <w:szCs w:val="21"/>
                    </w:rPr>
                  </w:pPr>
                  <w:r>
                    <w:rPr>
                      <w:b/>
                      <w:sz w:val="21"/>
                      <w:szCs w:val="21"/>
                    </w:rPr>
                    <w:t>贮存</w:t>
                  </w:r>
                </w:p>
                <w:p w14:paraId="0169D479">
                  <w:pPr>
                    <w:adjustRightInd w:val="0"/>
                    <w:snapToGrid w:val="0"/>
                    <w:spacing w:line="240" w:lineRule="auto"/>
                    <w:ind w:firstLine="0" w:firstLineChars="0"/>
                    <w:jc w:val="center"/>
                    <w:rPr>
                      <w:b/>
                      <w:sz w:val="21"/>
                      <w:szCs w:val="21"/>
                    </w:rPr>
                  </w:pPr>
                  <w:r>
                    <w:rPr>
                      <w:b/>
                      <w:sz w:val="21"/>
                      <w:szCs w:val="21"/>
                    </w:rPr>
                    <w:t>周期</w:t>
                  </w:r>
                </w:p>
              </w:tc>
            </w:tr>
            <w:tr w14:paraId="75210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247" w:type="pct"/>
                  <w:vAlign w:val="center"/>
                </w:tcPr>
                <w:p w14:paraId="7EAF1DF4">
                  <w:pPr>
                    <w:adjustRightInd w:val="0"/>
                    <w:snapToGrid w:val="0"/>
                    <w:spacing w:line="240" w:lineRule="auto"/>
                    <w:ind w:firstLine="0" w:firstLineChars="0"/>
                    <w:jc w:val="center"/>
                    <w:rPr>
                      <w:bCs/>
                      <w:sz w:val="21"/>
                      <w:szCs w:val="21"/>
                    </w:rPr>
                  </w:pPr>
                  <w:bookmarkStart w:id="341" w:name="OLE_LINK328" w:colFirst="3" w:colLast="4"/>
                  <w:bookmarkStart w:id="342" w:name="OLE_LINK188" w:colFirst="3" w:colLast="3"/>
                  <w:r>
                    <w:rPr>
                      <w:bCs/>
                      <w:sz w:val="21"/>
                      <w:szCs w:val="21"/>
                    </w:rPr>
                    <w:t>1</w:t>
                  </w:r>
                </w:p>
              </w:tc>
              <w:tc>
                <w:tcPr>
                  <w:tcW w:w="609" w:type="pct"/>
                  <w:vMerge w:val="restart"/>
                  <w:vAlign w:val="center"/>
                </w:tcPr>
                <w:p w14:paraId="77AB1C98">
                  <w:pPr>
                    <w:adjustRightInd w:val="0"/>
                    <w:snapToGrid w:val="0"/>
                    <w:spacing w:line="240" w:lineRule="auto"/>
                    <w:ind w:firstLine="0" w:firstLineChars="0"/>
                    <w:jc w:val="center"/>
                    <w:rPr>
                      <w:bCs/>
                      <w:sz w:val="21"/>
                      <w:szCs w:val="21"/>
                    </w:rPr>
                  </w:pPr>
                  <w:r>
                    <w:rPr>
                      <w:bCs/>
                      <w:sz w:val="21"/>
                      <w:szCs w:val="21"/>
                    </w:rPr>
                    <w:t>危废暂存间</w:t>
                  </w:r>
                </w:p>
              </w:tc>
              <w:tc>
                <w:tcPr>
                  <w:tcW w:w="735" w:type="pct"/>
                  <w:vAlign w:val="center"/>
                </w:tcPr>
                <w:p w14:paraId="3A126B44">
                  <w:pPr>
                    <w:adjustRightInd w:val="0"/>
                    <w:snapToGrid w:val="0"/>
                    <w:spacing w:line="240" w:lineRule="auto"/>
                    <w:ind w:firstLine="0" w:firstLineChars="0"/>
                    <w:jc w:val="center"/>
                    <w:rPr>
                      <w:bCs/>
                      <w:color w:val="auto"/>
                      <w:sz w:val="21"/>
                      <w:szCs w:val="21"/>
                    </w:rPr>
                  </w:pPr>
                  <w:r>
                    <w:rPr>
                      <w:rFonts w:hint="eastAsia"/>
                      <w:bCs/>
                      <w:color w:val="auto"/>
                      <w:sz w:val="21"/>
                      <w:szCs w:val="21"/>
                    </w:rPr>
                    <w:t>废包装桶</w:t>
                  </w:r>
                </w:p>
              </w:tc>
              <w:tc>
                <w:tcPr>
                  <w:tcW w:w="661" w:type="pct"/>
                  <w:vAlign w:val="center"/>
                </w:tcPr>
                <w:p w14:paraId="0448A98A">
                  <w:pPr>
                    <w:topLinePunct/>
                    <w:adjustRightInd w:val="0"/>
                    <w:snapToGrid w:val="0"/>
                    <w:spacing w:line="240" w:lineRule="auto"/>
                    <w:ind w:firstLine="0" w:firstLineChars="0"/>
                    <w:jc w:val="center"/>
                    <w:rPr>
                      <w:bCs/>
                      <w:color w:val="auto"/>
                      <w:sz w:val="21"/>
                      <w:szCs w:val="21"/>
                    </w:rPr>
                  </w:pPr>
                  <w:bookmarkStart w:id="343" w:name="OLE_LINK23"/>
                  <w:r>
                    <w:rPr>
                      <w:color w:val="auto"/>
                      <w:sz w:val="21"/>
                      <w:szCs w:val="21"/>
                    </w:rPr>
                    <w:t>HW</w:t>
                  </w:r>
                  <w:bookmarkEnd w:id="343"/>
                  <w:r>
                    <w:rPr>
                      <w:rFonts w:hint="eastAsia"/>
                      <w:color w:val="auto"/>
                      <w:sz w:val="21"/>
                      <w:szCs w:val="21"/>
                    </w:rPr>
                    <w:t>49</w:t>
                  </w:r>
                </w:p>
              </w:tc>
              <w:tc>
                <w:tcPr>
                  <w:tcW w:w="831" w:type="pct"/>
                  <w:vAlign w:val="center"/>
                </w:tcPr>
                <w:p w14:paraId="6CD2CC0F">
                  <w:pPr>
                    <w:adjustRightInd w:val="0"/>
                    <w:snapToGrid w:val="0"/>
                    <w:spacing w:line="240" w:lineRule="auto"/>
                    <w:ind w:firstLine="0" w:firstLineChars="0"/>
                    <w:jc w:val="center"/>
                    <w:rPr>
                      <w:bCs/>
                      <w:color w:val="auto"/>
                      <w:sz w:val="21"/>
                      <w:szCs w:val="21"/>
                    </w:rPr>
                  </w:pPr>
                  <w:r>
                    <w:rPr>
                      <w:rFonts w:hint="eastAsia"/>
                      <w:bCs/>
                      <w:color w:val="auto"/>
                      <w:sz w:val="21"/>
                      <w:szCs w:val="21"/>
                    </w:rPr>
                    <w:t>900-041-49</w:t>
                  </w:r>
                </w:p>
              </w:tc>
              <w:tc>
                <w:tcPr>
                  <w:tcW w:w="298" w:type="pct"/>
                  <w:vMerge w:val="restart"/>
                  <w:vAlign w:val="center"/>
                </w:tcPr>
                <w:p w14:paraId="5EBEAE80">
                  <w:pPr>
                    <w:adjustRightInd w:val="0"/>
                    <w:snapToGrid w:val="0"/>
                    <w:spacing w:line="240" w:lineRule="auto"/>
                    <w:ind w:firstLine="0" w:firstLineChars="0"/>
                    <w:jc w:val="center"/>
                    <w:rPr>
                      <w:bCs/>
                      <w:color w:val="auto"/>
                      <w:sz w:val="21"/>
                      <w:szCs w:val="21"/>
                    </w:rPr>
                  </w:pPr>
                  <w:r>
                    <w:rPr>
                      <w:rFonts w:hint="eastAsia"/>
                      <w:bCs/>
                      <w:color w:val="auto"/>
                      <w:sz w:val="21"/>
                      <w:szCs w:val="21"/>
                    </w:rPr>
                    <w:t>厂房楼顶</w:t>
                  </w:r>
                </w:p>
              </w:tc>
              <w:tc>
                <w:tcPr>
                  <w:tcW w:w="397" w:type="pct"/>
                  <w:vMerge w:val="restart"/>
                  <w:vAlign w:val="center"/>
                </w:tcPr>
                <w:p w14:paraId="404F28CF">
                  <w:pPr>
                    <w:adjustRightInd w:val="0"/>
                    <w:snapToGrid w:val="0"/>
                    <w:spacing w:line="240" w:lineRule="auto"/>
                    <w:ind w:firstLine="0" w:firstLineChars="0"/>
                    <w:jc w:val="center"/>
                    <w:rPr>
                      <w:bCs/>
                      <w:color w:val="auto"/>
                      <w:sz w:val="21"/>
                      <w:szCs w:val="21"/>
                    </w:rPr>
                  </w:pPr>
                  <w:r>
                    <w:rPr>
                      <w:rFonts w:hint="eastAsia"/>
                      <w:bCs/>
                      <w:color w:val="auto"/>
                      <w:sz w:val="21"/>
                      <w:szCs w:val="21"/>
                    </w:rPr>
                    <w:t>6m</w:t>
                  </w:r>
                  <w:r>
                    <w:rPr>
                      <w:rFonts w:hint="eastAsia"/>
                      <w:bCs/>
                      <w:color w:val="auto"/>
                      <w:sz w:val="21"/>
                      <w:szCs w:val="21"/>
                      <w:vertAlign w:val="superscript"/>
                    </w:rPr>
                    <w:t>2</w:t>
                  </w:r>
                </w:p>
              </w:tc>
              <w:tc>
                <w:tcPr>
                  <w:tcW w:w="421" w:type="pct"/>
                  <w:vAlign w:val="center"/>
                </w:tcPr>
                <w:p w14:paraId="4E89EDF9">
                  <w:pPr>
                    <w:adjustRightInd w:val="0"/>
                    <w:snapToGrid w:val="0"/>
                    <w:spacing w:line="240" w:lineRule="auto"/>
                    <w:ind w:firstLine="0" w:firstLineChars="0"/>
                    <w:jc w:val="center"/>
                    <w:rPr>
                      <w:bCs/>
                      <w:color w:val="auto"/>
                      <w:sz w:val="21"/>
                      <w:szCs w:val="21"/>
                    </w:rPr>
                  </w:pPr>
                  <w:r>
                    <w:rPr>
                      <w:bCs/>
                      <w:color w:val="auto"/>
                      <w:sz w:val="21"/>
                      <w:szCs w:val="21"/>
                    </w:rPr>
                    <w:t>桶装</w:t>
                  </w:r>
                </w:p>
              </w:tc>
              <w:tc>
                <w:tcPr>
                  <w:tcW w:w="414" w:type="pct"/>
                  <w:vMerge w:val="restart"/>
                  <w:vAlign w:val="center"/>
                </w:tcPr>
                <w:p w14:paraId="62B7F8C6">
                  <w:pPr>
                    <w:adjustRightInd w:val="0"/>
                    <w:snapToGrid w:val="0"/>
                    <w:spacing w:line="240" w:lineRule="auto"/>
                    <w:ind w:firstLine="0" w:firstLineChars="0"/>
                    <w:jc w:val="center"/>
                    <w:rPr>
                      <w:bCs/>
                      <w:sz w:val="21"/>
                      <w:szCs w:val="21"/>
                    </w:rPr>
                  </w:pPr>
                  <w:r>
                    <w:rPr>
                      <w:rFonts w:hint="eastAsia"/>
                      <w:bCs/>
                      <w:sz w:val="21"/>
                      <w:szCs w:val="21"/>
                    </w:rPr>
                    <w:t>10t</w:t>
                  </w:r>
                </w:p>
              </w:tc>
              <w:tc>
                <w:tcPr>
                  <w:tcW w:w="384" w:type="pct"/>
                  <w:vMerge w:val="restart"/>
                  <w:vAlign w:val="center"/>
                </w:tcPr>
                <w:p w14:paraId="34EA2C1E">
                  <w:pPr>
                    <w:adjustRightInd w:val="0"/>
                    <w:snapToGrid w:val="0"/>
                    <w:spacing w:line="240" w:lineRule="auto"/>
                    <w:ind w:firstLine="0" w:firstLineChars="0"/>
                    <w:jc w:val="center"/>
                    <w:rPr>
                      <w:bCs/>
                      <w:sz w:val="21"/>
                      <w:szCs w:val="21"/>
                    </w:rPr>
                  </w:pPr>
                  <w:r>
                    <w:rPr>
                      <w:rFonts w:hint="eastAsia"/>
                      <w:bCs/>
                      <w:sz w:val="21"/>
                      <w:szCs w:val="21"/>
                    </w:rPr>
                    <w:t>3个月</w:t>
                  </w:r>
                </w:p>
              </w:tc>
            </w:tr>
            <w:bookmarkEnd w:id="341"/>
            <w:tr w14:paraId="1890F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247" w:type="pct"/>
                  <w:vAlign w:val="center"/>
                </w:tcPr>
                <w:p w14:paraId="75ACBB53">
                  <w:pPr>
                    <w:adjustRightInd w:val="0"/>
                    <w:snapToGrid w:val="0"/>
                    <w:spacing w:line="240" w:lineRule="auto"/>
                    <w:ind w:firstLine="0" w:firstLineChars="0"/>
                    <w:jc w:val="center"/>
                    <w:rPr>
                      <w:bCs/>
                      <w:sz w:val="21"/>
                      <w:szCs w:val="21"/>
                    </w:rPr>
                  </w:pPr>
                  <w:r>
                    <w:rPr>
                      <w:rFonts w:hint="eastAsia"/>
                      <w:bCs/>
                      <w:sz w:val="21"/>
                      <w:szCs w:val="21"/>
                    </w:rPr>
                    <w:t>2</w:t>
                  </w:r>
                </w:p>
              </w:tc>
              <w:tc>
                <w:tcPr>
                  <w:tcW w:w="609" w:type="pct"/>
                  <w:vMerge w:val="continue"/>
                  <w:vAlign w:val="center"/>
                </w:tcPr>
                <w:p w14:paraId="6258FDF9">
                  <w:pPr>
                    <w:adjustRightInd w:val="0"/>
                    <w:snapToGrid w:val="0"/>
                    <w:spacing w:line="240" w:lineRule="auto"/>
                    <w:ind w:firstLine="0" w:firstLineChars="0"/>
                    <w:jc w:val="center"/>
                    <w:rPr>
                      <w:bCs/>
                      <w:sz w:val="21"/>
                      <w:szCs w:val="21"/>
                    </w:rPr>
                  </w:pPr>
                </w:p>
              </w:tc>
              <w:tc>
                <w:tcPr>
                  <w:tcW w:w="735" w:type="pct"/>
                  <w:vAlign w:val="center"/>
                </w:tcPr>
                <w:p w14:paraId="6D8FB9E5">
                  <w:pPr>
                    <w:adjustRightInd w:val="0"/>
                    <w:snapToGrid w:val="0"/>
                    <w:spacing w:line="240" w:lineRule="auto"/>
                    <w:ind w:firstLine="0" w:firstLineChars="0"/>
                    <w:jc w:val="center"/>
                    <w:rPr>
                      <w:bCs/>
                      <w:color w:val="auto"/>
                      <w:sz w:val="21"/>
                      <w:szCs w:val="21"/>
                    </w:rPr>
                  </w:pPr>
                  <w:r>
                    <w:rPr>
                      <w:rFonts w:hint="eastAsia"/>
                      <w:bCs/>
                      <w:color w:val="auto"/>
                      <w:sz w:val="21"/>
                      <w:szCs w:val="21"/>
                    </w:rPr>
                    <w:t>废润滑油</w:t>
                  </w:r>
                </w:p>
              </w:tc>
              <w:tc>
                <w:tcPr>
                  <w:tcW w:w="661" w:type="pct"/>
                  <w:vAlign w:val="center"/>
                </w:tcPr>
                <w:p w14:paraId="4CABCB80">
                  <w:pPr>
                    <w:topLinePunct/>
                    <w:adjustRightInd w:val="0"/>
                    <w:snapToGrid w:val="0"/>
                    <w:spacing w:line="240" w:lineRule="auto"/>
                    <w:ind w:firstLine="0" w:firstLineChars="0"/>
                    <w:jc w:val="center"/>
                    <w:rPr>
                      <w:color w:val="auto"/>
                      <w:sz w:val="21"/>
                      <w:szCs w:val="21"/>
                    </w:rPr>
                  </w:pPr>
                  <w:r>
                    <w:rPr>
                      <w:color w:val="auto"/>
                      <w:sz w:val="21"/>
                      <w:szCs w:val="21"/>
                    </w:rPr>
                    <w:t>HW</w:t>
                  </w:r>
                  <w:r>
                    <w:rPr>
                      <w:rFonts w:hint="eastAsia"/>
                      <w:color w:val="auto"/>
                      <w:sz w:val="21"/>
                      <w:szCs w:val="21"/>
                    </w:rPr>
                    <w:t>08</w:t>
                  </w:r>
                </w:p>
              </w:tc>
              <w:tc>
                <w:tcPr>
                  <w:tcW w:w="831" w:type="pct"/>
                  <w:vAlign w:val="center"/>
                </w:tcPr>
                <w:p w14:paraId="5A87E1EF">
                  <w:pPr>
                    <w:adjustRightInd w:val="0"/>
                    <w:snapToGrid w:val="0"/>
                    <w:spacing w:line="240" w:lineRule="auto"/>
                    <w:ind w:firstLine="0" w:firstLineChars="0"/>
                    <w:jc w:val="center"/>
                    <w:rPr>
                      <w:bCs/>
                      <w:color w:val="auto"/>
                      <w:sz w:val="21"/>
                      <w:szCs w:val="21"/>
                    </w:rPr>
                  </w:pPr>
                  <w:r>
                    <w:rPr>
                      <w:rFonts w:hint="eastAsia"/>
                      <w:bCs/>
                      <w:color w:val="auto"/>
                      <w:sz w:val="21"/>
                      <w:szCs w:val="21"/>
                    </w:rPr>
                    <w:t>900-214-08</w:t>
                  </w:r>
                </w:p>
              </w:tc>
              <w:tc>
                <w:tcPr>
                  <w:tcW w:w="298" w:type="pct"/>
                  <w:vMerge w:val="continue"/>
                  <w:vAlign w:val="center"/>
                </w:tcPr>
                <w:p w14:paraId="4FF2AB4F">
                  <w:pPr>
                    <w:adjustRightInd w:val="0"/>
                    <w:snapToGrid w:val="0"/>
                    <w:spacing w:line="240" w:lineRule="auto"/>
                    <w:ind w:firstLine="0" w:firstLineChars="0"/>
                    <w:jc w:val="center"/>
                    <w:rPr>
                      <w:bCs/>
                      <w:color w:val="auto"/>
                      <w:sz w:val="21"/>
                      <w:szCs w:val="21"/>
                    </w:rPr>
                  </w:pPr>
                </w:p>
              </w:tc>
              <w:tc>
                <w:tcPr>
                  <w:tcW w:w="397" w:type="pct"/>
                  <w:vMerge w:val="continue"/>
                  <w:vAlign w:val="center"/>
                </w:tcPr>
                <w:p w14:paraId="37DC884A">
                  <w:pPr>
                    <w:adjustRightInd w:val="0"/>
                    <w:snapToGrid w:val="0"/>
                    <w:spacing w:line="240" w:lineRule="auto"/>
                    <w:ind w:firstLine="0" w:firstLineChars="0"/>
                    <w:jc w:val="center"/>
                    <w:rPr>
                      <w:bCs/>
                      <w:color w:val="auto"/>
                      <w:sz w:val="21"/>
                      <w:szCs w:val="21"/>
                    </w:rPr>
                  </w:pPr>
                </w:p>
              </w:tc>
              <w:tc>
                <w:tcPr>
                  <w:tcW w:w="421" w:type="pct"/>
                  <w:vAlign w:val="center"/>
                </w:tcPr>
                <w:p w14:paraId="6D051649">
                  <w:pPr>
                    <w:adjustRightInd w:val="0"/>
                    <w:snapToGrid w:val="0"/>
                    <w:spacing w:line="240" w:lineRule="auto"/>
                    <w:ind w:firstLine="0" w:firstLineChars="0"/>
                    <w:jc w:val="center"/>
                    <w:rPr>
                      <w:bCs/>
                      <w:color w:val="auto"/>
                      <w:sz w:val="21"/>
                      <w:szCs w:val="21"/>
                    </w:rPr>
                  </w:pPr>
                  <w:r>
                    <w:rPr>
                      <w:bCs/>
                      <w:color w:val="auto"/>
                      <w:sz w:val="21"/>
                      <w:szCs w:val="21"/>
                    </w:rPr>
                    <w:t>桶装</w:t>
                  </w:r>
                </w:p>
              </w:tc>
              <w:tc>
                <w:tcPr>
                  <w:tcW w:w="414" w:type="pct"/>
                  <w:vMerge w:val="continue"/>
                  <w:vAlign w:val="center"/>
                </w:tcPr>
                <w:p w14:paraId="3A4D4432">
                  <w:pPr>
                    <w:adjustRightInd w:val="0"/>
                    <w:snapToGrid w:val="0"/>
                    <w:spacing w:line="240" w:lineRule="auto"/>
                    <w:ind w:firstLine="0" w:firstLineChars="0"/>
                    <w:jc w:val="center"/>
                    <w:rPr>
                      <w:bCs/>
                      <w:sz w:val="21"/>
                      <w:szCs w:val="21"/>
                    </w:rPr>
                  </w:pPr>
                </w:p>
              </w:tc>
              <w:tc>
                <w:tcPr>
                  <w:tcW w:w="384" w:type="pct"/>
                  <w:vMerge w:val="continue"/>
                  <w:vAlign w:val="center"/>
                </w:tcPr>
                <w:p w14:paraId="5850A7E3">
                  <w:pPr>
                    <w:adjustRightInd w:val="0"/>
                    <w:snapToGrid w:val="0"/>
                    <w:spacing w:line="240" w:lineRule="auto"/>
                    <w:ind w:firstLine="0" w:firstLineChars="0"/>
                    <w:jc w:val="center"/>
                    <w:rPr>
                      <w:bCs/>
                      <w:sz w:val="21"/>
                      <w:szCs w:val="21"/>
                    </w:rPr>
                  </w:pPr>
                </w:p>
              </w:tc>
            </w:tr>
            <w:bookmarkEnd w:id="342"/>
            <w:tr w14:paraId="77EFA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7" w:hRule="atLeast"/>
                <w:jc w:val="center"/>
              </w:trPr>
              <w:tc>
                <w:tcPr>
                  <w:tcW w:w="247" w:type="pct"/>
                  <w:vAlign w:val="center"/>
                </w:tcPr>
                <w:p w14:paraId="5702F532">
                  <w:pPr>
                    <w:adjustRightInd w:val="0"/>
                    <w:snapToGrid w:val="0"/>
                    <w:spacing w:line="240" w:lineRule="auto"/>
                    <w:ind w:firstLine="0" w:firstLineChars="0"/>
                    <w:jc w:val="center"/>
                    <w:rPr>
                      <w:bCs/>
                      <w:sz w:val="21"/>
                      <w:szCs w:val="21"/>
                    </w:rPr>
                  </w:pPr>
                  <w:r>
                    <w:rPr>
                      <w:rFonts w:hint="eastAsia"/>
                      <w:bCs/>
                      <w:sz w:val="21"/>
                      <w:szCs w:val="21"/>
                    </w:rPr>
                    <w:t>3</w:t>
                  </w:r>
                </w:p>
              </w:tc>
              <w:tc>
                <w:tcPr>
                  <w:tcW w:w="609" w:type="pct"/>
                  <w:vMerge w:val="continue"/>
                  <w:vAlign w:val="center"/>
                </w:tcPr>
                <w:p w14:paraId="38AAABB1">
                  <w:pPr>
                    <w:adjustRightInd w:val="0"/>
                    <w:snapToGrid w:val="0"/>
                    <w:spacing w:line="240" w:lineRule="auto"/>
                    <w:ind w:firstLine="0" w:firstLineChars="0"/>
                    <w:jc w:val="center"/>
                    <w:rPr>
                      <w:bCs/>
                      <w:sz w:val="21"/>
                      <w:szCs w:val="21"/>
                    </w:rPr>
                  </w:pPr>
                </w:p>
              </w:tc>
              <w:tc>
                <w:tcPr>
                  <w:tcW w:w="735" w:type="pct"/>
                  <w:vAlign w:val="center"/>
                </w:tcPr>
                <w:p w14:paraId="5354ED6E">
                  <w:pPr>
                    <w:adjustRightInd w:val="0"/>
                    <w:snapToGrid w:val="0"/>
                    <w:spacing w:line="240" w:lineRule="auto"/>
                    <w:ind w:firstLine="0" w:firstLineChars="0"/>
                    <w:jc w:val="center"/>
                    <w:rPr>
                      <w:bCs/>
                      <w:color w:val="auto"/>
                      <w:sz w:val="21"/>
                      <w:szCs w:val="21"/>
                    </w:rPr>
                  </w:pPr>
                  <w:r>
                    <w:rPr>
                      <w:rFonts w:hint="eastAsia"/>
                      <w:bCs/>
                      <w:color w:val="auto"/>
                      <w:sz w:val="21"/>
                      <w:szCs w:val="21"/>
                    </w:rPr>
                    <w:t>废含油抹布/手套</w:t>
                  </w:r>
                </w:p>
              </w:tc>
              <w:tc>
                <w:tcPr>
                  <w:tcW w:w="661" w:type="pct"/>
                  <w:vAlign w:val="center"/>
                </w:tcPr>
                <w:p w14:paraId="6C6B71D8">
                  <w:pPr>
                    <w:topLinePunct/>
                    <w:adjustRightInd w:val="0"/>
                    <w:snapToGrid w:val="0"/>
                    <w:spacing w:line="240" w:lineRule="auto"/>
                    <w:ind w:firstLine="0" w:firstLineChars="0"/>
                    <w:jc w:val="center"/>
                    <w:rPr>
                      <w:color w:val="auto"/>
                      <w:sz w:val="21"/>
                      <w:szCs w:val="21"/>
                    </w:rPr>
                  </w:pPr>
                  <w:r>
                    <w:rPr>
                      <w:color w:val="auto"/>
                      <w:sz w:val="21"/>
                      <w:szCs w:val="21"/>
                    </w:rPr>
                    <w:t>HW49</w:t>
                  </w:r>
                </w:p>
              </w:tc>
              <w:tc>
                <w:tcPr>
                  <w:tcW w:w="831" w:type="pct"/>
                  <w:vAlign w:val="center"/>
                </w:tcPr>
                <w:p w14:paraId="0F944F34">
                  <w:pPr>
                    <w:adjustRightInd w:val="0"/>
                    <w:snapToGrid w:val="0"/>
                    <w:spacing w:line="240" w:lineRule="auto"/>
                    <w:ind w:firstLine="0" w:firstLineChars="0"/>
                    <w:jc w:val="center"/>
                    <w:rPr>
                      <w:bCs/>
                      <w:color w:val="auto"/>
                      <w:sz w:val="21"/>
                      <w:szCs w:val="21"/>
                    </w:rPr>
                  </w:pPr>
                  <w:r>
                    <w:rPr>
                      <w:rFonts w:hint="eastAsia"/>
                      <w:bCs/>
                      <w:color w:val="auto"/>
                      <w:sz w:val="21"/>
                      <w:szCs w:val="21"/>
                    </w:rPr>
                    <w:t>900-041-49</w:t>
                  </w:r>
                </w:p>
              </w:tc>
              <w:tc>
                <w:tcPr>
                  <w:tcW w:w="298" w:type="pct"/>
                  <w:vMerge w:val="continue"/>
                  <w:vAlign w:val="center"/>
                </w:tcPr>
                <w:p w14:paraId="24DE25EE">
                  <w:pPr>
                    <w:adjustRightInd w:val="0"/>
                    <w:snapToGrid w:val="0"/>
                    <w:spacing w:line="240" w:lineRule="auto"/>
                    <w:ind w:firstLine="0" w:firstLineChars="0"/>
                    <w:jc w:val="center"/>
                    <w:rPr>
                      <w:bCs/>
                      <w:color w:val="auto"/>
                      <w:sz w:val="21"/>
                      <w:szCs w:val="21"/>
                    </w:rPr>
                  </w:pPr>
                </w:p>
              </w:tc>
              <w:tc>
                <w:tcPr>
                  <w:tcW w:w="397" w:type="pct"/>
                  <w:vMerge w:val="continue"/>
                  <w:vAlign w:val="center"/>
                </w:tcPr>
                <w:p w14:paraId="15F50473">
                  <w:pPr>
                    <w:adjustRightInd w:val="0"/>
                    <w:snapToGrid w:val="0"/>
                    <w:spacing w:line="240" w:lineRule="auto"/>
                    <w:ind w:firstLine="0" w:firstLineChars="0"/>
                    <w:jc w:val="center"/>
                    <w:rPr>
                      <w:bCs/>
                      <w:color w:val="auto"/>
                      <w:sz w:val="21"/>
                      <w:szCs w:val="21"/>
                    </w:rPr>
                  </w:pPr>
                </w:p>
              </w:tc>
              <w:tc>
                <w:tcPr>
                  <w:tcW w:w="421" w:type="pct"/>
                  <w:vAlign w:val="center"/>
                </w:tcPr>
                <w:p w14:paraId="28A1CD76">
                  <w:pPr>
                    <w:adjustRightInd w:val="0"/>
                    <w:snapToGrid w:val="0"/>
                    <w:spacing w:line="240" w:lineRule="auto"/>
                    <w:ind w:firstLine="0" w:firstLineChars="0"/>
                    <w:jc w:val="center"/>
                    <w:rPr>
                      <w:bCs/>
                      <w:color w:val="auto"/>
                      <w:sz w:val="21"/>
                      <w:szCs w:val="21"/>
                    </w:rPr>
                  </w:pPr>
                  <w:r>
                    <w:rPr>
                      <w:bCs/>
                      <w:color w:val="auto"/>
                      <w:sz w:val="21"/>
                      <w:szCs w:val="21"/>
                    </w:rPr>
                    <w:t>桶装</w:t>
                  </w:r>
                </w:p>
              </w:tc>
              <w:tc>
                <w:tcPr>
                  <w:tcW w:w="414" w:type="pct"/>
                  <w:vMerge w:val="continue"/>
                  <w:vAlign w:val="center"/>
                </w:tcPr>
                <w:p w14:paraId="4157B14C">
                  <w:pPr>
                    <w:adjustRightInd w:val="0"/>
                    <w:snapToGrid w:val="0"/>
                    <w:spacing w:line="240" w:lineRule="auto"/>
                    <w:ind w:firstLine="0" w:firstLineChars="0"/>
                    <w:jc w:val="center"/>
                    <w:rPr>
                      <w:bCs/>
                      <w:sz w:val="21"/>
                      <w:szCs w:val="21"/>
                    </w:rPr>
                  </w:pPr>
                </w:p>
              </w:tc>
              <w:tc>
                <w:tcPr>
                  <w:tcW w:w="384" w:type="pct"/>
                  <w:vMerge w:val="continue"/>
                  <w:vAlign w:val="center"/>
                </w:tcPr>
                <w:p w14:paraId="3BD6BDF6">
                  <w:pPr>
                    <w:adjustRightInd w:val="0"/>
                    <w:snapToGrid w:val="0"/>
                    <w:spacing w:line="240" w:lineRule="auto"/>
                    <w:ind w:firstLine="0" w:firstLineChars="0"/>
                    <w:jc w:val="center"/>
                    <w:rPr>
                      <w:bCs/>
                      <w:sz w:val="21"/>
                      <w:szCs w:val="21"/>
                    </w:rPr>
                  </w:pPr>
                </w:p>
              </w:tc>
            </w:tr>
            <w:tr w14:paraId="6C8E2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247" w:type="pct"/>
                  <w:vAlign w:val="center"/>
                </w:tcPr>
                <w:p w14:paraId="7F276C3B">
                  <w:pPr>
                    <w:adjustRightInd w:val="0"/>
                    <w:snapToGrid w:val="0"/>
                    <w:spacing w:line="240" w:lineRule="auto"/>
                    <w:ind w:firstLine="0" w:firstLineChars="0"/>
                    <w:jc w:val="center"/>
                    <w:rPr>
                      <w:bCs/>
                      <w:sz w:val="21"/>
                      <w:szCs w:val="21"/>
                    </w:rPr>
                  </w:pPr>
                  <w:r>
                    <w:rPr>
                      <w:rFonts w:hint="eastAsia"/>
                      <w:bCs/>
                      <w:sz w:val="21"/>
                      <w:szCs w:val="21"/>
                    </w:rPr>
                    <w:t>4</w:t>
                  </w:r>
                </w:p>
              </w:tc>
              <w:tc>
                <w:tcPr>
                  <w:tcW w:w="609" w:type="pct"/>
                  <w:vMerge w:val="continue"/>
                  <w:vAlign w:val="center"/>
                </w:tcPr>
                <w:p w14:paraId="39E7C540">
                  <w:pPr>
                    <w:adjustRightInd w:val="0"/>
                    <w:snapToGrid w:val="0"/>
                    <w:spacing w:line="240" w:lineRule="auto"/>
                    <w:ind w:firstLine="0" w:firstLineChars="0"/>
                    <w:jc w:val="center"/>
                    <w:rPr>
                      <w:bCs/>
                      <w:sz w:val="21"/>
                      <w:szCs w:val="21"/>
                    </w:rPr>
                  </w:pPr>
                </w:p>
              </w:tc>
              <w:tc>
                <w:tcPr>
                  <w:tcW w:w="735" w:type="pct"/>
                  <w:vAlign w:val="center"/>
                </w:tcPr>
                <w:p w14:paraId="3E75032F">
                  <w:pPr>
                    <w:adjustRightInd w:val="0"/>
                    <w:snapToGrid w:val="0"/>
                    <w:spacing w:line="240" w:lineRule="auto"/>
                    <w:ind w:firstLine="0" w:firstLineChars="0"/>
                    <w:jc w:val="center"/>
                    <w:rPr>
                      <w:bCs/>
                      <w:color w:val="auto"/>
                      <w:sz w:val="21"/>
                      <w:szCs w:val="21"/>
                    </w:rPr>
                  </w:pPr>
                  <w:bookmarkStart w:id="344" w:name="OLE_LINK30"/>
                  <w:r>
                    <w:rPr>
                      <w:bCs/>
                      <w:color w:val="auto"/>
                      <w:sz w:val="21"/>
                      <w:szCs w:val="21"/>
                    </w:rPr>
                    <w:t>喷淋废水（含沉渣）</w:t>
                  </w:r>
                  <w:bookmarkEnd w:id="344"/>
                </w:p>
              </w:tc>
              <w:tc>
                <w:tcPr>
                  <w:tcW w:w="661" w:type="pct"/>
                  <w:shd w:val="clear" w:color="auto" w:fill="auto"/>
                  <w:vAlign w:val="center"/>
                </w:tcPr>
                <w:p w14:paraId="3F761C51">
                  <w:pPr>
                    <w:topLinePunct/>
                    <w:adjustRightInd w:val="0"/>
                    <w:snapToGrid w:val="0"/>
                    <w:spacing w:line="240" w:lineRule="auto"/>
                    <w:ind w:firstLine="0" w:firstLineChars="0"/>
                    <w:jc w:val="center"/>
                    <w:rPr>
                      <w:bCs/>
                      <w:color w:val="auto"/>
                      <w:sz w:val="21"/>
                      <w:szCs w:val="21"/>
                    </w:rPr>
                  </w:pPr>
                  <w:r>
                    <w:rPr>
                      <w:color w:val="auto"/>
                      <w:sz w:val="21"/>
                      <w:szCs w:val="21"/>
                    </w:rPr>
                    <w:t>HW</w:t>
                  </w:r>
                  <w:r>
                    <w:rPr>
                      <w:rFonts w:hint="eastAsia"/>
                      <w:color w:val="auto"/>
                      <w:sz w:val="21"/>
                      <w:szCs w:val="21"/>
                    </w:rPr>
                    <w:t>0</w:t>
                  </w:r>
                  <w:r>
                    <w:rPr>
                      <w:color w:val="auto"/>
                      <w:sz w:val="21"/>
                      <w:szCs w:val="21"/>
                    </w:rPr>
                    <w:t>9</w:t>
                  </w:r>
                </w:p>
              </w:tc>
              <w:tc>
                <w:tcPr>
                  <w:tcW w:w="831" w:type="pct"/>
                  <w:shd w:val="clear" w:color="auto" w:fill="auto"/>
                  <w:vAlign w:val="center"/>
                </w:tcPr>
                <w:p w14:paraId="2A9BAB40">
                  <w:pPr>
                    <w:adjustRightInd w:val="0"/>
                    <w:snapToGrid w:val="0"/>
                    <w:spacing w:line="240" w:lineRule="auto"/>
                    <w:ind w:firstLine="0" w:firstLineChars="0"/>
                    <w:jc w:val="center"/>
                    <w:rPr>
                      <w:bCs/>
                      <w:color w:val="auto"/>
                      <w:sz w:val="21"/>
                      <w:szCs w:val="21"/>
                    </w:rPr>
                  </w:pPr>
                  <w:r>
                    <w:rPr>
                      <w:rFonts w:hint="eastAsia"/>
                      <w:bCs/>
                      <w:color w:val="auto"/>
                      <w:sz w:val="21"/>
                      <w:szCs w:val="21"/>
                    </w:rPr>
                    <w:t>900-007-09</w:t>
                  </w:r>
                </w:p>
              </w:tc>
              <w:tc>
                <w:tcPr>
                  <w:tcW w:w="298" w:type="pct"/>
                  <w:vMerge w:val="continue"/>
                  <w:vAlign w:val="center"/>
                </w:tcPr>
                <w:p w14:paraId="5D2F44D0">
                  <w:pPr>
                    <w:adjustRightInd w:val="0"/>
                    <w:snapToGrid w:val="0"/>
                    <w:spacing w:line="240" w:lineRule="auto"/>
                    <w:ind w:firstLine="0" w:firstLineChars="0"/>
                    <w:jc w:val="center"/>
                    <w:rPr>
                      <w:bCs/>
                      <w:color w:val="auto"/>
                      <w:sz w:val="21"/>
                      <w:szCs w:val="21"/>
                    </w:rPr>
                  </w:pPr>
                </w:p>
              </w:tc>
              <w:tc>
                <w:tcPr>
                  <w:tcW w:w="397" w:type="pct"/>
                  <w:vMerge w:val="continue"/>
                  <w:vAlign w:val="center"/>
                </w:tcPr>
                <w:p w14:paraId="3B907199">
                  <w:pPr>
                    <w:adjustRightInd w:val="0"/>
                    <w:snapToGrid w:val="0"/>
                    <w:spacing w:line="240" w:lineRule="auto"/>
                    <w:ind w:firstLine="0" w:firstLineChars="0"/>
                    <w:jc w:val="center"/>
                    <w:rPr>
                      <w:bCs/>
                      <w:color w:val="auto"/>
                      <w:sz w:val="21"/>
                      <w:szCs w:val="21"/>
                    </w:rPr>
                  </w:pPr>
                </w:p>
              </w:tc>
              <w:tc>
                <w:tcPr>
                  <w:tcW w:w="421" w:type="pct"/>
                  <w:vAlign w:val="center"/>
                </w:tcPr>
                <w:p w14:paraId="404FB69A">
                  <w:pPr>
                    <w:adjustRightInd w:val="0"/>
                    <w:snapToGrid w:val="0"/>
                    <w:spacing w:line="240" w:lineRule="auto"/>
                    <w:ind w:firstLine="0" w:firstLineChars="0"/>
                    <w:jc w:val="center"/>
                    <w:rPr>
                      <w:bCs/>
                      <w:color w:val="auto"/>
                      <w:sz w:val="21"/>
                      <w:szCs w:val="21"/>
                    </w:rPr>
                  </w:pPr>
                  <w:r>
                    <w:rPr>
                      <w:bCs/>
                      <w:color w:val="auto"/>
                      <w:sz w:val="21"/>
                      <w:szCs w:val="21"/>
                    </w:rPr>
                    <w:t>桶装</w:t>
                  </w:r>
                </w:p>
              </w:tc>
              <w:tc>
                <w:tcPr>
                  <w:tcW w:w="414" w:type="pct"/>
                  <w:vMerge w:val="continue"/>
                  <w:vAlign w:val="center"/>
                </w:tcPr>
                <w:p w14:paraId="1F0EA531">
                  <w:pPr>
                    <w:adjustRightInd w:val="0"/>
                    <w:snapToGrid w:val="0"/>
                    <w:spacing w:line="240" w:lineRule="auto"/>
                    <w:ind w:firstLine="0" w:firstLineChars="0"/>
                    <w:jc w:val="center"/>
                    <w:rPr>
                      <w:bCs/>
                      <w:sz w:val="21"/>
                      <w:szCs w:val="21"/>
                    </w:rPr>
                  </w:pPr>
                </w:p>
              </w:tc>
              <w:tc>
                <w:tcPr>
                  <w:tcW w:w="384" w:type="pct"/>
                  <w:vMerge w:val="continue"/>
                  <w:vAlign w:val="center"/>
                </w:tcPr>
                <w:p w14:paraId="3585880D">
                  <w:pPr>
                    <w:adjustRightInd w:val="0"/>
                    <w:snapToGrid w:val="0"/>
                    <w:spacing w:line="240" w:lineRule="auto"/>
                    <w:ind w:firstLine="0" w:firstLineChars="0"/>
                    <w:jc w:val="center"/>
                    <w:rPr>
                      <w:bCs/>
                      <w:sz w:val="21"/>
                      <w:szCs w:val="21"/>
                    </w:rPr>
                  </w:pPr>
                </w:p>
              </w:tc>
            </w:tr>
            <w:tr w14:paraId="03C893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247" w:type="pct"/>
                  <w:vAlign w:val="center"/>
                </w:tcPr>
                <w:p w14:paraId="7598D731">
                  <w:pPr>
                    <w:adjustRightInd w:val="0"/>
                    <w:snapToGrid w:val="0"/>
                    <w:spacing w:line="240" w:lineRule="auto"/>
                    <w:ind w:firstLine="0" w:firstLineChars="0"/>
                    <w:jc w:val="center"/>
                    <w:rPr>
                      <w:bCs/>
                      <w:sz w:val="21"/>
                      <w:szCs w:val="21"/>
                    </w:rPr>
                  </w:pPr>
                  <w:r>
                    <w:rPr>
                      <w:rFonts w:hint="eastAsia"/>
                      <w:bCs/>
                      <w:sz w:val="21"/>
                      <w:szCs w:val="21"/>
                    </w:rPr>
                    <w:t>5</w:t>
                  </w:r>
                </w:p>
              </w:tc>
              <w:tc>
                <w:tcPr>
                  <w:tcW w:w="609" w:type="pct"/>
                  <w:vMerge w:val="continue"/>
                  <w:vAlign w:val="center"/>
                </w:tcPr>
                <w:p w14:paraId="518B8742">
                  <w:pPr>
                    <w:adjustRightInd w:val="0"/>
                    <w:snapToGrid w:val="0"/>
                    <w:spacing w:line="240" w:lineRule="auto"/>
                    <w:ind w:firstLine="0" w:firstLineChars="0"/>
                    <w:jc w:val="center"/>
                    <w:rPr>
                      <w:bCs/>
                      <w:sz w:val="21"/>
                      <w:szCs w:val="21"/>
                    </w:rPr>
                  </w:pPr>
                </w:p>
              </w:tc>
              <w:tc>
                <w:tcPr>
                  <w:tcW w:w="735" w:type="pct"/>
                  <w:vAlign w:val="center"/>
                </w:tcPr>
                <w:p w14:paraId="18DE0CDD">
                  <w:pPr>
                    <w:adjustRightInd w:val="0"/>
                    <w:snapToGrid w:val="0"/>
                    <w:spacing w:line="240" w:lineRule="auto"/>
                    <w:ind w:firstLine="0" w:firstLineChars="0"/>
                    <w:jc w:val="center"/>
                    <w:rPr>
                      <w:bCs/>
                      <w:color w:val="auto"/>
                      <w:sz w:val="21"/>
                      <w:szCs w:val="21"/>
                    </w:rPr>
                  </w:pPr>
                  <w:r>
                    <w:rPr>
                      <w:rFonts w:hint="eastAsia"/>
                      <w:bCs/>
                      <w:color w:val="auto"/>
                      <w:sz w:val="21"/>
                      <w:szCs w:val="21"/>
                    </w:rPr>
                    <w:t>废过滤棉</w:t>
                  </w:r>
                </w:p>
              </w:tc>
              <w:tc>
                <w:tcPr>
                  <w:tcW w:w="661" w:type="pct"/>
                  <w:shd w:val="clear" w:color="auto" w:fill="auto"/>
                  <w:vAlign w:val="center"/>
                </w:tcPr>
                <w:p w14:paraId="213466A2">
                  <w:pPr>
                    <w:topLinePunct/>
                    <w:adjustRightInd w:val="0"/>
                    <w:snapToGrid w:val="0"/>
                    <w:spacing w:line="240" w:lineRule="auto"/>
                    <w:ind w:firstLine="0" w:firstLineChars="0"/>
                    <w:jc w:val="center"/>
                    <w:rPr>
                      <w:bCs/>
                      <w:color w:val="auto"/>
                      <w:sz w:val="21"/>
                      <w:szCs w:val="21"/>
                    </w:rPr>
                  </w:pPr>
                  <w:r>
                    <w:rPr>
                      <w:color w:val="auto"/>
                      <w:sz w:val="21"/>
                      <w:szCs w:val="21"/>
                    </w:rPr>
                    <w:t>HW</w:t>
                  </w:r>
                  <w:r>
                    <w:rPr>
                      <w:rFonts w:hint="eastAsia"/>
                      <w:color w:val="auto"/>
                      <w:sz w:val="21"/>
                      <w:szCs w:val="21"/>
                    </w:rPr>
                    <w:t>49</w:t>
                  </w:r>
                </w:p>
              </w:tc>
              <w:tc>
                <w:tcPr>
                  <w:tcW w:w="831" w:type="pct"/>
                  <w:shd w:val="clear" w:color="auto" w:fill="auto"/>
                  <w:vAlign w:val="center"/>
                </w:tcPr>
                <w:p w14:paraId="607CD96C">
                  <w:pPr>
                    <w:adjustRightInd w:val="0"/>
                    <w:snapToGrid w:val="0"/>
                    <w:spacing w:line="240" w:lineRule="auto"/>
                    <w:ind w:firstLine="0" w:firstLineChars="0"/>
                    <w:jc w:val="center"/>
                    <w:rPr>
                      <w:bCs/>
                      <w:color w:val="auto"/>
                      <w:sz w:val="21"/>
                      <w:szCs w:val="21"/>
                    </w:rPr>
                  </w:pPr>
                  <w:r>
                    <w:rPr>
                      <w:rFonts w:hint="eastAsia"/>
                      <w:bCs/>
                      <w:color w:val="auto"/>
                      <w:sz w:val="21"/>
                      <w:szCs w:val="21"/>
                    </w:rPr>
                    <w:t>900-041-49</w:t>
                  </w:r>
                </w:p>
              </w:tc>
              <w:tc>
                <w:tcPr>
                  <w:tcW w:w="298" w:type="pct"/>
                  <w:vMerge w:val="continue"/>
                  <w:vAlign w:val="center"/>
                </w:tcPr>
                <w:p w14:paraId="76EC3D1C">
                  <w:pPr>
                    <w:adjustRightInd w:val="0"/>
                    <w:snapToGrid w:val="0"/>
                    <w:spacing w:line="240" w:lineRule="auto"/>
                    <w:ind w:firstLine="0" w:firstLineChars="0"/>
                    <w:jc w:val="center"/>
                    <w:rPr>
                      <w:bCs/>
                      <w:color w:val="auto"/>
                      <w:sz w:val="21"/>
                      <w:szCs w:val="21"/>
                    </w:rPr>
                  </w:pPr>
                </w:p>
              </w:tc>
              <w:tc>
                <w:tcPr>
                  <w:tcW w:w="397" w:type="pct"/>
                  <w:vMerge w:val="continue"/>
                  <w:vAlign w:val="center"/>
                </w:tcPr>
                <w:p w14:paraId="59065CB6">
                  <w:pPr>
                    <w:adjustRightInd w:val="0"/>
                    <w:snapToGrid w:val="0"/>
                    <w:spacing w:line="240" w:lineRule="auto"/>
                    <w:ind w:firstLine="0" w:firstLineChars="0"/>
                    <w:jc w:val="center"/>
                    <w:rPr>
                      <w:bCs/>
                      <w:color w:val="auto"/>
                      <w:sz w:val="21"/>
                      <w:szCs w:val="21"/>
                    </w:rPr>
                  </w:pPr>
                </w:p>
              </w:tc>
              <w:tc>
                <w:tcPr>
                  <w:tcW w:w="421" w:type="pct"/>
                  <w:vAlign w:val="center"/>
                </w:tcPr>
                <w:p w14:paraId="42FD1B8E">
                  <w:pPr>
                    <w:adjustRightInd w:val="0"/>
                    <w:snapToGrid w:val="0"/>
                    <w:spacing w:line="240" w:lineRule="auto"/>
                    <w:ind w:firstLine="0" w:firstLineChars="0"/>
                    <w:jc w:val="center"/>
                    <w:rPr>
                      <w:bCs/>
                      <w:color w:val="auto"/>
                      <w:sz w:val="21"/>
                      <w:szCs w:val="21"/>
                    </w:rPr>
                  </w:pPr>
                  <w:r>
                    <w:rPr>
                      <w:rFonts w:hint="eastAsia"/>
                      <w:bCs/>
                      <w:color w:val="auto"/>
                      <w:sz w:val="21"/>
                      <w:szCs w:val="21"/>
                    </w:rPr>
                    <w:t>桶装</w:t>
                  </w:r>
                </w:p>
              </w:tc>
              <w:tc>
                <w:tcPr>
                  <w:tcW w:w="414" w:type="pct"/>
                  <w:vMerge w:val="continue"/>
                  <w:vAlign w:val="center"/>
                </w:tcPr>
                <w:p w14:paraId="6F53F47C">
                  <w:pPr>
                    <w:adjustRightInd w:val="0"/>
                    <w:snapToGrid w:val="0"/>
                    <w:spacing w:line="240" w:lineRule="auto"/>
                    <w:ind w:firstLine="0" w:firstLineChars="0"/>
                    <w:jc w:val="center"/>
                    <w:rPr>
                      <w:bCs/>
                      <w:sz w:val="21"/>
                      <w:szCs w:val="21"/>
                    </w:rPr>
                  </w:pPr>
                </w:p>
              </w:tc>
              <w:tc>
                <w:tcPr>
                  <w:tcW w:w="384" w:type="pct"/>
                  <w:vMerge w:val="continue"/>
                  <w:vAlign w:val="center"/>
                </w:tcPr>
                <w:p w14:paraId="3B2A2EC6">
                  <w:pPr>
                    <w:adjustRightInd w:val="0"/>
                    <w:snapToGrid w:val="0"/>
                    <w:spacing w:line="240" w:lineRule="auto"/>
                    <w:ind w:firstLine="0" w:firstLineChars="0"/>
                    <w:jc w:val="center"/>
                    <w:rPr>
                      <w:bCs/>
                      <w:sz w:val="21"/>
                      <w:szCs w:val="21"/>
                    </w:rPr>
                  </w:pPr>
                </w:p>
              </w:tc>
            </w:tr>
            <w:tr w14:paraId="6617C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247" w:type="pct"/>
                  <w:vAlign w:val="center"/>
                </w:tcPr>
                <w:p w14:paraId="35D13C85">
                  <w:pPr>
                    <w:adjustRightInd w:val="0"/>
                    <w:snapToGrid w:val="0"/>
                    <w:spacing w:line="240" w:lineRule="auto"/>
                    <w:ind w:firstLine="0" w:firstLineChars="0"/>
                    <w:jc w:val="center"/>
                    <w:rPr>
                      <w:bCs/>
                      <w:sz w:val="21"/>
                      <w:szCs w:val="21"/>
                    </w:rPr>
                  </w:pPr>
                  <w:r>
                    <w:rPr>
                      <w:rFonts w:hint="eastAsia"/>
                      <w:bCs/>
                      <w:sz w:val="21"/>
                      <w:szCs w:val="21"/>
                    </w:rPr>
                    <w:t>6</w:t>
                  </w:r>
                </w:p>
              </w:tc>
              <w:tc>
                <w:tcPr>
                  <w:tcW w:w="609" w:type="pct"/>
                  <w:vMerge w:val="continue"/>
                  <w:vAlign w:val="center"/>
                </w:tcPr>
                <w:p w14:paraId="43CC40ED">
                  <w:pPr>
                    <w:adjustRightInd w:val="0"/>
                    <w:snapToGrid w:val="0"/>
                    <w:spacing w:line="240" w:lineRule="auto"/>
                    <w:ind w:firstLine="0" w:firstLineChars="0"/>
                    <w:jc w:val="center"/>
                    <w:rPr>
                      <w:bCs/>
                      <w:sz w:val="21"/>
                      <w:szCs w:val="21"/>
                    </w:rPr>
                  </w:pPr>
                </w:p>
              </w:tc>
              <w:tc>
                <w:tcPr>
                  <w:tcW w:w="735" w:type="pct"/>
                  <w:vAlign w:val="center"/>
                </w:tcPr>
                <w:p w14:paraId="068EC91D">
                  <w:pPr>
                    <w:widowControl/>
                    <w:adjustRightInd w:val="0"/>
                    <w:snapToGrid w:val="0"/>
                    <w:spacing w:line="240" w:lineRule="auto"/>
                    <w:ind w:firstLine="0" w:firstLineChars="0"/>
                    <w:jc w:val="center"/>
                    <w:rPr>
                      <w:bCs/>
                      <w:color w:val="auto"/>
                      <w:sz w:val="21"/>
                      <w:szCs w:val="21"/>
                    </w:rPr>
                  </w:pPr>
                  <w:r>
                    <w:rPr>
                      <w:rFonts w:hint="eastAsia"/>
                      <w:bCs/>
                      <w:color w:val="auto"/>
                      <w:sz w:val="21"/>
                      <w:szCs w:val="21"/>
                    </w:rPr>
                    <w:t>废活性炭</w:t>
                  </w:r>
                </w:p>
              </w:tc>
              <w:tc>
                <w:tcPr>
                  <w:tcW w:w="661" w:type="pct"/>
                  <w:vAlign w:val="center"/>
                </w:tcPr>
                <w:p w14:paraId="50AF8F94">
                  <w:pPr>
                    <w:topLinePunct/>
                    <w:adjustRightInd w:val="0"/>
                    <w:snapToGrid w:val="0"/>
                    <w:spacing w:line="240" w:lineRule="auto"/>
                    <w:ind w:firstLine="0" w:firstLineChars="0"/>
                    <w:jc w:val="center"/>
                    <w:rPr>
                      <w:color w:val="auto"/>
                      <w:sz w:val="21"/>
                      <w:szCs w:val="21"/>
                    </w:rPr>
                  </w:pPr>
                  <w:r>
                    <w:rPr>
                      <w:rFonts w:hint="eastAsia"/>
                      <w:color w:val="auto"/>
                      <w:sz w:val="21"/>
                      <w:szCs w:val="21"/>
                    </w:rPr>
                    <w:t>HW49</w:t>
                  </w:r>
                </w:p>
              </w:tc>
              <w:tc>
                <w:tcPr>
                  <w:tcW w:w="831" w:type="pct"/>
                  <w:vAlign w:val="center"/>
                </w:tcPr>
                <w:p w14:paraId="2FA40D58">
                  <w:pPr>
                    <w:adjustRightInd w:val="0"/>
                    <w:snapToGrid w:val="0"/>
                    <w:spacing w:line="240" w:lineRule="auto"/>
                    <w:ind w:firstLine="0" w:firstLineChars="0"/>
                    <w:jc w:val="center"/>
                    <w:rPr>
                      <w:color w:val="auto"/>
                      <w:sz w:val="21"/>
                      <w:szCs w:val="21"/>
                    </w:rPr>
                  </w:pPr>
                  <w:r>
                    <w:rPr>
                      <w:rFonts w:hint="eastAsia"/>
                      <w:color w:val="auto"/>
                      <w:sz w:val="21"/>
                      <w:szCs w:val="21"/>
                    </w:rPr>
                    <w:t>900-039-49</w:t>
                  </w:r>
                </w:p>
              </w:tc>
              <w:tc>
                <w:tcPr>
                  <w:tcW w:w="298" w:type="pct"/>
                  <w:vMerge w:val="continue"/>
                  <w:vAlign w:val="center"/>
                </w:tcPr>
                <w:p w14:paraId="70CD7F32">
                  <w:pPr>
                    <w:adjustRightInd w:val="0"/>
                    <w:snapToGrid w:val="0"/>
                    <w:spacing w:line="240" w:lineRule="auto"/>
                    <w:ind w:firstLine="0" w:firstLineChars="0"/>
                    <w:jc w:val="center"/>
                    <w:rPr>
                      <w:bCs/>
                      <w:color w:val="auto"/>
                      <w:sz w:val="21"/>
                      <w:szCs w:val="21"/>
                    </w:rPr>
                  </w:pPr>
                </w:p>
              </w:tc>
              <w:tc>
                <w:tcPr>
                  <w:tcW w:w="397" w:type="pct"/>
                  <w:vMerge w:val="continue"/>
                  <w:vAlign w:val="center"/>
                </w:tcPr>
                <w:p w14:paraId="41A454DD">
                  <w:pPr>
                    <w:adjustRightInd w:val="0"/>
                    <w:snapToGrid w:val="0"/>
                    <w:spacing w:line="240" w:lineRule="auto"/>
                    <w:ind w:firstLine="0" w:firstLineChars="0"/>
                    <w:jc w:val="center"/>
                    <w:rPr>
                      <w:bCs/>
                      <w:color w:val="auto"/>
                      <w:sz w:val="21"/>
                      <w:szCs w:val="21"/>
                    </w:rPr>
                  </w:pPr>
                </w:p>
              </w:tc>
              <w:tc>
                <w:tcPr>
                  <w:tcW w:w="421" w:type="pct"/>
                  <w:vAlign w:val="center"/>
                </w:tcPr>
                <w:p w14:paraId="388B69DB">
                  <w:pPr>
                    <w:adjustRightInd w:val="0"/>
                    <w:snapToGrid w:val="0"/>
                    <w:ind w:firstLine="0" w:firstLineChars="0"/>
                    <w:jc w:val="center"/>
                    <w:rPr>
                      <w:bCs/>
                      <w:color w:val="auto"/>
                      <w:sz w:val="21"/>
                      <w:szCs w:val="21"/>
                    </w:rPr>
                  </w:pPr>
                  <w:r>
                    <w:rPr>
                      <w:rFonts w:hint="eastAsia"/>
                      <w:bCs/>
                      <w:color w:val="auto"/>
                      <w:sz w:val="21"/>
                      <w:szCs w:val="21"/>
                    </w:rPr>
                    <w:t>袋装</w:t>
                  </w:r>
                </w:p>
              </w:tc>
              <w:tc>
                <w:tcPr>
                  <w:tcW w:w="414" w:type="pct"/>
                  <w:vMerge w:val="continue"/>
                  <w:vAlign w:val="center"/>
                </w:tcPr>
                <w:p w14:paraId="2C6F82CD">
                  <w:pPr>
                    <w:adjustRightInd w:val="0"/>
                    <w:snapToGrid w:val="0"/>
                    <w:spacing w:line="240" w:lineRule="auto"/>
                    <w:ind w:firstLine="0" w:firstLineChars="0"/>
                    <w:jc w:val="center"/>
                    <w:rPr>
                      <w:bCs/>
                      <w:sz w:val="21"/>
                      <w:szCs w:val="21"/>
                    </w:rPr>
                  </w:pPr>
                </w:p>
              </w:tc>
              <w:tc>
                <w:tcPr>
                  <w:tcW w:w="384" w:type="pct"/>
                  <w:vMerge w:val="continue"/>
                  <w:vAlign w:val="center"/>
                </w:tcPr>
                <w:p w14:paraId="6C244074">
                  <w:pPr>
                    <w:adjustRightInd w:val="0"/>
                    <w:snapToGrid w:val="0"/>
                    <w:spacing w:line="240" w:lineRule="auto"/>
                    <w:ind w:firstLine="0" w:firstLineChars="0"/>
                    <w:jc w:val="center"/>
                    <w:rPr>
                      <w:bCs/>
                      <w:sz w:val="21"/>
                      <w:szCs w:val="21"/>
                    </w:rPr>
                  </w:pPr>
                </w:p>
              </w:tc>
            </w:tr>
          </w:tbl>
          <w:p w14:paraId="7585235F">
            <w:pPr>
              <w:widowControl/>
              <w:ind w:firstLine="482"/>
              <w:rPr>
                <w:b/>
              </w:rPr>
            </w:pPr>
            <w:r>
              <w:rPr>
                <w:rFonts w:hint="eastAsia"/>
                <w:b/>
              </w:rPr>
              <w:t>2、</w:t>
            </w:r>
            <w:r>
              <w:rPr>
                <w:b/>
              </w:rPr>
              <w:t>固体废物环境管理要求</w:t>
            </w:r>
          </w:p>
          <w:p w14:paraId="29242678">
            <w:pPr>
              <w:ind w:firstLine="482"/>
              <w:jc w:val="both"/>
            </w:pPr>
            <w:r>
              <w:rPr>
                <w:rFonts w:hint="eastAsia"/>
                <w:b/>
                <w:bCs/>
              </w:rPr>
              <w:t>生活垃圾：</w:t>
            </w:r>
            <w:r>
              <w:rPr>
                <w:rFonts w:hint="eastAsia"/>
              </w:rPr>
              <w:t>本项目员工生活垃圾分类收集后由环卫部门统一清运处理，并对垃圾堆放点进行消毒，消灭害虫，避免散发恶臭，孳生蚊蝇，以免影响附近环境。</w:t>
            </w:r>
          </w:p>
          <w:p w14:paraId="54CAA2AF">
            <w:pPr>
              <w:ind w:firstLine="482"/>
              <w:jc w:val="both"/>
              <w:rPr>
                <w:rFonts w:ascii="宋体" w:hAnsi="宋体" w:cs="宋体"/>
                <w:snapToGrid w:val="0"/>
                <w:color w:val="000000"/>
                <w:kern w:val="0"/>
              </w:rPr>
            </w:pPr>
            <w:r>
              <w:rPr>
                <w:rFonts w:hint="eastAsia"/>
                <w:b/>
                <w:bCs/>
              </w:rPr>
              <w:t>一般工业固体废物：</w:t>
            </w:r>
            <w:r>
              <w:rPr>
                <w:rFonts w:hint="eastAsia"/>
              </w:rPr>
              <w:t>项目产生的一般工业固体废物在厂区内采用库房或包装工具贮存，贮存过程中应满足相应满足相应防渗漏、防雨淋、防扬尘等环境保护要求。</w:t>
            </w:r>
            <w:r>
              <w:rPr>
                <w:rFonts w:cs="宋体"/>
                <w:snapToGrid w:val="0"/>
                <w:color w:val="000000"/>
                <w:spacing w:val="-2"/>
                <w:kern w:val="0"/>
              </w:rPr>
              <w:t>必须符合国家环境保护标准，并对未处理的固体废物做出妥善处理，安全存放。</w:t>
            </w:r>
            <w:r>
              <w:rPr>
                <w:rFonts w:hint="eastAsia" w:cs="宋体"/>
                <w:snapToGrid w:val="0"/>
                <w:color w:val="000000"/>
                <w:spacing w:val="-2"/>
                <w:kern w:val="0"/>
              </w:rPr>
              <w:t>同时应</w:t>
            </w:r>
            <w:r>
              <w:rPr>
                <w:rFonts w:cs="宋体"/>
                <w:snapToGrid w:val="0"/>
                <w:color w:val="000000"/>
                <w:spacing w:val="-2"/>
                <w:kern w:val="0"/>
              </w:rPr>
              <w:t>按国家环境保护的技术和管理要求，有专</w:t>
            </w:r>
            <w:r>
              <w:rPr>
                <w:rFonts w:cs="宋体"/>
                <w:snapToGrid w:val="0"/>
                <w:color w:val="000000"/>
                <w:kern w:val="0"/>
              </w:rPr>
              <w:t>人看管，建立便于核查的进、出物料的台账记</w:t>
            </w:r>
            <w:r>
              <w:rPr>
                <w:rFonts w:cs="宋体"/>
                <w:snapToGrid w:val="0"/>
                <w:color w:val="000000"/>
                <w:spacing w:val="-1"/>
                <w:kern w:val="0"/>
              </w:rPr>
              <w:t>录和固体废物明细表。</w:t>
            </w:r>
          </w:p>
          <w:p w14:paraId="66D4D333">
            <w:pPr>
              <w:ind w:firstLine="480"/>
              <w:jc w:val="both"/>
              <w:rPr>
                <w:spacing w:val="2"/>
              </w:rPr>
            </w:pPr>
            <w:r>
              <w:t>企业需自觉履行固体废物申报登记制度。一般工业固体申报管理应认真落实《中华人民共和国固体废物污染环境防治法》（2020年4月29日修订）的相关规定，其中第三十六条规定</w:t>
            </w:r>
            <w:r>
              <w:rPr>
                <w:rFonts w:hint="eastAsia"/>
              </w:rPr>
              <w:t>：</w:t>
            </w:r>
            <w:r>
              <w:t>产生工业固体废物的单位应当建立健全工业固体废物产生、收集、贮存、运输、利用、处置全过程的污染环境防治责任制度，建立工业固体废物管理台账，如实记录产生工业固体废物的种类、数量、流向、贮存、利用、处置等信息，实现工业固体废物可追溯、可查询，并采取防治工业固体废物污染环境的措施。禁止向生活垃圾收集设施中投放工业固体废物。第三十七条规定：产生工业固体废物的单位委托他人运输、利用、处置工业固体废物的，应当对受托方的主体资格和技术能力进行核实，依法签订书面合同，在合同中约定污染防治要求。受托方运输、利用、处置工业固体废物，应当依照有关法律法规的规定和合同约定履行污染防治要求，并将运输、利用、处置情况告知产生工业固体废物的单位。产生工业固体废物的单位违反本条第一款规定的，除依照有关法律法规的规定予以处罚外，还应当与造成环境污染和生态破坏的受托方承担连带责任。</w:t>
            </w:r>
          </w:p>
          <w:p w14:paraId="64D4FF37">
            <w:pPr>
              <w:ind w:firstLine="482"/>
              <w:jc w:val="both"/>
            </w:pPr>
            <w:r>
              <w:rPr>
                <w:rFonts w:hint="eastAsia"/>
                <w:b/>
                <w:bCs/>
              </w:rPr>
              <w:t>危险废物：</w:t>
            </w:r>
            <w:r>
              <w:rPr>
                <w:rFonts w:hint="eastAsia"/>
              </w:rPr>
              <w:t>项目危险废物统一分类收集，暂存于厂区内的危废暂存间，定期交由有危险废物处理资质的单位外运处理。危险废物</w:t>
            </w:r>
            <w:r>
              <w:t>贮存条件应满足《危险废物贮存污染控制标准》（GB18597</w:t>
            </w:r>
            <w:r>
              <w:rPr>
                <w:rFonts w:hint="eastAsia"/>
              </w:rPr>
              <w:t>-</w:t>
            </w:r>
            <w:r>
              <w:t>2023）的规定。危险废物交接应认真执行《危险废物转移联单管理办法》和《危险废物转移联单制度》，明确危险废物的数量、性质及组分等。项目危险废物</w:t>
            </w:r>
            <w:r>
              <w:rPr>
                <w:rFonts w:hint="eastAsia"/>
              </w:rPr>
              <w:t>管理要求如下：</w:t>
            </w:r>
          </w:p>
          <w:p w14:paraId="4CC01C03">
            <w:pPr>
              <w:ind w:firstLine="480"/>
              <w:jc w:val="both"/>
            </w:pPr>
            <w:r>
              <w:t>①</w:t>
            </w:r>
            <w:r>
              <w:rPr>
                <w:rFonts w:hint="eastAsia"/>
              </w:rPr>
              <w:t>危废暂存间必须有防风、防雨、防晒、防渗漏等措施，危险废物贮存场所的地面与裙脚要用坚固、防渗的材料建造，建筑材料必须与危险废物相容，选用耐腐蚀的硬化地面，且表面无裂隙，液体危险废物应当设置防泄漏收集容器。</w:t>
            </w:r>
          </w:p>
          <w:p w14:paraId="4A5A8153">
            <w:pPr>
              <w:ind w:firstLine="480"/>
              <w:jc w:val="both"/>
              <w:rPr>
                <w:spacing w:val="9"/>
              </w:rPr>
            </w:pPr>
            <w:r>
              <w:t>②</w:t>
            </w:r>
            <w:r>
              <w:rPr>
                <w:spacing w:val="10"/>
              </w:rPr>
              <w:t>贮存危险废物应根据危险废物的类别、形态、物理化学性质和污染防治要求进</w:t>
            </w:r>
            <w:r>
              <w:rPr>
                <w:spacing w:val="9"/>
              </w:rPr>
              <w:t>行分类贮存，且应避免危险废物与不相容的物质或材料接触。</w:t>
            </w:r>
          </w:p>
          <w:p w14:paraId="2A16352E">
            <w:pPr>
              <w:ind w:firstLine="480"/>
              <w:jc w:val="both"/>
            </w:pPr>
            <w:r>
              <w:t>③盛装危险废物的容器和包装物以及收集、贮存、运输、利用、处置危险废物的设施、场所</w:t>
            </w:r>
            <w:r>
              <w:rPr>
                <w:rFonts w:hint="eastAsia"/>
              </w:rPr>
              <w:t>应按《危险废物识别标志设置技术规范》（HJ1276-2022）的要求</w:t>
            </w:r>
            <w:r>
              <w:t>设置危险废物识别标志。</w:t>
            </w:r>
          </w:p>
          <w:p w14:paraId="1A9C356F">
            <w:pPr>
              <w:ind w:firstLine="480"/>
              <w:jc w:val="both"/>
            </w:pPr>
            <w:r>
              <w:t>④建立危险废物管理计划。危险废物管理计划包括减少危险废物产生量和危害性的措施，以及危险废物贮存、利用、处置措施。报所在地县级以上地方人民政府环境保护行政主管部门备案。危险废物管理计划内容有重大改变的，应当及时申报。</w:t>
            </w:r>
          </w:p>
          <w:p w14:paraId="5FF8C71E">
            <w:pPr>
              <w:ind w:firstLine="480"/>
              <w:jc w:val="both"/>
            </w:pPr>
            <w:r>
              <w:t>⑤</w:t>
            </w:r>
            <w:r>
              <w:rPr>
                <w:rFonts w:hint="eastAsia"/>
              </w:rPr>
              <w:t>按照《危险废物转移管理办法》有关规定，转移危险废物的，应当执行危险废物转移联单制度，并应当通过国家危险废物信息管理系统填写、运行危险废物电子转移联单，并依照国家有关规定公开危险废物转移相关污染环境防治信息。</w:t>
            </w:r>
          </w:p>
          <w:p w14:paraId="2FBB5B89">
            <w:pPr>
              <w:ind w:firstLine="480"/>
              <w:jc w:val="both"/>
            </w:pPr>
            <w:r>
              <w:t>⑥</w:t>
            </w:r>
            <w:r>
              <w:rPr>
                <w:rFonts w:hint="eastAsia"/>
              </w:rPr>
              <w:t>建立和完善</w:t>
            </w:r>
            <w:r>
              <w:t>意外事故的防范措施和应急预案，向所在地县级以上地方人民政府环境保护行政主管部门备案，并且按照预案要求每年组织应急演练。</w:t>
            </w:r>
          </w:p>
          <w:p w14:paraId="3EEBAAC6">
            <w:pPr>
              <w:ind w:firstLine="480"/>
              <w:jc w:val="both"/>
            </w:pPr>
            <w:r>
              <w:t>⑦建立危险废物贮存台账，并如实记</w:t>
            </w:r>
            <w:r>
              <w:rPr>
                <w:rFonts w:hint="eastAsia"/>
              </w:rPr>
              <w:t>产生危险废物的种类、数量、利用、贮存、处置、流向等信息。</w:t>
            </w:r>
          </w:p>
          <w:p w14:paraId="6F6B1D8D">
            <w:pPr>
              <w:ind w:firstLine="482"/>
              <w:jc w:val="both"/>
              <w:rPr>
                <w:b/>
              </w:rPr>
            </w:pPr>
            <w:r>
              <w:rPr>
                <w:rFonts w:hint="eastAsia"/>
                <w:b/>
              </w:rPr>
              <w:t>3</w:t>
            </w:r>
            <w:r>
              <w:rPr>
                <w:b/>
              </w:rPr>
              <w:t>、固体废物环境影响评价结论</w:t>
            </w:r>
          </w:p>
          <w:p w14:paraId="700601C8">
            <w:pPr>
              <w:ind w:firstLine="480"/>
              <w:jc w:val="both"/>
            </w:pPr>
            <w:r>
              <w:rPr>
                <w:rFonts w:hint="eastAsia"/>
              </w:rPr>
              <w:t>本项目生产过程中固体废物主要为危险废物、一般工业固体废物、生活垃圾。本项目生产过程中产生的危险废物经收集后交由有危险废物处理资质单位处置；一般工业固体废物交由专业单位回收处理，生活垃圾及时交予环卫部门集中处理。本项目若能有效落实以上措施，产生的固废均能得到妥善处置，对周围环境影响较小。</w:t>
            </w:r>
          </w:p>
          <w:p w14:paraId="64273CB6">
            <w:pPr>
              <w:adjustRightInd w:val="0"/>
              <w:snapToGrid w:val="0"/>
              <w:ind w:firstLine="482"/>
              <w:rPr>
                <w:b/>
              </w:rPr>
            </w:pPr>
            <w:r>
              <w:rPr>
                <w:rFonts w:hint="eastAsia"/>
                <w:b/>
              </w:rPr>
              <w:t>五</w:t>
            </w:r>
            <w:r>
              <w:rPr>
                <w:b/>
              </w:rPr>
              <w:t>、土壤、地下水影响分析</w:t>
            </w:r>
            <w:r>
              <w:rPr>
                <w:rFonts w:hint="eastAsia" w:hAnsi="Courier New" w:cs="宋体"/>
                <w:b/>
                <w:bCs/>
              </w:rPr>
              <w:t>和保护措施</w:t>
            </w:r>
          </w:p>
          <w:p w14:paraId="460DDC9D">
            <w:pPr>
              <w:widowControl/>
              <w:ind w:firstLine="482"/>
              <w:rPr>
                <w:b/>
              </w:rPr>
            </w:pPr>
            <w:r>
              <w:rPr>
                <w:rFonts w:hint="eastAsia"/>
                <w:b/>
              </w:rPr>
              <w:t>1、</w:t>
            </w:r>
            <w:r>
              <w:rPr>
                <w:b/>
              </w:rPr>
              <w:t>潜在污染源</w:t>
            </w:r>
          </w:p>
          <w:p w14:paraId="74ED60D2">
            <w:pPr>
              <w:widowControl/>
              <w:ind w:firstLine="480"/>
              <w:jc w:val="both"/>
            </w:pPr>
            <w:r>
              <w:rPr>
                <w:rFonts w:hint="eastAsia"/>
              </w:rPr>
              <w:t>项目无生产废水排放，间接/直接冷却水循环使用不外排，定期补充，直接冷却水经废水处理设施处理后回用于冷却工序，不外排，项目应做好废水处理设施的防渗、防漏措施，防止生产废水渗漏影响土壤及地下水；</w:t>
            </w:r>
            <w:r>
              <w:t>项目生活污水经</w:t>
            </w:r>
            <w:r>
              <w:rPr>
                <w:rFonts w:hint="eastAsia"/>
              </w:rPr>
              <w:t>三级</w:t>
            </w:r>
            <w:r>
              <w:t>化粪池</w:t>
            </w:r>
            <w:r>
              <w:rPr>
                <w:rFonts w:hint="eastAsia"/>
              </w:rPr>
              <w:t>预</w:t>
            </w:r>
            <w:r>
              <w:t>处理</w:t>
            </w:r>
            <w:r>
              <w:rPr>
                <w:rFonts w:hint="eastAsia"/>
              </w:rPr>
              <w:t>后经</w:t>
            </w:r>
            <w:r>
              <w:rPr>
                <w:rFonts w:hint="eastAsia"/>
                <w:spacing w:val="-2"/>
              </w:rPr>
              <w:t>污水</w:t>
            </w:r>
            <w:r>
              <w:rPr>
                <w:spacing w:val="-2"/>
              </w:rPr>
              <w:t>管网</w:t>
            </w:r>
            <w:r>
              <w:rPr>
                <w:rFonts w:hint="eastAsia"/>
                <w:spacing w:val="-2"/>
              </w:rPr>
              <w:t>排入园洲镇第五污水处理厂</w:t>
            </w:r>
            <w:r>
              <w:rPr>
                <w:spacing w:val="-2"/>
              </w:rPr>
              <w:t>，项目厂区内</w:t>
            </w:r>
            <w:r>
              <w:rPr>
                <w:spacing w:val="-3"/>
              </w:rPr>
              <w:t>的生</w:t>
            </w:r>
            <w:r>
              <w:rPr>
                <w:spacing w:val="-2"/>
              </w:rPr>
              <w:t>活污水管网和三级化粪池均已经做好</w:t>
            </w:r>
            <w:r>
              <w:rPr>
                <w:rFonts w:hint="eastAsia"/>
                <w:spacing w:val="-2"/>
              </w:rPr>
              <w:t>防渗</w:t>
            </w:r>
            <w:r>
              <w:rPr>
                <w:spacing w:val="-2"/>
              </w:rPr>
              <w:t>措施，可有效防止污水下渗到土壤和地下水；</w:t>
            </w:r>
            <w:r>
              <w:rPr>
                <w:rFonts w:hint="eastAsia"/>
                <w:spacing w:val="-2"/>
              </w:rPr>
              <w:t>项目生产车间内做好硬底化、防渗措施</w:t>
            </w:r>
            <w:r>
              <w:t>，不会因发生垂直下渗而影响到土壤和地下水</w:t>
            </w:r>
            <w:r>
              <w:rPr>
                <w:rFonts w:hint="eastAsia"/>
              </w:rPr>
              <w:t>；</w:t>
            </w:r>
            <w:r>
              <w:t>项目产生的废气经</w:t>
            </w:r>
            <w:r>
              <w:rPr>
                <w:rFonts w:hint="eastAsia"/>
              </w:rPr>
              <w:t>废气处理设施</w:t>
            </w:r>
            <w:r>
              <w:t>处理后</w:t>
            </w:r>
            <w:r>
              <w:rPr>
                <w:rFonts w:hint="eastAsia"/>
              </w:rPr>
              <w:t>达标</w:t>
            </w:r>
            <w:r>
              <w:t>排放，且不属于重金属等有毒有害物质，对土壤和地下水影响不大；本项目</w:t>
            </w:r>
            <w:bookmarkStart w:id="345" w:name="OLE_LINK9"/>
            <w:r>
              <w:t>一般固废</w:t>
            </w:r>
            <w:r>
              <w:rPr>
                <w:rFonts w:hint="eastAsia"/>
              </w:rPr>
              <w:t>仓</w:t>
            </w:r>
            <w:r>
              <w:t>和</w:t>
            </w:r>
            <w:bookmarkEnd w:id="345"/>
            <w:r>
              <w:t>危废暂存区均做好防风挡雨、防渗漏等措施，因此可防止泄漏物料下渗到土壤和地下水</w:t>
            </w:r>
            <w:r>
              <w:rPr>
                <w:rFonts w:hint="eastAsia"/>
              </w:rPr>
              <w:t>。</w:t>
            </w:r>
          </w:p>
          <w:p w14:paraId="2E72FB42">
            <w:pPr>
              <w:ind w:firstLine="482"/>
              <w:rPr>
                <w:b/>
              </w:rPr>
            </w:pPr>
            <w:r>
              <w:rPr>
                <w:rFonts w:hint="eastAsia"/>
                <w:b/>
              </w:rPr>
              <w:t>2</w:t>
            </w:r>
            <w:r>
              <w:rPr>
                <w:b/>
              </w:rPr>
              <w:t>、项目土壤、地下水分区防</w:t>
            </w:r>
            <w:r>
              <w:rPr>
                <w:rFonts w:hint="eastAsia"/>
                <w:b/>
              </w:rPr>
              <w:t>护</w:t>
            </w:r>
            <w:r>
              <w:rPr>
                <w:b/>
              </w:rPr>
              <w:t>措施</w:t>
            </w:r>
          </w:p>
          <w:p w14:paraId="59E0039B">
            <w:pPr>
              <w:widowControl/>
              <w:ind w:firstLine="480"/>
              <w:jc w:val="both"/>
            </w:pPr>
            <w:r>
              <w:rPr>
                <w:rFonts w:hint="eastAsia"/>
              </w:rPr>
              <w:t>项目对地下水和土壤产生污染的途径主要为渗透污染。按照分区防渗的原则，将项目区域分为重点防渗区、一般防渗区和简单防渗区，针对不同的区域采取不同的防渗措施。</w:t>
            </w:r>
          </w:p>
          <w:p w14:paraId="2680F711">
            <w:pPr>
              <w:ind w:firstLine="480"/>
              <w:jc w:val="both"/>
            </w:pPr>
            <w:r>
              <w:rPr>
                <w:rFonts w:hint="eastAsia"/>
              </w:rPr>
              <w:t>（1）重点防渗区防渗措施</w:t>
            </w:r>
          </w:p>
          <w:p w14:paraId="05553117">
            <w:pPr>
              <w:ind w:firstLine="480"/>
              <w:jc w:val="both"/>
            </w:pPr>
            <w:r>
              <w:rPr>
                <w:rFonts w:hint="eastAsia"/>
              </w:rPr>
              <w:t>重点防渗区域主要为危废暂存区、废水处理设施，要求有耐腐蚀的硬化地面，且表面无裂隙，地面做好防腐、防渗措施，基础设施的防渗层至少为1m 厚粘土层（渗透系数≤10</w:t>
            </w:r>
            <w:r>
              <w:rPr>
                <w:rFonts w:hint="eastAsia"/>
                <w:vertAlign w:val="superscript"/>
              </w:rPr>
              <w:t>-7</w:t>
            </w:r>
            <w:r>
              <w:rPr>
                <w:rFonts w:hint="eastAsia"/>
              </w:rPr>
              <w:t>cm/s），或2mm厚高密度聚乙烯或至少2mm厚的其它人工材料（渗透系数≤10-</w:t>
            </w:r>
            <w:r>
              <w:rPr>
                <w:rFonts w:hint="eastAsia"/>
                <w:vertAlign w:val="superscript"/>
              </w:rPr>
              <w:t>10</w:t>
            </w:r>
            <w:r>
              <w:rPr>
                <w:rFonts w:hint="eastAsia"/>
              </w:rPr>
              <w:t xml:space="preserve"> cm/s），且危废暂存间严格</w:t>
            </w:r>
            <w:r>
              <w:rPr>
                <w:rFonts w:hint="eastAsia"/>
                <w:color w:val="000000"/>
                <w:szCs w:val="20"/>
              </w:rPr>
              <w:t>按照《危险废物贮存污染控制标准》（GB18597-2023）的有关规范进行建设与维护。</w:t>
            </w:r>
          </w:p>
          <w:p w14:paraId="0C97F7AB">
            <w:pPr>
              <w:ind w:firstLine="480"/>
              <w:jc w:val="both"/>
            </w:pPr>
            <w:r>
              <w:rPr>
                <w:rFonts w:hint="eastAsia"/>
              </w:rPr>
              <w:t>（2）一般防渗区防渗措施</w:t>
            </w:r>
          </w:p>
          <w:p w14:paraId="7911A49F">
            <w:pPr>
              <w:ind w:firstLine="480"/>
              <w:jc w:val="both"/>
            </w:pPr>
            <w:r>
              <w:rPr>
                <w:rFonts w:hint="eastAsia"/>
              </w:rPr>
              <w:t>一般防渗区是指土壤和地下水污染风险低，污染物毒性较小的区域，包括生产车间、</w:t>
            </w:r>
            <w:r>
              <w:t>一般固废仓</w:t>
            </w:r>
            <w:r>
              <w:rPr>
                <w:rFonts w:hint="eastAsia"/>
              </w:rPr>
              <w:t>等，采用配筋混凝土加防渗剂的防渗地坪进行防渗，且</w:t>
            </w:r>
            <w:r>
              <w:t>一般固废仓</w:t>
            </w:r>
            <w:r>
              <w:rPr>
                <w:rFonts w:hint="eastAsia"/>
              </w:rPr>
              <w:t>应做好防风、防雨、防渗漏等措施。</w:t>
            </w:r>
          </w:p>
          <w:p w14:paraId="13FF7EE9">
            <w:pPr>
              <w:ind w:firstLine="480"/>
              <w:jc w:val="both"/>
            </w:pPr>
            <w:r>
              <w:rPr>
                <w:rFonts w:hint="eastAsia"/>
              </w:rPr>
              <w:t>（3）简单防渗区防渗措施</w:t>
            </w:r>
          </w:p>
          <w:p w14:paraId="1FF8C5EA">
            <w:pPr>
              <w:ind w:firstLine="480"/>
              <w:jc w:val="both"/>
            </w:pPr>
            <w:r>
              <w:rPr>
                <w:rFonts w:hint="eastAsia"/>
              </w:rPr>
              <w:t>简单防渗区指不会对土壤和地下水环境造成污染，或者污染风险较小且污染物易降解的区域，包括办公区、厂区道路等，采用水泥等防渗。</w:t>
            </w:r>
          </w:p>
          <w:p w14:paraId="344B87C7">
            <w:pPr>
              <w:kinsoku w:val="0"/>
              <w:autoSpaceDE w:val="0"/>
              <w:autoSpaceDN w:val="0"/>
              <w:ind w:firstLine="482"/>
              <w:jc w:val="both"/>
              <w:textAlignment w:val="baseline"/>
              <w:rPr>
                <w:rFonts w:ascii="Calibri" w:hAnsi="Calibri"/>
                <w:b/>
                <w:kern w:val="0"/>
              </w:rPr>
            </w:pPr>
            <w:r>
              <w:rPr>
                <w:rFonts w:hint="eastAsia" w:ascii="Calibri" w:hAnsi="Calibri"/>
                <w:b/>
                <w:kern w:val="0"/>
              </w:rPr>
              <w:t>3、土壤、地下水跟踪监测</w:t>
            </w:r>
          </w:p>
          <w:p w14:paraId="2B4523A6">
            <w:pPr>
              <w:ind w:firstLine="480"/>
              <w:jc w:val="both"/>
            </w:pPr>
            <w:r>
              <w:rPr>
                <w:rFonts w:hint="eastAsia"/>
                <w:kern w:val="0"/>
                <w:szCs w:val="22"/>
              </w:rPr>
              <w:t>项目通过采取各项分区</w:t>
            </w:r>
            <w:r>
              <w:rPr>
                <w:rFonts w:hint="eastAsia"/>
              </w:rPr>
              <w:t>防护</w:t>
            </w:r>
            <w:r>
              <w:rPr>
                <w:rFonts w:hint="eastAsia"/>
                <w:kern w:val="0"/>
                <w:szCs w:val="22"/>
              </w:rPr>
              <w:t>措施后，不存在土壤、地下水</w:t>
            </w:r>
            <w:r>
              <w:rPr>
                <w:kern w:val="0"/>
                <w:szCs w:val="22"/>
              </w:rPr>
              <w:t>污染</w:t>
            </w:r>
            <w:r>
              <w:rPr>
                <w:rFonts w:hint="eastAsia"/>
                <w:kern w:val="0"/>
                <w:szCs w:val="22"/>
              </w:rPr>
              <w:t>途径，对土壤、地下水环境影响不大，</w:t>
            </w:r>
            <w:r>
              <w:rPr>
                <w:rFonts w:hint="eastAsia"/>
                <w:color w:val="000000"/>
                <w:szCs w:val="20"/>
              </w:rPr>
              <w:t>因此项目无需</w:t>
            </w:r>
            <w:r>
              <w:t>开展</w:t>
            </w:r>
            <w:r>
              <w:rPr>
                <w:rFonts w:hint="eastAsia"/>
              </w:rPr>
              <w:t>土壤、地下水</w:t>
            </w:r>
            <w:r>
              <w:t>跟踪监测。</w:t>
            </w:r>
          </w:p>
          <w:p w14:paraId="05933E05">
            <w:pPr>
              <w:widowControl/>
              <w:ind w:firstLine="482"/>
              <w:rPr>
                <w:b/>
              </w:rPr>
            </w:pPr>
            <w:r>
              <w:rPr>
                <w:rFonts w:hint="eastAsia"/>
                <w:b/>
              </w:rPr>
              <w:t>六</w:t>
            </w:r>
            <w:r>
              <w:rPr>
                <w:b/>
              </w:rPr>
              <w:t>、生态</w:t>
            </w:r>
            <w:r>
              <w:rPr>
                <w:rFonts w:hint="eastAsia" w:hAnsi="Courier New" w:cs="宋体"/>
                <w:b/>
                <w:bCs/>
              </w:rPr>
              <w:t>环境影响分析和保护措施</w:t>
            </w:r>
          </w:p>
          <w:p w14:paraId="4D1200E4">
            <w:pPr>
              <w:ind w:firstLine="480"/>
              <w:jc w:val="both"/>
              <w:rPr>
                <w:rFonts w:ascii="方正仿宋_GBK" w:hAnsi="方正仿宋_GBK" w:cs="宋体"/>
              </w:rPr>
            </w:pPr>
            <w:r>
              <w:rPr>
                <w:rFonts w:ascii="方正仿宋_GBK" w:hAnsi="方正仿宋_GBK" w:cs="宋体"/>
              </w:rPr>
              <w:t>项目</w:t>
            </w:r>
            <w:r>
              <w:rPr>
                <w:rFonts w:hint="eastAsia" w:ascii="方正仿宋_GBK" w:hAnsi="方正仿宋_GBK" w:cs="宋体"/>
              </w:rPr>
              <w:t>租用</w:t>
            </w:r>
            <w:r>
              <w:rPr>
                <w:rFonts w:ascii="方正仿宋_GBK" w:hAnsi="方正仿宋_GBK" w:cs="宋体"/>
              </w:rPr>
              <w:t>已建成的工业厂房，</w:t>
            </w:r>
            <w:r>
              <w:rPr>
                <w:rFonts w:hint="eastAsia" w:ascii="方正仿宋_GBK" w:hAnsi="方正仿宋_GBK" w:cs="宋体"/>
              </w:rPr>
              <w:t>不涉及新增用地，</w:t>
            </w:r>
            <w:r>
              <w:rPr>
                <w:rFonts w:ascii="方正仿宋_GBK" w:hAnsi="方正仿宋_GBK" w:cs="宋体"/>
              </w:rPr>
              <w:t>故不会对项目所在地生态环境造成影响。</w:t>
            </w:r>
          </w:p>
          <w:p w14:paraId="226CBCCC">
            <w:pPr>
              <w:ind w:firstLine="482"/>
              <w:jc w:val="both"/>
              <w:rPr>
                <w:rFonts w:ascii="方正仿宋_GBK" w:hAnsi="方正仿宋_GBK" w:cs="宋体"/>
                <w:b/>
              </w:rPr>
            </w:pPr>
            <w:r>
              <w:rPr>
                <w:rFonts w:hint="eastAsia" w:ascii="方正仿宋_GBK" w:hAnsi="方正仿宋_GBK" w:cs="宋体"/>
                <w:b/>
              </w:rPr>
              <w:t>七</w:t>
            </w:r>
            <w:r>
              <w:rPr>
                <w:rFonts w:ascii="方正仿宋_GBK" w:hAnsi="方正仿宋_GBK" w:cs="宋体"/>
                <w:b/>
              </w:rPr>
              <w:t>、</w:t>
            </w:r>
            <w:bookmarkStart w:id="346" w:name="OLE_LINK53"/>
            <w:r>
              <w:rPr>
                <w:rFonts w:ascii="方正仿宋_GBK" w:hAnsi="方正仿宋_GBK" w:cs="宋体"/>
                <w:b/>
              </w:rPr>
              <w:t>环境风险影响分析</w:t>
            </w:r>
            <w:r>
              <w:rPr>
                <w:rFonts w:hint="eastAsia" w:ascii="方正仿宋_GBK" w:hAnsi="方正仿宋_GBK" w:cs="宋体"/>
                <w:b/>
              </w:rPr>
              <w:t>和保护措施</w:t>
            </w:r>
            <w:bookmarkEnd w:id="346"/>
          </w:p>
          <w:p w14:paraId="05419BB0">
            <w:pPr>
              <w:ind w:firstLine="482"/>
              <w:jc w:val="both"/>
              <w:rPr>
                <w:b/>
              </w:rPr>
            </w:pPr>
            <w:r>
              <w:rPr>
                <w:rFonts w:hint="eastAsia" w:ascii="Calibri" w:hAnsi="Calibri"/>
                <w:b/>
                <w:kern w:val="0"/>
              </w:rPr>
              <w:t>1</w:t>
            </w:r>
            <w:r>
              <w:rPr>
                <w:b/>
              </w:rPr>
              <w:t>、</w:t>
            </w:r>
            <w:r>
              <w:rPr>
                <w:rFonts w:hint="eastAsia"/>
                <w:b/>
              </w:rPr>
              <w:t>计算Q值</w:t>
            </w:r>
          </w:p>
          <w:p w14:paraId="548A5D05">
            <w:pPr>
              <w:widowControl/>
              <w:ind w:firstLine="480"/>
              <w:jc w:val="both"/>
              <w:rPr>
                <w:kern w:val="0"/>
              </w:rPr>
            </w:pPr>
            <w:r>
              <w:rPr>
                <w:rFonts w:hint="eastAsia"/>
                <w:kern w:val="0"/>
              </w:rPr>
              <w:t>根据《建设项目环境风险评价技术导则》（HJ169-2018），</w:t>
            </w:r>
            <w:r>
              <w:rPr>
                <w:kern w:val="0"/>
              </w:rPr>
              <w:t>当只涉及一种危险物质时，计算该物质的总量与其临界量比值，即为Q；当存在多种危险物质时，则按下式计算物质总量与其临界量比值（Q）：</w:t>
            </w:r>
          </w:p>
          <w:p w14:paraId="0555D795">
            <w:pPr>
              <w:widowControl/>
              <w:ind w:firstLine="480"/>
              <w:jc w:val="center"/>
              <w:rPr>
                <w:kern w:val="0"/>
              </w:rPr>
            </w:pPr>
            <w:r>
              <w:rPr>
                <w:kern w:val="0"/>
              </w:rPr>
              <w:t>Q=q</w:t>
            </w:r>
            <w:r>
              <w:rPr>
                <w:kern w:val="0"/>
                <w:vertAlign w:val="subscript"/>
              </w:rPr>
              <w:t>1</w:t>
            </w:r>
            <w:r>
              <w:rPr>
                <w:kern w:val="0"/>
              </w:rPr>
              <w:t>/Q</w:t>
            </w:r>
            <w:r>
              <w:rPr>
                <w:kern w:val="0"/>
                <w:vertAlign w:val="subscript"/>
              </w:rPr>
              <w:t>1</w:t>
            </w:r>
            <w:r>
              <w:rPr>
                <w:kern w:val="0"/>
              </w:rPr>
              <w:t>+q</w:t>
            </w:r>
            <w:r>
              <w:rPr>
                <w:kern w:val="0"/>
                <w:vertAlign w:val="subscript"/>
              </w:rPr>
              <w:t>2</w:t>
            </w:r>
            <w:r>
              <w:rPr>
                <w:kern w:val="0"/>
              </w:rPr>
              <w:t>/Q</w:t>
            </w:r>
            <w:r>
              <w:rPr>
                <w:kern w:val="0"/>
                <w:vertAlign w:val="subscript"/>
              </w:rPr>
              <w:t>2</w:t>
            </w:r>
            <w:r>
              <w:rPr>
                <w:kern w:val="0"/>
              </w:rPr>
              <w:t>……＋q</w:t>
            </w:r>
            <w:r>
              <w:rPr>
                <w:kern w:val="0"/>
                <w:vertAlign w:val="subscript"/>
              </w:rPr>
              <w:t>n</w:t>
            </w:r>
            <w:r>
              <w:rPr>
                <w:kern w:val="0"/>
              </w:rPr>
              <w:t>/Q</w:t>
            </w:r>
            <w:r>
              <w:rPr>
                <w:kern w:val="0"/>
                <w:vertAlign w:val="subscript"/>
              </w:rPr>
              <w:t>n</w:t>
            </w:r>
          </w:p>
          <w:p w14:paraId="231B5E62">
            <w:pPr>
              <w:widowControl/>
              <w:ind w:firstLine="480"/>
              <w:jc w:val="both"/>
              <w:rPr>
                <w:kern w:val="0"/>
              </w:rPr>
            </w:pPr>
            <w:r>
              <w:rPr>
                <w:kern w:val="0"/>
              </w:rPr>
              <w:t>式中：q</w:t>
            </w:r>
            <w:r>
              <w:rPr>
                <w:kern w:val="0"/>
                <w:vertAlign w:val="subscript"/>
              </w:rPr>
              <w:t>1</w:t>
            </w:r>
            <w:r>
              <w:rPr>
                <w:kern w:val="0"/>
              </w:rPr>
              <w:t>，q</w:t>
            </w:r>
            <w:r>
              <w:rPr>
                <w:kern w:val="0"/>
                <w:vertAlign w:val="subscript"/>
              </w:rPr>
              <w:t>2</w:t>
            </w:r>
            <w:r>
              <w:rPr>
                <w:kern w:val="0"/>
              </w:rPr>
              <w:t>…，q</w:t>
            </w:r>
            <w:r>
              <w:rPr>
                <w:kern w:val="0"/>
                <w:vertAlign w:val="subscript"/>
              </w:rPr>
              <w:t>n</w:t>
            </w:r>
            <w:r>
              <w:rPr>
                <w:kern w:val="0"/>
              </w:rPr>
              <w:t>为每种危险物质的最大存在总量，t。</w:t>
            </w:r>
          </w:p>
          <w:p w14:paraId="52389F12">
            <w:pPr>
              <w:widowControl/>
              <w:ind w:firstLine="480"/>
              <w:jc w:val="both"/>
              <w:rPr>
                <w:kern w:val="0"/>
              </w:rPr>
            </w:pPr>
            <w:r>
              <w:rPr>
                <w:kern w:val="0"/>
              </w:rPr>
              <w:t>Q</w:t>
            </w:r>
            <w:r>
              <w:rPr>
                <w:kern w:val="0"/>
                <w:vertAlign w:val="subscript"/>
              </w:rPr>
              <w:t>1</w:t>
            </w:r>
            <w:r>
              <w:rPr>
                <w:kern w:val="0"/>
              </w:rPr>
              <w:t>，Q</w:t>
            </w:r>
            <w:r>
              <w:rPr>
                <w:kern w:val="0"/>
                <w:vertAlign w:val="subscript"/>
              </w:rPr>
              <w:t>2</w:t>
            </w:r>
            <w:r>
              <w:rPr>
                <w:kern w:val="0"/>
              </w:rPr>
              <w:t>…Q</w:t>
            </w:r>
            <w:r>
              <w:rPr>
                <w:kern w:val="0"/>
                <w:vertAlign w:val="subscript"/>
              </w:rPr>
              <w:t>n</w:t>
            </w:r>
            <w:r>
              <w:rPr>
                <w:kern w:val="0"/>
              </w:rPr>
              <w:t>为每种危险物质的临界量，t。</w:t>
            </w:r>
          </w:p>
          <w:p w14:paraId="1F83DE4F">
            <w:pPr>
              <w:widowControl/>
              <w:ind w:firstLine="480"/>
              <w:jc w:val="both"/>
              <w:rPr>
                <w:kern w:val="0"/>
              </w:rPr>
            </w:pPr>
            <w:r>
              <w:rPr>
                <w:kern w:val="0"/>
              </w:rPr>
              <w:t>项目Q值计算</w:t>
            </w:r>
            <w:r>
              <w:rPr>
                <w:rFonts w:hint="eastAsia"/>
                <w:kern w:val="0"/>
              </w:rPr>
              <w:t>结果</w:t>
            </w:r>
            <w:r>
              <w:rPr>
                <w:kern w:val="0"/>
              </w:rPr>
              <w:t>如下表：</w:t>
            </w:r>
          </w:p>
          <w:p w14:paraId="31CD137D">
            <w:pPr>
              <w:spacing w:line="240" w:lineRule="auto"/>
              <w:ind w:firstLine="0" w:firstLineChars="0"/>
              <w:jc w:val="center"/>
              <w:rPr>
                <w:b/>
                <w:sz w:val="21"/>
              </w:rPr>
            </w:pPr>
            <w:r>
              <w:rPr>
                <w:b/>
                <w:sz w:val="21"/>
              </w:rPr>
              <w:t>表4-</w:t>
            </w:r>
            <w:r>
              <w:rPr>
                <w:rFonts w:hint="eastAsia"/>
                <w:b/>
                <w:sz w:val="21"/>
              </w:rPr>
              <w:t>19 风险</w:t>
            </w:r>
            <w:r>
              <w:rPr>
                <w:b/>
                <w:sz w:val="21"/>
              </w:rPr>
              <w:t>物质数量与临界量比值（Q）</w:t>
            </w:r>
          </w:p>
          <w:tbl>
            <w:tblPr>
              <w:tblStyle w:val="34"/>
              <w:tblW w:w="4997" w:type="pct"/>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277"/>
              <w:gridCol w:w="2282"/>
              <w:gridCol w:w="2513"/>
              <w:gridCol w:w="1451"/>
            </w:tblGrid>
            <w:tr w14:paraId="55B7CE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0" w:hRule="atLeast"/>
                <w:jc w:val="center"/>
              </w:trPr>
              <w:tc>
                <w:tcPr>
                  <w:tcW w:w="1335" w:type="pct"/>
                  <w:vAlign w:val="center"/>
                </w:tcPr>
                <w:p w14:paraId="5604EFC3">
                  <w:pPr>
                    <w:spacing w:line="240" w:lineRule="auto"/>
                    <w:ind w:firstLine="0" w:firstLineChars="0"/>
                    <w:jc w:val="center"/>
                    <w:rPr>
                      <w:b/>
                      <w:bCs/>
                      <w:kern w:val="0"/>
                      <w:sz w:val="21"/>
                      <w:szCs w:val="20"/>
                    </w:rPr>
                  </w:pPr>
                  <w:r>
                    <w:rPr>
                      <w:b/>
                      <w:bCs/>
                      <w:kern w:val="0"/>
                      <w:sz w:val="21"/>
                      <w:szCs w:val="20"/>
                    </w:rPr>
                    <w:t>危险物质名称</w:t>
                  </w:r>
                </w:p>
              </w:tc>
              <w:tc>
                <w:tcPr>
                  <w:tcW w:w="1339" w:type="pct"/>
                  <w:vAlign w:val="center"/>
                </w:tcPr>
                <w:p w14:paraId="7002ABFF">
                  <w:pPr>
                    <w:spacing w:line="240" w:lineRule="auto"/>
                    <w:ind w:firstLine="0" w:firstLineChars="0"/>
                    <w:jc w:val="center"/>
                    <w:rPr>
                      <w:b/>
                      <w:bCs/>
                      <w:kern w:val="0"/>
                      <w:sz w:val="21"/>
                      <w:szCs w:val="20"/>
                    </w:rPr>
                  </w:pPr>
                  <w:r>
                    <w:rPr>
                      <w:b/>
                      <w:bCs/>
                      <w:kern w:val="0"/>
                      <w:sz w:val="21"/>
                      <w:szCs w:val="20"/>
                    </w:rPr>
                    <w:t>最大储存量（</w:t>
                  </w:r>
                  <w:r>
                    <w:rPr>
                      <w:rFonts w:hint="eastAsia"/>
                      <w:b/>
                      <w:bCs/>
                      <w:kern w:val="0"/>
                      <w:sz w:val="21"/>
                      <w:szCs w:val="20"/>
                    </w:rPr>
                    <w:t>t</w:t>
                  </w:r>
                  <w:r>
                    <w:rPr>
                      <w:b/>
                      <w:bCs/>
                      <w:kern w:val="0"/>
                      <w:sz w:val="21"/>
                      <w:szCs w:val="20"/>
                    </w:rPr>
                    <w:t>）</w:t>
                  </w:r>
                </w:p>
              </w:tc>
              <w:tc>
                <w:tcPr>
                  <w:tcW w:w="1473" w:type="pct"/>
                  <w:vAlign w:val="center"/>
                </w:tcPr>
                <w:p w14:paraId="75E6C380">
                  <w:pPr>
                    <w:spacing w:line="240" w:lineRule="auto"/>
                    <w:ind w:firstLine="0" w:firstLineChars="0"/>
                    <w:jc w:val="center"/>
                    <w:rPr>
                      <w:b/>
                      <w:bCs/>
                      <w:kern w:val="0"/>
                      <w:sz w:val="21"/>
                      <w:szCs w:val="20"/>
                    </w:rPr>
                  </w:pPr>
                  <w:r>
                    <w:rPr>
                      <w:b/>
                      <w:bCs/>
                      <w:kern w:val="0"/>
                      <w:sz w:val="21"/>
                      <w:szCs w:val="20"/>
                    </w:rPr>
                    <w:t>临界量（</w:t>
                  </w:r>
                  <w:r>
                    <w:rPr>
                      <w:rFonts w:hint="eastAsia"/>
                      <w:b/>
                      <w:bCs/>
                      <w:kern w:val="0"/>
                      <w:sz w:val="21"/>
                      <w:szCs w:val="20"/>
                    </w:rPr>
                    <w:t>t</w:t>
                  </w:r>
                  <w:r>
                    <w:rPr>
                      <w:b/>
                      <w:bCs/>
                      <w:kern w:val="0"/>
                      <w:sz w:val="21"/>
                      <w:szCs w:val="20"/>
                    </w:rPr>
                    <w:t>）</w:t>
                  </w:r>
                </w:p>
              </w:tc>
              <w:tc>
                <w:tcPr>
                  <w:tcW w:w="851" w:type="pct"/>
                  <w:vAlign w:val="center"/>
                </w:tcPr>
                <w:p w14:paraId="06D0E31A">
                  <w:pPr>
                    <w:spacing w:line="240" w:lineRule="auto"/>
                    <w:ind w:firstLine="0" w:firstLineChars="0"/>
                    <w:jc w:val="center"/>
                    <w:rPr>
                      <w:b/>
                      <w:bCs/>
                      <w:kern w:val="0"/>
                      <w:sz w:val="21"/>
                      <w:szCs w:val="20"/>
                    </w:rPr>
                  </w:pPr>
                  <w:r>
                    <w:rPr>
                      <w:b/>
                      <w:bCs/>
                      <w:kern w:val="0"/>
                      <w:sz w:val="21"/>
                      <w:szCs w:val="20"/>
                    </w:rPr>
                    <w:t>Q</w:t>
                  </w:r>
                </w:p>
              </w:tc>
            </w:tr>
            <w:tr w14:paraId="34A931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0" w:hRule="atLeast"/>
                <w:jc w:val="center"/>
              </w:trPr>
              <w:tc>
                <w:tcPr>
                  <w:tcW w:w="1335" w:type="pct"/>
                  <w:vAlign w:val="center"/>
                </w:tcPr>
                <w:p w14:paraId="2D18C30B">
                  <w:pPr>
                    <w:spacing w:line="240" w:lineRule="auto"/>
                    <w:ind w:firstLine="0" w:firstLineChars="0"/>
                    <w:jc w:val="center"/>
                    <w:rPr>
                      <w:kern w:val="0"/>
                      <w:sz w:val="21"/>
                      <w:szCs w:val="20"/>
                    </w:rPr>
                  </w:pPr>
                  <w:r>
                    <w:rPr>
                      <w:rFonts w:hint="eastAsia"/>
                      <w:kern w:val="0"/>
                      <w:sz w:val="21"/>
                      <w:szCs w:val="20"/>
                    </w:rPr>
                    <w:t>软化油</w:t>
                  </w:r>
                </w:p>
              </w:tc>
              <w:tc>
                <w:tcPr>
                  <w:tcW w:w="1339" w:type="pct"/>
                  <w:vAlign w:val="center"/>
                </w:tcPr>
                <w:p w14:paraId="18F4D106">
                  <w:pPr>
                    <w:spacing w:line="240" w:lineRule="auto"/>
                    <w:ind w:firstLine="0" w:firstLineChars="0"/>
                    <w:jc w:val="center"/>
                    <w:rPr>
                      <w:kern w:val="0"/>
                      <w:sz w:val="21"/>
                      <w:szCs w:val="20"/>
                    </w:rPr>
                  </w:pPr>
                  <w:r>
                    <w:rPr>
                      <w:rFonts w:hint="eastAsia"/>
                      <w:kern w:val="0"/>
                      <w:sz w:val="21"/>
                      <w:szCs w:val="20"/>
                    </w:rPr>
                    <w:t>30</w:t>
                  </w:r>
                </w:p>
              </w:tc>
              <w:tc>
                <w:tcPr>
                  <w:tcW w:w="1473" w:type="pct"/>
                  <w:vAlign w:val="center"/>
                </w:tcPr>
                <w:p w14:paraId="25BFDA9C">
                  <w:pPr>
                    <w:spacing w:line="240" w:lineRule="auto"/>
                    <w:ind w:firstLine="0" w:firstLineChars="0"/>
                    <w:jc w:val="center"/>
                    <w:rPr>
                      <w:kern w:val="0"/>
                      <w:sz w:val="21"/>
                      <w:szCs w:val="20"/>
                    </w:rPr>
                  </w:pPr>
                  <w:r>
                    <w:rPr>
                      <w:rFonts w:hint="eastAsia"/>
                      <w:kern w:val="0"/>
                      <w:sz w:val="21"/>
                      <w:szCs w:val="20"/>
                    </w:rPr>
                    <w:t>2500</w:t>
                  </w:r>
                </w:p>
              </w:tc>
              <w:tc>
                <w:tcPr>
                  <w:tcW w:w="851" w:type="pct"/>
                  <w:vAlign w:val="center"/>
                </w:tcPr>
                <w:p w14:paraId="56A76FBD">
                  <w:pPr>
                    <w:spacing w:line="240" w:lineRule="auto"/>
                    <w:ind w:firstLine="0" w:firstLineChars="0"/>
                    <w:jc w:val="center"/>
                    <w:rPr>
                      <w:kern w:val="0"/>
                      <w:sz w:val="21"/>
                      <w:szCs w:val="20"/>
                    </w:rPr>
                  </w:pPr>
                  <w:r>
                    <w:rPr>
                      <w:rFonts w:hint="eastAsia"/>
                      <w:kern w:val="0"/>
                      <w:sz w:val="21"/>
                      <w:szCs w:val="20"/>
                    </w:rPr>
                    <w:t>0.012</w:t>
                  </w:r>
                </w:p>
              </w:tc>
            </w:tr>
            <w:tr w14:paraId="1E1B19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0" w:hRule="atLeast"/>
                <w:jc w:val="center"/>
              </w:trPr>
              <w:tc>
                <w:tcPr>
                  <w:tcW w:w="1335" w:type="pct"/>
                  <w:vAlign w:val="center"/>
                </w:tcPr>
                <w:p w14:paraId="15ABDF53">
                  <w:pPr>
                    <w:spacing w:line="240" w:lineRule="auto"/>
                    <w:ind w:firstLine="0" w:firstLineChars="0"/>
                    <w:jc w:val="center"/>
                    <w:rPr>
                      <w:kern w:val="0"/>
                      <w:sz w:val="21"/>
                      <w:szCs w:val="20"/>
                    </w:rPr>
                  </w:pPr>
                  <w:r>
                    <w:rPr>
                      <w:rFonts w:hint="eastAsia"/>
                      <w:kern w:val="0"/>
                      <w:sz w:val="21"/>
                      <w:szCs w:val="20"/>
                    </w:rPr>
                    <w:t>润滑油</w:t>
                  </w:r>
                </w:p>
              </w:tc>
              <w:tc>
                <w:tcPr>
                  <w:tcW w:w="1339" w:type="pct"/>
                  <w:vAlign w:val="center"/>
                </w:tcPr>
                <w:p w14:paraId="2B2BFD57">
                  <w:pPr>
                    <w:spacing w:line="240" w:lineRule="auto"/>
                    <w:ind w:firstLine="0" w:firstLineChars="0"/>
                    <w:jc w:val="center"/>
                    <w:rPr>
                      <w:kern w:val="0"/>
                      <w:sz w:val="21"/>
                      <w:szCs w:val="20"/>
                    </w:rPr>
                  </w:pPr>
                  <w:r>
                    <w:rPr>
                      <w:rFonts w:hint="eastAsia"/>
                      <w:kern w:val="0"/>
                      <w:sz w:val="21"/>
                      <w:szCs w:val="20"/>
                    </w:rPr>
                    <w:t>0.07</w:t>
                  </w:r>
                </w:p>
              </w:tc>
              <w:tc>
                <w:tcPr>
                  <w:tcW w:w="1473" w:type="pct"/>
                  <w:vAlign w:val="center"/>
                </w:tcPr>
                <w:p w14:paraId="586EFEE3">
                  <w:pPr>
                    <w:spacing w:line="240" w:lineRule="auto"/>
                    <w:ind w:firstLine="0" w:firstLineChars="0"/>
                    <w:jc w:val="center"/>
                    <w:rPr>
                      <w:kern w:val="0"/>
                      <w:sz w:val="21"/>
                      <w:szCs w:val="20"/>
                    </w:rPr>
                  </w:pPr>
                  <w:r>
                    <w:rPr>
                      <w:rFonts w:hint="eastAsia"/>
                      <w:kern w:val="0"/>
                      <w:sz w:val="21"/>
                      <w:szCs w:val="20"/>
                    </w:rPr>
                    <w:t>2500</w:t>
                  </w:r>
                </w:p>
              </w:tc>
              <w:tc>
                <w:tcPr>
                  <w:tcW w:w="851" w:type="pct"/>
                  <w:vAlign w:val="center"/>
                </w:tcPr>
                <w:p w14:paraId="62E0FCA9">
                  <w:pPr>
                    <w:spacing w:line="240" w:lineRule="auto"/>
                    <w:ind w:firstLine="0" w:firstLineChars="0"/>
                    <w:jc w:val="center"/>
                    <w:rPr>
                      <w:kern w:val="0"/>
                      <w:sz w:val="21"/>
                      <w:szCs w:val="20"/>
                    </w:rPr>
                  </w:pPr>
                  <w:r>
                    <w:rPr>
                      <w:rFonts w:hint="eastAsia"/>
                      <w:kern w:val="0"/>
                      <w:sz w:val="21"/>
                      <w:szCs w:val="20"/>
                    </w:rPr>
                    <w:t>0.000028</w:t>
                  </w:r>
                </w:p>
              </w:tc>
            </w:tr>
            <w:tr w14:paraId="232192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0" w:hRule="atLeast"/>
                <w:jc w:val="center"/>
              </w:trPr>
              <w:tc>
                <w:tcPr>
                  <w:tcW w:w="1335" w:type="pct"/>
                  <w:vAlign w:val="center"/>
                </w:tcPr>
                <w:p w14:paraId="04A9B51C">
                  <w:pPr>
                    <w:spacing w:line="240" w:lineRule="auto"/>
                    <w:ind w:firstLine="0" w:firstLineChars="0"/>
                    <w:jc w:val="center"/>
                    <w:rPr>
                      <w:kern w:val="0"/>
                      <w:sz w:val="21"/>
                      <w:szCs w:val="20"/>
                    </w:rPr>
                  </w:pPr>
                  <w:r>
                    <w:rPr>
                      <w:rFonts w:hint="eastAsia"/>
                      <w:kern w:val="0"/>
                      <w:sz w:val="21"/>
                      <w:szCs w:val="20"/>
                    </w:rPr>
                    <w:t>废润滑油</w:t>
                  </w:r>
                </w:p>
              </w:tc>
              <w:tc>
                <w:tcPr>
                  <w:tcW w:w="1339" w:type="pct"/>
                  <w:vAlign w:val="center"/>
                </w:tcPr>
                <w:p w14:paraId="66B34BE1">
                  <w:pPr>
                    <w:spacing w:line="240" w:lineRule="auto"/>
                    <w:ind w:firstLine="0" w:firstLineChars="0"/>
                    <w:jc w:val="center"/>
                    <w:rPr>
                      <w:kern w:val="0"/>
                      <w:sz w:val="21"/>
                      <w:szCs w:val="20"/>
                    </w:rPr>
                  </w:pPr>
                  <w:r>
                    <w:rPr>
                      <w:rFonts w:hint="eastAsia"/>
                      <w:kern w:val="0"/>
                      <w:sz w:val="21"/>
                      <w:szCs w:val="20"/>
                    </w:rPr>
                    <w:t>0.07</w:t>
                  </w:r>
                </w:p>
              </w:tc>
              <w:tc>
                <w:tcPr>
                  <w:tcW w:w="1473" w:type="pct"/>
                  <w:vAlign w:val="center"/>
                </w:tcPr>
                <w:p w14:paraId="40167919">
                  <w:pPr>
                    <w:spacing w:line="240" w:lineRule="auto"/>
                    <w:ind w:firstLine="0" w:firstLineChars="0"/>
                    <w:jc w:val="center"/>
                    <w:rPr>
                      <w:kern w:val="0"/>
                      <w:sz w:val="21"/>
                      <w:szCs w:val="20"/>
                    </w:rPr>
                  </w:pPr>
                  <w:r>
                    <w:rPr>
                      <w:rFonts w:hint="eastAsia"/>
                      <w:kern w:val="0"/>
                      <w:sz w:val="21"/>
                      <w:szCs w:val="20"/>
                    </w:rPr>
                    <w:t>2500</w:t>
                  </w:r>
                </w:p>
              </w:tc>
              <w:tc>
                <w:tcPr>
                  <w:tcW w:w="851" w:type="pct"/>
                  <w:vAlign w:val="center"/>
                </w:tcPr>
                <w:p w14:paraId="2E18CE92">
                  <w:pPr>
                    <w:spacing w:line="240" w:lineRule="auto"/>
                    <w:ind w:firstLine="0" w:firstLineChars="0"/>
                    <w:jc w:val="center"/>
                    <w:rPr>
                      <w:kern w:val="0"/>
                      <w:sz w:val="21"/>
                      <w:szCs w:val="20"/>
                    </w:rPr>
                  </w:pPr>
                  <w:r>
                    <w:rPr>
                      <w:rFonts w:hint="eastAsia"/>
                      <w:kern w:val="0"/>
                      <w:sz w:val="21"/>
                      <w:szCs w:val="20"/>
                    </w:rPr>
                    <w:t>0.000028</w:t>
                  </w:r>
                </w:p>
              </w:tc>
            </w:tr>
            <w:tr w14:paraId="0452AB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0" w:hRule="atLeast"/>
                <w:jc w:val="center"/>
              </w:trPr>
              <w:tc>
                <w:tcPr>
                  <w:tcW w:w="1335" w:type="pct"/>
                  <w:vAlign w:val="center"/>
                </w:tcPr>
                <w:p w14:paraId="5DC13BFF">
                  <w:pPr>
                    <w:spacing w:line="240" w:lineRule="auto"/>
                    <w:ind w:firstLine="0" w:firstLineChars="0"/>
                    <w:jc w:val="center"/>
                    <w:rPr>
                      <w:kern w:val="0"/>
                      <w:sz w:val="21"/>
                      <w:szCs w:val="20"/>
                    </w:rPr>
                  </w:pPr>
                  <w:r>
                    <w:rPr>
                      <w:rFonts w:hint="eastAsia"/>
                      <w:kern w:val="0"/>
                      <w:sz w:val="21"/>
                      <w:szCs w:val="20"/>
                    </w:rPr>
                    <w:t>危险废物</w:t>
                  </w:r>
                </w:p>
              </w:tc>
              <w:tc>
                <w:tcPr>
                  <w:tcW w:w="1339" w:type="pct"/>
                  <w:vAlign w:val="center"/>
                </w:tcPr>
                <w:p w14:paraId="56BC696A">
                  <w:pPr>
                    <w:spacing w:line="240" w:lineRule="auto"/>
                    <w:ind w:firstLine="0" w:firstLineChars="0"/>
                    <w:jc w:val="center"/>
                    <w:rPr>
                      <w:kern w:val="0"/>
                      <w:sz w:val="21"/>
                      <w:szCs w:val="20"/>
                    </w:rPr>
                  </w:pPr>
                  <w:r>
                    <w:rPr>
                      <w:rFonts w:hint="eastAsia"/>
                      <w:kern w:val="0"/>
                      <w:sz w:val="21"/>
                      <w:szCs w:val="20"/>
                    </w:rPr>
                    <w:t>10</w:t>
                  </w:r>
                </w:p>
              </w:tc>
              <w:tc>
                <w:tcPr>
                  <w:tcW w:w="1473" w:type="pct"/>
                  <w:vAlign w:val="center"/>
                </w:tcPr>
                <w:p w14:paraId="7D51D363">
                  <w:pPr>
                    <w:spacing w:line="240" w:lineRule="auto"/>
                    <w:ind w:firstLine="0" w:firstLineChars="0"/>
                    <w:jc w:val="center"/>
                    <w:rPr>
                      <w:kern w:val="0"/>
                      <w:sz w:val="21"/>
                      <w:szCs w:val="20"/>
                    </w:rPr>
                  </w:pPr>
                  <w:r>
                    <w:rPr>
                      <w:rFonts w:hint="eastAsia"/>
                      <w:kern w:val="0"/>
                      <w:sz w:val="21"/>
                      <w:szCs w:val="20"/>
                    </w:rPr>
                    <w:t>50</w:t>
                  </w:r>
                </w:p>
              </w:tc>
              <w:tc>
                <w:tcPr>
                  <w:tcW w:w="851" w:type="pct"/>
                  <w:vAlign w:val="center"/>
                </w:tcPr>
                <w:p w14:paraId="608FE1C5">
                  <w:pPr>
                    <w:spacing w:line="240" w:lineRule="auto"/>
                    <w:ind w:firstLine="0" w:firstLineChars="0"/>
                    <w:jc w:val="center"/>
                    <w:rPr>
                      <w:kern w:val="0"/>
                      <w:sz w:val="21"/>
                      <w:szCs w:val="20"/>
                    </w:rPr>
                  </w:pPr>
                  <w:r>
                    <w:rPr>
                      <w:rFonts w:hint="eastAsia"/>
                      <w:kern w:val="0"/>
                      <w:sz w:val="21"/>
                      <w:szCs w:val="20"/>
                    </w:rPr>
                    <w:t>0.2</w:t>
                  </w:r>
                </w:p>
              </w:tc>
            </w:tr>
            <w:tr w14:paraId="4F0735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60" w:hRule="atLeast"/>
                <w:jc w:val="center"/>
              </w:trPr>
              <w:tc>
                <w:tcPr>
                  <w:tcW w:w="4148" w:type="pct"/>
                  <w:gridSpan w:val="3"/>
                  <w:vAlign w:val="center"/>
                </w:tcPr>
                <w:p w14:paraId="5C52F5DA">
                  <w:pPr>
                    <w:spacing w:line="240" w:lineRule="auto"/>
                    <w:ind w:firstLine="0" w:firstLineChars="0"/>
                    <w:jc w:val="center"/>
                    <w:rPr>
                      <w:kern w:val="0"/>
                      <w:sz w:val="21"/>
                      <w:szCs w:val="20"/>
                    </w:rPr>
                  </w:pPr>
                  <w:r>
                    <w:rPr>
                      <w:rFonts w:hint="eastAsia"/>
                      <w:kern w:val="0"/>
                      <w:sz w:val="21"/>
                      <w:szCs w:val="20"/>
                    </w:rPr>
                    <w:t>合计</w:t>
                  </w:r>
                </w:p>
              </w:tc>
              <w:tc>
                <w:tcPr>
                  <w:tcW w:w="851" w:type="pct"/>
                  <w:vAlign w:val="center"/>
                </w:tcPr>
                <w:p w14:paraId="5CCF8566">
                  <w:pPr>
                    <w:spacing w:line="240" w:lineRule="auto"/>
                    <w:ind w:firstLine="0" w:firstLineChars="0"/>
                    <w:jc w:val="center"/>
                    <w:rPr>
                      <w:kern w:val="0"/>
                      <w:sz w:val="21"/>
                      <w:szCs w:val="20"/>
                    </w:rPr>
                  </w:pPr>
                  <w:r>
                    <w:rPr>
                      <w:rFonts w:hint="eastAsia"/>
                      <w:kern w:val="0"/>
                      <w:sz w:val="21"/>
                      <w:szCs w:val="20"/>
                    </w:rPr>
                    <w:t>0.212056</w:t>
                  </w:r>
                </w:p>
              </w:tc>
            </w:tr>
          </w:tbl>
          <w:p w14:paraId="16F4D9CC">
            <w:pPr>
              <w:ind w:firstLine="480"/>
              <w:jc w:val="both"/>
            </w:pPr>
            <w:r>
              <w:rPr>
                <w:rFonts w:hint="eastAsia"/>
              </w:rPr>
              <w:t>由上表可知，项目Q＜1，</w:t>
            </w:r>
            <w:r>
              <w:rPr>
                <w:spacing w:val="2"/>
              </w:rPr>
              <w:t>因此项目无需</w:t>
            </w:r>
            <w:r>
              <w:rPr>
                <w:rFonts w:hint="eastAsia"/>
                <w:spacing w:val="2"/>
              </w:rPr>
              <w:t>开展</w:t>
            </w:r>
            <w:r>
              <w:rPr>
                <w:spacing w:val="2"/>
              </w:rPr>
              <w:t>环境</w:t>
            </w:r>
            <w:r>
              <w:rPr>
                <w:spacing w:val="-3"/>
              </w:rPr>
              <w:t>风险专项</w:t>
            </w:r>
            <w:r>
              <w:rPr>
                <w:rFonts w:hint="eastAsia"/>
                <w:spacing w:val="-3"/>
              </w:rPr>
              <w:t>评价</w:t>
            </w:r>
            <w:r>
              <w:rPr>
                <w:rFonts w:hint="eastAsia"/>
              </w:rPr>
              <w:t>。</w:t>
            </w:r>
          </w:p>
          <w:p w14:paraId="6F53990B">
            <w:pPr>
              <w:widowControl/>
              <w:kinsoku w:val="0"/>
              <w:autoSpaceDE w:val="0"/>
              <w:autoSpaceDN w:val="0"/>
              <w:ind w:firstLine="482"/>
              <w:jc w:val="both"/>
              <w:textAlignment w:val="baseline"/>
              <w:rPr>
                <w:rFonts w:cs="宋体"/>
                <w:snapToGrid w:val="0"/>
                <w:color w:val="000000"/>
                <w:kern w:val="0"/>
                <w:szCs w:val="20"/>
              </w:rPr>
            </w:pPr>
            <w:r>
              <w:rPr>
                <w:rFonts w:hint="eastAsia" w:cs="宋体"/>
                <w:b/>
              </w:rPr>
              <w:t>2、环境风险源分布情况</w:t>
            </w:r>
          </w:p>
          <w:p w14:paraId="03F2CF51">
            <w:pPr>
              <w:widowControl/>
              <w:kinsoku w:val="0"/>
              <w:autoSpaceDE w:val="0"/>
              <w:autoSpaceDN w:val="0"/>
              <w:spacing w:line="240" w:lineRule="auto"/>
              <w:ind w:firstLine="0" w:firstLineChars="0"/>
              <w:jc w:val="center"/>
              <w:textAlignment w:val="baseline"/>
              <w:rPr>
                <w:rFonts w:cs="宋体"/>
                <w:b/>
                <w:bCs/>
                <w:snapToGrid w:val="0"/>
                <w:color w:val="000000"/>
                <w:spacing w:val="6"/>
                <w:kern w:val="0"/>
                <w:sz w:val="21"/>
                <w:szCs w:val="20"/>
              </w:rPr>
            </w:pPr>
            <w:r>
              <w:rPr>
                <w:rFonts w:cs="宋体"/>
                <w:b/>
                <w:bCs/>
                <w:snapToGrid w:val="0"/>
                <w:color w:val="000000"/>
                <w:spacing w:val="6"/>
                <w:kern w:val="0"/>
                <w:sz w:val="21"/>
                <w:szCs w:val="20"/>
              </w:rPr>
              <w:t>表</w:t>
            </w:r>
            <w:r>
              <w:rPr>
                <w:rFonts w:hint="eastAsia" w:cs="宋体"/>
                <w:b/>
                <w:bCs/>
                <w:snapToGrid w:val="0"/>
                <w:color w:val="000000"/>
                <w:spacing w:val="6"/>
                <w:kern w:val="0"/>
                <w:sz w:val="21"/>
                <w:szCs w:val="20"/>
              </w:rPr>
              <w:t>4-20</w:t>
            </w:r>
            <w:r>
              <w:rPr>
                <w:rFonts w:cs="宋体"/>
                <w:b/>
                <w:bCs/>
                <w:snapToGrid w:val="0"/>
                <w:color w:val="000000"/>
                <w:spacing w:val="36"/>
                <w:kern w:val="0"/>
                <w:sz w:val="21"/>
                <w:szCs w:val="20"/>
              </w:rPr>
              <w:t xml:space="preserve"> </w:t>
            </w:r>
            <w:r>
              <w:rPr>
                <w:rFonts w:cs="宋体"/>
                <w:b/>
                <w:bCs/>
                <w:snapToGrid w:val="0"/>
                <w:color w:val="000000"/>
                <w:spacing w:val="6"/>
                <w:kern w:val="0"/>
                <w:sz w:val="21"/>
                <w:szCs w:val="20"/>
              </w:rPr>
              <w:t>建设项目环境风险源一览表</w:t>
            </w:r>
          </w:p>
          <w:tbl>
            <w:tblPr>
              <w:tblStyle w:val="110"/>
              <w:tblW w:w="4994"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8"/>
              <w:gridCol w:w="1388"/>
              <w:gridCol w:w="1967"/>
              <w:gridCol w:w="2545"/>
              <w:gridCol w:w="1950"/>
            </w:tblGrid>
            <w:tr w14:paraId="2B4129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 w:hRule="atLeast"/>
              </w:trPr>
              <w:tc>
                <w:tcPr>
                  <w:tcW w:w="398" w:type="pct"/>
                  <w:vAlign w:val="center"/>
                </w:tcPr>
                <w:p w14:paraId="04AB8569">
                  <w:pPr>
                    <w:widowControl/>
                    <w:kinsoku w:val="0"/>
                    <w:autoSpaceDE w:val="0"/>
                    <w:autoSpaceDN w:val="0"/>
                    <w:spacing w:line="240" w:lineRule="auto"/>
                    <w:ind w:firstLine="0" w:firstLineChars="0"/>
                    <w:jc w:val="center"/>
                    <w:textAlignment w:val="baseline"/>
                    <w:rPr>
                      <w:rFonts w:cs="宋体"/>
                      <w:b/>
                      <w:bCs/>
                      <w:snapToGrid w:val="0"/>
                      <w:color w:val="000000"/>
                      <w:kern w:val="0"/>
                      <w:sz w:val="21"/>
                      <w:szCs w:val="20"/>
                      <w:lang w:eastAsia="en-US"/>
                    </w:rPr>
                  </w:pPr>
                  <w:r>
                    <w:rPr>
                      <w:rFonts w:cs="宋体"/>
                      <w:b/>
                      <w:bCs/>
                      <w:snapToGrid w:val="0"/>
                      <w:color w:val="000000"/>
                      <w:spacing w:val="5"/>
                      <w:kern w:val="0"/>
                      <w:sz w:val="21"/>
                      <w:szCs w:val="20"/>
                      <w:lang w:eastAsia="en-US"/>
                    </w:rPr>
                    <w:t>序号</w:t>
                  </w:r>
                </w:p>
              </w:tc>
              <w:tc>
                <w:tcPr>
                  <w:tcW w:w="814" w:type="pct"/>
                  <w:vAlign w:val="center"/>
                </w:tcPr>
                <w:p w14:paraId="0E1FFC74">
                  <w:pPr>
                    <w:widowControl/>
                    <w:kinsoku w:val="0"/>
                    <w:autoSpaceDE w:val="0"/>
                    <w:autoSpaceDN w:val="0"/>
                    <w:spacing w:line="240" w:lineRule="auto"/>
                    <w:ind w:firstLine="0" w:firstLineChars="0"/>
                    <w:jc w:val="center"/>
                    <w:textAlignment w:val="baseline"/>
                    <w:rPr>
                      <w:rFonts w:cs="宋体"/>
                      <w:b/>
                      <w:bCs/>
                      <w:snapToGrid w:val="0"/>
                      <w:color w:val="000000"/>
                      <w:kern w:val="0"/>
                      <w:sz w:val="21"/>
                      <w:szCs w:val="20"/>
                      <w:lang w:eastAsia="en-US"/>
                    </w:rPr>
                  </w:pPr>
                  <w:r>
                    <w:rPr>
                      <w:rFonts w:cs="宋体"/>
                      <w:b/>
                      <w:bCs/>
                      <w:snapToGrid w:val="0"/>
                      <w:color w:val="000000"/>
                      <w:spacing w:val="6"/>
                      <w:kern w:val="0"/>
                      <w:sz w:val="21"/>
                      <w:szCs w:val="20"/>
                      <w:lang w:eastAsia="en-US"/>
                    </w:rPr>
                    <w:t>风险源</w:t>
                  </w:r>
                </w:p>
              </w:tc>
              <w:tc>
                <w:tcPr>
                  <w:tcW w:w="1152" w:type="pct"/>
                  <w:vAlign w:val="center"/>
                </w:tcPr>
                <w:p w14:paraId="148D20AC">
                  <w:pPr>
                    <w:widowControl/>
                    <w:kinsoku w:val="0"/>
                    <w:autoSpaceDE w:val="0"/>
                    <w:autoSpaceDN w:val="0"/>
                    <w:spacing w:line="240" w:lineRule="auto"/>
                    <w:ind w:firstLine="0" w:firstLineChars="0"/>
                    <w:jc w:val="center"/>
                    <w:textAlignment w:val="baseline"/>
                    <w:rPr>
                      <w:rFonts w:cs="宋体"/>
                      <w:b/>
                      <w:bCs/>
                      <w:snapToGrid w:val="0"/>
                      <w:color w:val="000000"/>
                      <w:kern w:val="0"/>
                      <w:sz w:val="21"/>
                      <w:szCs w:val="20"/>
                      <w:lang w:eastAsia="en-US"/>
                    </w:rPr>
                  </w:pPr>
                  <w:r>
                    <w:rPr>
                      <w:rFonts w:cs="宋体"/>
                      <w:b/>
                      <w:bCs/>
                      <w:snapToGrid w:val="0"/>
                      <w:color w:val="000000"/>
                      <w:spacing w:val="7"/>
                      <w:kern w:val="0"/>
                      <w:sz w:val="21"/>
                      <w:szCs w:val="20"/>
                      <w:lang w:eastAsia="en-US"/>
                    </w:rPr>
                    <w:t>主要危险物质</w:t>
                  </w:r>
                </w:p>
              </w:tc>
              <w:tc>
                <w:tcPr>
                  <w:tcW w:w="1491" w:type="pct"/>
                  <w:vAlign w:val="center"/>
                </w:tcPr>
                <w:p w14:paraId="62D9A485">
                  <w:pPr>
                    <w:widowControl/>
                    <w:kinsoku w:val="0"/>
                    <w:autoSpaceDE w:val="0"/>
                    <w:autoSpaceDN w:val="0"/>
                    <w:spacing w:line="240" w:lineRule="auto"/>
                    <w:ind w:firstLine="0" w:firstLineChars="0"/>
                    <w:jc w:val="center"/>
                    <w:textAlignment w:val="baseline"/>
                    <w:rPr>
                      <w:rFonts w:cs="宋体"/>
                      <w:b/>
                      <w:bCs/>
                      <w:snapToGrid w:val="0"/>
                      <w:color w:val="000000"/>
                      <w:kern w:val="0"/>
                      <w:sz w:val="21"/>
                      <w:szCs w:val="20"/>
                      <w:lang w:eastAsia="en-US"/>
                    </w:rPr>
                  </w:pPr>
                  <w:r>
                    <w:rPr>
                      <w:rFonts w:cs="宋体"/>
                      <w:b/>
                      <w:bCs/>
                      <w:snapToGrid w:val="0"/>
                      <w:color w:val="000000"/>
                      <w:spacing w:val="8"/>
                      <w:kern w:val="0"/>
                      <w:sz w:val="21"/>
                      <w:szCs w:val="20"/>
                      <w:lang w:eastAsia="en-US"/>
                    </w:rPr>
                    <w:t>环境风险类型</w:t>
                  </w:r>
                </w:p>
              </w:tc>
              <w:tc>
                <w:tcPr>
                  <w:tcW w:w="1142" w:type="pct"/>
                  <w:vAlign w:val="center"/>
                </w:tcPr>
                <w:p w14:paraId="43A17E97">
                  <w:pPr>
                    <w:widowControl/>
                    <w:kinsoku w:val="0"/>
                    <w:autoSpaceDE w:val="0"/>
                    <w:autoSpaceDN w:val="0"/>
                    <w:spacing w:line="240" w:lineRule="auto"/>
                    <w:ind w:firstLine="0" w:firstLineChars="0"/>
                    <w:jc w:val="center"/>
                    <w:textAlignment w:val="baseline"/>
                    <w:rPr>
                      <w:rFonts w:cs="宋体"/>
                      <w:b/>
                      <w:bCs/>
                      <w:snapToGrid w:val="0"/>
                      <w:color w:val="000000"/>
                      <w:kern w:val="0"/>
                      <w:sz w:val="21"/>
                      <w:szCs w:val="20"/>
                      <w:lang w:eastAsia="en-US"/>
                    </w:rPr>
                  </w:pPr>
                  <w:r>
                    <w:rPr>
                      <w:rFonts w:cs="宋体"/>
                      <w:b/>
                      <w:bCs/>
                      <w:snapToGrid w:val="0"/>
                      <w:color w:val="000000"/>
                      <w:spacing w:val="8"/>
                      <w:kern w:val="0"/>
                      <w:sz w:val="21"/>
                      <w:szCs w:val="20"/>
                      <w:lang w:eastAsia="en-US"/>
                    </w:rPr>
                    <w:t>环境影响途径</w:t>
                  </w:r>
                </w:p>
              </w:tc>
            </w:tr>
            <w:tr w14:paraId="076BC0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2" w:hRule="atLeast"/>
              </w:trPr>
              <w:tc>
                <w:tcPr>
                  <w:tcW w:w="398" w:type="pct"/>
                  <w:vAlign w:val="center"/>
                </w:tcPr>
                <w:p w14:paraId="570FF196">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bookmarkStart w:id="347" w:name="OLE_LINK190" w:colFirst="1" w:colLast="4"/>
                  <w:r>
                    <w:rPr>
                      <w:rFonts w:cs="宋体"/>
                      <w:snapToGrid w:val="0"/>
                      <w:color w:val="000000"/>
                      <w:kern w:val="0"/>
                      <w:sz w:val="21"/>
                      <w:szCs w:val="20"/>
                      <w:lang w:eastAsia="en-US"/>
                    </w:rPr>
                    <w:t>1</w:t>
                  </w:r>
                </w:p>
              </w:tc>
              <w:tc>
                <w:tcPr>
                  <w:tcW w:w="814" w:type="pct"/>
                  <w:vAlign w:val="center"/>
                </w:tcPr>
                <w:p w14:paraId="7E62D2BD">
                  <w:pPr>
                    <w:widowControl/>
                    <w:kinsoku w:val="0"/>
                    <w:autoSpaceDE w:val="0"/>
                    <w:autoSpaceDN w:val="0"/>
                    <w:spacing w:line="240" w:lineRule="auto"/>
                    <w:ind w:firstLine="0" w:firstLineChars="0"/>
                    <w:jc w:val="center"/>
                    <w:textAlignment w:val="baseline"/>
                    <w:rPr>
                      <w:rFonts w:cs="宋体"/>
                      <w:snapToGrid w:val="0"/>
                      <w:color w:val="000000"/>
                      <w:kern w:val="0"/>
                      <w:sz w:val="21"/>
                      <w:szCs w:val="20"/>
                    </w:rPr>
                  </w:pPr>
                  <w:r>
                    <w:rPr>
                      <w:rFonts w:hint="eastAsia" w:cs="宋体"/>
                      <w:snapToGrid w:val="0"/>
                      <w:color w:val="000000"/>
                      <w:spacing w:val="5"/>
                      <w:kern w:val="0"/>
                      <w:sz w:val="21"/>
                      <w:szCs w:val="20"/>
                    </w:rPr>
                    <w:t>仓库</w:t>
                  </w:r>
                </w:p>
              </w:tc>
              <w:tc>
                <w:tcPr>
                  <w:tcW w:w="1152" w:type="pct"/>
                  <w:vAlign w:val="center"/>
                </w:tcPr>
                <w:p w14:paraId="265C0C2B">
                  <w:pPr>
                    <w:widowControl/>
                    <w:kinsoku w:val="0"/>
                    <w:autoSpaceDE w:val="0"/>
                    <w:autoSpaceDN w:val="0"/>
                    <w:spacing w:line="240" w:lineRule="auto"/>
                    <w:ind w:firstLine="0" w:firstLineChars="0"/>
                    <w:jc w:val="center"/>
                    <w:textAlignment w:val="baseline"/>
                    <w:rPr>
                      <w:rFonts w:cs="宋体"/>
                      <w:snapToGrid w:val="0"/>
                      <w:color w:val="000000"/>
                      <w:kern w:val="0"/>
                      <w:sz w:val="21"/>
                      <w:szCs w:val="20"/>
                    </w:rPr>
                  </w:pPr>
                  <w:bookmarkStart w:id="348" w:name="OLE_LINK32"/>
                  <w:r>
                    <w:rPr>
                      <w:rFonts w:hint="eastAsia" w:cs="宋体"/>
                      <w:snapToGrid w:val="0"/>
                      <w:color w:val="000000"/>
                      <w:spacing w:val="5"/>
                      <w:kern w:val="0"/>
                      <w:sz w:val="21"/>
                      <w:szCs w:val="20"/>
                    </w:rPr>
                    <w:t>软化油</w:t>
                  </w:r>
                  <w:bookmarkEnd w:id="348"/>
                  <w:r>
                    <w:rPr>
                      <w:rFonts w:hint="eastAsia" w:cs="宋体"/>
                      <w:snapToGrid w:val="0"/>
                      <w:color w:val="000000"/>
                      <w:spacing w:val="5"/>
                      <w:kern w:val="0"/>
                      <w:sz w:val="21"/>
                      <w:szCs w:val="20"/>
                    </w:rPr>
                    <w:t>、润滑油</w:t>
                  </w:r>
                </w:p>
              </w:tc>
              <w:tc>
                <w:tcPr>
                  <w:tcW w:w="1491" w:type="pct"/>
                  <w:vAlign w:val="center"/>
                </w:tcPr>
                <w:p w14:paraId="763EE4C7">
                  <w:pPr>
                    <w:widowControl/>
                    <w:kinsoku w:val="0"/>
                    <w:autoSpaceDE w:val="0"/>
                    <w:autoSpaceDN w:val="0"/>
                    <w:spacing w:line="240" w:lineRule="auto"/>
                    <w:ind w:firstLine="0" w:firstLineChars="0"/>
                    <w:jc w:val="center"/>
                    <w:textAlignment w:val="baseline"/>
                    <w:rPr>
                      <w:rFonts w:cs="宋体"/>
                      <w:snapToGrid w:val="0"/>
                      <w:color w:val="000000"/>
                      <w:kern w:val="0"/>
                      <w:sz w:val="21"/>
                      <w:szCs w:val="20"/>
                    </w:rPr>
                  </w:pPr>
                  <w:r>
                    <w:rPr>
                      <w:rFonts w:cs="宋体"/>
                      <w:snapToGrid w:val="0"/>
                      <w:color w:val="000000"/>
                      <w:spacing w:val="8"/>
                      <w:kern w:val="0"/>
                      <w:sz w:val="21"/>
                      <w:szCs w:val="20"/>
                      <w:lang w:eastAsia="en-US"/>
                    </w:rPr>
                    <w:t>泄漏、火灾</w:t>
                  </w:r>
                </w:p>
              </w:tc>
              <w:tc>
                <w:tcPr>
                  <w:tcW w:w="1142" w:type="pct"/>
                  <w:vAlign w:val="center"/>
                </w:tcPr>
                <w:p w14:paraId="04E13342">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2"/>
                      <w:kern w:val="0"/>
                      <w:sz w:val="21"/>
                      <w:szCs w:val="20"/>
                      <w:lang w:eastAsia="en-US"/>
                    </w:rPr>
                    <w:t>大气</w:t>
                  </w:r>
                  <w:r>
                    <w:rPr>
                      <w:rFonts w:hint="eastAsia" w:cs="宋体"/>
                      <w:snapToGrid w:val="0"/>
                      <w:color w:val="000000"/>
                      <w:spacing w:val="6"/>
                      <w:kern w:val="0"/>
                      <w:sz w:val="21"/>
                      <w:szCs w:val="20"/>
                    </w:rPr>
                    <w:t>、</w:t>
                  </w:r>
                  <w:r>
                    <w:rPr>
                      <w:rFonts w:cs="宋体"/>
                      <w:snapToGrid w:val="0"/>
                      <w:color w:val="000000"/>
                      <w:spacing w:val="3"/>
                      <w:kern w:val="0"/>
                      <w:sz w:val="21"/>
                      <w:szCs w:val="20"/>
                      <w:lang w:eastAsia="en-US"/>
                    </w:rPr>
                    <w:t>地表</w:t>
                  </w:r>
                  <w:r>
                    <w:rPr>
                      <w:rFonts w:hint="eastAsia" w:cs="宋体"/>
                      <w:snapToGrid w:val="0"/>
                      <w:color w:val="000000"/>
                      <w:spacing w:val="3"/>
                      <w:kern w:val="0"/>
                      <w:sz w:val="21"/>
                      <w:szCs w:val="20"/>
                    </w:rPr>
                    <w:t>水、土壤和地下水</w:t>
                  </w:r>
                </w:p>
              </w:tc>
            </w:tr>
            <w:bookmarkEnd w:id="347"/>
            <w:tr w14:paraId="118312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6" w:hRule="atLeast"/>
              </w:trPr>
              <w:tc>
                <w:tcPr>
                  <w:tcW w:w="398" w:type="pct"/>
                  <w:vAlign w:val="center"/>
                </w:tcPr>
                <w:p w14:paraId="2B95B9A9">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kern w:val="0"/>
                      <w:sz w:val="21"/>
                      <w:szCs w:val="20"/>
                      <w:lang w:eastAsia="en-US"/>
                    </w:rPr>
                    <w:t>2</w:t>
                  </w:r>
                </w:p>
              </w:tc>
              <w:tc>
                <w:tcPr>
                  <w:tcW w:w="814" w:type="pct"/>
                  <w:vAlign w:val="center"/>
                </w:tcPr>
                <w:p w14:paraId="24F1FD33">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spacing w:val="8"/>
                      <w:kern w:val="0"/>
                      <w:sz w:val="21"/>
                      <w:szCs w:val="20"/>
                      <w:lang w:eastAsia="en-US"/>
                    </w:rPr>
                    <w:t>废气处理设施</w:t>
                  </w:r>
                </w:p>
              </w:tc>
              <w:tc>
                <w:tcPr>
                  <w:tcW w:w="1152" w:type="pct"/>
                  <w:vAlign w:val="center"/>
                </w:tcPr>
                <w:p w14:paraId="1BEBBD61">
                  <w:pPr>
                    <w:widowControl/>
                    <w:kinsoku w:val="0"/>
                    <w:autoSpaceDE w:val="0"/>
                    <w:autoSpaceDN w:val="0"/>
                    <w:spacing w:line="240" w:lineRule="auto"/>
                    <w:ind w:firstLine="0" w:firstLineChars="0"/>
                    <w:jc w:val="center"/>
                    <w:textAlignment w:val="baseline"/>
                    <w:rPr>
                      <w:rFonts w:cs="宋体"/>
                      <w:snapToGrid w:val="0"/>
                      <w:color w:val="000000"/>
                      <w:kern w:val="0"/>
                      <w:sz w:val="21"/>
                      <w:szCs w:val="20"/>
                    </w:rPr>
                  </w:pPr>
                  <w:r>
                    <w:rPr>
                      <w:rFonts w:hint="eastAsia" w:cs="宋体"/>
                      <w:snapToGrid w:val="0"/>
                      <w:color w:val="000000"/>
                      <w:kern w:val="0"/>
                      <w:sz w:val="21"/>
                      <w:szCs w:val="20"/>
                    </w:rPr>
                    <w:t>非甲烷总烃、臭气浓度、颗粒物</w:t>
                  </w:r>
                </w:p>
              </w:tc>
              <w:tc>
                <w:tcPr>
                  <w:tcW w:w="1491" w:type="pct"/>
                  <w:vAlign w:val="center"/>
                </w:tcPr>
                <w:p w14:paraId="15EC1E87">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bookmarkStart w:id="349" w:name="OLE_LINK165"/>
                  <w:r>
                    <w:rPr>
                      <w:rFonts w:hint="eastAsia" w:cs="宋体"/>
                      <w:snapToGrid w:val="0"/>
                      <w:color w:val="000000"/>
                      <w:kern w:val="0"/>
                      <w:sz w:val="21"/>
                      <w:szCs w:val="20"/>
                    </w:rPr>
                    <w:t>事故排放</w:t>
                  </w:r>
                  <w:bookmarkEnd w:id="349"/>
                </w:p>
              </w:tc>
              <w:tc>
                <w:tcPr>
                  <w:tcW w:w="1142" w:type="pct"/>
                  <w:vAlign w:val="center"/>
                </w:tcPr>
                <w:p w14:paraId="4D9DC219">
                  <w:pPr>
                    <w:widowControl/>
                    <w:kinsoku w:val="0"/>
                    <w:autoSpaceDE w:val="0"/>
                    <w:autoSpaceDN w:val="0"/>
                    <w:spacing w:line="240" w:lineRule="auto"/>
                    <w:ind w:firstLine="0" w:firstLineChars="0"/>
                    <w:jc w:val="center"/>
                    <w:textAlignment w:val="baseline"/>
                    <w:rPr>
                      <w:rFonts w:cs="宋体"/>
                      <w:snapToGrid w:val="0"/>
                      <w:color w:val="000000"/>
                      <w:kern w:val="0"/>
                      <w:sz w:val="21"/>
                      <w:szCs w:val="20"/>
                    </w:rPr>
                  </w:pPr>
                  <w:r>
                    <w:rPr>
                      <w:rFonts w:cs="宋体"/>
                      <w:snapToGrid w:val="0"/>
                      <w:color w:val="000000"/>
                      <w:spacing w:val="6"/>
                      <w:kern w:val="0"/>
                      <w:sz w:val="21"/>
                      <w:szCs w:val="20"/>
                      <w:lang w:eastAsia="en-US"/>
                    </w:rPr>
                    <w:t>大气</w:t>
                  </w:r>
                </w:p>
              </w:tc>
            </w:tr>
            <w:tr w14:paraId="1DB86F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398" w:type="pct"/>
                  <w:vAlign w:val="center"/>
                </w:tcPr>
                <w:p w14:paraId="1DD19F4C">
                  <w:pPr>
                    <w:widowControl/>
                    <w:kinsoku w:val="0"/>
                    <w:autoSpaceDE w:val="0"/>
                    <w:autoSpaceDN w:val="0"/>
                    <w:spacing w:line="240" w:lineRule="auto"/>
                    <w:ind w:firstLine="0" w:firstLineChars="0"/>
                    <w:jc w:val="center"/>
                    <w:textAlignment w:val="baseline"/>
                    <w:rPr>
                      <w:rFonts w:cs="宋体"/>
                      <w:snapToGrid w:val="0"/>
                      <w:color w:val="000000"/>
                      <w:kern w:val="0"/>
                      <w:sz w:val="21"/>
                      <w:szCs w:val="20"/>
                      <w:lang w:eastAsia="en-US"/>
                    </w:rPr>
                  </w:pPr>
                  <w:r>
                    <w:rPr>
                      <w:rFonts w:cs="宋体"/>
                      <w:snapToGrid w:val="0"/>
                      <w:color w:val="000000"/>
                      <w:kern w:val="0"/>
                      <w:sz w:val="21"/>
                      <w:szCs w:val="20"/>
                      <w:lang w:eastAsia="en-US"/>
                    </w:rPr>
                    <w:t>3</w:t>
                  </w:r>
                </w:p>
              </w:tc>
              <w:tc>
                <w:tcPr>
                  <w:tcW w:w="814" w:type="pct"/>
                  <w:vAlign w:val="center"/>
                </w:tcPr>
                <w:p w14:paraId="6C813B47">
                  <w:pPr>
                    <w:widowControl/>
                    <w:kinsoku w:val="0"/>
                    <w:autoSpaceDE w:val="0"/>
                    <w:autoSpaceDN w:val="0"/>
                    <w:spacing w:line="240" w:lineRule="auto"/>
                    <w:ind w:firstLine="0" w:firstLineChars="0"/>
                    <w:jc w:val="center"/>
                    <w:textAlignment w:val="baseline"/>
                    <w:rPr>
                      <w:rFonts w:cs="宋体"/>
                      <w:snapToGrid w:val="0"/>
                      <w:color w:val="000000"/>
                      <w:kern w:val="0"/>
                      <w:sz w:val="21"/>
                      <w:szCs w:val="20"/>
                    </w:rPr>
                  </w:pPr>
                  <w:r>
                    <w:rPr>
                      <w:rFonts w:cs="宋体"/>
                      <w:snapToGrid w:val="0"/>
                      <w:color w:val="000000"/>
                      <w:spacing w:val="7"/>
                      <w:kern w:val="0"/>
                      <w:sz w:val="21"/>
                      <w:szCs w:val="20"/>
                      <w:lang w:eastAsia="en-US"/>
                    </w:rPr>
                    <w:t>危</w:t>
                  </w:r>
                  <w:r>
                    <w:rPr>
                      <w:rFonts w:hint="eastAsia" w:cs="宋体"/>
                      <w:snapToGrid w:val="0"/>
                      <w:color w:val="000000"/>
                      <w:spacing w:val="7"/>
                      <w:kern w:val="0"/>
                      <w:sz w:val="21"/>
                      <w:szCs w:val="20"/>
                    </w:rPr>
                    <w:t>废暂存间</w:t>
                  </w:r>
                </w:p>
              </w:tc>
              <w:tc>
                <w:tcPr>
                  <w:tcW w:w="1152" w:type="pct"/>
                  <w:vAlign w:val="center"/>
                </w:tcPr>
                <w:p w14:paraId="453EF022">
                  <w:pPr>
                    <w:widowControl/>
                    <w:kinsoku w:val="0"/>
                    <w:autoSpaceDE w:val="0"/>
                    <w:autoSpaceDN w:val="0"/>
                    <w:spacing w:line="240" w:lineRule="auto"/>
                    <w:ind w:firstLine="0" w:firstLineChars="0"/>
                    <w:jc w:val="center"/>
                    <w:textAlignment w:val="baseline"/>
                    <w:rPr>
                      <w:rFonts w:cs="宋体"/>
                      <w:snapToGrid w:val="0"/>
                      <w:color w:val="000000"/>
                      <w:kern w:val="0"/>
                      <w:sz w:val="21"/>
                      <w:szCs w:val="20"/>
                    </w:rPr>
                  </w:pPr>
                  <w:r>
                    <w:rPr>
                      <w:rFonts w:hint="eastAsia" w:cs="宋体"/>
                      <w:snapToGrid w:val="0"/>
                      <w:color w:val="000000"/>
                      <w:kern w:val="0"/>
                      <w:sz w:val="21"/>
                      <w:szCs w:val="20"/>
                    </w:rPr>
                    <w:t>危险废物</w:t>
                  </w:r>
                </w:p>
              </w:tc>
              <w:tc>
                <w:tcPr>
                  <w:tcW w:w="1491" w:type="pct"/>
                  <w:vAlign w:val="center"/>
                </w:tcPr>
                <w:p w14:paraId="4055E235">
                  <w:pPr>
                    <w:widowControl/>
                    <w:kinsoku w:val="0"/>
                    <w:autoSpaceDE w:val="0"/>
                    <w:autoSpaceDN w:val="0"/>
                    <w:spacing w:line="240" w:lineRule="auto"/>
                    <w:ind w:firstLine="0" w:firstLineChars="0"/>
                    <w:jc w:val="center"/>
                    <w:textAlignment w:val="baseline"/>
                    <w:rPr>
                      <w:rFonts w:cs="宋体"/>
                      <w:snapToGrid w:val="0"/>
                      <w:color w:val="000000"/>
                      <w:kern w:val="0"/>
                      <w:sz w:val="21"/>
                      <w:szCs w:val="20"/>
                    </w:rPr>
                  </w:pPr>
                  <w:r>
                    <w:rPr>
                      <w:rFonts w:cs="宋体"/>
                      <w:snapToGrid w:val="0"/>
                      <w:color w:val="000000"/>
                      <w:spacing w:val="3"/>
                      <w:kern w:val="0"/>
                      <w:sz w:val="21"/>
                      <w:szCs w:val="20"/>
                      <w:lang w:eastAsia="en-US"/>
                    </w:rPr>
                    <w:t>泄漏</w:t>
                  </w:r>
                  <w:r>
                    <w:rPr>
                      <w:rFonts w:hint="eastAsia" w:cs="宋体"/>
                      <w:snapToGrid w:val="0"/>
                      <w:color w:val="000000"/>
                      <w:spacing w:val="3"/>
                      <w:kern w:val="0"/>
                      <w:sz w:val="21"/>
                      <w:szCs w:val="20"/>
                    </w:rPr>
                    <w:t>、火灾</w:t>
                  </w:r>
                </w:p>
              </w:tc>
              <w:tc>
                <w:tcPr>
                  <w:tcW w:w="1142" w:type="pct"/>
                  <w:vAlign w:val="center"/>
                </w:tcPr>
                <w:p w14:paraId="7B254F22">
                  <w:pPr>
                    <w:widowControl/>
                    <w:kinsoku w:val="0"/>
                    <w:autoSpaceDE w:val="0"/>
                    <w:autoSpaceDN w:val="0"/>
                    <w:spacing w:line="240" w:lineRule="auto"/>
                    <w:ind w:firstLine="0" w:firstLineChars="0"/>
                    <w:jc w:val="center"/>
                    <w:textAlignment w:val="baseline"/>
                    <w:rPr>
                      <w:rFonts w:cs="宋体"/>
                      <w:snapToGrid w:val="0"/>
                      <w:color w:val="000000"/>
                      <w:kern w:val="0"/>
                      <w:sz w:val="21"/>
                      <w:szCs w:val="20"/>
                    </w:rPr>
                  </w:pPr>
                  <w:r>
                    <w:rPr>
                      <w:rFonts w:cs="宋体"/>
                      <w:snapToGrid w:val="0"/>
                      <w:color w:val="000000"/>
                      <w:spacing w:val="3"/>
                      <w:kern w:val="0"/>
                      <w:sz w:val="21"/>
                      <w:szCs w:val="20"/>
                      <w:lang w:eastAsia="en-US"/>
                    </w:rPr>
                    <w:t>地表</w:t>
                  </w:r>
                  <w:r>
                    <w:rPr>
                      <w:rFonts w:hint="eastAsia" w:cs="宋体"/>
                      <w:snapToGrid w:val="0"/>
                      <w:color w:val="000000"/>
                      <w:spacing w:val="3"/>
                      <w:kern w:val="0"/>
                      <w:sz w:val="21"/>
                      <w:szCs w:val="20"/>
                    </w:rPr>
                    <w:t>水、土壤和地下水</w:t>
                  </w:r>
                </w:p>
              </w:tc>
            </w:tr>
            <w:tr w14:paraId="34A755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5" w:hRule="atLeast"/>
              </w:trPr>
              <w:tc>
                <w:tcPr>
                  <w:tcW w:w="398" w:type="pct"/>
                  <w:vAlign w:val="center"/>
                </w:tcPr>
                <w:p w14:paraId="661321DB">
                  <w:pPr>
                    <w:widowControl/>
                    <w:kinsoku w:val="0"/>
                    <w:autoSpaceDE w:val="0"/>
                    <w:autoSpaceDN w:val="0"/>
                    <w:spacing w:line="240" w:lineRule="auto"/>
                    <w:ind w:firstLine="0" w:firstLineChars="0"/>
                    <w:jc w:val="center"/>
                    <w:textAlignment w:val="baseline"/>
                    <w:rPr>
                      <w:rFonts w:cs="宋体"/>
                      <w:snapToGrid w:val="0"/>
                      <w:color w:val="000000"/>
                      <w:kern w:val="0"/>
                      <w:sz w:val="21"/>
                      <w:szCs w:val="20"/>
                    </w:rPr>
                  </w:pPr>
                  <w:r>
                    <w:rPr>
                      <w:rFonts w:hint="eastAsia" w:cs="宋体"/>
                      <w:snapToGrid w:val="0"/>
                      <w:color w:val="000000"/>
                      <w:kern w:val="0"/>
                      <w:sz w:val="21"/>
                      <w:szCs w:val="20"/>
                    </w:rPr>
                    <w:t>4</w:t>
                  </w:r>
                </w:p>
              </w:tc>
              <w:tc>
                <w:tcPr>
                  <w:tcW w:w="814" w:type="pct"/>
                  <w:vAlign w:val="center"/>
                </w:tcPr>
                <w:p w14:paraId="1419AA5B">
                  <w:pPr>
                    <w:widowControl/>
                    <w:kinsoku w:val="0"/>
                    <w:autoSpaceDE w:val="0"/>
                    <w:autoSpaceDN w:val="0"/>
                    <w:spacing w:line="240" w:lineRule="auto"/>
                    <w:ind w:firstLine="0" w:firstLineChars="0"/>
                    <w:jc w:val="center"/>
                    <w:textAlignment w:val="baseline"/>
                    <w:rPr>
                      <w:rFonts w:cs="宋体"/>
                      <w:snapToGrid w:val="0"/>
                      <w:color w:val="000000"/>
                      <w:spacing w:val="7"/>
                      <w:kern w:val="0"/>
                      <w:sz w:val="21"/>
                      <w:szCs w:val="20"/>
                    </w:rPr>
                  </w:pPr>
                  <w:r>
                    <w:rPr>
                      <w:rFonts w:hint="eastAsia" w:cs="宋体"/>
                      <w:snapToGrid w:val="0"/>
                      <w:color w:val="000000"/>
                      <w:spacing w:val="7"/>
                      <w:kern w:val="0"/>
                      <w:sz w:val="21"/>
                      <w:szCs w:val="20"/>
                    </w:rPr>
                    <w:t>废水处理设施</w:t>
                  </w:r>
                </w:p>
              </w:tc>
              <w:tc>
                <w:tcPr>
                  <w:tcW w:w="1152" w:type="pct"/>
                  <w:vAlign w:val="center"/>
                </w:tcPr>
                <w:p w14:paraId="075A9DE6">
                  <w:pPr>
                    <w:widowControl/>
                    <w:kinsoku w:val="0"/>
                    <w:autoSpaceDE w:val="0"/>
                    <w:autoSpaceDN w:val="0"/>
                    <w:spacing w:line="240" w:lineRule="auto"/>
                    <w:ind w:firstLine="0" w:firstLineChars="0"/>
                    <w:jc w:val="center"/>
                    <w:textAlignment w:val="baseline"/>
                    <w:rPr>
                      <w:rFonts w:cs="宋体"/>
                      <w:snapToGrid w:val="0"/>
                      <w:color w:val="000000"/>
                      <w:kern w:val="0"/>
                      <w:sz w:val="21"/>
                      <w:szCs w:val="20"/>
                    </w:rPr>
                  </w:pPr>
                  <w:r>
                    <w:rPr>
                      <w:rFonts w:hint="eastAsia" w:cs="宋体"/>
                      <w:snapToGrid w:val="0"/>
                      <w:color w:val="000000"/>
                      <w:kern w:val="0"/>
                      <w:sz w:val="21"/>
                      <w:szCs w:val="20"/>
                    </w:rPr>
                    <w:t>直接冷却废水</w:t>
                  </w:r>
                </w:p>
              </w:tc>
              <w:tc>
                <w:tcPr>
                  <w:tcW w:w="1491" w:type="pct"/>
                  <w:vAlign w:val="center"/>
                </w:tcPr>
                <w:p w14:paraId="16FBD110">
                  <w:pPr>
                    <w:widowControl/>
                    <w:kinsoku w:val="0"/>
                    <w:autoSpaceDE w:val="0"/>
                    <w:autoSpaceDN w:val="0"/>
                    <w:spacing w:line="240" w:lineRule="auto"/>
                    <w:ind w:firstLine="0" w:firstLineChars="0"/>
                    <w:jc w:val="center"/>
                    <w:textAlignment w:val="baseline"/>
                    <w:rPr>
                      <w:rFonts w:cs="宋体"/>
                      <w:snapToGrid w:val="0"/>
                      <w:color w:val="000000"/>
                      <w:spacing w:val="3"/>
                      <w:kern w:val="0"/>
                      <w:sz w:val="21"/>
                      <w:szCs w:val="20"/>
                    </w:rPr>
                  </w:pPr>
                  <w:r>
                    <w:rPr>
                      <w:rFonts w:hint="eastAsia" w:cs="宋体"/>
                      <w:snapToGrid w:val="0"/>
                      <w:color w:val="000000"/>
                      <w:spacing w:val="3"/>
                      <w:kern w:val="0"/>
                      <w:sz w:val="21"/>
                      <w:szCs w:val="20"/>
                    </w:rPr>
                    <w:t>事故排放</w:t>
                  </w:r>
                </w:p>
              </w:tc>
              <w:tc>
                <w:tcPr>
                  <w:tcW w:w="1142" w:type="pct"/>
                  <w:vAlign w:val="center"/>
                </w:tcPr>
                <w:p w14:paraId="5808494D">
                  <w:pPr>
                    <w:widowControl/>
                    <w:kinsoku w:val="0"/>
                    <w:autoSpaceDE w:val="0"/>
                    <w:autoSpaceDN w:val="0"/>
                    <w:spacing w:line="240" w:lineRule="auto"/>
                    <w:ind w:firstLine="0" w:firstLineChars="0"/>
                    <w:jc w:val="center"/>
                    <w:textAlignment w:val="baseline"/>
                    <w:rPr>
                      <w:rFonts w:cs="宋体"/>
                      <w:snapToGrid w:val="0"/>
                      <w:color w:val="000000"/>
                      <w:spacing w:val="3"/>
                      <w:kern w:val="0"/>
                      <w:sz w:val="21"/>
                      <w:szCs w:val="20"/>
                      <w:lang w:eastAsia="en-US"/>
                    </w:rPr>
                  </w:pPr>
                  <w:r>
                    <w:rPr>
                      <w:rFonts w:cs="宋体"/>
                      <w:snapToGrid w:val="0"/>
                      <w:color w:val="000000"/>
                      <w:spacing w:val="3"/>
                      <w:kern w:val="0"/>
                      <w:sz w:val="21"/>
                      <w:szCs w:val="20"/>
                      <w:lang w:eastAsia="en-US"/>
                    </w:rPr>
                    <w:t>地表</w:t>
                  </w:r>
                  <w:r>
                    <w:rPr>
                      <w:rFonts w:hint="eastAsia" w:cs="宋体"/>
                      <w:snapToGrid w:val="0"/>
                      <w:color w:val="000000"/>
                      <w:spacing w:val="3"/>
                      <w:kern w:val="0"/>
                      <w:sz w:val="21"/>
                      <w:szCs w:val="20"/>
                      <w:lang w:eastAsia="en-US"/>
                    </w:rPr>
                    <w:t>水、土壤和地下水</w:t>
                  </w:r>
                </w:p>
              </w:tc>
            </w:tr>
          </w:tbl>
          <w:p w14:paraId="5AF3F294">
            <w:pPr>
              <w:ind w:firstLine="482"/>
              <w:jc w:val="both"/>
              <w:rPr>
                <w:b/>
              </w:rPr>
            </w:pPr>
            <w:r>
              <w:rPr>
                <w:rFonts w:hint="eastAsia"/>
                <w:b/>
              </w:rPr>
              <w:t>3、环境风险分析</w:t>
            </w:r>
          </w:p>
          <w:p w14:paraId="394606F7">
            <w:pPr>
              <w:ind w:firstLine="480"/>
              <w:jc w:val="both"/>
              <w:rPr>
                <w:bCs/>
                <w:color w:val="000000"/>
              </w:rPr>
            </w:pPr>
            <w:r>
              <w:rPr>
                <w:bCs/>
                <w:color w:val="000000"/>
              </w:rPr>
              <w:t>本项目</w:t>
            </w:r>
            <w:r>
              <w:rPr>
                <w:rFonts w:hint="eastAsia"/>
                <w:bCs/>
                <w:color w:val="000000"/>
              </w:rPr>
              <w:t>涉及的环境风险类型为火灾引发的伴生/次生污染物排放、泄漏、废水及废气处理设施故障。</w:t>
            </w:r>
          </w:p>
          <w:p w14:paraId="00DFE2E9">
            <w:pPr>
              <w:ind w:firstLine="480"/>
              <w:jc w:val="both"/>
            </w:pPr>
            <w:r>
              <w:rPr>
                <w:rFonts w:hint="eastAsia"/>
              </w:rPr>
              <w:t>（1）火灾引发的伴生/次生污染物排放：项目风险物质遇明火或者高热容易导致火灾事故并引发二次污染，发生火灾事故时产生的浓烟、消防废水等次生环境污染，会对周边大气、地表水、土壤和地下水环境造成影响。</w:t>
            </w:r>
          </w:p>
          <w:p w14:paraId="1F507E78">
            <w:pPr>
              <w:ind w:firstLine="480"/>
              <w:jc w:val="both"/>
            </w:pPr>
            <w:r>
              <w:t>（2）</w:t>
            </w:r>
            <w:bookmarkStart w:id="350" w:name="OLE_LINK191"/>
            <w:r>
              <w:rPr>
                <w:rFonts w:hint="eastAsia"/>
              </w:rPr>
              <w:t>泄</w:t>
            </w:r>
            <w:r>
              <w:rPr>
                <w:rFonts w:hint="eastAsia"/>
                <w:bCs/>
                <w:color w:val="000000"/>
              </w:rPr>
              <w:t>漏</w:t>
            </w:r>
            <w:r>
              <w:rPr>
                <w:rFonts w:hint="eastAsia"/>
              </w:rPr>
              <w:t>：项目仓库、危废暂存间中储存风险物质</w:t>
            </w:r>
            <w:r>
              <w:t>的容器</w:t>
            </w:r>
            <w:r>
              <w:rPr>
                <w:rFonts w:hint="eastAsia"/>
              </w:rPr>
              <w:t>发生</w:t>
            </w:r>
            <w:r>
              <w:t>破损，将会</w:t>
            </w:r>
            <w:r>
              <w:rPr>
                <w:rFonts w:hint="eastAsia"/>
              </w:rPr>
              <w:t>造成风险</w:t>
            </w:r>
            <w:r>
              <w:t>物</w:t>
            </w:r>
            <w:r>
              <w:rPr>
                <w:rFonts w:hint="eastAsia"/>
              </w:rPr>
              <w:t>质</w:t>
            </w:r>
            <w:r>
              <w:t>泄漏，从而污染周边地表水、土壤</w:t>
            </w:r>
            <w:r>
              <w:rPr>
                <w:rFonts w:hint="eastAsia"/>
              </w:rPr>
              <w:t>和</w:t>
            </w:r>
            <w:r>
              <w:t>地下水</w:t>
            </w:r>
            <w:r>
              <w:rPr>
                <w:rFonts w:hint="eastAsia"/>
              </w:rPr>
              <w:t>环境</w:t>
            </w:r>
            <w:r>
              <w:t>。</w:t>
            </w:r>
            <w:bookmarkEnd w:id="350"/>
          </w:p>
          <w:p w14:paraId="462B80ED">
            <w:pPr>
              <w:ind w:firstLine="480"/>
              <w:jc w:val="both"/>
            </w:pPr>
            <w:r>
              <w:t>（3）</w:t>
            </w:r>
            <w:r>
              <w:rPr>
                <w:rFonts w:hint="eastAsia"/>
                <w:bCs/>
                <w:color w:val="000000"/>
              </w:rPr>
              <w:t>废气处理设施故障：</w:t>
            </w:r>
            <w:r>
              <w:t>项目废气处理设施发生故障</w:t>
            </w:r>
            <w:r>
              <w:rPr>
                <w:rFonts w:hint="eastAsia"/>
              </w:rPr>
              <w:t>时，</w:t>
            </w:r>
            <w:r>
              <w:t>导致废气未经处理直接排放至大气中</w:t>
            </w:r>
            <w:r>
              <w:rPr>
                <w:rFonts w:hint="eastAsia"/>
              </w:rPr>
              <w:t>，在非正常工况下各个污染物的排放大幅增加，</w:t>
            </w:r>
            <w:r>
              <w:t>将</w:t>
            </w:r>
            <w:r>
              <w:rPr>
                <w:rFonts w:hint="eastAsia"/>
              </w:rPr>
              <w:t>对</w:t>
            </w:r>
            <w:r>
              <w:t>周</w:t>
            </w:r>
            <w:r>
              <w:rPr>
                <w:rFonts w:hint="eastAsia"/>
              </w:rPr>
              <w:t>边</w:t>
            </w:r>
            <w:r>
              <w:t>大气环境造成</w:t>
            </w:r>
            <w:r>
              <w:rPr>
                <w:rFonts w:hint="eastAsia"/>
              </w:rPr>
              <w:t>污染</w:t>
            </w:r>
            <w:r>
              <w:t>。</w:t>
            </w:r>
          </w:p>
          <w:p w14:paraId="583F64F9">
            <w:pPr>
              <w:ind w:firstLine="480"/>
              <w:jc w:val="both"/>
            </w:pPr>
            <w:r>
              <w:rPr>
                <w:rFonts w:hint="eastAsia"/>
              </w:rPr>
              <w:t>（4）</w:t>
            </w:r>
            <w:bookmarkStart w:id="351" w:name="OLE_LINK164"/>
            <w:r>
              <w:rPr>
                <w:rFonts w:hint="eastAsia"/>
              </w:rPr>
              <w:t>废水处理设施故障</w:t>
            </w:r>
            <w:bookmarkEnd w:id="351"/>
          </w:p>
          <w:p w14:paraId="4A97CAEE">
            <w:pPr>
              <w:ind w:firstLine="480"/>
              <w:jc w:val="both"/>
            </w:pPr>
            <w:r>
              <w:rPr>
                <w:rFonts w:hint="eastAsia"/>
              </w:rPr>
              <w:t>废水处理设施出现故障时，此时未经过处理的直接冷却废水溢流到地面，各种污染物的去除率为0，将造成周围地表水、土壤和地下水环境污染。</w:t>
            </w:r>
          </w:p>
          <w:p w14:paraId="0B2E787E">
            <w:pPr>
              <w:ind w:firstLine="482"/>
              <w:jc w:val="both"/>
              <w:rPr>
                <w:b/>
              </w:rPr>
            </w:pPr>
            <w:r>
              <w:rPr>
                <w:rFonts w:hint="eastAsia"/>
                <w:b/>
              </w:rPr>
              <w:t>4</w:t>
            </w:r>
            <w:r>
              <w:rPr>
                <w:b/>
              </w:rPr>
              <w:t>、</w:t>
            </w:r>
            <w:r>
              <w:rPr>
                <w:rFonts w:hint="eastAsia"/>
                <w:b/>
              </w:rPr>
              <w:t>环境</w:t>
            </w:r>
            <w:r>
              <w:rPr>
                <w:b/>
              </w:rPr>
              <w:t>风险防范措施</w:t>
            </w:r>
          </w:p>
          <w:p w14:paraId="324AC895">
            <w:pPr>
              <w:ind w:firstLine="480"/>
              <w:jc w:val="both"/>
            </w:pPr>
            <w:r>
              <w:rPr>
                <w:rFonts w:hint="eastAsia"/>
              </w:rPr>
              <w:t>（1）火灾引发的伴生/次生污染物排放的防范措施</w:t>
            </w:r>
          </w:p>
          <w:p w14:paraId="2C675941">
            <w:pPr>
              <w:autoSpaceDE w:val="0"/>
              <w:ind w:firstLine="480"/>
              <w:jc w:val="both"/>
            </w:pPr>
            <w:r>
              <w:t>①建立事故应急预案，成立事故应急处理小组</w:t>
            </w:r>
            <w:r>
              <w:rPr>
                <w:rFonts w:hint="eastAsia"/>
              </w:rPr>
              <w:t>，并配备消防应急设备</w:t>
            </w:r>
            <w:r>
              <w:t>；</w:t>
            </w:r>
          </w:p>
          <w:p w14:paraId="68E21537">
            <w:pPr>
              <w:autoSpaceDE w:val="0"/>
              <w:ind w:firstLine="480"/>
              <w:jc w:val="both"/>
            </w:pPr>
            <w:r>
              <w:rPr>
                <w:rFonts w:hint="eastAsia"/>
              </w:rPr>
              <w:t>②加强明火管理，车间内严禁烟火；</w:t>
            </w:r>
          </w:p>
          <w:p w14:paraId="234673FF">
            <w:pPr>
              <w:autoSpaceDE w:val="0"/>
              <w:ind w:firstLine="480"/>
              <w:jc w:val="both"/>
              <w:rPr>
                <w:szCs w:val="21"/>
              </w:rPr>
            </w:pPr>
            <w:r>
              <w:t>③</w:t>
            </w:r>
            <w:r>
              <w:rPr>
                <w:rFonts w:hint="eastAsia"/>
                <w:szCs w:val="21"/>
              </w:rPr>
              <w:t>加强消防设施的维护与保养，增加消防投入，定期进行消防演习，建立环保、安全、消防各项制度等；</w:t>
            </w:r>
          </w:p>
          <w:p w14:paraId="03DEF81D">
            <w:pPr>
              <w:autoSpaceDE w:val="0"/>
              <w:ind w:firstLine="480"/>
              <w:jc w:val="both"/>
              <w:rPr>
                <w:szCs w:val="21"/>
              </w:rPr>
            </w:pPr>
            <w:r>
              <w:rPr>
                <w:rFonts w:hint="eastAsia" w:cs="宋体"/>
              </w:rPr>
              <w:t>④</w:t>
            </w:r>
            <w:r>
              <w:rPr>
                <w:color w:val="000000"/>
              </w:rPr>
              <w:t>在仓库、车间设置门槛或漫坡，发生</w:t>
            </w:r>
            <w:r>
              <w:rPr>
                <w:rFonts w:hint="eastAsia"/>
                <w:color w:val="000000"/>
              </w:rPr>
              <w:t>火灾</w:t>
            </w:r>
            <w:r>
              <w:rPr>
                <w:color w:val="000000"/>
              </w:rPr>
              <w:t>事故时产生的</w:t>
            </w:r>
            <w:r>
              <w:rPr>
                <w:rFonts w:hint="eastAsia"/>
                <w:color w:val="000000"/>
              </w:rPr>
              <w:t>消防</w:t>
            </w:r>
            <w:r>
              <w:rPr>
                <w:color w:val="000000"/>
              </w:rPr>
              <w:t>废水能截留在仓库或车间内，以免废水对周围环境造成二次污染。</w:t>
            </w:r>
          </w:p>
          <w:p w14:paraId="1FF6DC14">
            <w:pPr>
              <w:autoSpaceDE w:val="0"/>
              <w:ind w:firstLine="480"/>
              <w:jc w:val="both"/>
            </w:pPr>
            <w:bookmarkStart w:id="352" w:name="OLE_LINK192"/>
            <w:r>
              <w:rPr>
                <w:rFonts w:hint="eastAsia"/>
              </w:rPr>
              <w:t>（2）泄漏的防范措施</w:t>
            </w:r>
          </w:p>
          <w:p w14:paraId="3E2BB7D7">
            <w:pPr>
              <w:autoSpaceDE w:val="0"/>
              <w:autoSpaceDN w:val="0"/>
              <w:ind w:firstLine="480"/>
              <w:jc w:val="both"/>
              <w:rPr>
                <w:szCs w:val="21"/>
              </w:rPr>
            </w:pPr>
            <w:r>
              <w:t>①</w:t>
            </w:r>
            <w:r>
              <w:rPr>
                <w:rFonts w:hint="eastAsia"/>
                <w:szCs w:val="21"/>
              </w:rPr>
              <w:t>存放容器应符合国家有关规定，并进行定期检查，风险物质的搬运、储存和操作等都应按照相应的安全技术说明书进行；</w:t>
            </w:r>
          </w:p>
          <w:p w14:paraId="1A7AB7D4">
            <w:pPr>
              <w:autoSpaceDE w:val="0"/>
              <w:autoSpaceDN w:val="0"/>
              <w:ind w:firstLine="480"/>
              <w:jc w:val="both"/>
              <w:rPr>
                <w:szCs w:val="21"/>
              </w:rPr>
            </w:pPr>
            <w:r>
              <w:rPr>
                <w:rFonts w:hint="eastAsia"/>
              </w:rPr>
              <w:t>②</w:t>
            </w:r>
            <w:r>
              <w:rPr>
                <w:rFonts w:hint="eastAsia"/>
                <w:szCs w:val="21"/>
              </w:rPr>
              <w:t>在风险物质放置区周围设置防渗层、托盘、围堰等，并配备吸毡、黄沙、木屑等物质，发现泄漏物料时及时吸收清理；</w:t>
            </w:r>
          </w:p>
          <w:p w14:paraId="71E45800">
            <w:pPr>
              <w:autoSpaceDE w:val="0"/>
              <w:autoSpaceDN w:val="0"/>
              <w:ind w:firstLine="480"/>
              <w:jc w:val="both"/>
            </w:pPr>
            <w:r>
              <w:t>③</w:t>
            </w:r>
            <w:r>
              <w:rPr>
                <w:rFonts w:hint="eastAsia"/>
                <w:szCs w:val="21"/>
              </w:rPr>
              <w:t>危险废物暂存间设置警示标志，并</w:t>
            </w:r>
            <w:r>
              <w:rPr>
                <w:spacing w:val="-1"/>
              </w:rPr>
              <w:t>做好防风、防雨、防晒、防渗漏</w:t>
            </w:r>
            <w:r>
              <w:rPr>
                <w:rFonts w:hint="eastAsia"/>
                <w:spacing w:val="-1"/>
              </w:rPr>
              <w:t>等措施，</w:t>
            </w:r>
            <w:r>
              <w:rPr>
                <w:rFonts w:hint="eastAsia"/>
              </w:rPr>
              <w:t>危险废物暂存间设计严格执行《危险废物贮存污染控制标准》（</w:t>
            </w:r>
            <w:r>
              <w:t>GB18597-20</w:t>
            </w:r>
            <w:r>
              <w:rPr>
                <w:rFonts w:hint="eastAsia"/>
              </w:rPr>
              <w:t>23）规定，且危险废物应定期委托有资质的单位进行安全处置。</w:t>
            </w:r>
          </w:p>
          <w:bookmarkEnd w:id="352"/>
          <w:p w14:paraId="63CC27A4">
            <w:pPr>
              <w:ind w:firstLine="480"/>
              <w:jc w:val="both"/>
            </w:pPr>
            <w:bookmarkStart w:id="353" w:name="OLE_LINK166"/>
            <w:r>
              <w:rPr>
                <w:rFonts w:hint="eastAsia"/>
              </w:rPr>
              <w:t>（3）废气处理设施故障防范措施</w:t>
            </w:r>
          </w:p>
          <w:bookmarkEnd w:id="353"/>
          <w:p w14:paraId="0BD500C1">
            <w:pPr>
              <w:ind w:firstLine="480"/>
              <w:jc w:val="both"/>
            </w:pPr>
            <w:bookmarkStart w:id="354" w:name="OLE_LINK167"/>
            <w:r>
              <w:t>①</w:t>
            </w:r>
            <w:bookmarkEnd w:id="354"/>
            <w:r>
              <w:rPr>
                <w:rFonts w:hint="eastAsia"/>
              </w:rPr>
              <w:t>项目应定期更换活性炭，确保废气处理后稳定达标排放；</w:t>
            </w:r>
          </w:p>
          <w:p w14:paraId="43762D89">
            <w:pPr>
              <w:ind w:firstLine="480"/>
              <w:jc w:val="both"/>
            </w:pPr>
            <w:bookmarkStart w:id="355" w:name="OLE_LINK168"/>
            <w:r>
              <w:rPr>
                <w:rFonts w:hint="eastAsia"/>
              </w:rPr>
              <w:t>②</w:t>
            </w:r>
            <w:bookmarkEnd w:id="355"/>
            <w:r>
              <w:rPr>
                <w:rFonts w:hint="eastAsia"/>
              </w:rPr>
              <w:t>加强对废气处理设施的日常维护管理，操作人员应定期记录废气处理状况，及时保养与维修；</w:t>
            </w:r>
          </w:p>
          <w:p w14:paraId="4DE85F5E">
            <w:pPr>
              <w:ind w:firstLine="480"/>
              <w:jc w:val="both"/>
            </w:pPr>
            <w:bookmarkStart w:id="356" w:name="OLE_LINK169"/>
            <w:r>
              <w:t>③</w:t>
            </w:r>
            <w:bookmarkEnd w:id="356"/>
            <w:r>
              <w:rPr>
                <w:rFonts w:hint="eastAsia"/>
              </w:rPr>
              <w:t>当发现废气处理设施有故障时，应立即停止生产。</w:t>
            </w:r>
          </w:p>
          <w:p w14:paraId="0AFB3FE8">
            <w:pPr>
              <w:ind w:firstLine="480"/>
              <w:jc w:val="both"/>
            </w:pPr>
            <w:r>
              <w:rPr>
                <w:rFonts w:hint="eastAsia"/>
              </w:rPr>
              <w:t>（4）废水处理设施故障防范措施</w:t>
            </w:r>
          </w:p>
          <w:p w14:paraId="5BBAC7D8">
            <w:pPr>
              <w:ind w:firstLine="480"/>
              <w:jc w:val="both"/>
            </w:pPr>
            <w:r>
              <w:rPr>
                <w:rFonts w:hint="eastAsia"/>
              </w:rPr>
              <w:t>①应加强对废水处理设施的日常管理，及时保养与维修，确保废水处理设施正常运行；</w:t>
            </w:r>
          </w:p>
          <w:p w14:paraId="381560F3">
            <w:pPr>
              <w:ind w:firstLine="480"/>
              <w:jc w:val="both"/>
            </w:pPr>
            <w:r>
              <w:rPr>
                <w:rFonts w:hint="eastAsia"/>
              </w:rPr>
              <w:t>②对冷却回用水定期进行检测，确保直接冷却水达标后回用于生产；</w:t>
            </w:r>
          </w:p>
          <w:p w14:paraId="76CE024D">
            <w:pPr>
              <w:ind w:firstLine="480"/>
              <w:jc w:val="both"/>
            </w:pPr>
            <w:r>
              <w:rPr>
                <w:rFonts w:hint="eastAsia"/>
              </w:rPr>
              <w:t>③当废水处理设施出现故障，项目应立即停止生产，严禁生产废水排放至外环境中，防止突发环境污染事故的扩大和蔓延。</w:t>
            </w:r>
          </w:p>
          <w:p w14:paraId="5BD582B7">
            <w:pPr>
              <w:autoSpaceDE w:val="0"/>
              <w:autoSpaceDN w:val="0"/>
              <w:ind w:firstLine="482"/>
              <w:jc w:val="both"/>
              <w:rPr>
                <w:b/>
              </w:rPr>
            </w:pPr>
            <w:r>
              <w:rPr>
                <w:rFonts w:hint="eastAsia"/>
                <w:b/>
              </w:rPr>
              <w:t>5、</w:t>
            </w:r>
            <w:r>
              <w:rPr>
                <w:b/>
              </w:rPr>
              <w:t>环境风险评价结论</w:t>
            </w:r>
          </w:p>
          <w:p w14:paraId="045F8B0F">
            <w:pPr>
              <w:widowControl/>
              <w:ind w:firstLine="480"/>
              <w:jc w:val="both"/>
            </w:pPr>
            <w:r>
              <w:rPr>
                <w:rFonts w:hint="eastAsia"/>
              </w:rPr>
              <w:t>本项目主要环境风险为泄漏、火灾引发的伴生/次生污染物排放、废水及废气处理设施故障。项目采取相应的风险事故防范措施，并制定相应的环境风险应急预案，并定期开展应急救援培训和演练，项目可能造成的风险事故对周围影响是可接受的</w:t>
            </w:r>
            <w:r>
              <w:t>。</w:t>
            </w:r>
          </w:p>
          <w:p w14:paraId="7A3A6F65">
            <w:pPr>
              <w:ind w:firstLine="482"/>
              <w:jc w:val="both"/>
              <w:rPr>
                <w:b/>
              </w:rPr>
            </w:pPr>
            <w:r>
              <w:rPr>
                <w:rFonts w:hint="eastAsia"/>
                <w:b/>
                <w:bCs/>
                <w:color w:val="000000"/>
              </w:rPr>
              <w:t>八、</w:t>
            </w:r>
            <w:r>
              <w:rPr>
                <w:b/>
              </w:rPr>
              <w:t>电磁辐射</w:t>
            </w:r>
            <w:r>
              <w:rPr>
                <w:rFonts w:hint="eastAsia" w:cs="宋体"/>
                <w:b/>
                <w:bCs/>
              </w:rPr>
              <w:t>影响分析和保护措施</w:t>
            </w:r>
          </w:p>
          <w:p w14:paraId="34D05ACB">
            <w:pPr>
              <w:ind w:firstLine="480"/>
              <w:jc w:val="both"/>
              <w:rPr>
                <w:b/>
              </w:rPr>
            </w:pPr>
            <w:r>
              <w:rPr>
                <w:rFonts w:hint="eastAsia"/>
              </w:rPr>
              <w:t>本项目不属于新建或改建、扩建广播电台、差转台、电视塔台、卫星地球上行站、雷达等电磁辐射类项目，故无需开展电磁辐射影响评价。</w:t>
            </w:r>
          </w:p>
        </w:tc>
      </w:tr>
    </w:tbl>
    <w:p w14:paraId="4CC14F0B">
      <w:pPr>
        <w:pStyle w:val="30"/>
        <w:spacing w:before="0" w:beforeAutospacing="0" w:after="0" w:afterAutospacing="0"/>
        <w:ind w:firstLine="600"/>
        <w:rPr>
          <w:rFonts w:ascii="Times New Roman" w:hAnsi="Times New Roman"/>
          <w:snapToGrid w:val="0"/>
          <w:sz w:val="30"/>
          <w:szCs w:val="30"/>
        </w:rPr>
        <w:sectPr>
          <w:pgSz w:w="11907" w:h="16840"/>
          <w:pgMar w:top="1440" w:right="1440" w:bottom="1440" w:left="1440" w:header="851" w:footer="851" w:gutter="0"/>
          <w:cols w:space="720" w:num="1"/>
          <w:docGrid w:linePitch="312" w:charSpace="0"/>
        </w:sectPr>
      </w:pPr>
    </w:p>
    <w:p w14:paraId="60D8ABF3">
      <w:pPr>
        <w:widowControl/>
        <w:spacing w:line="240" w:lineRule="auto"/>
        <w:ind w:firstLine="0" w:firstLineChars="0"/>
        <w:jc w:val="center"/>
        <w:outlineLvl w:val="0"/>
        <w:rPr>
          <w:rFonts w:eastAsia="黑体"/>
          <w:snapToGrid w:val="0"/>
          <w:kern w:val="0"/>
          <w:sz w:val="30"/>
          <w:szCs w:val="30"/>
        </w:rPr>
      </w:pPr>
      <w:bookmarkStart w:id="357" w:name="_Toc4422"/>
      <w:bookmarkStart w:id="358" w:name="_Toc10328"/>
      <w:bookmarkStart w:id="359" w:name="_Toc26481"/>
      <w:bookmarkStart w:id="360" w:name="_Toc25350"/>
      <w:bookmarkStart w:id="361" w:name="_Toc167267311"/>
      <w:bookmarkStart w:id="362" w:name="_Toc7990"/>
      <w:bookmarkStart w:id="363" w:name="_Toc170483981"/>
      <w:bookmarkStart w:id="364" w:name="_Toc6286"/>
      <w:r>
        <w:rPr>
          <w:b/>
          <w:bCs/>
          <w:snapToGrid w:val="0"/>
          <w:kern w:val="0"/>
          <w:sz w:val="30"/>
          <w:szCs w:val="30"/>
        </w:rPr>
        <w:t>五、环境保护措施监督检查清单</w:t>
      </w:r>
      <w:bookmarkEnd w:id="357"/>
      <w:bookmarkEnd w:id="358"/>
    </w:p>
    <w:tbl>
      <w:tblPr>
        <w:tblStyle w:val="34"/>
        <w:tblW w:w="499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38"/>
        <w:gridCol w:w="1109"/>
        <w:gridCol w:w="1424"/>
        <w:gridCol w:w="1609"/>
        <w:gridCol w:w="3555"/>
      </w:tblGrid>
      <w:tr w14:paraId="4CC56E6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23" w:hRule="atLeast"/>
          <w:jc w:val="center"/>
        </w:trPr>
        <w:tc>
          <w:tcPr>
            <w:tcW w:w="832" w:type="pct"/>
            <w:tcBorders>
              <w:tl2br w:val="single" w:color="auto" w:sz="4" w:space="0"/>
            </w:tcBorders>
            <w:vAlign w:val="center"/>
          </w:tcPr>
          <w:p w14:paraId="1A6CFA64">
            <w:pPr>
              <w:spacing w:line="240" w:lineRule="auto"/>
              <w:ind w:firstLine="422"/>
              <w:jc w:val="center"/>
              <w:rPr>
                <w:b/>
                <w:bCs/>
                <w:sz w:val="21"/>
                <w:szCs w:val="21"/>
              </w:rPr>
            </w:pPr>
            <w:r>
              <w:rPr>
                <w:rFonts w:hint="eastAsia"/>
                <w:b/>
                <w:bCs/>
                <w:sz w:val="21"/>
                <w:szCs w:val="21"/>
              </w:rPr>
              <w:t>内容</w:t>
            </w:r>
          </w:p>
          <w:p w14:paraId="25495161">
            <w:pPr>
              <w:spacing w:line="240" w:lineRule="auto"/>
              <w:ind w:firstLine="0" w:firstLineChars="0"/>
              <w:jc w:val="center"/>
              <w:rPr>
                <w:b/>
                <w:bCs/>
                <w:sz w:val="21"/>
                <w:szCs w:val="21"/>
              </w:rPr>
            </w:pPr>
          </w:p>
          <w:p w14:paraId="5059E774">
            <w:pPr>
              <w:spacing w:line="240" w:lineRule="auto"/>
              <w:ind w:firstLine="0" w:firstLineChars="0"/>
              <w:jc w:val="center"/>
              <w:rPr>
                <w:b/>
                <w:bCs/>
                <w:sz w:val="21"/>
                <w:szCs w:val="21"/>
              </w:rPr>
            </w:pPr>
          </w:p>
          <w:p w14:paraId="57B278EC">
            <w:pPr>
              <w:spacing w:line="240" w:lineRule="auto"/>
              <w:ind w:firstLine="0" w:firstLineChars="0"/>
              <w:jc w:val="both"/>
              <w:rPr>
                <w:b/>
                <w:bCs/>
                <w:sz w:val="21"/>
                <w:szCs w:val="21"/>
              </w:rPr>
            </w:pPr>
            <w:r>
              <w:rPr>
                <w:rFonts w:hint="eastAsia"/>
                <w:b/>
                <w:bCs/>
                <w:sz w:val="21"/>
                <w:szCs w:val="21"/>
              </w:rPr>
              <w:t>要素</w:t>
            </w:r>
          </w:p>
        </w:tc>
        <w:tc>
          <w:tcPr>
            <w:tcW w:w="600" w:type="pct"/>
            <w:vAlign w:val="center"/>
          </w:tcPr>
          <w:p w14:paraId="7DB2C9FF">
            <w:pPr>
              <w:spacing w:line="240" w:lineRule="auto"/>
              <w:ind w:firstLine="0" w:firstLineChars="0"/>
              <w:jc w:val="center"/>
              <w:rPr>
                <w:b/>
                <w:bCs/>
                <w:sz w:val="21"/>
                <w:szCs w:val="21"/>
              </w:rPr>
            </w:pPr>
            <w:r>
              <w:rPr>
                <w:rFonts w:hint="eastAsia"/>
                <w:b/>
                <w:bCs/>
                <w:sz w:val="21"/>
                <w:szCs w:val="21"/>
              </w:rPr>
              <w:t>排放口（编号、名称）</w:t>
            </w:r>
            <w:r>
              <w:rPr>
                <w:b/>
                <w:bCs/>
                <w:sz w:val="21"/>
                <w:szCs w:val="21"/>
              </w:rPr>
              <w:t>/</w:t>
            </w:r>
            <w:r>
              <w:rPr>
                <w:rFonts w:hint="eastAsia"/>
                <w:b/>
                <w:bCs/>
                <w:sz w:val="21"/>
                <w:szCs w:val="21"/>
              </w:rPr>
              <w:t>污染源</w:t>
            </w:r>
          </w:p>
        </w:tc>
        <w:tc>
          <w:tcPr>
            <w:tcW w:w="771" w:type="pct"/>
            <w:vAlign w:val="center"/>
          </w:tcPr>
          <w:p w14:paraId="7327F901">
            <w:pPr>
              <w:spacing w:line="240" w:lineRule="auto"/>
              <w:ind w:firstLine="0" w:firstLineChars="0"/>
              <w:jc w:val="center"/>
              <w:rPr>
                <w:b/>
                <w:bCs/>
                <w:sz w:val="21"/>
                <w:szCs w:val="21"/>
              </w:rPr>
            </w:pPr>
            <w:r>
              <w:rPr>
                <w:rFonts w:hint="eastAsia"/>
                <w:b/>
                <w:bCs/>
                <w:sz w:val="21"/>
                <w:szCs w:val="21"/>
              </w:rPr>
              <w:t>污染物项目</w:t>
            </w:r>
          </w:p>
        </w:tc>
        <w:tc>
          <w:tcPr>
            <w:tcW w:w="871" w:type="pct"/>
            <w:vAlign w:val="center"/>
          </w:tcPr>
          <w:p w14:paraId="7CE8D65E">
            <w:pPr>
              <w:spacing w:line="240" w:lineRule="auto"/>
              <w:ind w:firstLine="0" w:firstLineChars="0"/>
              <w:jc w:val="center"/>
              <w:rPr>
                <w:b/>
                <w:bCs/>
                <w:sz w:val="21"/>
                <w:szCs w:val="21"/>
              </w:rPr>
            </w:pPr>
            <w:r>
              <w:rPr>
                <w:rFonts w:hint="eastAsia"/>
                <w:b/>
                <w:bCs/>
                <w:sz w:val="21"/>
                <w:szCs w:val="21"/>
              </w:rPr>
              <w:t>环境保护措施</w:t>
            </w:r>
          </w:p>
        </w:tc>
        <w:tc>
          <w:tcPr>
            <w:tcW w:w="1924" w:type="pct"/>
            <w:vAlign w:val="center"/>
          </w:tcPr>
          <w:p w14:paraId="78A6BB2D">
            <w:pPr>
              <w:spacing w:line="240" w:lineRule="auto"/>
              <w:ind w:firstLine="0" w:firstLineChars="0"/>
              <w:jc w:val="center"/>
              <w:rPr>
                <w:b/>
                <w:bCs/>
                <w:sz w:val="21"/>
                <w:szCs w:val="21"/>
              </w:rPr>
            </w:pPr>
            <w:r>
              <w:rPr>
                <w:rFonts w:hint="eastAsia"/>
                <w:b/>
                <w:bCs/>
                <w:sz w:val="21"/>
                <w:szCs w:val="21"/>
              </w:rPr>
              <w:t>执行标准</w:t>
            </w:r>
          </w:p>
        </w:tc>
      </w:tr>
      <w:tr w14:paraId="0245FA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8" w:hRule="atLeast"/>
          <w:jc w:val="center"/>
        </w:trPr>
        <w:tc>
          <w:tcPr>
            <w:tcW w:w="832" w:type="pct"/>
            <w:vMerge w:val="restart"/>
            <w:vAlign w:val="center"/>
          </w:tcPr>
          <w:p w14:paraId="575A780F">
            <w:pPr>
              <w:spacing w:line="240" w:lineRule="auto"/>
              <w:ind w:firstLine="0" w:firstLineChars="0"/>
              <w:jc w:val="center"/>
              <w:rPr>
                <w:sz w:val="21"/>
                <w:szCs w:val="21"/>
              </w:rPr>
            </w:pPr>
            <w:r>
              <w:rPr>
                <w:rFonts w:hint="eastAsia"/>
                <w:sz w:val="21"/>
                <w:szCs w:val="21"/>
              </w:rPr>
              <w:t>大气环境</w:t>
            </w:r>
          </w:p>
        </w:tc>
        <w:tc>
          <w:tcPr>
            <w:tcW w:w="600" w:type="pct"/>
            <w:vMerge w:val="restart"/>
            <w:vAlign w:val="center"/>
          </w:tcPr>
          <w:p w14:paraId="5594D22D">
            <w:pPr>
              <w:spacing w:line="240" w:lineRule="auto"/>
              <w:ind w:firstLine="0" w:firstLineChars="0"/>
              <w:jc w:val="center"/>
              <w:rPr>
                <w:sz w:val="21"/>
                <w:szCs w:val="21"/>
              </w:rPr>
            </w:pPr>
            <w:r>
              <w:rPr>
                <w:sz w:val="21"/>
                <w:szCs w:val="21"/>
              </w:rPr>
              <w:t>DA001</w:t>
            </w:r>
          </w:p>
        </w:tc>
        <w:tc>
          <w:tcPr>
            <w:tcW w:w="771" w:type="pct"/>
            <w:vAlign w:val="center"/>
          </w:tcPr>
          <w:p w14:paraId="01C93E1F">
            <w:pPr>
              <w:spacing w:line="240" w:lineRule="auto"/>
              <w:ind w:firstLine="0" w:firstLineChars="0"/>
              <w:jc w:val="center"/>
              <w:rPr>
                <w:sz w:val="21"/>
                <w:szCs w:val="21"/>
              </w:rPr>
            </w:pPr>
            <w:r>
              <w:rPr>
                <w:rFonts w:hint="eastAsia"/>
                <w:sz w:val="21"/>
                <w:szCs w:val="21"/>
              </w:rPr>
              <w:t>非甲烷总烃</w:t>
            </w:r>
          </w:p>
        </w:tc>
        <w:tc>
          <w:tcPr>
            <w:tcW w:w="871" w:type="pct"/>
            <w:vMerge w:val="restart"/>
            <w:vAlign w:val="center"/>
          </w:tcPr>
          <w:p w14:paraId="19489936">
            <w:pPr>
              <w:spacing w:line="240" w:lineRule="auto"/>
              <w:ind w:firstLine="0" w:firstLineChars="0"/>
              <w:jc w:val="center"/>
              <w:rPr>
                <w:sz w:val="21"/>
                <w:szCs w:val="21"/>
              </w:rPr>
            </w:pPr>
            <w:r>
              <w:rPr>
                <w:rFonts w:hint="eastAsia"/>
                <w:sz w:val="21"/>
                <w:szCs w:val="21"/>
              </w:rPr>
              <w:t>经“水喷淋+干式过滤器+二级活性炭吸附装置”处理后由30</w:t>
            </w:r>
            <w:r>
              <w:rPr>
                <w:sz w:val="21"/>
                <w:szCs w:val="21"/>
              </w:rPr>
              <w:t>m</w:t>
            </w:r>
            <w:r>
              <w:rPr>
                <w:rFonts w:hint="eastAsia"/>
                <w:sz w:val="21"/>
                <w:szCs w:val="21"/>
              </w:rPr>
              <w:t>排气筒高空排放</w:t>
            </w:r>
          </w:p>
        </w:tc>
        <w:tc>
          <w:tcPr>
            <w:tcW w:w="1924" w:type="pct"/>
            <w:vAlign w:val="center"/>
          </w:tcPr>
          <w:p w14:paraId="6AECB065">
            <w:pPr>
              <w:spacing w:line="240" w:lineRule="auto"/>
              <w:ind w:firstLine="0" w:firstLineChars="0"/>
              <w:jc w:val="both"/>
              <w:rPr>
                <w:sz w:val="21"/>
                <w:szCs w:val="21"/>
              </w:rPr>
            </w:pPr>
            <w:r>
              <w:rPr>
                <w:rFonts w:hint="eastAsia"/>
                <w:sz w:val="21"/>
                <w:szCs w:val="21"/>
              </w:rPr>
              <w:t>《合成树脂工业污染物排放标准（含2024年修改单）》（GB31572-2015）表5大气污染物特别排放限值</w:t>
            </w:r>
          </w:p>
        </w:tc>
      </w:tr>
      <w:tr w14:paraId="201694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832" w:type="pct"/>
            <w:vMerge w:val="continue"/>
            <w:vAlign w:val="center"/>
          </w:tcPr>
          <w:p w14:paraId="58E8CE00">
            <w:pPr>
              <w:spacing w:line="240" w:lineRule="auto"/>
              <w:ind w:firstLine="0" w:firstLineChars="0"/>
              <w:jc w:val="center"/>
              <w:rPr>
                <w:sz w:val="21"/>
                <w:szCs w:val="21"/>
              </w:rPr>
            </w:pPr>
          </w:p>
        </w:tc>
        <w:tc>
          <w:tcPr>
            <w:tcW w:w="600" w:type="pct"/>
            <w:vMerge w:val="continue"/>
            <w:vAlign w:val="center"/>
          </w:tcPr>
          <w:p w14:paraId="2F20D144">
            <w:pPr>
              <w:spacing w:line="240" w:lineRule="auto"/>
              <w:ind w:firstLine="0" w:firstLineChars="0"/>
              <w:jc w:val="center"/>
              <w:rPr>
                <w:sz w:val="21"/>
                <w:szCs w:val="21"/>
              </w:rPr>
            </w:pPr>
          </w:p>
        </w:tc>
        <w:tc>
          <w:tcPr>
            <w:tcW w:w="771" w:type="pct"/>
            <w:vAlign w:val="center"/>
          </w:tcPr>
          <w:p w14:paraId="49C5B1B7">
            <w:pPr>
              <w:spacing w:line="240" w:lineRule="auto"/>
              <w:ind w:firstLine="0" w:firstLineChars="0"/>
              <w:jc w:val="center"/>
              <w:rPr>
                <w:sz w:val="21"/>
                <w:szCs w:val="21"/>
              </w:rPr>
            </w:pPr>
            <w:r>
              <w:rPr>
                <w:rFonts w:hint="eastAsia"/>
                <w:sz w:val="21"/>
                <w:szCs w:val="21"/>
              </w:rPr>
              <w:t>臭气浓度</w:t>
            </w:r>
          </w:p>
        </w:tc>
        <w:tc>
          <w:tcPr>
            <w:tcW w:w="871" w:type="pct"/>
            <w:vMerge w:val="continue"/>
            <w:vAlign w:val="center"/>
          </w:tcPr>
          <w:p w14:paraId="2A8823CC">
            <w:pPr>
              <w:spacing w:line="240" w:lineRule="auto"/>
              <w:ind w:firstLine="0" w:firstLineChars="0"/>
              <w:jc w:val="center"/>
              <w:rPr>
                <w:sz w:val="21"/>
                <w:szCs w:val="21"/>
              </w:rPr>
            </w:pPr>
          </w:p>
        </w:tc>
        <w:tc>
          <w:tcPr>
            <w:tcW w:w="1924" w:type="pct"/>
            <w:vAlign w:val="center"/>
          </w:tcPr>
          <w:p w14:paraId="493F0F4B">
            <w:pPr>
              <w:spacing w:line="240" w:lineRule="auto"/>
              <w:ind w:firstLine="0" w:firstLineChars="0"/>
              <w:jc w:val="both"/>
              <w:rPr>
                <w:sz w:val="21"/>
                <w:szCs w:val="21"/>
              </w:rPr>
            </w:pPr>
            <w:r>
              <w:rPr>
                <w:rFonts w:hint="eastAsia"/>
                <w:sz w:val="21"/>
                <w:szCs w:val="21"/>
              </w:rPr>
              <w:t>《恶臭污染物排放标准》（GB14554-1993）表2恶臭污染物排放标准值</w:t>
            </w:r>
          </w:p>
        </w:tc>
      </w:tr>
      <w:tr w14:paraId="193E89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39" w:hRule="atLeast"/>
          <w:jc w:val="center"/>
        </w:trPr>
        <w:tc>
          <w:tcPr>
            <w:tcW w:w="832" w:type="pct"/>
            <w:vMerge w:val="continue"/>
            <w:vAlign w:val="center"/>
          </w:tcPr>
          <w:p w14:paraId="7EB97C7D">
            <w:pPr>
              <w:spacing w:line="240" w:lineRule="auto"/>
              <w:ind w:firstLine="0" w:firstLineChars="0"/>
              <w:jc w:val="center"/>
              <w:rPr>
                <w:sz w:val="21"/>
                <w:szCs w:val="21"/>
              </w:rPr>
            </w:pPr>
          </w:p>
        </w:tc>
        <w:tc>
          <w:tcPr>
            <w:tcW w:w="600" w:type="pct"/>
            <w:vMerge w:val="continue"/>
            <w:vAlign w:val="center"/>
          </w:tcPr>
          <w:p w14:paraId="20E45D51">
            <w:pPr>
              <w:spacing w:line="240" w:lineRule="auto"/>
              <w:ind w:firstLine="0" w:firstLineChars="0"/>
              <w:jc w:val="center"/>
              <w:rPr>
                <w:sz w:val="21"/>
                <w:szCs w:val="21"/>
              </w:rPr>
            </w:pPr>
          </w:p>
        </w:tc>
        <w:tc>
          <w:tcPr>
            <w:tcW w:w="771" w:type="pct"/>
            <w:vAlign w:val="center"/>
          </w:tcPr>
          <w:p w14:paraId="2A7BE2B1">
            <w:pPr>
              <w:spacing w:line="240" w:lineRule="auto"/>
              <w:ind w:firstLine="0" w:firstLineChars="0"/>
              <w:jc w:val="center"/>
              <w:rPr>
                <w:sz w:val="21"/>
                <w:szCs w:val="21"/>
              </w:rPr>
            </w:pPr>
            <w:r>
              <w:rPr>
                <w:rFonts w:hint="eastAsia"/>
                <w:sz w:val="21"/>
                <w:szCs w:val="21"/>
              </w:rPr>
              <w:t>颗粒物</w:t>
            </w:r>
          </w:p>
        </w:tc>
        <w:tc>
          <w:tcPr>
            <w:tcW w:w="871" w:type="pct"/>
            <w:vMerge w:val="continue"/>
            <w:vAlign w:val="center"/>
          </w:tcPr>
          <w:p w14:paraId="33FD7A87">
            <w:pPr>
              <w:spacing w:line="240" w:lineRule="auto"/>
              <w:ind w:firstLine="0" w:firstLineChars="0"/>
              <w:jc w:val="center"/>
              <w:rPr>
                <w:sz w:val="21"/>
                <w:szCs w:val="21"/>
              </w:rPr>
            </w:pPr>
          </w:p>
        </w:tc>
        <w:tc>
          <w:tcPr>
            <w:tcW w:w="1924" w:type="pct"/>
            <w:vAlign w:val="center"/>
          </w:tcPr>
          <w:p w14:paraId="17ACE8EF">
            <w:pPr>
              <w:spacing w:line="240" w:lineRule="auto"/>
              <w:ind w:firstLine="0" w:firstLineChars="0"/>
              <w:jc w:val="both"/>
              <w:rPr>
                <w:sz w:val="21"/>
                <w:szCs w:val="21"/>
              </w:rPr>
            </w:pPr>
            <w:r>
              <w:rPr>
                <w:rFonts w:hint="eastAsia"/>
                <w:sz w:val="21"/>
                <w:szCs w:val="21"/>
              </w:rPr>
              <w:t>《合成树脂工业污染物排放标准（含2024年修改单）》（GB31572-2015）表5大气污染物特别排放限值</w:t>
            </w:r>
          </w:p>
        </w:tc>
      </w:tr>
      <w:tr w14:paraId="339A07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7" w:hRule="atLeast"/>
          <w:jc w:val="center"/>
        </w:trPr>
        <w:tc>
          <w:tcPr>
            <w:tcW w:w="832" w:type="pct"/>
            <w:vMerge w:val="continue"/>
            <w:vAlign w:val="center"/>
          </w:tcPr>
          <w:p w14:paraId="4B536E74">
            <w:pPr>
              <w:spacing w:line="240" w:lineRule="auto"/>
              <w:ind w:firstLine="0" w:firstLineChars="0"/>
              <w:jc w:val="center"/>
              <w:rPr>
                <w:sz w:val="21"/>
                <w:szCs w:val="21"/>
              </w:rPr>
            </w:pPr>
          </w:p>
        </w:tc>
        <w:tc>
          <w:tcPr>
            <w:tcW w:w="600" w:type="pct"/>
            <w:vMerge w:val="restart"/>
            <w:vAlign w:val="center"/>
          </w:tcPr>
          <w:p w14:paraId="63835DCD">
            <w:pPr>
              <w:spacing w:line="240" w:lineRule="auto"/>
              <w:ind w:firstLine="0" w:firstLineChars="0"/>
              <w:jc w:val="center"/>
              <w:rPr>
                <w:sz w:val="21"/>
                <w:szCs w:val="21"/>
              </w:rPr>
            </w:pPr>
            <w:r>
              <w:rPr>
                <w:rFonts w:hint="eastAsia"/>
                <w:sz w:val="21"/>
                <w:szCs w:val="21"/>
              </w:rPr>
              <w:t>厂界</w:t>
            </w:r>
          </w:p>
        </w:tc>
        <w:tc>
          <w:tcPr>
            <w:tcW w:w="771" w:type="pct"/>
            <w:vAlign w:val="center"/>
          </w:tcPr>
          <w:p w14:paraId="0B637558">
            <w:pPr>
              <w:spacing w:line="240" w:lineRule="auto"/>
              <w:ind w:firstLine="0" w:firstLineChars="0"/>
              <w:jc w:val="center"/>
              <w:rPr>
                <w:sz w:val="21"/>
                <w:szCs w:val="21"/>
              </w:rPr>
            </w:pPr>
            <w:r>
              <w:rPr>
                <w:rFonts w:hint="eastAsia"/>
                <w:sz w:val="21"/>
                <w:szCs w:val="21"/>
              </w:rPr>
              <w:t>非甲烷总烃</w:t>
            </w:r>
          </w:p>
        </w:tc>
        <w:tc>
          <w:tcPr>
            <w:tcW w:w="871" w:type="pct"/>
            <w:vMerge w:val="restart"/>
            <w:vAlign w:val="center"/>
          </w:tcPr>
          <w:p w14:paraId="69ECE57D">
            <w:pPr>
              <w:spacing w:line="240" w:lineRule="auto"/>
              <w:ind w:firstLine="0" w:firstLineChars="0"/>
              <w:jc w:val="center"/>
              <w:rPr>
                <w:sz w:val="21"/>
                <w:szCs w:val="21"/>
              </w:rPr>
            </w:pPr>
            <w:r>
              <w:rPr>
                <w:rFonts w:hint="eastAsia"/>
                <w:sz w:val="21"/>
                <w:szCs w:val="21"/>
              </w:rPr>
              <w:t>加强车间通风</w:t>
            </w:r>
          </w:p>
        </w:tc>
        <w:tc>
          <w:tcPr>
            <w:tcW w:w="1924" w:type="pct"/>
            <w:vAlign w:val="center"/>
          </w:tcPr>
          <w:p w14:paraId="1B52C754">
            <w:pPr>
              <w:spacing w:line="240" w:lineRule="auto"/>
              <w:ind w:firstLine="0" w:firstLineChars="0"/>
              <w:jc w:val="both"/>
              <w:rPr>
                <w:sz w:val="21"/>
                <w:szCs w:val="21"/>
              </w:rPr>
            </w:pPr>
            <w:r>
              <w:rPr>
                <w:rFonts w:hint="eastAsia"/>
                <w:sz w:val="21"/>
                <w:szCs w:val="21"/>
              </w:rPr>
              <w:t>《合成树脂工业污染物排放标准（含2024年修改单）》（GB31572-2015）表9大气污染物排放限值</w:t>
            </w:r>
          </w:p>
        </w:tc>
      </w:tr>
      <w:tr w14:paraId="3E4AB7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84" w:hRule="atLeast"/>
          <w:jc w:val="center"/>
        </w:trPr>
        <w:tc>
          <w:tcPr>
            <w:tcW w:w="832" w:type="pct"/>
            <w:vMerge w:val="continue"/>
            <w:vAlign w:val="center"/>
          </w:tcPr>
          <w:p w14:paraId="2C9345B7">
            <w:pPr>
              <w:spacing w:line="240" w:lineRule="auto"/>
              <w:ind w:firstLine="0" w:firstLineChars="0"/>
              <w:jc w:val="center"/>
              <w:rPr>
                <w:sz w:val="21"/>
                <w:szCs w:val="21"/>
              </w:rPr>
            </w:pPr>
          </w:p>
        </w:tc>
        <w:tc>
          <w:tcPr>
            <w:tcW w:w="600" w:type="pct"/>
            <w:vMerge w:val="continue"/>
            <w:vAlign w:val="center"/>
          </w:tcPr>
          <w:p w14:paraId="57068472">
            <w:pPr>
              <w:spacing w:line="240" w:lineRule="auto"/>
              <w:ind w:firstLine="0" w:firstLineChars="0"/>
              <w:jc w:val="center"/>
              <w:rPr>
                <w:sz w:val="21"/>
                <w:szCs w:val="21"/>
              </w:rPr>
            </w:pPr>
          </w:p>
        </w:tc>
        <w:tc>
          <w:tcPr>
            <w:tcW w:w="771" w:type="pct"/>
            <w:vAlign w:val="center"/>
          </w:tcPr>
          <w:p w14:paraId="2D215268">
            <w:pPr>
              <w:spacing w:line="240" w:lineRule="auto"/>
              <w:ind w:firstLine="0" w:firstLineChars="0"/>
              <w:jc w:val="center"/>
              <w:rPr>
                <w:sz w:val="21"/>
                <w:szCs w:val="21"/>
              </w:rPr>
            </w:pPr>
            <w:r>
              <w:rPr>
                <w:rFonts w:hint="eastAsia"/>
                <w:sz w:val="21"/>
                <w:szCs w:val="21"/>
              </w:rPr>
              <w:t>臭气浓度</w:t>
            </w:r>
          </w:p>
        </w:tc>
        <w:tc>
          <w:tcPr>
            <w:tcW w:w="871" w:type="pct"/>
            <w:vMerge w:val="continue"/>
            <w:vAlign w:val="center"/>
          </w:tcPr>
          <w:p w14:paraId="0DCD970B">
            <w:pPr>
              <w:spacing w:line="240" w:lineRule="auto"/>
              <w:ind w:firstLine="0" w:firstLineChars="0"/>
              <w:jc w:val="center"/>
              <w:rPr>
                <w:sz w:val="21"/>
                <w:szCs w:val="21"/>
              </w:rPr>
            </w:pPr>
          </w:p>
        </w:tc>
        <w:tc>
          <w:tcPr>
            <w:tcW w:w="1924" w:type="pct"/>
            <w:vAlign w:val="center"/>
          </w:tcPr>
          <w:p w14:paraId="5FF47F1F">
            <w:pPr>
              <w:spacing w:line="240" w:lineRule="auto"/>
              <w:ind w:firstLine="0" w:firstLineChars="0"/>
              <w:jc w:val="both"/>
              <w:rPr>
                <w:sz w:val="21"/>
                <w:szCs w:val="21"/>
              </w:rPr>
            </w:pPr>
            <w:r>
              <w:rPr>
                <w:rFonts w:hint="eastAsia"/>
                <w:sz w:val="21"/>
                <w:szCs w:val="21"/>
              </w:rPr>
              <w:t>《恶臭污染物排放标准》（GB14554-1993）表1恶臭污染物厂界标准值二级新改扩建排放标准</w:t>
            </w:r>
          </w:p>
        </w:tc>
      </w:tr>
      <w:tr w14:paraId="3C4FA0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32" w:type="pct"/>
            <w:vMerge w:val="continue"/>
            <w:vAlign w:val="center"/>
          </w:tcPr>
          <w:p w14:paraId="556DE58B">
            <w:pPr>
              <w:spacing w:line="240" w:lineRule="auto"/>
              <w:ind w:firstLine="0" w:firstLineChars="0"/>
              <w:jc w:val="center"/>
              <w:rPr>
                <w:sz w:val="21"/>
                <w:szCs w:val="21"/>
              </w:rPr>
            </w:pPr>
          </w:p>
        </w:tc>
        <w:tc>
          <w:tcPr>
            <w:tcW w:w="600" w:type="pct"/>
            <w:vMerge w:val="continue"/>
            <w:vAlign w:val="center"/>
          </w:tcPr>
          <w:p w14:paraId="11D92ECA">
            <w:pPr>
              <w:spacing w:line="240" w:lineRule="auto"/>
              <w:ind w:firstLine="0" w:firstLineChars="0"/>
              <w:jc w:val="center"/>
              <w:rPr>
                <w:sz w:val="21"/>
                <w:szCs w:val="21"/>
              </w:rPr>
            </w:pPr>
          </w:p>
        </w:tc>
        <w:tc>
          <w:tcPr>
            <w:tcW w:w="771" w:type="pct"/>
            <w:vAlign w:val="center"/>
          </w:tcPr>
          <w:p w14:paraId="24B14696">
            <w:pPr>
              <w:spacing w:line="240" w:lineRule="auto"/>
              <w:ind w:firstLine="0" w:firstLineChars="0"/>
              <w:jc w:val="center"/>
              <w:rPr>
                <w:sz w:val="21"/>
                <w:szCs w:val="21"/>
              </w:rPr>
            </w:pPr>
            <w:r>
              <w:rPr>
                <w:rFonts w:hint="eastAsia"/>
                <w:sz w:val="21"/>
                <w:szCs w:val="21"/>
              </w:rPr>
              <w:t>颗粒物</w:t>
            </w:r>
          </w:p>
        </w:tc>
        <w:tc>
          <w:tcPr>
            <w:tcW w:w="871" w:type="pct"/>
            <w:vMerge w:val="continue"/>
            <w:vAlign w:val="center"/>
          </w:tcPr>
          <w:p w14:paraId="0EACD40C">
            <w:pPr>
              <w:spacing w:line="240" w:lineRule="auto"/>
              <w:ind w:firstLine="0" w:firstLineChars="0"/>
              <w:jc w:val="center"/>
              <w:rPr>
                <w:sz w:val="21"/>
                <w:szCs w:val="21"/>
              </w:rPr>
            </w:pPr>
          </w:p>
        </w:tc>
        <w:tc>
          <w:tcPr>
            <w:tcW w:w="1924" w:type="pct"/>
            <w:vAlign w:val="center"/>
          </w:tcPr>
          <w:p w14:paraId="5D467CCB">
            <w:pPr>
              <w:spacing w:line="240" w:lineRule="auto"/>
              <w:ind w:firstLine="0" w:firstLineChars="0"/>
              <w:jc w:val="both"/>
              <w:rPr>
                <w:sz w:val="21"/>
                <w:szCs w:val="21"/>
              </w:rPr>
            </w:pPr>
            <w:r>
              <w:rPr>
                <w:rFonts w:hint="eastAsia"/>
                <w:sz w:val="21"/>
                <w:szCs w:val="21"/>
              </w:rPr>
              <w:t>《合成树脂工业污染物排放标准（含2024年修改单）》（GB31572-2015）表9大气污染物排放限值</w:t>
            </w:r>
          </w:p>
        </w:tc>
      </w:tr>
      <w:tr w14:paraId="05E820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32" w:type="pct"/>
            <w:vMerge w:val="continue"/>
            <w:vAlign w:val="center"/>
          </w:tcPr>
          <w:p w14:paraId="1341DE4C">
            <w:pPr>
              <w:spacing w:line="240" w:lineRule="auto"/>
              <w:ind w:firstLine="0" w:firstLineChars="0"/>
              <w:jc w:val="center"/>
              <w:rPr>
                <w:sz w:val="21"/>
                <w:szCs w:val="21"/>
              </w:rPr>
            </w:pPr>
          </w:p>
        </w:tc>
        <w:tc>
          <w:tcPr>
            <w:tcW w:w="600" w:type="pct"/>
            <w:vAlign w:val="center"/>
          </w:tcPr>
          <w:p w14:paraId="315262E2">
            <w:pPr>
              <w:spacing w:line="240" w:lineRule="auto"/>
              <w:ind w:firstLine="0" w:firstLineChars="0"/>
              <w:jc w:val="center"/>
              <w:rPr>
                <w:sz w:val="21"/>
                <w:szCs w:val="21"/>
              </w:rPr>
            </w:pPr>
            <w:r>
              <w:rPr>
                <w:rFonts w:hint="eastAsia"/>
                <w:sz w:val="21"/>
                <w:szCs w:val="21"/>
              </w:rPr>
              <w:t>厂区内</w:t>
            </w:r>
          </w:p>
        </w:tc>
        <w:tc>
          <w:tcPr>
            <w:tcW w:w="771" w:type="pct"/>
            <w:vAlign w:val="center"/>
          </w:tcPr>
          <w:p w14:paraId="12F90BCF">
            <w:pPr>
              <w:spacing w:line="240" w:lineRule="auto"/>
              <w:ind w:firstLine="0" w:firstLineChars="0"/>
              <w:jc w:val="center"/>
              <w:rPr>
                <w:sz w:val="21"/>
                <w:szCs w:val="21"/>
              </w:rPr>
            </w:pPr>
            <w:r>
              <w:rPr>
                <w:sz w:val="21"/>
                <w:szCs w:val="21"/>
              </w:rPr>
              <w:t>NMHC</w:t>
            </w:r>
          </w:p>
        </w:tc>
        <w:tc>
          <w:tcPr>
            <w:tcW w:w="871" w:type="pct"/>
            <w:vAlign w:val="center"/>
          </w:tcPr>
          <w:p w14:paraId="429E8935">
            <w:pPr>
              <w:spacing w:line="240" w:lineRule="auto"/>
              <w:ind w:firstLine="0" w:firstLineChars="0"/>
              <w:jc w:val="center"/>
              <w:rPr>
                <w:sz w:val="21"/>
                <w:szCs w:val="21"/>
              </w:rPr>
            </w:pPr>
            <w:r>
              <w:rPr>
                <w:rFonts w:hint="eastAsia"/>
                <w:sz w:val="21"/>
                <w:szCs w:val="21"/>
              </w:rPr>
              <w:t>加强车间通风</w:t>
            </w:r>
          </w:p>
        </w:tc>
        <w:tc>
          <w:tcPr>
            <w:tcW w:w="1924" w:type="pct"/>
            <w:vAlign w:val="center"/>
          </w:tcPr>
          <w:p w14:paraId="0B69D1DA">
            <w:pPr>
              <w:spacing w:line="240" w:lineRule="auto"/>
              <w:ind w:firstLine="0" w:firstLineChars="0"/>
              <w:jc w:val="both"/>
              <w:rPr>
                <w:sz w:val="21"/>
                <w:szCs w:val="21"/>
              </w:rPr>
            </w:pPr>
            <w:r>
              <w:rPr>
                <w:rFonts w:hint="eastAsia"/>
                <w:sz w:val="21"/>
                <w:szCs w:val="21"/>
              </w:rPr>
              <w:t>广东省地方标准《固定污染源挥发性有机物综合排放标准》（</w:t>
            </w:r>
            <w:r>
              <w:rPr>
                <w:sz w:val="21"/>
                <w:szCs w:val="21"/>
              </w:rPr>
              <w:t>DB442367-2022</w:t>
            </w:r>
            <w:r>
              <w:rPr>
                <w:rFonts w:hint="eastAsia"/>
                <w:sz w:val="21"/>
                <w:szCs w:val="21"/>
              </w:rPr>
              <w:t>）表</w:t>
            </w:r>
            <w:r>
              <w:rPr>
                <w:sz w:val="21"/>
                <w:szCs w:val="21"/>
              </w:rPr>
              <w:t>3</w:t>
            </w:r>
            <w:r>
              <w:rPr>
                <w:rFonts w:hint="eastAsia"/>
                <w:sz w:val="21"/>
                <w:szCs w:val="21"/>
              </w:rPr>
              <w:t>厂区内</w:t>
            </w:r>
            <w:r>
              <w:rPr>
                <w:sz w:val="21"/>
                <w:szCs w:val="21"/>
              </w:rPr>
              <w:t>VOCs</w:t>
            </w:r>
            <w:r>
              <w:rPr>
                <w:rFonts w:hint="eastAsia"/>
                <w:sz w:val="21"/>
                <w:szCs w:val="21"/>
              </w:rPr>
              <w:t>无组织排放限值</w:t>
            </w:r>
          </w:p>
        </w:tc>
      </w:tr>
      <w:tr w14:paraId="4E1ADA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2" w:type="pct"/>
            <w:vMerge w:val="restart"/>
            <w:vAlign w:val="center"/>
          </w:tcPr>
          <w:p w14:paraId="06F4CF6E">
            <w:pPr>
              <w:spacing w:line="240" w:lineRule="auto"/>
              <w:ind w:firstLine="0" w:firstLineChars="0"/>
              <w:jc w:val="center"/>
              <w:rPr>
                <w:sz w:val="21"/>
                <w:szCs w:val="21"/>
              </w:rPr>
            </w:pPr>
            <w:r>
              <w:rPr>
                <w:rFonts w:hint="eastAsia"/>
                <w:sz w:val="21"/>
                <w:szCs w:val="21"/>
              </w:rPr>
              <w:t>地表水环境</w:t>
            </w:r>
          </w:p>
        </w:tc>
        <w:tc>
          <w:tcPr>
            <w:tcW w:w="600" w:type="pct"/>
            <w:vAlign w:val="center"/>
          </w:tcPr>
          <w:p w14:paraId="32E60444">
            <w:pPr>
              <w:spacing w:line="240" w:lineRule="auto"/>
              <w:ind w:firstLine="0" w:firstLineChars="0"/>
              <w:jc w:val="center"/>
              <w:rPr>
                <w:sz w:val="21"/>
                <w:szCs w:val="21"/>
              </w:rPr>
            </w:pPr>
            <w:r>
              <w:rPr>
                <w:rFonts w:hint="eastAsia"/>
                <w:sz w:val="21"/>
                <w:szCs w:val="21"/>
              </w:rPr>
              <w:t>生活污水</w:t>
            </w:r>
          </w:p>
        </w:tc>
        <w:tc>
          <w:tcPr>
            <w:tcW w:w="771" w:type="pct"/>
            <w:vAlign w:val="center"/>
          </w:tcPr>
          <w:p w14:paraId="6CE5A2FF">
            <w:pPr>
              <w:spacing w:line="240" w:lineRule="auto"/>
              <w:ind w:firstLine="0" w:firstLineChars="0"/>
              <w:jc w:val="center"/>
              <w:rPr>
                <w:sz w:val="21"/>
                <w:szCs w:val="21"/>
              </w:rPr>
            </w:pPr>
            <w:r>
              <w:rPr>
                <w:sz w:val="21"/>
                <w:szCs w:val="21"/>
              </w:rPr>
              <w:t>COD</w:t>
            </w:r>
            <w:r>
              <w:rPr>
                <w:sz w:val="21"/>
                <w:szCs w:val="21"/>
                <w:vertAlign w:val="subscript"/>
              </w:rPr>
              <w:t>Cr</w:t>
            </w:r>
            <w:r>
              <w:rPr>
                <w:rFonts w:hint="eastAsia"/>
                <w:sz w:val="21"/>
                <w:szCs w:val="21"/>
              </w:rPr>
              <w:t>、</w:t>
            </w:r>
            <w:r>
              <w:rPr>
                <w:sz w:val="21"/>
                <w:szCs w:val="21"/>
              </w:rPr>
              <w:t>BOD</w:t>
            </w:r>
            <w:r>
              <w:rPr>
                <w:sz w:val="21"/>
                <w:szCs w:val="21"/>
                <w:vertAlign w:val="subscript"/>
              </w:rPr>
              <w:t>5</w:t>
            </w:r>
            <w:r>
              <w:rPr>
                <w:rFonts w:hint="eastAsia"/>
                <w:sz w:val="21"/>
                <w:szCs w:val="21"/>
              </w:rPr>
              <w:t>、</w:t>
            </w:r>
            <w:r>
              <w:rPr>
                <w:sz w:val="21"/>
                <w:szCs w:val="21"/>
              </w:rPr>
              <w:t>SS</w:t>
            </w:r>
            <w:r>
              <w:rPr>
                <w:rFonts w:hint="eastAsia"/>
                <w:sz w:val="21"/>
                <w:szCs w:val="21"/>
              </w:rPr>
              <w:t>、氨氮等</w:t>
            </w:r>
          </w:p>
        </w:tc>
        <w:tc>
          <w:tcPr>
            <w:tcW w:w="871" w:type="pct"/>
            <w:vAlign w:val="center"/>
          </w:tcPr>
          <w:p w14:paraId="787ACF2E">
            <w:pPr>
              <w:spacing w:line="240" w:lineRule="auto"/>
              <w:ind w:firstLine="0" w:firstLineChars="0"/>
              <w:jc w:val="center"/>
              <w:rPr>
                <w:sz w:val="21"/>
                <w:szCs w:val="21"/>
              </w:rPr>
            </w:pPr>
            <w:r>
              <w:rPr>
                <w:rFonts w:hint="eastAsia"/>
                <w:sz w:val="21"/>
                <w:szCs w:val="21"/>
              </w:rPr>
              <w:t>三级化粪池</w:t>
            </w:r>
          </w:p>
        </w:tc>
        <w:tc>
          <w:tcPr>
            <w:tcW w:w="1924" w:type="pct"/>
            <w:vAlign w:val="center"/>
          </w:tcPr>
          <w:p w14:paraId="5F74B17B">
            <w:pPr>
              <w:spacing w:line="240" w:lineRule="auto"/>
              <w:ind w:firstLine="0" w:firstLineChars="0"/>
              <w:jc w:val="both"/>
              <w:rPr>
                <w:sz w:val="21"/>
                <w:szCs w:val="21"/>
              </w:rPr>
            </w:pPr>
            <w:r>
              <w:rPr>
                <w:rFonts w:hint="eastAsia"/>
                <w:sz w:val="21"/>
                <w:szCs w:val="21"/>
              </w:rPr>
              <w:t>广东省地方标准《水污染物排放限值》（</w:t>
            </w:r>
            <w:r>
              <w:rPr>
                <w:sz w:val="21"/>
                <w:szCs w:val="21"/>
              </w:rPr>
              <w:t>DB44/26-2001</w:t>
            </w:r>
            <w:r>
              <w:rPr>
                <w:rFonts w:hint="eastAsia"/>
                <w:sz w:val="21"/>
                <w:szCs w:val="21"/>
              </w:rPr>
              <w:t>）第二时段三级标准</w:t>
            </w:r>
          </w:p>
        </w:tc>
      </w:tr>
      <w:tr w14:paraId="601751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2" w:type="pct"/>
            <w:vMerge w:val="continue"/>
            <w:vAlign w:val="center"/>
          </w:tcPr>
          <w:p w14:paraId="2B31741B">
            <w:pPr>
              <w:spacing w:line="240" w:lineRule="auto"/>
              <w:ind w:firstLine="0" w:firstLineChars="0"/>
              <w:jc w:val="center"/>
              <w:rPr>
                <w:sz w:val="21"/>
                <w:szCs w:val="21"/>
              </w:rPr>
            </w:pPr>
          </w:p>
        </w:tc>
        <w:tc>
          <w:tcPr>
            <w:tcW w:w="600" w:type="pct"/>
            <w:vAlign w:val="center"/>
          </w:tcPr>
          <w:p w14:paraId="71DC1195">
            <w:pPr>
              <w:spacing w:line="240" w:lineRule="auto"/>
              <w:ind w:firstLine="0" w:firstLineChars="0"/>
              <w:jc w:val="center"/>
              <w:rPr>
                <w:sz w:val="21"/>
                <w:szCs w:val="21"/>
              </w:rPr>
            </w:pPr>
            <w:r>
              <w:rPr>
                <w:rFonts w:hint="eastAsia"/>
                <w:sz w:val="21"/>
                <w:szCs w:val="21"/>
              </w:rPr>
              <w:t>冷却废水</w:t>
            </w:r>
          </w:p>
        </w:tc>
        <w:tc>
          <w:tcPr>
            <w:tcW w:w="771" w:type="pct"/>
            <w:vAlign w:val="center"/>
          </w:tcPr>
          <w:p w14:paraId="62C0F2DB">
            <w:pPr>
              <w:spacing w:line="240" w:lineRule="auto"/>
              <w:ind w:firstLine="0" w:firstLineChars="0"/>
              <w:jc w:val="center"/>
              <w:rPr>
                <w:sz w:val="21"/>
                <w:szCs w:val="21"/>
              </w:rPr>
            </w:pPr>
            <w:r>
              <w:rPr>
                <w:rFonts w:hint="eastAsia"/>
                <w:sz w:val="21"/>
                <w:szCs w:val="21"/>
              </w:rPr>
              <w:t>BOD</w:t>
            </w:r>
            <w:r>
              <w:rPr>
                <w:rFonts w:hint="eastAsia"/>
                <w:sz w:val="21"/>
                <w:szCs w:val="21"/>
                <w:vertAlign w:val="subscript"/>
              </w:rPr>
              <w:t>5</w:t>
            </w:r>
            <w:r>
              <w:rPr>
                <w:rFonts w:hint="eastAsia"/>
                <w:sz w:val="21"/>
                <w:szCs w:val="21"/>
              </w:rPr>
              <w:t>、SS、色度</w:t>
            </w:r>
          </w:p>
        </w:tc>
        <w:tc>
          <w:tcPr>
            <w:tcW w:w="871" w:type="pct"/>
            <w:vAlign w:val="center"/>
          </w:tcPr>
          <w:p w14:paraId="3F8DA961">
            <w:pPr>
              <w:spacing w:line="240" w:lineRule="auto"/>
              <w:ind w:firstLine="0" w:firstLineChars="0"/>
              <w:jc w:val="center"/>
              <w:rPr>
                <w:sz w:val="21"/>
                <w:szCs w:val="21"/>
              </w:rPr>
            </w:pPr>
            <w:r>
              <w:rPr>
                <w:rFonts w:hint="eastAsia"/>
                <w:sz w:val="21"/>
                <w:szCs w:val="21"/>
              </w:rPr>
              <w:t>经“混凝沉淀+压滤+保安过滤”处理后回用于冷却工序</w:t>
            </w:r>
          </w:p>
        </w:tc>
        <w:tc>
          <w:tcPr>
            <w:tcW w:w="1924" w:type="pct"/>
            <w:vAlign w:val="center"/>
          </w:tcPr>
          <w:p w14:paraId="5B05797E">
            <w:pPr>
              <w:spacing w:line="240" w:lineRule="auto"/>
              <w:ind w:firstLine="0" w:firstLineChars="0"/>
              <w:jc w:val="both"/>
              <w:rPr>
                <w:sz w:val="21"/>
                <w:szCs w:val="21"/>
              </w:rPr>
            </w:pPr>
            <w:r>
              <w:rPr>
                <w:rFonts w:hint="eastAsia"/>
                <w:sz w:val="21"/>
                <w:szCs w:val="21"/>
              </w:rPr>
              <w:t>《城市污水再生利用 工业用水水质》（GB/T19923-2024）中“间冷开式循环冷却水补充水、锅炉补给水、工艺用水、产品用水”标准</w:t>
            </w:r>
          </w:p>
        </w:tc>
      </w:tr>
      <w:tr w14:paraId="1FFCA6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32" w:type="pct"/>
            <w:vMerge w:val="continue"/>
            <w:vAlign w:val="center"/>
          </w:tcPr>
          <w:p w14:paraId="2D8F7106">
            <w:pPr>
              <w:spacing w:line="240" w:lineRule="auto"/>
              <w:ind w:firstLine="0" w:firstLineChars="0"/>
              <w:jc w:val="center"/>
              <w:rPr>
                <w:sz w:val="21"/>
                <w:szCs w:val="21"/>
              </w:rPr>
            </w:pPr>
          </w:p>
        </w:tc>
        <w:tc>
          <w:tcPr>
            <w:tcW w:w="600" w:type="pct"/>
            <w:vAlign w:val="center"/>
          </w:tcPr>
          <w:p w14:paraId="4F7382D7">
            <w:pPr>
              <w:spacing w:line="240" w:lineRule="auto"/>
              <w:ind w:firstLine="0" w:firstLineChars="0"/>
              <w:jc w:val="center"/>
              <w:rPr>
                <w:sz w:val="21"/>
                <w:szCs w:val="21"/>
              </w:rPr>
            </w:pPr>
            <w:r>
              <w:rPr>
                <w:rFonts w:hint="eastAsia"/>
                <w:sz w:val="21"/>
                <w:szCs w:val="21"/>
              </w:rPr>
              <w:t>喷淋废水</w:t>
            </w:r>
          </w:p>
        </w:tc>
        <w:tc>
          <w:tcPr>
            <w:tcW w:w="771" w:type="pct"/>
            <w:vAlign w:val="center"/>
          </w:tcPr>
          <w:p w14:paraId="06096F67">
            <w:pPr>
              <w:spacing w:line="240" w:lineRule="auto"/>
              <w:ind w:firstLine="0" w:firstLineChars="0"/>
              <w:jc w:val="center"/>
              <w:rPr>
                <w:sz w:val="21"/>
                <w:szCs w:val="21"/>
              </w:rPr>
            </w:pPr>
            <w:r>
              <w:rPr>
                <w:rFonts w:hint="eastAsia"/>
                <w:sz w:val="21"/>
                <w:szCs w:val="21"/>
              </w:rPr>
              <w:t>pH、</w:t>
            </w:r>
            <w:r>
              <w:rPr>
                <w:sz w:val="21"/>
                <w:szCs w:val="21"/>
              </w:rPr>
              <w:t>COD</w:t>
            </w:r>
            <w:r>
              <w:rPr>
                <w:sz w:val="21"/>
                <w:szCs w:val="21"/>
                <w:vertAlign w:val="subscript"/>
              </w:rPr>
              <w:t>Cr</w:t>
            </w:r>
            <w:r>
              <w:rPr>
                <w:sz w:val="21"/>
                <w:szCs w:val="21"/>
              </w:rPr>
              <w:t>、</w:t>
            </w:r>
            <w:r>
              <w:rPr>
                <w:rFonts w:hint="eastAsia"/>
                <w:sz w:val="21"/>
                <w:szCs w:val="21"/>
              </w:rPr>
              <w:t>SS、石油类等</w:t>
            </w:r>
          </w:p>
        </w:tc>
        <w:tc>
          <w:tcPr>
            <w:tcW w:w="871" w:type="pct"/>
            <w:vAlign w:val="center"/>
          </w:tcPr>
          <w:p w14:paraId="759C7684">
            <w:pPr>
              <w:spacing w:line="240" w:lineRule="auto"/>
              <w:ind w:firstLine="0" w:firstLineChars="0"/>
              <w:jc w:val="center"/>
              <w:rPr>
                <w:sz w:val="21"/>
                <w:szCs w:val="21"/>
              </w:rPr>
            </w:pPr>
            <w:r>
              <w:rPr>
                <w:rFonts w:hint="eastAsia"/>
                <w:sz w:val="21"/>
                <w:szCs w:val="21"/>
              </w:rPr>
              <w:t>交由有危险废物处理资质单位处理</w:t>
            </w:r>
          </w:p>
        </w:tc>
        <w:tc>
          <w:tcPr>
            <w:tcW w:w="1924" w:type="pct"/>
            <w:vAlign w:val="center"/>
          </w:tcPr>
          <w:p w14:paraId="4E8E581E">
            <w:pPr>
              <w:spacing w:line="240" w:lineRule="auto"/>
              <w:ind w:firstLine="0" w:firstLineChars="0"/>
              <w:jc w:val="center"/>
              <w:rPr>
                <w:sz w:val="21"/>
                <w:szCs w:val="21"/>
              </w:rPr>
            </w:pPr>
            <w:r>
              <w:rPr>
                <w:rFonts w:hint="eastAsia"/>
                <w:sz w:val="21"/>
                <w:szCs w:val="21"/>
              </w:rPr>
              <w:t>/</w:t>
            </w:r>
          </w:p>
        </w:tc>
      </w:tr>
      <w:tr w14:paraId="05E9482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47" w:hRule="atLeast"/>
          <w:jc w:val="center"/>
        </w:trPr>
        <w:tc>
          <w:tcPr>
            <w:tcW w:w="832" w:type="pct"/>
            <w:vAlign w:val="center"/>
          </w:tcPr>
          <w:p w14:paraId="34B7F585">
            <w:pPr>
              <w:spacing w:line="240" w:lineRule="auto"/>
              <w:ind w:firstLine="0" w:firstLineChars="0"/>
              <w:jc w:val="center"/>
              <w:rPr>
                <w:sz w:val="21"/>
                <w:szCs w:val="21"/>
              </w:rPr>
            </w:pPr>
            <w:r>
              <w:rPr>
                <w:rFonts w:hint="eastAsia"/>
                <w:sz w:val="21"/>
                <w:szCs w:val="21"/>
              </w:rPr>
              <w:t>声环境</w:t>
            </w:r>
          </w:p>
        </w:tc>
        <w:tc>
          <w:tcPr>
            <w:tcW w:w="600" w:type="pct"/>
            <w:vAlign w:val="center"/>
          </w:tcPr>
          <w:p w14:paraId="6413CF48">
            <w:pPr>
              <w:spacing w:line="240" w:lineRule="auto"/>
              <w:ind w:firstLine="0" w:firstLineChars="0"/>
              <w:jc w:val="center"/>
              <w:rPr>
                <w:sz w:val="21"/>
                <w:szCs w:val="21"/>
              </w:rPr>
            </w:pPr>
            <w:r>
              <w:rPr>
                <w:rFonts w:hint="eastAsia"/>
                <w:sz w:val="21"/>
                <w:szCs w:val="21"/>
              </w:rPr>
              <w:t>厂界</w:t>
            </w:r>
          </w:p>
        </w:tc>
        <w:tc>
          <w:tcPr>
            <w:tcW w:w="771" w:type="pct"/>
            <w:vAlign w:val="center"/>
          </w:tcPr>
          <w:p w14:paraId="291C4A94">
            <w:pPr>
              <w:spacing w:line="240" w:lineRule="auto"/>
              <w:ind w:firstLine="0" w:firstLineChars="0"/>
              <w:jc w:val="center"/>
              <w:rPr>
                <w:sz w:val="21"/>
                <w:szCs w:val="21"/>
              </w:rPr>
            </w:pPr>
            <w:r>
              <w:rPr>
                <w:rFonts w:hint="eastAsia"/>
                <w:sz w:val="21"/>
                <w:szCs w:val="21"/>
              </w:rPr>
              <w:t>设备噪声</w:t>
            </w:r>
          </w:p>
        </w:tc>
        <w:tc>
          <w:tcPr>
            <w:tcW w:w="871" w:type="pct"/>
            <w:vAlign w:val="center"/>
          </w:tcPr>
          <w:p w14:paraId="5610A191">
            <w:pPr>
              <w:spacing w:line="240" w:lineRule="auto"/>
              <w:ind w:firstLine="0" w:firstLineChars="0"/>
              <w:jc w:val="center"/>
              <w:rPr>
                <w:sz w:val="21"/>
                <w:szCs w:val="21"/>
              </w:rPr>
            </w:pPr>
            <w:r>
              <w:rPr>
                <w:rFonts w:hint="eastAsia"/>
                <w:sz w:val="21"/>
                <w:szCs w:val="21"/>
              </w:rPr>
              <w:t>选用低噪声设备，采用隔声、减震等措施</w:t>
            </w:r>
          </w:p>
        </w:tc>
        <w:tc>
          <w:tcPr>
            <w:tcW w:w="1924" w:type="pct"/>
            <w:vAlign w:val="center"/>
          </w:tcPr>
          <w:p w14:paraId="3A42A009">
            <w:pPr>
              <w:spacing w:line="240" w:lineRule="auto"/>
              <w:ind w:firstLine="0" w:firstLineChars="0"/>
              <w:jc w:val="both"/>
              <w:rPr>
                <w:sz w:val="21"/>
                <w:szCs w:val="21"/>
              </w:rPr>
            </w:pPr>
            <w:r>
              <w:rPr>
                <w:rFonts w:hint="eastAsia"/>
                <w:sz w:val="21"/>
                <w:szCs w:val="21"/>
              </w:rPr>
              <w:t>《工业企业厂界环境噪声排放标准》（</w:t>
            </w:r>
            <w:r>
              <w:rPr>
                <w:sz w:val="21"/>
                <w:szCs w:val="21"/>
              </w:rPr>
              <w:t>GB12348-2008</w:t>
            </w:r>
            <w:r>
              <w:rPr>
                <w:rFonts w:hint="eastAsia"/>
                <w:sz w:val="21"/>
                <w:szCs w:val="21"/>
              </w:rPr>
              <w:t>）中2类标准</w:t>
            </w:r>
          </w:p>
        </w:tc>
      </w:tr>
      <w:tr w14:paraId="398EFA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22" w:hRule="atLeast"/>
          <w:jc w:val="center"/>
        </w:trPr>
        <w:tc>
          <w:tcPr>
            <w:tcW w:w="832" w:type="pct"/>
            <w:vAlign w:val="center"/>
          </w:tcPr>
          <w:p w14:paraId="53AA9BC9">
            <w:pPr>
              <w:spacing w:line="240" w:lineRule="auto"/>
              <w:ind w:firstLine="0" w:firstLineChars="0"/>
              <w:jc w:val="center"/>
              <w:rPr>
                <w:sz w:val="21"/>
                <w:szCs w:val="21"/>
              </w:rPr>
            </w:pPr>
            <w:r>
              <w:rPr>
                <w:rFonts w:hint="eastAsia"/>
                <w:sz w:val="21"/>
                <w:szCs w:val="21"/>
              </w:rPr>
              <w:t>电磁辐射</w:t>
            </w:r>
          </w:p>
        </w:tc>
        <w:tc>
          <w:tcPr>
            <w:tcW w:w="4167" w:type="pct"/>
            <w:gridSpan w:val="4"/>
            <w:vAlign w:val="center"/>
          </w:tcPr>
          <w:p w14:paraId="2C92FBC2">
            <w:pPr>
              <w:spacing w:line="240" w:lineRule="auto"/>
              <w:ind w:firstLine="0" w:firstLineChars="0"/>
              <w:jc w:val="center"/>
              <w:rPr>
                <w:sz w:val="21"/>
                <w:szCs w:val="21"/>
              </w:rPr>
            </w:pPr>
            <w:r>
              <w:rPr>
                <w:rFonts w:hint="eastAsia"/>
                <w:sz w:val="21"/>
                <w:szCs w:val="21"/>
              </w:rPr>
              <w:t>/</w:t>
            </w:r>
          </w:p>
        </w:tc>
      </w:tr>
      <w:tr w14:paraId="6143CC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806" w:hRule="atLeast"/>
          <w:jc w:val="center"/>
        </w:trPr>
        <w:tc>
          <w:tcPr>
            <w:tcW w:w="832" w:type="pct"/>
            <w:vAlign w:val="center"/>
          </w:tcPr>
          <w:p w14:paraId="7D843142">
            <w:pPr>
              <w:spacing w:line="240" w:lineRule="auto"/>
              <w:ind w:firstLine="0" w:firstLineChars="0"/>
              <w:jc w:val="center"/>
              <w:rPr>
                <w:sz w:val="21"/>
                <w:szCs w:val="21"/>
              </w:rPr>
            </w:pPr>
            <w:r>
              <w:rPr>
                <w:rFonts w:hint="eastAsia"/>
                <w:sz w:val="21"/>
                <w:szCs w:val="21"/>
              </w:rPr>
              <w:t>固体废物</w:t>
            </w:r>
          </w:p>
        </w:tc>
        <w:tc>
          <w:tcPr>
            <w:tcW w:w="4167" w:type="pct"/>
            <w:gridSpan w:val="4"/>
            <w:vAlign w:val="center"/>
          </w:tcPr>
          <w:p w14:paraId="72CCBDE4">
            <w:pPr>
              <w:spacing w:line="240" w:lineRule="auto"/>
              <w:ind w:firstLine="0" w:firstLineChars="0"/>
              <w:jc w:val="center"/>
              <w:rPr>
                <w:sz w:val="21"/>
                <w:szCs w:val="21"/>
              </w:rPr>
            </w:pPr>
            <w:r>
              <w:rPr>
                <w:rFonts w:hint="eastAsia"/>
                <w:sz w:val="21"/>
                <w:szCs w:val="21"/>
              </w:rPr>
              <w:t>生活垃圾交由环卫部门集中处理；一般工业固体废物交由专业单位回收处理；危险废物收集后交由有危险废物资质单位处理处置，并执行危险废物转移联单</w:t>
            </w:r>
          </w:p>
        </w:tc>
      </w:tr>
      <w:tr w14:paraId="41872E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7" w:hRule="atLeast"/>
          <w:jc w:val="center"/>
        </w:trPr>
        <w:tc>
          <w:tcPr>
            <w:tcW w:w="832" w:type="pct"/>
            <w:vAlign w:val="center"/>
          </w:tcPr>
          <w:p w14:paraId="7DE3B747">
            <w:pPr>
              <w:spacing w:line="240" w:lineRule="auto"/>
              <w:ind w:firstLine="0" w:firstLineChars="0"/>
              <w:jc w:val="center"/>
              <w:rPr>
                <w:sz w:val="21"/>
                <w:szCs w:val="21"/>
              </w:rPr>
            </w:pPr>
            <w:r>
              <w:rPr>
                <w:rFonts w:hint="eastAsia"/>
                <w:sz w:val="21"/>
                <w:szCs w:val="21"/>
              </w:rPr>
              <w:t>土壤及地下水污染防治措施</w:t>
            </w:r>
          </w:p>
        </w:tc>
        <w:tc>
          <w:tcPr>
            <w:tcW w:w="4167" w:type="pct"/>
            <w:gridSpan w:val="4"/>
            <w:vAlign w:val="center"/>
          </w:tcPr>
          <w:p w14:paraId="2BBCF9C4">
            <w:pPr>
              <w:spacing w:line="240" w:lineRule="auto"/>
              <w:ind w:firstLine="0" w:firstLineChars="0"/>
              <w:jc w:val="center"/>
              <w:rPr>
                <w:sz w:val="21"/>
                <w:szCs w:val="21"/>
              </w:rPr>
            </w:pPr>
            <w:r>
              <w:rPr>
                <w:rFonts w:hint="eastAsia"/>
                <w:sz w:val="21"/>
                <w:szCs w:val="21"/>
              </w:rPr>
              <w:t>项目采取分区防护措施，厂区道路、办公区做好硬底化措施，生产车间、一般固废仓做好硬底化、防渗措施，废水处理设施、</w:t>
            </w:r>
            <w:bookmarkStart w:id="365" w:name="OLE_LINK170"/>
            <w:r>
              <w:rPr>
                <w:rFonts w:hint="eastAsia"/>
                <w:sz w:val="21"/>
                <w:szCs w:val="21"/>
              </w:rPr>
              <w:t>危废暂存区</w:t>
            </w:r>
            <w:bookmarkEnd w:id="365"/>
            <w:r>
              <w:rPr>
                <w:rFonts w:hint="eastAsia"/>
                <w:sz w:val="21"/>
                <w:szCs w:val="21"/>
              </w:rPr>
              <w:t>做好防腐、防渗等措施，危废暂存区应严格按照《危险废物贮存污染控制标准》（GB18597-2023）的有关规范进行建设与维护</w:t>
            </w:r>
          </w:p>
        </w:tc>
      </w:tr>
      <w:tr w14:paraId="245A25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89" w:hRule="atLeast"/>
          <w:jc w:val="center"/>
        </w:trPr>
        <w:tc>
          <w:tcPr>
            <w:tcW w:w="832" w:type="pct"/>
            <w:vAlign w:val="center"/>
          </w:tcPr>
          <w:p w14:paraId="65C10DA6">
            <w:pPr>
              <w:spacing w:line="240" w:lineRule="auto"/>
              <w:ind w:firstLine="0" w:firstLineChars="0"/>
              <w:jc w:val="center"/>
              <w:rPr>
                <w:sz w:val="21"/>
                <w:szCs w:val="21"/>
              </w:rPr>
            </w:pPr>
            <w:r>
              <w:rPr>
                <w:rFonts w:hint="eastAsia"/>
                <w:sz w:val="21"/>
                <w:szCs w:val="21"/>
              </w:rPr>
              <w:t>生态保护措施</w:t>
            </w:r>
          </w:p>
        </w:tc>
        <w:tc>
          <w:tcPr>
            <w:tcW w:w="4167" w:type="pct"/>
            <w:gridSpan w:val="4"/>
            <w:vAlign w:val="center"/>
          </w:tcPr>
          <w:p w14:paraId="2A654798">
            <w:pPr>
              <w:spacing w:line="240" w:lineRule="auto"/>
              <w:ind w:firstLine="0" w:firstLineChars="0"/>
              <w:jc w:val="center"/>
              <w:rPr>
                <w:sz w:val="21"/>
                <w:szCs w:val="21"/>
              </w:rPr>
            </w:pPr>
            <w:r>
              <w:rPr>
                <w:rFonts w:hint="eastAsia"/>
                <w:sz w:val="21"/>
                <w:szCs w:val="21"/>
              </w:rPr>
              <w:t>/</w:t>
            </w:r>
          </w:p>
        </w:tc>
      </w:tr>
      <w:tr w14:paraId="16D28D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32" w:type="pct"/>
            <w:vAlign w:val="center"/>
          </w:tcPr>
          <w:p w14:paraId="2D2B6BE5">
            <w:pPr>
              <w:spacing w:line="240" w:lineRule="auto"/>
              <w:ind w:firstLine="0" w:firstLineChars="0"/>
              <w:jc w:val="center"/>
              <w:rPr>
                <w:sz w:val="21"/>
                <w:szCs w:val="21"/>
              </w:rPr>
            </w:pPr>
            <w:r>
              <w:rPr>
                <w:rFonts w:hint="eastAsia"/>
                <w:sz w:val="21"/>
                <w:szCs w:val="21"/>
              </w:rPr>
              <w:t>环境风险防范措施</w:t>
            </w:r>
          </w:p>
        </w:tc>
        <w:tc>
          <w:tcPr>
            <w:tcW w:w="4167" w:type="pct"/>
            <w:gridSpan w:val="4"/>
            <w:vAlign w:val="center"/>
          </w:tcPr>
          <w:p w14:paraId="5F43E4DB">
            <w:pPr>
              <w:autoSpaceDE w:val="0"/>
              <w:autoSpaceDN w:val="0"/>
              <w:spacing w:line="240" w:lineRule="auto"/>
              <w:ind w:firstLine="0" w:firstLineChars="0"/>
              <w:jc w:val="center"/>
              <w:rPr>
                <w:sz w:val="21"/>
                <w:szCs w:val="21"/>
              </w:rPr>
            </w:pPr>
            <w:bookmarkStart w:id="366" w:name="OLE_LINK194"/>
            <w:r>
              <w:rPr>
                <w:rFonts w:hint="eastAsia" w:cs="宋体"/>
                <w:kern w:val="0"/>
                <w:sz w:val="21"/>
                <w:szCs w:val="21"/>
              </w:rPr>
              <w:t>风险物质放置区周围设置防渗层、托盘、围堰等，</w:t>
            </w:r>
            <w:bookmarkStart w:id="367" w:name="OLE_LINK193"/>
            <w:r>
              <w:rPr>
                <w:rFonts w:hint="eastAsia" w:cs="宋体"/>
                <w:kern w:val="0"/>
                <w:sz w:val="21"/>
                <w:szCs w:val="21"/>
              </w:rPr>
              <w:t>危废暂存间做好防风、防雨、防晒、防渗漏等措施</w:t>
            </w:r>
            <w:bookmarkEnd w:id="366"/>
            <w:bookmarkEnd w:id="367"/>
            <w:r>
              <w:rPr>
                <w:rFonts w:hint="eastAsia" w:cs="宋体"/>
                <w:kern w:val="0"/>
                <w:sz w:val="21"/>
                <w:szCs w:val="21"/>
              </w:rPr>
              <w:t>；加强废水、废气处理设施管理及维护；加强明火管理，车间内严禁烟火，编制突发环境事件应急预案，仓库、车间设置门槛或漫坡</w:t>
            </w:r>
          </w:p>
        </w:tc>
      </w:tr>
      <w:tr w14:paraId="2FB3D9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92" w:hRule="atLeast"/>
          <w:jc w:val="center"/>
        </w:trPr>
        <w:tc>
          <w:tcPr>
            <w:tcW w:w="832" w:type="pct"/>
            <w:vAlign w:val="center"/>
          </w:tcPr>
          <w:p w14:paraId="06451F18">
            <w:pPr>
              <w:spacing w:line="240" w:lineRule="auto"/>
              <w:ind w:firstLine="0" w:firstLineChars="0"/>
              <w:jc w:val="center"/>
              <w:rPr>
                <w:sz w:val="21"/>
                <w:szCs w:val="21"/>
              </w:rPr>
            </w:pPr>
            <w:r>
              <w:rPr>
                <w:rFonts w:hint="eastAsia"/>
                <w:sz w:val="21"/>
                <w:szCs w:val="21"/>
              </w:rPr>
              <w:t>其他环境管理要求</w:t>
            </w:r>
          </w:p>
        </w:tc>
        <w:tc>
          <w:tcPr>
            <w:tcW w:w="4167" w:type="pct"/>
            <w:gridSpan w:val="4"/>
            <w:vAlign w:val="center"/>
          </w:tcPr>
          <w:p w14:paraId="2E0A6E58">
            <w:pPr>
              <w:autoSpaceDE w:val="0"/>
              <w:autoSpaceDN w:val="0"/>
              <w:spacing w:line="240" w:lineRule="auto"/>
              <w:ind w:firstLine="0" w:firstLineChars="0"/>
              <w:jc w:val="center"/>
              <w:rPr>
                <w:sz w:val="21"/>
                <w:szCs w:val="21"/>
              </w:rPr>
            </w:pPr>
            <w:r>
              <w:rPr>
                <w:rFonts w:hint="eastAsia" w:cs="宋体"/>
                <w:kern w:val="0"/>
                <w:sz w:val="21"/>
                <w:szCs w:val="21"/>
              </w:rPr>
              <w:t>贯彻落实各项污染防治措施；自主开展环境保护竣工验收相关工作；制定环境管理规章制度，落实本项目环境监测计划</w:t>
            </w:r>
          </w:p>
        </w:tc>
      </w:tr>
      <w:bookmarkEnd w:id="359"/>
      <w:bookmarkEnd w:id="360"/>
      <w:bookmarkEnd w:id="361"/>
      <w:bookmarkEnd w:id="362"/>
      <w:bookmarkEnd w:id="363"/>
      <w:bookmarkEnd w:id="364"/>
    </w:tbl>
    <w:p w14:paraId="326C8DF4">
      <w:pPr>
        <w:ind w:firstLine="480"/>
        <w:rPr>
          <w:snapToGrid w:val="0"/>
        </w:rPr>
      </w:pPr>
      <w:r>
        <w:rPr>
          <w:snapToGrid w:val="0"/>
        </w:rPr>
        <w:br w:type="page"/>
      </w:r>
    </w:p>
    <w:p w14:paraId="4418FB47">
      <w:pPr>
        <w:pStyle w:val="30"/>
        <w:spacing w:before="0" w:beforeAutospacing="0" w:after="0" w:afterAutospacing="0" w:line="240" w:lineRule="auto"/>
        <w:ind w:firstLine="0" w:firstLineChars="0"/>
        <w:jc w:val="center"/>
        <w:outlineLvl w:val="0"/>
        <w:rPr>
          <w:rFonts w:ascii="Times New Roman" w:hAnsi="Times New Roman" w:eastAsia="黑体"/>
          <w:b/>
          <w:bCs/>
          <w:snapToGrid w:val="0"/>
          <w:sz w:val="30"/>
          <w:szCs w:val="30"/>
        </w:rPr>
      </w:pPr>
      <w:bookmarkStart w:id="368" w:name="_Toc30304"/>
      <w:bookmarkStart w:id="369" w:name="_Toc167267312"/>
      <w:bookmarkStart w:id="370" w:name="_Toc4731"/>
      <w:bookmarkStart w:id="371" w:name="_Toc25177"/>
      <w:bookmarkStart w:id="372" w:name="_Toc28084"/>
      <w:bookmarkStart w:id="373" w:name="_Toc28663"/>
      <w:r>
        <w:rPr>
          <w:rFonts w:ascii="Times New Roman" w:hAnsi="Times New Roman"/>
          <w:b/>
          <w:bCs/>
          <w:snapToGrid w:val="0"/>
          <w:sz w:val="30"/>
          <w:szCs w:val="30"/>
        </w:rPr>
        <w:t>六、结论</w:t>
      </w:r>
      <w:bookmarkEnd w:id="368"/>
      <w:bookmarkEnd w:id="369"/>
      <w:bookmarkEnd w:id="370"/>
      <w:bookmarkEnd w:id="371"/>
      <w:bookmarkEnd w:id="372"/>
      <w:bookmarkEnd w:id="373"/>
    </w:p>
    <w:tbl>
      <w:tblPr>
        <w:tblStyle w:val="3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242"/>
      </w:tblGrid>
      <w:tr w14:paraId="22F1AC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5000" w:type="pct"/>
            <w:vAlign w:val="center"/>
          </w:tcPr>
          <w:p w14:paraId="260B1BBA">
            <w:pPr>
              <w:ind w:firstLine="480"/>
            </w:pPr>
            <w:r>
              <w:rPr>
                <w:bCs/>
              </w:rPr>
              <w:t>综上所述，</w:t>
            </w:r>
            <w:r>
              <w:rPr>
                <w:rFonts w:hint="eastAsia"/>
                <w:bCs/>
              </w:rPr>
              <w:t>项目符合相关生态环境保护法律法规政策的要求，项目运营期若能严格控制污染物排放量，认真落实报告中提出的有关的污染防治措施，并加强污染治理设施和设备的运行管理，则项目运营期对周围环境影响较小。</w:t>
            </w:r>
            <w:r>
              <w:rPr>
                <w:bCs/>
              </w:rPr>
              <w:t>因此，从环境保护角度考虑，</w:t>
            </w:r>
            <w:r>
              <w:rPr>
                <w:rFonts w:hint="eastAsia"/>
                <w:bCs/>
              </w:rPr>
              <w:t>本项目的建设是可行的</w:t>
            </w:r>
            <w:r>
              <w:rPr>
                <w:bCs/>
              </w:rPr>
              <w:t>。</w:t>
            </w:r>
          </w:p>
        </w:tc>
      </w:tr>
    </w:tbl>
    <w:p w14:paraId="59775EE8">
      <w:pPr>
        <w:ind w:firstLine="480"/>
        <w:sectPr>
          <w:pgSz w:w="11906" w:h="16838"/>
          <w:pgMar w:top="1440" w:right="1440" w:bottom="1440" w:left="1440" w:header="851" w:footer="851" w:gutter="0"/>
          <w:cols w:space="720" w:num="1"/>
          <w:docGrid w:linePitch="312" w:charSpace="0"/>
        </w:sectPr>
      </w:pPr>
    </w:p>
    <w:p w14:paraId="109F4022">
      <w:pPr>
        <w:pStyle w:val="30"/>
        <w:adjustRightInd w:val="0"/>
        <w:snapToGrid w:val="0"/>
        <w:spacing w:before="0" w:beforeAutospacing="0" w:after="0" w:afterAutospacing="0"/>
        <w:ind w:firstLine="643"/>
        <w:outlineLvl w:val="0"/>
        <w:rPr>
          <w:rFonts w:ascii="Times New Roman" w:hAnsi="Times New Roman"/>
          <w:b/>
          <w:bCs/>
          <w:snapToGrid w:val="0"/>
          <w:sz w:val="32"/>
          <w:szCs w:val="32"/>
        </w:rPr>
      </w:pPr>
      <w:bookmarkStart w:id="374" w:name="_Toc9291"/>
      <w:bookmarkStart w:id="375" w:name="_Toc19189"/>
      <w:bookmarkStart w:id="376" w:name="_Toc20955"/>
      <w:bookmarkStart w:id="377" w:name="_Toc167267313"/>
      <w:bookmarkStart w:id="378" w:name="_Toc1117"/>
      <w:bookmarkStart w:id="379" w:name="_Toc30472"/>
      <w:r>
        <w:rPr>
          <w:rFonts w:ascii="Times New Roman" w:hAnsi="Times New Roman"/>
          <w:b/>
          <w:bCs/>
          <w:snapToGrid w:val="0"/>
          <w:sz w:val="32"/>
          <w:szCs w:val="32"/>
        </w:rPr>
        <w:t>附表</w:t>
      </w:r>
      <w:bookmarkEnd w:id="374"/>
      <w:bookmarkEnd w:id="375"/>
      <w:bookmarkEnd w:id="376"/>
      <w:bookmarkEnd w:id="377"/>
      <w:bookmarkEnd w:id="378"/>
      <w:bookmarkEnd w:id="379"/>
    </w:p>
    <w:p w14:paraId="74A73BEE">
      <w:pPr>
        <w:spacing w:line="240" w:lineRule="auto"/>
        <w:ind w:firstLine="602"/>
        <w:jc w:val="center"/>
        <w:rPr>
          <w:b/>
        </w:rPr>
      </w:pPr>
      <w:r>
        <w:rPr>
          <w:b/>
          <w:sz w:val="30"/>
          <w:szCs w:val="30"/>
        </w:rPr>
        <w:t>建设项目污染物排放量汇总表</w:t>
      </w:r>
    </w:p>
    <w:tbl>
      <w:tblPr>
        <w:tblStyle w:val="34"/>
        <w:tblW w:w="4879"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267"/>
        <w:gridCol w:w="1549"/>
        <w:gridCol w:w="1549"/>
        <w:gridCol w:w="1549"/>
        <w:gridCol w:w="1550"/>
        <w:gridCol w:w="1550"/>
        <w:gridCol w:w="1550"/>
        <w:gridCol w:w="1550"/>
        <w:gridCol w:w="1561"/>
      </w:tblGrid>
      <w:tr w14:paraId="0FBD48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7" w:hRule="atLeast"/>
        </w:trPr>
        <w:tc>
          <w:tcPr>
            <w:tcW w:w="463" w:type="pct"/>
            <w:tcBorders>
              <w:tl2br w:val="single" w:color="auto" w:sz="4" w:space="0"/>
            </w:tcBorders>
            <w:tcMar>
              <w:left w:w="28" w:type="dxa"/>
              <w:right w:w="28" w:type="dxa"/>
            </w:tcMar>
            <w:vAlign w:val="center"/>
          </w:tcPr>
          <w:p w14:paraId="2037339B">
            <w:pPr>
              <w:pStyle w:val="67"/>
              <w:spacing w:beforeLines="0" w:afterLines="0" w:line="240" w:lineRule="auto"/>
              <w:ind w:firstLine="0" w:firstLineChars="0"/>
              <w:rPr>
                <w:rFonts w:ascii="Times New Roman" w:cs="宋体"/>
                <w:b/>
                <w:bCs/>
                <w:sz w:val="24"/>
              </w:rPr>
            </w:pPr>
            <w:r>
              <w:rPr>
                <w:rFonts w:ascii="Times New Roman" w:cs="宋体"/>
                <w:b/>
                <w:bCs/>
                <w:sz w:val="24"/>
              </w:rPr>
              <w:t xml:space="preserve">    项目</w:t>
            </w:r>
          </w:p>
          <w:p w14:paraId="1EBDAD8C">
            <w:pPr>
              <w:pStyle w:val="67"/>
              <w:spacing w:beforeLines="0" w:afterLines="0" w:line="240" w:lineRule="auto"/>
              <w:ind w:firstLine="0" w:firstLineChars="0"/>
              <w:jc w:val="both"/>
              <w:rPr>
                <w:rFonts w:ascii="Times New Roman" w:cs="宋体"/>
                <w:b/>
                <w:bCs/>
                <w:sz w:val="24"/>
              </w:rPr>
            </w:pPr>
            <w:r>
              <w:rPr>
                <w:rFonts w:ascii="Times New Roman" w:cs="宋体"/>
                <w:b/>
                <w:bCs/>
                <w:sz w:val="24"/>
              </w:rPr>
              <w:t>分类</w:t>
            </w:r>
          </w:p>
          <w:p w14:paraId="45FD989D">
            <w:pPr>
              <w:spacing w:line="240" w:lineRule="auto"/>
              <w:ind w:firstLine="0" w:firstLineChars="0"/>
              <w:rPr>
                <w:rFonts w:cs="宋体"/>
                <w:b/>
                <w:bCs/>
              </w:rPr>
            </w:pPr>
          </w:p>
        </w:tc>
        <w:tc>
          <w:tcPr>
            <w:tcW w:w="566" w:type="pct"/>
            <w:tcMar>
              <w:left w:w="28" w:type="dxa"/>
              <w:right w:w="28" w:type="dxa"/>
            </w:tcMar>
            <w:vAlign w:val="center"/>
          </w:tcPr>
          <w:p w14:paraId="04A78CD5">
            <w:pPr>
              <w:pStyle w:val="67"/>
              <w:spacing w:beforeLines="0" w:afterLines="0" w:line="240" w:lineRule="auto"/>
              <w:ind w:firstLine="0" w:firstLineChars="0"/>
              <w:rPr>
                <w:rFonts w:ascii="Times New Roman" w:cs="宋体"/>
                <w:b/>
                <w:bCs/>
                <w:snapToGrid w:val="0"/>
                <w:spacing w:val="-6"/>
                <w:kern w:val="21"/>
                <w:sz w:val="24"/>
                <w:szCs w:val="24"/>
              </w:rPr>
            </w:pPr>
            <w:r>
              <w:rPr>
                <w:rFonts w:ascii="Times New Roman" w:cs="宋体"/>
                <w:b/>
                <w:bCs/>
                <w:snapToGrid w:val="0"/>
                <w:spacing w:val="-6"/>
                <w:kern w:val="21"/>
                <w:sz w:val="24"/>
                <w:szCs w:val="24"/>
              </w:rPr>
              <w:t>污染物名称</w:t>
            </w:r>
          </w:p>
        </w:tc>
        <w:tc>
          <w:tcPr>
            <w:tcW w:w="566" w:type="pct"/>
            <w:tcMar>
              <w:left w:w="28" w:type="dxa"/>
              <w:right w:w="28" w:type="dxa"/>
            </w:tcMar>
            <w:vAlign w:val="center"/>
          </w:tcPr>
          <w:p w14:paraId="076DEFFD">
            <w:pPr>
              <w:pStyle w:val="67"/>
              <w:spacing w:beforeLines="0" w:afterLines="0" w:line="240" w:lineRule="auto"/>
              <w:ind w:firstLine="0" w:firstLineChars="0"/>
              <w:rPr>
                <w:rFonts w:ascii="Times New Roman" w:cs="宋体"/>
                <w:b/>
                <w:bCs/>
                <w:snapToGrid w:val="0"/>
                <w:spacing w:val="-6"/>
                <w:kern w:val="21"/>
                <w:sz w:val="24"/>
                <w:szCs w:val="24"/>
              </w:rPr>
            </w:pPr>
            <w:r>
              <w:rPr>
                <w:rFonts w:ascii="Times New Roman" w:cs="宋体"/>
                <w:b/>
                <w:bCs/>
                <w:snapToGrid w:val="0"/>
                <w:spacing w:val="-6"/>
                <w:kern w:val="21"/>
                <w:sz w:val="24"/>
                <w:szCs w:val="24"/>
              </w:rPr>
              <w:t>现有工程排放量（固体废物产生量）</w:t>
            </w:r>
            <w:r>
              <w:rPr>
                <w:rFonts w:ascii="Times New Roman" w:cs="宋体"/>
                <w:b/>
                <w:bCs/>
                <w:snapToGrid w:val="0"/>
                <w:spacing w:val="-6"/>
                <w:kern w:val="21"/>
                <w:sz w:val="24"/>
                <w:szCs w:val="24"/>
              </w:rPr>
              <w:fldChar w:fldCharType="begin"/>
            </w:r>
            <w:r>
              <w:rPr>
                <w:rFonts w:ascii="Times New Roman" w:cs="宋体"/>
                <w:b/>
                <w:bCs/>
                <w:snapToGrid w:val="0"/>
                <w:spacing w:val="-6"/>
                <w:kern w:val="21"/>
                <w:sz w:val="24"/>
                <w:szCs w:val="24"/>
              </w:rPr>
              <w:instrText xml:space="preserve"> = 1 \* GB3 \* MERGEFORMAT </w:instrText>
            </w:r>
            <w:r>
              <w:rPr>
                <w:rFonts w:ascii="Times New Roman" w:cs="宋体"/>
                <w:b/>
                <w:bCs/>
                <w:snapToGrid w:val="0"/>
                <w:spacing w:val="-6"/>
                <w:kern w:val="21"/>
                <w:sz w:val="24"/>
                <w:szCs w:val="24"/>
              </w:rPr>
              <w:fldChar w:fldCharType="separate"/>
            </w:r>
            <w:r>
              <w:rPr>
                <w:rFonts w:ascii="Times New Roman" w:cs="宋体"/>
                <w:b/>
                <w:bCs/>
                <w:kern w:val="2"/>
                <w:sz w:val="24"/>
                <w:szCs w:val="24"/>
              </w:rPr>
              <w:t>①</w:t>
            </w:r>
            <w:r>
              <w:rPr>
                <w:rFonts w:ascii="Times New Roman" w:cs="宋体"/>
                <w:b/>
                <w:bCs/>
                <w:snapToGrid w:val="0"/>
                <w:spacing w:val="-6"/>
                <w:kern w:val="21"/>
                <w:sz w:val="24"/>
                <w:szCs w:val="24"/>
              </w:rPr>
              <w:fldChar w:fldCharType="end"/>
            </w:r>
          </w:p>
        </w:tc>
        <w:tc>
          <w:tcPr>
            <w:tcW w:w="566" w:type="pct"/>
            <w:tcMar>
              <w:left w:w="28" w:type="dxa"/>
              <w:right w:w="28" w:type="dxa"/>
            </w:tcMar>
            <w:vAlign w:val="center"/>
          </w:tcPr>
          <w:p w14:paraId="00579BA6">
            <w:pPr>
              <w:pStyle w:val="67"/>
              <w:spacing w:beforeLines="0" w:afterLines="0" w:line="240" w:lineRule="auto"/>
              <w:ind w:firstLine="0" w:firstLineChars="0"/>
              <w:rPr>
                <w:rFonts w:ascii="Times New Roman" w:cs="宋体"/>
                <w:b/>
                <w:bCs/>
                <w:snapToGrid w:val="0"/>
                <w:spacing w:val="-6"/>
                <w:kern w:val="21"/>
                <w:sz w:val="24"/>
                <w:szCs w:val="24"/>
              </w:rPr>
            </w:pPr>
            <w:r>
              <w:rPr>
                <w:rFonts w:ascii="Times New Roman" w:cs="宋体"/>
                <w:b/>
                <w:bCs/>
                <w:snapToGrid w:val="0"/>
                <w:spacing w:val="-6"/>
                <w:kern w:val="21"/>
                <w:sz w:val="24"/>
                <w:szCs w:val="24"/>
              </w:rPr>
              <w:t>现有工程许可排放量</w:t>
            </w:r>
            <w:r>
              <w:rPr>
                <w:rFonts w:ascii="Times New Roman" w:cs="宋体"/>
                <w:b/>
                <w:bCs/>
                <w:snapToGrid w:val="0"/>
                <w:spacing w:val="-6"/>
                <w:kern w:val="21"/>
                <w:sz w:val="24"/>
                <w:szCs w:val="24"/>
              </w:rPr>
              <w:fldChar w:fldCharType="begin"/>
            </w:r>
            <w:r>
              <w:rPr>
                <w:rFonts w:ascii="Times New Roman" w:cs="宋体"/>
                <w:b/>
                <w:bCs/>
                <w:snapToGrid w:val="0"/>
                <w:spacing w:val="-6"/>
                <w:kern w:val="21"/>
                <w:sz w:val="24"/>
                <w:szCs w:val="24"/>
              </w:rPr>
              <w:instrText xml:space="preserve"> = 2 \* GB3 \* MERGEFORMAT </w:instrText>
            </w:r>
            <w:r>
              <w:rPr>
                <w:rFonts w:ascii="Times New Roman" w:cs="宋体"/>
                <w:b/>
                <w:bCs/>
                <w:snapToGrid w:val="0"/>
                <w:spacing w:val="-6"/>
                <w:kern w:val="21"/>
                <w:sz w:val="24"/>
                <w:szCs w:val="24"/>
              </w:rPr>
              <w:fldChar w:fldCharType="separate"/>
            </w:r>
            <w:r>
              <w:rPr>
                <w:rFonts w:ascii="Times New Roman" w:cs="宋体"/>
                <w:b/>
                <w:bCs/>
                <w:snapToGrid w:val="0"/>
                <w:spacing w:val="-6"/>
                <w:kern w:val="21"/>
                <w:sz w:val="24"/>
                <w:szCs w:val="24"/>
              </w:rPr>
              <w:t>②</w:t>
            </w:r>
            <w:r>
              <w:rPr>
                <w:rFonts w:ascii="Times New Roman" w:cs="宋体"/>
                <w:b/>
                <w:bCs/>
                <w:snapToGrid w:val="0"/>
                <w:spacing w:val="-6"/>
                <w:kern w:val="21"/>
                <w:sz w:val="24"/>
                <w:szCs w:val="24"/>
              </w:rPr>
              <w:fldChar w:fldCharType="end"/>
            </w:r>
          </w:p>
        </w:tc>
        <w:tc>
          <w:tcPr>
            <w:tcW w:w="566" w:type="pct"/>
            <w:tcMar>
              <w:left w:w="28" w:type="dxa"/>
              <w:right w:w="28" w:type="dxa"/>
            </w:tcMar>
            <w:vAlign w:val="center"/>
          </w:tcPr>
          <w:p w14:paraId="7B254ADB">
            <w:pPr>
              <w:pStyle w:val="67"/>
              <w:spacing w:beforeLines="0" w:afterLines="0" w:line="240" w:lineRule="auto"/>
              <w:ind w:firstLine="0" w:firstLineChars="0"/>
              <w:rPr>
                <w:rFonts w:ascii="Times New Roman" w:cs="宋体"/>
                <w:b/>
                <w:bCs/>
                <w:snapToGrid w:val="0"/>
                <w:spacing w:val="-6"/>
                <w:kern w:val="21"/>
                <w:sz w:val="24"/>
                <w:szCs w:val="24"/>
              </w:rPr>
            </w:pPr>
            <w:r>
              <w:rPr>
                <w:rFonts w:ascii="Times New Roman" w:cs="宋体"/>
                <w:b/>
                <w:bCs/>
                <w:snapToGrid w:val="0"/>
                <w:spacing w:val="-6"/>
                <w:kern w:val="21"/>
                <w:sz w:val="24"/>
                <w:szCs w:val="24"/>
              </w:rPr>
              <w:t>在建工程排放量（固体废物产生量）</w:t>
            </w:r>
            <w:r>
              <w:rPr>
                <w:rFonts w:ascii="Times New Roman" w:cs="宋体"/>
                <w:b/>
                <w:bCs/>
                <w:snapToGrid w:val="0"/>
                <w:spacing w:val="-6"/>
                <w:kern w:val="21"/>
                <w:sz w:val="24"/>
                <w:szCs w:val="24"/>
              </w:rPr>
              <w:fldChar w:fldCharType="begin"/>
            </w:r>
            <w:r>
              <w:rPr>
                <w:rFonts w:ascii="Times New Roman" w:cs="宋体"/>
                <w:b/>
                <w:bCs/>
                <w:snapToGrid w:val="0"/>
                <w:spacing w:val="-6"/>
                <w:kern w:val="21"/>
                <w:sz w:val="24"/>
                <w:szCs w:val="24"/>
              </w:rPr>
              <w:instrText xml:space="preserve"> = 3 \* GB3 \* MERGEFORMAT </w:instrText>
            </w:r>
            <w:r>
              <w:rPr>
                <w:rFonts w:ascii="Times New Roman" w:cs="宋体"/>
                <w:b/>
                <w:bCs/>
                <w:snapToGrid w:val="0"/>
                <w:spacing w:val="-6"/>
                <w:kern w:val="21"/>
                <w:sz w:val="24"/>
                <w:szCs w:val="24"/>
              </w:rPr>
              <w:fldChar w:fldCharType="separate"/>
            </w:r>
            <w:r>
              <w:rPr>
                <w:rFonts w:ascii="Times New Roman" w:cs="宋体"/>
                <w:b/>
                <w:bCs/>
                <w:kern w:val="2"/>
                <w:sz w:val="24"/>
                <w:szCs w:val="24"/>
              </w:rPr>
              <w:t>③</w:t>
            </w:r>
            <w:r>
              <w:rPr>
                <w:rFonts w:ascii="Times New Roman" w:cs="宋体"/>
                <w:b/>
                <w:bCs/>
                <w:snapToGrid w:val="0"/>
                <w:spacing w:val="-6"/>
                <w:kern w:val="21"/>
                <w:sz w:val="24"/>
                <w:szCs w:val="24"/>
              </w:rPr>
              <w:fldChar w:fldCharType="end"/>
            </w:r>
          </w:p>
        </w:tc>
        <w:tc>
          <w:tcPr>
            <w:tcW w:w="566" w:type="pct"/>
            <w:tcMar>
              <w:left w:w="28" w:type="dxa"/>
              <w:right w:w="28" w:type="dxa"/>
            </w:tcMar>
            <w:vAlign w:val="center"/>
          </w:tcPr>
          <w:p w14:paraId="28E7C24D">
            <w:pPr>
              <w:pStyle w:val="67"/>
              <w:spacing w:beforeLines="0" w:afterLines="0" w:line="240" w:lineRule="auto"/>
              <w:ind w:firstLine="0" w:firstLineChars="0"/>
              <w:rPr>
                <w:rFonts w:ascii="Times New Roman" w:cs="宋体"/>
                <w:b/>
                <w:bCs/>
                <w:snapToGrid w:val="0"/>
                <w:spacing w:val="-6"/>
                <w:kern w:val="21"/>
                <w:sz w:val="24"/>
                <w:szCs w:val="24"/>
              </w:rPr>
            </w:pPr>
            <w:r>
              <w:rPr>
                <w:rFonts w:ascii="Times New Roman" w:cs="宋体"/>
                <w:b/>
                <w:bCs/>
                <w:snapToGrid w:val="0"/>
                <w:spacing w:val="-6"/>
                <w:kern w:val="21"/>
                <w:sz w:val="24"/>
                <w:szCs w:val="24"/>
              </w:rPr>
              <w:t>本项目排放量（固体废物产生量）</w:t>
            </w:r>
            <w:r>
              <w:rPr>
                <w:rFonts w:ascii="Times New Roman" w:cs="宋体"/>
                <w:b/>
                <w:bCs/>
                <w:snapToGrid w:val="0"/>
                <w:spacing w:val="-6"/>
                <w:kern w:val="21"/>
                <w:sz w:val="24"/>
                <w:szCs w:val="24"/>
              </w:rPr>
              <w:fldChar w:fldCharType="begin"/>
            </w:r>
            <w:r>
              <w:rPr>
                <w:rFonts w:ascii="Times New Roman" w:cs="宋体"/>
                <w:b/>
                <w:bCs/>
                <w:snapToGrid w:val="0"/>
                <w:spacing w:val="-6"/>
                <w:kern w:val="21"/>
                <w:sz w:val="24"/>
                <w:szCs w:val="24"/>
              </w:rPr>
              <w:instrText xml:space="preserve"> = 4 \* GB3 \* MERGEFORMAT </w:instrText>
            </w:r>
            <w:r>
              <w:rPr>
                <w:rFonts w:ascii="Times New Roman" w:cs="宋体"/>
                <w:b/>
                <w:bCs/>
                <w:snapToGrid w:val="0"/>
                <w:spacing w:val="-6"/>
                <w:kern w:val="21"/>
                <w:sz w:val="24"/>
                <w:szCs w:val="24"/>
              </w:rPr>
              <w:fldChar w:fldCharType="separate"/>
            </w:r>
            <w:r>
              <w:rPr>
                <w:rFonts w:ascii="Times New Roman" w:cs="宋体"/>
                <w:b/>
                <w:bCs/>
                <w:kern w:val="2"/>
                <w:sz w:val="24"/>
                <w:szCs w:val="24"/>
              </w:rPr>
              <w:t>④</w:t>
            </w:r>
            <w:r>
              <w:rPr>
                <w:rFonts w:ascii="Times New Roman" w:cs="宋体"/>
                <w:b/>
                <w:bCs/>
                <w:snapToGrid w:val="0"/>
                <w:spacing w:val="-6"/>
                <w:kern w:val="21"/>
                <w:sz w:val="24"/>
                <w:szCs w:val="24"/>
              </w:rPr>
              <w:fldChar w:fldCharType="end"/>
            </w:r>
          </w:p>
        </w:tc>
        <w:tc>
          <w:tcPr>
            <w:tcW w:w="566" w:type="pct"/>
            <w:tcMar>
              <w:left w:w="28" w:type="dxa"/>
              <w:right w:w="28" w:type="dxa"/>
            </w:tcMar>
            <w:vAlign w:val="center"/>
          </w:tcPr>
          <w:p w14:paraId="10F32042">
            <w:pPr>
              <w:pStyle w:val="67"/>
              <w:spacing w:beforeLines="0" w:afterLines="0" w:line="240" w:lineRule="auto"/>
              <w:ind w:firstLine="0" w:firstLineChars="0"/>
              <w:rPr>
                <w:rFonts w:ascii="Times New Roman" w:cs="宋体"/>
                <w:b/>
                <w:bCs/>
                <w:snapToGrid w:val="0"/>
                <w:spacing w:val="-16"/>
                <w:kern w:val="21"/>
                <w:sz w:val="24"/>
                <w:szCs w:val="24"/>
              </w:rPr>
            </w:pPr>
            <w:r>
              <w:rPr>
                <w:rFonts w:ascii="Times New Roman" w:cs="宋体"/>
                <w:b/>
                <w:bCs/>
                <w:snapToGrid w:val="0"/>
                <w:spacing w:val="-16"/>
                <w:kern w:val="21"/>
                <w:sz w:val="24"/>
                <w:szCs w:val="24"/>
              </w:rPr>
              <w:t>以新带老削减量（新建项目不填）</w:t>
            </w:r>
            <w:r>
              <w:rPr>
                <w:rFonts w:ascii="Times New Roman" w:cs="宋体"/>
                <w:b/>
                <w:bCs/>
                <w:snapToGrid w:val="0"/>
                <w:spacing w:val="-16"/>
                <w:kern w:val="21"/>
                <w:sz w:val="24"/>
                <w:szCs w:val="24"/>
              </w:rPr>
              <w:fldChar w:fldCharType="begin"/>
            </w:r>
            <w:r>
              <w:rPr>
                <w:rFonts w:ascii="Times New Roman" w:cs="宋体"/>
                <w:b/>
                <w:bCs/>
                <w:snapToGrid w:val="0"/>
                <w:spacing w:val="-16"/>
                <w:kern w:val="21"/>
                <w:sz w:val="24"/>
                <w:szCs w:val="24"/>
              </w:rPr>
              <w:instrText xml:space="preserve"> = 5 \* GB3 \* MERGEFORMAT </w:instrText>
            </w:r>
            <w:r>
              <w:rPr>
                <w:rFonts w:ascii="Times New Roman" w:cs="宋体"/>
                <w:b/>
                <w:bCs/>
                <w:snapToGrid w:val="0"/>
                <w:spacing w:val="-16"/>
                <w:kern w:val="21"/>
                <w:sz w:val="24"/>
                <w:szCs w:val="24"/>
              </w:rPr>
              <w:fldChar w:fldCharType="separate"/>
            </w:r>
            <w:r>
              <w:rPr>
                <w:rFonts w:ascii="Times New Roman" w:cs="宋体"/>
                <w:b/>
                <w:bCs/>
                <w:kern w:val="2"/>
                <w:sz w:val="24"/>
                <w:szCs w:val="24"/>
              </w:rPr>
              <w:t>⑤</w:t>
            </w:r>
            <w:r>
              <w:rPr>
                <w:rFonts w:ascii="Times New Roman" w:cs="宋体"/>
                <w:b/>
                <w:bCs/>
                <w:snapToGrid w:val="0"/>
                <w:spacing w:val="-16"/>
                <w:kern w:val="21"/>
                <w:sz w:val="24"/>
                <w:szCs w:val="24"/>
              </w:rPr>
              <w:fldChar w:fldCharType="end"/>
            </w:r>
          </w:p>
        </w:tc>
        <w:tc>
          <w:tcPr>
            <w:tcW w:w="566" w:type="pct"/>
            <w:tcMar>
              <w:left w:w="28" w:type="dxa"/>
              <w:right w:w="28" w:type="dxa"/>
            </w:tcMar>
            <w:vAlign w:val="center"/>
          </w:tcPr>
          <w:p w14:paraId="6F487288">
            <w:pPr>
              <w:pStyle w:val="67"/>
              <w:spacing w:beforeLines="0" w:afterLines="0" w:line="240" w:lineRule="auto"/>
              <w:ind w:firstLine="0" w:firstLineChars="0"/>
              <w:rPr>
                <w:rFonts w:ascii="Times New Roman" w:cs="宋体"/>
                <w:b/>
                <w:bCs/>
                <w:snapToGrid w:val="0"/>
                <w:spacing w:val="-16"/>
                <w:kern w:val="21"/>
                <w:sz w:val="24"/>
                <w:szCs w:val="24"/>
              </w:rPr>
            </w:pPr>
            <w:r>
              <w:rPr>
                <w:rFonts w:ascii="Times New Roman" w:cs="宋体"/>
                <w:b/>
                <w:bCs/>
                <w:snapToGrid w:val="0"/>
                <w:spacing w:val="-16"/>
                <w:kern w:val="21"/>
                <w:sz w:val="24"/>
                <w:szCs w:val="24"/>
              </w:rPr>
              <w:t>本项目建成后全厂排放量（固体废物产生量）</w:t>
            </w:r>
            <w:r>
              <w:rPr>
                <w:rFonts w:ascii="Times New Roman" w:cs="宋体"/>
                <w:b/>
                <w:bCs/>
                <w:snapToGrid w:val="0"/>
                <w:spacing w:val="-16"/>
                <w:kern w:val="21"/>
                <w:sz w:val="24"/>
                <w:szCs w:val="24"/>
              </w:rPr>
              <w:fldChar w:fldCharType="begin"/>
            </w:r>
            <w:r>
              <w:rPr>
                <w:rFonts w:ascii="Times New Roman" w:cs="宋体"/>
                <w:b/>
                <w:bCs/>
                <w:snapToGrid w:val="0"/>
                <w:spacing w:val="-16"/>
                <w:kern w:val="21"/>
                <w:sz w:val="24"/>
                <w:szCs w:val="24"/>
              </w:rPr>
              <w:instrText xml:space="preserve"> = 6 \* GB3 \* MERGEFORMAT </w:instrText>
            </w:r>
            <w:r>
              <w:rPr>
                <w:rFonts w:ascii="Times New Roman" w:cs="宋体"/>
                <w:b/>
                <w:bCs/>
                <w:snapToGrid w:val="0"/>
                <w:spacing w:val="-16"/>
                <w:kern w:val="21"/>
                <w:sz w:val="24"/>
                <w:szCs w:val="24"/>
              </w:rPr>
              <w:fldChar w:fldCharType="separate"/>
            </w:r>
            <w:r>
              <w:rPr>
                <w:rFonts w:ascii="Times New Roman" w:cs="宋体"/>
                <w:b/>
                <w:bCs/>
                <w:kern w:val="2"/>
                <w:sz w:val="24"/>
                <w:szCs w:val="24"/>
              </w:rPr>
              <w:t>⑥</w:t>
            </w:r>
            <w:r>
              <w:rPr>
                <w:rFonts w:ascii="Times New Roman" w:cs="宋体"/>
                <w:b/>
                <w:bCs/>
                <w:snapToGrid w:val="0"/>
                <w:spacing w:val="-16"/>
                <w:kern w:val="21"/>
                <w:sz w:val="24"/>
                <w:szCs w:val="24"/>
              </w:rPr>
              <w:fldChar w:fldCharType="end"/>
            </w:r>
          </w:p>
        </w:tc>
        <w:tc>
          <w:tcPr>
            <w:tcW w:w="570" w:type="pct"/>
            <w:tcMar>
              <w:left w:w="28" w:type="dxa"/>
              <w:right w:w="28" w:type="dxa"/>
            </w:tcMar>
            <w:vAlign w:val="center"/>
          </w:tcPr>
          <w:p w14:paraId="09A88677">
            <w:pPr>
              <w:pStyle w:val="67"/>
              <w:spacing w:beforeLines="0" w:afterLines="0" w:line="240" w:lineRule="auto"/>
              <w:ind w:firstLine="0" w:firstLineChars="0"/>
              <w:rPr>
                <w:rFonts w:ascii="Times New Roman" w:cs="宋体"/>
                <w:b/>
                <w:bCs/>
                <w:snapToGrid w:val="0"/>
                <w:spacing w:val="-6"/>
                <w:kern w:val="21"/>
                <w:sz w:val="24"/>
                <w:szCs w:val="24"/>
              </w:rPr>
            </w:pPr>
            <w:r>
              <w:rPr>
                <w:rFonts w:ascii="Times New Roman" w:cs="宋体"/>
                <w:b/>
                <w:bCs/>
                <w:snapToGrid w:val="0"/>
                <w:spacing w:val="-6"/>
                <w:kern w:val="21"/>
                <w:sz w:val="24"/>
                <w:szCs w:val="24"/>
              </w:rPr>
              <w:t>变化量</w:t>
            </w:r>
            <w:r>
              <w:rPr>
                <w:rFonts w:ascii="Times New Roman" w:cs="宋体"/>
                <w:b/>
                <w:bCs/>
                <w:snapToGrid w:val="0"/>
                <w:spacing w:val="-6"/>
                <w:kern w:val="21"/>
                <w:sz w:val="24"/>
                <w:szCs w:val="24"/>
              </w:rPr>
              <w:fldChar w:fldCharType="begin"/>
            </w:r>
            <w:r>
              <w:rPr>
                <w:rFonts w:ascii="Times New Roman" w:cs="宋体"/>
                <w:b/>
                <w:bCs/>
                <w:snapToGrid w:val="0"/>
                <w:spacing w:val="-6"/>
                <w:kern w:val="21"/>
                <w:sz w:val="24"/>
                <w:szCs w:val="24"/>
              </w:rPr>
              <w:instrText xml:space="preserve"> = 7 \* GB3 \* MERGEFORMAT </w:instrText>
            </w:r>
            <w:r>
              <w:rPr>
                <w:rFonts w:ascii="Times New Roman" w:cs="宋体"/>
                <w:b/>
                <w:bCs/>
                <w:snapToGrid w:val="0"/>
                <w:spacing w:val="-6"/>
                <w:kern w:val="21"/>
                <w:sz w:val="24"/>
                <w:szCs w:val="24"/>
              </w:rPr>
              <w:fldChar w:fldCharType="separate"/>
            </w:r>
            <w:r>
              <w:rPr>
                <w:rFonts w:ascii="Times New Roman" w:cs="宋体"/>
                <w:b/>
                <w:bCs/>
                <w:kern w:val="2"/>
                <w:sz w:val="24"/>
                <w:szCs w:val="24"/>
              </w:rPr>
              <w:t>⑦</w:t>
            </w:r>
            <w:r>
              <w:rPr>
                <w:rFonts w:ascii="Times New Roman" w:cs="宋体"/>
                <w:b/>
                <w:bCs/>
                <w:snapToGrid w:val="0"/>
                <w:spacing w:val="-6"/>
                <w:kern w:val="21"/>
                <w:sz w:val="24"/>
                <w:szCs w:val="24"/>
              </w:rPr>
              <w:fldChar w:fldCharType="end"/>
            </w:r>
          </w:p>
        </w:tc>
      </w:tr>
      <w:tr w14:paraId="388626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463" w:type="pct"/>
            <w:vMerge w:val="restart"/>
            <w:vAlign w:val="center"/>
          </w:tcPr>
          <w:p w14:paraId="179AD445">
            <w:pPr>
              <w:pStyle w:val="67"/>
              <w:spacing w:beforeLines="0" w:afterLines="0" w:line="240" w:lineRule="auto"/>
              <w:ind w:firstLine="0" w:firstLineChars="0"/>
              <w:rPr>
                <w:rFonts w:ascii="Times New Roman" w:cs="宋体"/>
                <w:snapToGrid w:val="0"/>
                <w:kern w:val="21"/>
                <w:sz w:val="24"/>
                <w:szCs w:val="24"/>
              </w:rPr>
            </w:pPr>
            <w:r>
              <w:rPr>
                <w:rFonts w:hint="eastAsia" w:ascii="Times New Roman" w:cs="宋体"/>
                <w:snapToGrid w:val="0"/>
                <w:kern w:val="21"/>
                <w:sz w:val="24"/>
                <w:szCs w:val="24"/>
              </w:rPr>
              <w:t>废气</w:t>
            </w:r>
          </w:p>
        </w:tc>
        <w:tc>
          <w:tcPr>
            <w:tcW w:w="566" w:type="pct"/>
            <w:vAlign w:val="center"/>
          </w:tcPr>
          <w:p w14:paraId="399A023D">
            <w:pPr>
              <w:pStyle w:val="42"/>
              <w:adjustRightInd/>
              <w:snapToGrid/>
              <w:spacing w:line="240" w:lineRule="auto"/>
              <w:ind w:firstLine="0" w:firstLineChars="0"/>
              <w:rPr>
                <w:rFonts w:ascii="Times New Roman"/>
                <w:color w:val="auto"/>
              </w:rPr>
            </w:pPr>
            <w:r>
              <w:rPr>
                <w:rFonts w:ascii="Times New Roman"/>
                <w:color w:val="auto"/>
              </w:rPr>
              <w:t>非甲烷总烃</w:t>
            </w:r>
          </w:p>
        </w:tc>
        <w:tc>
          <w:tcPr>
            <w:tcW w:w="566" w:type="pct"/>
            <w:vAlign w:val="center"/>
          </w:tcPr>
          <w:p w14:paraId="4A7370CE">
            <w:pPr>
              <w:pStyle w:val="101"/>
              <w:autoSpaceDE w:val="0"/>
              <w:autoSpaceDN w:val="0"/>
              <w:spacing w:line="240" w:lineRule="auto"/>
              <w:ind w:firstLine="0" w:firstLineChars="0"/>
              <w:jc w:val="center"/>
              <w:rPr>
                <w:rFonts w:ascii="Times New Roman" w:hAnsi="Times New Roman" w:cs="宋体"/>
                <w:color w:val="auto"/>
                <w:sz w:val="24"/>
                <w:lang w:eastAsia="zh-CN"/>
              </w:rPr>
            </w:pPr>
            <w:r>
              <w:rPr>
                <w:rFonts w:ascii="Times New Roman" w:hAnsi="Times New Roman" w:cs="宋体"/>
                <w:color w:val="auto"/>
                <w:sz w:val="24"/>
                <w:lang w:eastAsia="zh-CN"/>
              </w:rPr>
              <w:t>0.0999</w:t>
            </w:r>
            <w:r>
              <w:rPr>
                <w:rFonts w:hint="eastAsia" w:ascii="Times New Roman" w:hAnsi="Times New Roman" w:cs="宋体"/>
                <w:color w:val="auto"/>
                <w:sz w:val="24"/>
                <w:lang w:eastAsia="zh-CN"/>
              </w:rPr>
              <w:t>t/a</w:t>
            </w:r>
          </w:p>
        </w:tc>
        <w:tc>
          <w:tcPr>
            <w:tcW w:w="566" w:type="pct"/>
            <w:vAlign w:val="center"/>
          </w:tcPr>
          <w:p w14:paraId="0020B691">
            <w:pPr>
              <w:pStyle w:val="101"/>
              <w:autoSpaceDE w:val="0"/>
              <w:autoSpaceDN w:val="0"/>
              <w:spacing w:line="240" w:lineRule="auto"/>
              <w:ind w:firstLine="0" w:firstLineChars="0"/>
              <w:jc w:val="center"/>
              <w:rPr>
                <w:rFonts w:ascii="Times New Roman" w:hAnsi="Times New Roman" w:eastAsia="宋体" w:cs="宋体"/>
                <w:color w:val="auto"/>
                <w:kern w:val="0"/>
                <w:sz w:val="24"/>
                <w:szCs w:val="22"/>
                <w:lang w:val="en-US" w:eastAsia="zh-CN" w:bidi="ar-SA"/>
              </w:rPr>
            </w:pPr>
            <w:r>
              <w:rPr>
                <w:rFonts w:hint="eastAsia" w:ascii="Times New Roman" w:hAnsi="Times New Roman" w:cs="宋体"/>
                <w:color w:val="auto"/>
                <w:sz w:val="24"/>
                <w:lang w:eastAsia="zh-CN"/>
              </w:rPr>
              <w:t>0.1374t/a</w:t>
            </w:r>
          </w:p>
        </w:tc>
        <w:tc>
          <w:tcPr>
            <w:tcW w:w="566" w:type="pct"/>
            <w:vAlign w:val="center"/>
          </w:tcPr>
          <w:p w14:paraId="0099F695">
            <w:pPr>
              <w:pStyle w:val="101"/>
              <w:autoSpaceDE w:val="0"/>
              <w:autoSpaceDN w:val="0"/>
              <w:spacing w:line="240" w:lineRule="auto"/>
              <w:ind w:firstLine="0" w:firstLineChars="0"/>
              <w:jc w:val="center"/>
              <w:rPr>
                <w:rFonts w:ascii="Times New Roman" w:hAnsi="Times New Roman" w:cs="宋体"/>
                <w:color w:val="auto"/>
                <w:sz w:val="24"/>
                <w:szCs w:val="24"/>
                <w:lang w:eastAsia="zh-CN"/>
              </w:rPr>
            </w:pPr>
            <w:r>
              <w:rPr>
                <w:rFonts w:hint="eastAsia" w:ascii="Times New Roman" w:hAnsi="Times New Roman" w:cs="宋体"/>
                <w:color w:val="auto"/>
                <w:sz w:val="24"/>
                <w:szCs w:val="24"/>
                <w:lang w:eastAsia="zh-CN"/>
              </w:rPr>
              <w:t>0</w:t>
            </w:r>
          </w:p>
        </w:tc>
        <w:tc>
          <w:tcPr>
            <w:tcW w:w="566" w:type="pct"/>
            <w:vAlign w:val="center"/>
          </w:tcPr>
          <w:p w14:paraId="5642C0C9">
            <w:pPr>
              <w:widowControl/>
              <w:spacing w:line="240" w:lineRule="auto"/>
              <w:ind w:firstLine="0" w:firstLineChars="0"/>
              <w:jc w:val="center"/>
              <w:textAlignment w:val="center"/>
              <w:rPr>
                <w:rFonts w:cs="宋体"/>
                <w:color w:val="auto"/>
                <w:kern w:val="0"/>
              </w:rPr>
            </w:pPr>
            <w:r>
              <w:rPr>
                <w:rFonts w:hint="eastAsia" w:cs="宋体"/>
                <w:color w:val="auto"/>
                <w:kern w:val="0"/>
              </w:rPr>
              <w:t>2.271t/a</w:t>
            </w:r>
          </w:p>
        </w:tc>
        <w:tc>
          <w:tcPr>
            <w:tcW w:w="566" w:type="pct"/>
            <w:vAlign w:val="center"/>
          </w:tcPr>
          <w:p w14:paraId="5A069CAB">
            <w:pPr>
              <w:pStyle w:val="101"/>
              <w:autoSpaceDE w:val="0"/>
              <w:autoSpaceDN w:val="0"/>
              <w:spacing w:line="240" w:lineRule="auto"/>
              <w:ind w:firstLine="0" w:firstLineChars="0"/>
              <w:jc w:val="center"/>
              <w:rPr>
                <w:rFonts w:ascii="Times New Roman" w:hAnsi="Times New Roman" w:eastAsia="宋体" w:cs="宋体"/>
                <w:color w:val="auto"/>
                <w:kern w:val="0"/>
                <w:sz w:val="24"/>
                <w:szCs w:val="22"/>
                <w:lang w:val="en-US" w:eastAsia="zh-CN" w:bidi="ar-SA"/>
              </w:rPr>
            </w:pPr>
            <w:r>
              <w:rPr>
                <w:rFonts w:ascii="Times New Roman" w:hAnsi="Times New Roman" w:cs="宋体"/>
                <w:color w:val="auto"/>
                <w:sz w:val="24"/>
                <w:lang w:eastAsia="zh-CN"/>
              </w:rPr>
              <w:t>0.0999</w:t>
            </w:r>
            <w:r>
              <w:rPr>
                <w:rFonts w:hint="eastAsia" w:ascii="Times New Roman" w:hAnsi="Times New Roman" w:cs="宋体"/>
                <w:color w:val="auto"/>
                <w:sz w:val="24"/>
                <w:lang w:eastAsia="zh-CN"/>
              </w:rPr>
              <w:t>t/a</w:t>
            </w:r>
          </w:p>
        </w:tc>
        <w:tc>
          <w:tcPr>
            <w:tcW w:w="566" w:type="pct"/>
            <w:shd w:val="clear" w:color="auto" w:fill="auto"/>
            <w:vAlign w:val="center"/>
          </w:tcPr>
          <w:p w14:paraId="4B612AB2">
            <w:pPr>
              <w:widowControl/>
              <w:spacing w:line="240" w:lineRule="auto"/>
              <w:ind w:firstLine="0" w:firstLineChars="0"/>
              <w:jc w:val="center"/>
              <w:textAlignment w:val="center"/>
              <w:rPr>
                <w:rFonts w:cs="宋体"/>
                <w:color w:val="auto"/>
                <w:kern w:val="0"/>
              </w:rPr>
            </w:pPr>
            <w:r>
              <w:rPr>
                <w:rFonts w:hint="eastAsia" w:cs="宋体"/>
                <w:color w:val="auto"/>
                <w:kern w:val="0"/>
              </w:rPr>
              <w:t>2.271t/a</w:t>
            </w:r>
          </w:p>
        </w:tc>
        <w:tc>
          <w:tcPr>
            <w:tcW w:w="570" w:type="pct"/>
            <w:shd w:val="clear" w:color="auto" w:fill="auto"/>
            <w:vAlign w:val="center"/>
          </w:tcPr>
          <w:p w14:paraId="2F6951E2">
            <w:pPr>
              <w:spacing w:line="240" w:lineRule="auto"/>
              <w:ind w:firstLine="0" w:firstLineChars="0"/>
              <w:jc w:val="center"/>
              <w:rPr>
                <w:rFonts w:cs="宋体"/>
                <w:color w:val="auto"/>
              </w:rPr>
            </w:pPr>
            <w:bookmarkStart w:id="380" w:name="OLE_LINK60"/>
            <w:r>
              <w:rPr>
                <w:rFonts w:hint="eastAsia" w:cs="宋体"/>
                <w:color w:val="auto"/>
              </w:rPr>
              <w:t>+2.1</w:t>
            </w:r>
            <w:bookmarkEnd w:id="380"/>
            <w:r>
              <w:rPr>
                <w:rFonts w:hint="eastAsia" w:cs="宋体"/>
                <w:color w:val="auto"/>
              </w:rPr>
              <w:t>711</w:t>
            </w:r>
            <w:r>
              <w:rPr>
                <w:rFonts w:cs="宋体"/>
                <w:color w:val="auto"/>
              </w:rPr>
              <w:t>t/a</w:t>
            </w:r>
          </w:p>
        </w:tc>
      </w:tr>
      <w:tr w14:paraId="426042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463" w:type="pct"/>
            <w:vMerge w:val="continue"/>
            <w:vAlign w:val="center"/>
          </w:tcPr>
          <w:p w14:paraId="55FBBD77">
            <w:pPr>
              <w:pStyle w:val="67"/>
              <w:spacing w:beforeLines="0" w:afterLines="0" w:line="240" w:lineRule="auto"/>
              <w:ind w:firstLine="0" w:firstLineChars="0"/>
              <w:rPr>
                <w:rFonts w:ascii="Times New Roman" w:cs="宋体"/>
                <w:snapToGrid w:val="0"/>
                <w:kern w:val="21"/>
                <w:sz w:val="24"/>
                <w:szCs w:val="24"/>
              </w:rPr>
            </w:pPr>
          </w:p>
        </w:tc>
        <w:tc>
          <w:tcPr>
            <w:tcW w:w="566" w:type="pct"/>
            <w:vAlign w:val="center"/>
          </w:tcPr>
          <w:p w14:paraId="56F9614A">
            <w:pPr>
              <w:pStyle w:val="42"/>
              <w:adjustRightInd/>
              <w:snapToGrid/>
              <w:spacing w:line="240" w:lineRule="auto"/>
              <w:ind w:firstLine="0" w:firstLineChars="0"/>
              <w:rPr>
                <w:rFonts w:ascii="Times New Roman"/>
                <w:color w:val="auto"/>
              </w:rPr>
            </w:pPr>
            <w:r>
              <w:rPr>
                <w:rFonts w:ascii="Times New Roman"/>
                <w:color w:val="auto"/>
              </w:rPr>
              <w:t>臭气浓度</w:t>
            </w:r>
          </w:p>
        </w:tc>
        <w:tc>
          <w:tcPr>
            <w:tcW w:w="566" w:type="pct"/>
            <w:vAlign w:val="center"/>
          </w:tcPr>
          <w:p w14:paraId="66266BA5">
            <w:pPr>
              <w:pStyle w:val="101"/>
              <w:autoSpaceDE w:val="0"/>
              <w:autoSpaceDN w:val="0"/>
              <w:spacing w:line="240" w:lineRule="auto"/>
              <w:ind w:firstLine="0" w:firstLineChars="0"/>
              <w:jc w:val="center"/>
              <w:rPr>
                <w:rFonts w:ascii="Times New Roman" w:hAnsi="Times New Roman" w:cs="宋体"/>
                <w:color w:val="auto"/>
                <w:sz w:val="24"/>
              </w:rPr>
            </w:pPr>
            <w:r>
              <w:rPr>
                <w:rFonts w:hint="eastAsia" w:ascii="Times New Roman" w:hAnsi="Times New Roman" w:cs="宋体"/>
                <w:color w:val="auto"/>
                <w:sz w:val="24"/>
                <w:lang w:eastAsia="zh-CN"/>
              </w:rPr>
              <w:t>少量</w:t>
            </w:r>
          </w:p>
        </w:tc>
        <w:tc>
          <w:tcPr>
            <w:tcW w:w="566" w:type="pct"/>
            <w:vAlign w:val="center"/>
          </w:tcPr>
          <w:p w14:paraId="17EAAF52">
            <w:pPr>
              <w:pStyle w:val="101"/>
              <w:autoSpaceDE w:val="0"/>
              <w:autoSpaceDN w:val="0"/>
              <w:spacing w:line="240" w:lineRule="auto"/>
              <w:ind w:firstLine="0" w:firstLineChars="0"/>
              <w:jc w:val="center"/>
              <w:rPr>
                <w:rFonts w:ascii="Times New Roman" w:hAnsi="Times New Roman" w:eastAsia="宋体" w:cs="宋体"/>
                <w:color w:val="auto"/>
                <w:kern w:val="0"/>
                <w:sz w:val="24"/>
                <w:szCs w:val="22"/>
                <w:lang w:val="en-US" w:eastAsia="zh-CN" w:bidi="ar-SA"/>
              </w:rPr>
            </w:pPr>
            <w:r>
              <w:rPr>
                <w:rFonts w:hint="eastAsia" w:ascii="Times New Roman" w:hAnsi="Times New Roman" w:cs="宋体"/>
                <w:color w:val="auto"/>
                <w:sz w:val="24"/>
                <w:lang w:eastAsia="zh-CN"/>
              </w:rPr>
              <w:t>少量</w:t>
            </w:r>
          </w:p>
        </w:tc>
        <w:tc>
          <w:tcPr>
            <w:tcW w:w="566" w:type="pct"/>
            <w:vAlign w:val="center"/>
          </w:tcPr>
          <w:p w14:paraId="33E815D2">
            <w:pPr>
              <w:pStyle w:val="101"/>
              <w:autoSpaceDE w:val="0"/>
              <w:autoSpaceDN w:val="0"/>
              <w:spacing w:line="240" w:lineRule="auto"/>
              <w:ind w:firstLine="0" w:firstLineChars="0"/>
              <w:jc w:val="center"/>
              <w:rPr>
                <w:rFonts w:ascii="Times New Roman" w:hAnsi="Times New Roman" w:cs="宋体"/>
                <w:color w:val="auto"/>
                <w:sz w:val="24"/>
                <w:szCs w:val="24"/>
                <w:lang w:eastAsia="zh-CN"/>
              </w:rPr>
            </w:pPr>
            <w:r>
              <w:rPr>
                <w:rFonts w:hint="eastAsia" w:ascii="Times New Roman" w:hAnsi="Times New Roman" w:cs="宋体"/>
                <w:color w:val="auto"/>
                <w:sz w:val="24"/>
                <w:szCs w:val="24"/>
                <w:lang w:eastAsia="zh-CN"/>
              </w:rPr>
              <w:t>0</w:t>
            </w:r>
          </w:p>
        </w:tc>
        <w:tc>
          <w:tcPr>
            <w:tcW w:w="566" w:type="pct"/>
            <w:vAlign w:val="center"/>
          </w:tcPr>
          <w:p w14:paraId="5809A287">
            <w:pPr>
              <w:widowControl/>
              <w:spacing w:line="240" w:lineRule="auto"/>
              <w:ind w:firstLine="0" w:firstLineChars="0"/>
              <w:jc w:val="center"/>
              <w:textAlignment w:val="center"/>
              <w:rPr>
                <w:rFonts w:cs="宋体"/>
                <w:color w:val="auto"/>
                <w:kern w:val="0"/>
              </w:rPr>
            </w:pPr>
            <w:r>
              <w:rPr>
                <w:rFonts w:hint="eastAsia" w:cs="宋体"/>
                <w:color w:val="auto"/>
                <w:kern w:val="0"/>
              </w:rPr>
              <w:t>少量</w:t>
            </w:r>
          </w:p>
        </w:tc>
        <w:tc>
          <w:tcPr>
            <w:tcW w:w="566" w:type="pct"/>
            <w:vAlign w:val="center"/>
          </w:tcPr>
          <w:p w14:paraId="090D50AC">
            <w:pPr>
              <w:pStyle w:val="101"/>
              <w:autoSpaceDE w:val="0"/>
              <w:autoSpaceDN w:val="0"/>
              <w:spacing w:line="240" w:lineRule="auto"/>
              <w:ind w:firstLine="0" w:firstLineChars="0"/>
              <w:jc w:val="center"/>
              <w:rPr>
                <w:rFonts w:ascii="Times New Roman" w:hAnsi="Times New Roman" w:eastAsia="宋体" w:cs="宋体"/>
                <w:color w:val="auto"/>
                <w:kern w:val="0"/>
                <w:sz w:val="24"/>
                <w:szCs w:val="22"/>
                <w:lang w:val="en-US" w:eastAsia="zh-CN" w:bidi="ar-SA"/>
              </w:rPr>
            </w:pPr>
            <w:r>
              <w:rPr>
                <w:rFonts w:hint="eastAsia" w:ascii="Times New Roman" w:hAnsi="Times New Roman" w:cs="宋体"/>
                <w:color w:val="auto"/>
                <w:sz w:val="24"/>
                <w:lang w:eastAsia="zh-CN"/>
              </w:rPr>
              <w:t>少量</w:t>
            </w:r>
          </w:p>
        </w:tc>
        <w:tc>
          <w:tcPr>
            <w:tcW w:w="566" w:type="pct"/>
            <w:shd w:val="clear" w:color="auto" w:fill="auto"/>
            <w:vAlign w:val="center"/>
          </w:tcPr>
          <w:p w14:paraId="2BE7029B">
            <w:pPr>
              <w:widowControl/>
              <w:spacing w:line="240" w:lineRule="auto"/>
              <w:ind w:firstLine="0" w:firstLineChars="0"/>
              <w:jc w:val="center"/>
              <w:textAlignment w:val="center"/>
              <w:rPr>
                <w:rFonts w:cs="宋体"/>
                <w:color w:val="auto"/>
                <w:kern w:val="0"/>
              </w:rPr>
            </w:pPr>
            <w:r>
              <w:rPr>
                <w:rFonts w:hint="eastAsia" w:cs="宋体"/>
                <w:color w:val="auto"/>
                <w:kern w:val="0"/>
              </w:rPr>
              <w:t>少量</w:t>
            </w:r>
          </w:p>
        </w:tc>
        <w:tc>
          <w:tcPr>
            <w:tcW w:w="570" w:type="pct"/>
            <w:shd w:val="clear" w:color="auto" w:fill="auto"/>
            <w:vAlign w:val="center"/>
          </w:tcPr>
          <w:p w14:paraId="082424B6">
            <w:pPr>
              <w:spacing w:line="240" w:lineRule="auto"/>
              <w:ind w:firstLine="0" w:firstLineChars="0"/>
              <w:jc w:val="center"/>
              <w:rPr>
                <w:rFonts w:cs="宋体"/>
                <w:color w:val="auto"/>
              </w:rPr>
            </w:pPr>
            <w:r>
              <w:rPr>
                <w:rFonts w:hint="eastAsia" w:cs="宋体"/>
                <w:color w:val="auto"/>
                <w:kern w:val="0"/>
              </w:rPr>
              <w:t>少量</w:t>
            </w:r>
          </w:p>
        </w:tc>
      </w:tr>
      <w:tr w14:paraId="44108F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463" w:type="pct"/>
            <w:vMerge w:val="continue"/>
            <w:vAlign w:val="center"/>
          </w:tcPr>
          <w:p w14:paraId="2F241721">
            <w:pPr>
              <w:pStyle w:val="67"/>
              <w:spacing w:beforeLines="0" w:afterLines="0" w:line="240" w:lineRule="auto"/>
              <w:ind w:firstLine="0" w:firstLineChars="0"/>
              <w:rPr>
                <w:rFonts w:ascii="Times New Roman" w:cs="宋体"/>
                <w:snapToGrid w:val="0"/>
                <w:kern w:val="21"/>
                <w:sz w:val="24"/>
                <w:szCs w:val="24"/>
              </w:rPr>
            </w:pPr>
          </w:p>
        </w:tc>
        <w:tc>
          <w:tcPr>
            <w:tcW w:w="566" w:type="pct"/>
            <w:vAlign w:val="center"/>
          </w:tcPr>
          <w:p w14:paraId="1A2F7ADC">
            <w:pPr>
              <w:pStyle w:val="42"/>
              <w:adjustRightInd/>
              <w:snapToGrid/>
              <w:spacing w:line="240" w:lineRule="auto"/>
              <w:ind w:firstLine="0" w:firstLineChars="0"/>
              <w:rPr>
                <w:rFonts w:ascii="Times New Roman"/>
                <w:color w:val="auto"/>
              </w:rPr>
            </w:pPr>
            <w:r>
              <w:rPr>
                <w:rFonts w:hint="eastAsia" w:ascii="Times New Roman"/>
                <w:color w:val="auto"/>
              </w:rPr>
              <w:t>颗粒物</w:t>
            </w:r>
          </w:p>
        </w:tc>
        <w:tc>
          <w:tcPr>
            <w:tcW w:w="566" w:type="pct"/>
            <w:vAlign w:val="center"/>
          </w:tcPr>
          <w:p w14:paraId="40D92A10">
            <w:pPr>
              <w:pStyle w:val="101"/>
              <w:autoSpaceDE w:val="0"/>
              <w:autoSpaceDN w:val="0"/>
              <w:spacing w:line="240" w:lineRule="auto"/>
              <w:ind w:firstLine="0" w:firstLineChars="0"/>
              <w:jc w:val="center"/>
              <w:rPr>
                <w:rFonts w:ascii="Times New Roman" w:hAnsi="Times New Roman" w:cs="宋体"/>
                <w:color w:val="auto"/>
                <w:sz w:val="24"/>
                <w:lang w:eastAsia="zh-CN"/>
              </w:rPr>
            </w:pPr>
            <w:r>
              <w:rPr>
                <w:rFonts w:hint="eastAsia" w:ascii="Times New Roman" w:hAnsi="Times New Roman" w:cs="宋体"/>
                <w:color w:val="auto"/>
                <w:sz w:val="24"/>
                <w:lang w:eastAsia="zh-CN"/>
              </w:rPr>
              <w:t>0.1231t/a</w:t>
            </w:r>
          </w:p>
        </w:tc>
        <w:tc>
          <w:tcPr>
            <w:tcW w:w="566" w:type="pct"/>
            <w:vAlign w:val="center"/>
          </w:tcPr>
          <w:p w14:paraId="5055C4AA">
            <w:pPr>
              <w:pStyle w:val="101"/>
              <w:autoSpaceDE w:val="0"/>
              <w:autoSpaceDN w:val="0"/>
              <w:spacing w:line="240" w:lineRule="auto"/>
              <w:ind w:firstLine="0" w:firstLineChars="0"/>
              <w:jc w:val="center"/>
              <w:rPr>
                <w:rFonts w:ascii="Times New Roman" w:hAnsi="Times New Roman" w:eastAsia="宋体" w:cs="宋体"/>
                <w:color w:val="auto"/>
                <w:kern w:val="0"/>
                <w:sz w:val="24"/>
                <w:szCs w:val="22"/>
                <w:lang w:val="en-US" w:eastAsia="zh-CN" w:bidi="ar-SA"/>
              </w:rPr>
            </w:pPr>
            <w:r>
              <w:rPr>
                <w:rFonts w:hint="eastAsia" w:ascii="Times New Roman" w:hAnsi="Times New Roman" w:cs="宋体"/>
                <w:color w:val="auto"/>
                <w:sz w:val="24"/>
                <w:lang w:eastAsia="zh-CN"/>
              </w:rPr>
              <w:t>0.1231t/a</w:t>
            </w:r>
          </w:p>
        </w:tc>
        <w:tc>
          <w:tcPr>
            <w:tcW w:w="566" w:type="pct"/>
            <w:vAlign w:val="center"/>
          </w:tcPr>
          <w:p w14:paraId="6FE985E9">
            <w:pPr>
              <w:pStyle w:val="101"/>
              <w:autoSpaceDE w:val="0"/>
              <w:autoSpaceDN w:val="0"/>
              <w:spacing w:line="240" w:lineRule="auto"/>
              <w:ind w:firstLine="0" w:firstLineChars="0"/>
              <w:jc w:val="center"/>
              <w:rPr>
                <w:rFonts w:ascii="Times New Roman" w:hAnsi="Times New Roman" w:cs="宋体"/>
                <w:color w:val="auto"/>
                <w:sz w:val="24"/>
                <w:szCs w:val="24"/>
                <w:lang w:eastAsia="zh-CN"/>
              </w:rPr>
            </w:pPr>
            <w:r>
              <w:rPr>
                <w:rFonts w:hint="eastAsia" w:ascii="Times New Roman" w:hAnsi="Times New Roman" w:cs="宋体"/>
                <w:color w:val="auto"/>
                <w:sz w:val="24"/>
                <w:szCs w:val="24"/>
                <w:lang w:eastAsia="zh-CN"/>
              </w:rPr>
              <w:t>0</w:t>
            </w:r>
          </w:p>
        </w:tc>
        <w:tc>
          <w:tcPr>
            <w:tcW w:w="566" w:type="pct"/>
            <w:shd w:val="clear" w:color="auto" w:fill="auto"/>
            <w:vAlign w:val="center"/>
          </w:tcPr>
          <w:p w14:paraId="0AEAD6FB">
            <w:pPr>
              <w:widowControl/>
              <w:spacing w:line="240" w:lineRule="auto"/>
              <w:ind w:firstLine="0" w:firstLineChars="0"/>
              <w:jc w:val="center"/>
              <w:textAlignment w:val="center"/>
              <w:rPr>
                <w:rFonts w:cs="宋体"/>
                <w:color w:val="auto"/>
                <w:kern w:val="0"/>
              </w:rPr>
            </w:pPr>
            <w:bookmarkStart w:id="381" w:name="OLE_LINK145"/>
            <w:r>
              <w:rPr>
                <w:rFonts w:hint="eastAsia" w:cs="宋体"/>
                <w:color w:val="auto"/>
                <w:kern w:val="0"/>
              </w:rPr>
              <w:t>0.388t/a</w:t>
            </w:r>
            <w:bookmarkEnd w:id="381"/>
          </w:p>
        </w:tc>
        <w:tc>
          <w:tcPr>
            <w:tcW w:w="566" w:type="pct"/>
            <w:shd w:val="clear" w:color="auto" w:fill="auto"/>
            <w:vAlign w:val="center"/>
          </w:tcPr>
          <w:p w14:paraId="796FD241">
            <w:pPr>
              <w:pStyle w:val="101"/>
              <w:autoSpaceDE w:val="0"/>
              <w:autoSpaceDN w:val="0"/>
              <w:spacing w:line="240" w:lineRule="auto"/>
              <w:ind w:firstLine="0" w:firstLineChars="0"/>
              <w:jc w:val="center"/>
              <w:rPr>
                <w:rFonts w:ascii="Times New Roman" w:hAnsi="Times New Roman" w:eastAsia="宋体" w:cs="宋体"/>
                <w:color w:val="auto"/>
                <w:kern w:val="0"/>
                <w:sz w:val="24"/>
                <w:szCs w:val="22"/>
                <w:lang w:val="en-US" w:eastAsia="zh-CN" w:bidi="ar-SA"/>
              </w:rPr>
            </w:pPr>
            <w:r>
              <w:rPr>
                <w:rFonts w:hint="eastAsia" w:ascii="Times New Roman" w:hAnsi="Times New Roman" w:cs="宋体"/>
                <w:color w:val="auto"/>
                <w:sz w:val="24"/>
                <w:lang w:eastAsia="zh-CN"/>
              </w:rPr>
              <w:t>0.1231t/a</w:t>
            </w:r>
          </w:p>
        </w:tc>
        <w:tc>
          <w:tcPr>
            <w:tcW w:w="566" w:type="pct"/>
            <w:shd w:val="clear" w:color="auto" w:fill="auto"/>
            <w:vAlign w:val="center"/>
          </w:tcPr>
          <w:p w14:paraId="06FC4727">
            <w:pPr>
              <w:widowControl/>
              <w:spacing w:line="240" w:lineRule="auto"/>
              <w:ind w:firstLine="0" w:firstLineChars="0"/>
              <w:jc w:val="center"/>
              <w:textAlignment w:val="center"/>
              <w:rPr>
                <w:rFonts w:cs="宋体"/>
                <w:color w:val="auto"/>
                <w:kern w:val="0"/>
              </w:rPr>
            </w:pPr>
            <w:r>
              <w:rPr>
                <w:rFonts w:hint="eastAsia" w:cs="宋体"/>
                <w:color w:val="auto"/>
                <w:kern w:val="0"/>
              </w:rPr>
              <w:t>0.388t/a</w:t>
            </w:r>
          </w:p>
        </w:tc>
        <w:tc>
          <w:tcPr>
            <w:tcW w:w="570" w:type="pct"/>
            <w:shd w:val="clear" w:color="auto" w:fill="auto"/>
            <w:vAlign w:val="center"/>
          </w:tcPr>
          <w:p w14:paraId="73D90A85">
            <w:pPr>
              <w:spacing w:line="240" w:lineRule="auto"/>
              <w:ind w:firstLine="0" w:firstLineChars="0"/>
              <w:jc w:val="center"/>
              <w:rPr>
                <w:rFonts w:cs="宋体"/>
                <w:color w:val="auto"/>
              </w:rPr>
            </w:pPr>
            <w:r>
              <w:rPr>
                <w:rFonts w:hint="eastAsia" w:cs="宋体"/>
                <w:color w:val="auto"/>
              </w:rPr>
              <w:t>+0.2649</w:t>
            </w:r>
            <w:r>
              <w:rPr>
                <w:rFonts w:cs="宋体"/>
                <w:color w:val="auto"/>
              </w:rPr>
              <w:t>t/a</w:t>
            </w:r>
          </w:p>
        </w:tc>
      </w:tr>
      <w:tr w14:paraId="01F40F0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463" w:type="pct"/>
            <w:vMerge w:val="restart"/>
            <w:vAlign w:val="center"/>
          </w:tcPr>
          <w:p w14:paraId="2EA31768">
            <w:pPr>
              <w:pStyle w:val="67"/>
              <w:spacing w:beforeLines="0" w:afterLines="0" w:line="240" w:lineRule="auto"/>
              <w:ind w:firstLine="0" w:firstLineChars="0"/>
              <w:rPr>
                <w:rFonts w:ascii="Times New Roman" w:cs="宋体"/>
                <w:snapToGrid w:val="0"/>
                <w:kern w:val="21"/>
                <w:sz w:val="24"/>
                <w:szCs w:val="24"/>
              </w:rPr>
            </w:pPr>
            <w:r>
              <w:rPr>
                <w:rFonts w:ascii="Times New Roman" w:cs="宋体"/>
                <w:snapToGrid w:val="0"/>
                <w:kern w:val="21"/>
                <w:sz w:val="24"/>
                <w:szCs w:val="24"/>
              </w:rPr>
              <w:t>废水</w:t>
            </w:r>
          </w:p>
        </w:tc>
        <w:tc>
          <w:tcPr>
            <w:tcW w:w="566" w:type="pct"/>
            <w:vAlign w:val="center"/>
          </w:tcPr>
          <w:p w14:paraId="5AD6BBE6">
            <w:pPr>
              <w:pStyle w:val="42"/>
              <w:adjustRightInd/>
              <w:snapToGrid/>
              <w:spacing w:line="240" w:lineRule="auto"/>
              <w:ind w:firstLine="0" w:firstLineChars="0"/>
              <w:rPr>
                <w:rFonts w:ascii="Times New Roman"/>
                <w:color w:val="auto"/>
              </w:rPr>
            </w:pPr>
            <w:r>
              <w:rPr>
                <w:rFonts w:ascii="Times New Roman"/>
                <w:color w:val="auto"/>
              </w:rPr>
              <w:t>废水量</w:t>
            </w:r>
          </w:p>
        </w:tc>
        <w:tc>
          <w:tcPr>
            <w:tcW w:w="566" w:type="pct"/>
            <w:vAlign w:val="center"/>
          </w:tcPr>
          <w:p w14:paraId="689DA425">
            <w:pPr>
              <w:pStyle w:val="101"/>
              <w:autoSpaceDE w:val="0"/>
              <w:autoSpaceDN w:val="0"/>
              <w:spacing w:line="240" w:lineRule="auto"/>
              <w:ind w:firstLine="0" w:firstLineChars="0"/>
              <w:jc w:val="center"/>
              <w:rPr>
                <w:rFonts w:ascii="Times New Roman" w:hAnsi="Times New Roman" w:cs="宋体"/>
                <w:color w:val="auto"/>
                <w:sz w:val="24"/>
                <w:lang w:eastAsia="zh-CN"/>
              </w:rPr>
            </w:pPr>
            <w:bookmarkStart w:id="382" w:name="OLE_LINK159"/>
            <w:r>
              <w:rPr>
                <w:rFonts w:hint="eastAsia" w:ascii="Times New Roman" w:hAnsi="Times New Roman" w:cs="宋体"/>
                <w:color w:val="auto"/>
                <w:sz w:val="24"/>
                <w:lang w:eastAsia="zh-CN"/>
              </w:rPr>
              <w:t>40.2</w:t>
            </w:r>
            <w:bookmarkEnd w:id="382"/>
            <w:r>
              <w:rPr>
                <w:rFonts w:hint="eastAsia" w:ascii="Times New Roman" w:hAnsi="Times New Roman" w:cs="宋体"/>
                <w:color w:val="auto"/>
                <w:sz w:val="24"/>
                <w:lang w:eastAsia="zh-CN"/>
              </w:rPr>
              <w:t>t/a</w:t>
            </w:r>
          </w:p>
        </w:tc>
        <w:tc>
          <w:tcPr>
            <w:tcW w:w="566" w:type="pct"/>
            <w:vAlign w:val="center"/>
          </w:tcPr>
          <w:p w14:paraId="3B9DA7F7">
            <w:pPr>
              <w:pStyle w:val="101"/>
              <w:autoSpaceDE w:val="0"/>
              <w:autoSpaceDN w:val="0"/>
              <w:spacing w:line="240" w:lineRule="auto"/>
              <w:ind w:firstLine="0" w:firstLineChars="0"/>
              <w:jc w:val="center"/>
              <w:rPr>
                <w:rFonts w:ascii="Times New Roman" w:hAnsi="Times New Roman" w:eastAsia="宋体" w:cs="宋体"/>
                <w:color w:val="auto"/>
                <w:kern w:val="0"/>
                <w:sz w:val="24"/>
                <w:szCs w:val="22"/>
                <w:lang w:val="en-US" w:eastAsia="zh-CN" w:bidi="ar-SA"/>
              </w:rPr>
            </w:pPr>
            <w:r>
              <w:rPr>
                <w:rFonts w:hint="eastAsia" w:ascii="Times New Roman" w:hAnsi="Times New Roman" w:cs="宋体"/>
                <w:color w:val="auto"/>
                <w:sz w:val="24"/>
                <w:lang w:eastAsia="zh-CN"/>
              </w:rPr>
              <w:t>40.2t/a</w:t>
            </w:r>
          </w:p>
        </w:tc>
        <w:tc>
          <w:tcPr>
            <w:tcW w:w="566" w:type="pct"/>
            <w:vAlign w:val="center"/>
          </w:tcPr>
          <w:p w14:paraId="7027A191">
            <w:pPr>
              <w:pStyle w:val="101"/>
              <w:autoSpaceDE w:val="0"/>
              <w:autoSpaceDN w:val="0"/>
              <w:spacing w:line="240" w:lineRule="auto"/>
              <w:ind w:firstLine="0" w:firstLineChars="0"/>
              <w:jc w:val="center"/>
              <w:rPr>
                <w:rFonts w:ascii="Times New Roman" w:hAnsi="Times New Roman" w:cs="宋体"/>
                <w:color w:val="auto"/>
                <w:sz w:val="24"/>
                <w:szCs w:val="24"/>
                <w:lang w:eastAsia="zh-CN"/>
              </w:rPr>
            </w:pPr>
            <w:r>
              <w:rPr>
                <w:rFonts w:hint="eastAsia" w:ascii="Times New Roman" w:hAnsi="Times New Roman" w:cs="宋体"/>
                <w:color w:val="auto"/>
                <w:sz w:val="24"/>
                <w:szCs w:val="24"/>
                <w:lang w:eastAsia="zh-CN"/>
              </w:rPr>
              <w:t>0</w:t>
            </w:r>
          </w:p>
        </w:tc>
        <w:tc>
          <w:tcPr>
            <w:tcW w:w="566" w:type="pct"/>
            <w:vAlign w:val="center"/>
          </w:tcPr>
          <w:p w14:paraId="5A4A7C12">
            <w:pPr>
              <w:widowControl/>
              <w:spacing w:line="240" w:lineRule="auto"/>
              <w:ind w:firstLine="0" w:firstLineChars="0"/>
              <w:jc w:val="center"/>
              <w:textAlignment w:val="center"/>
              <w:rPr>
                <w:rFonts w:cs="宋体"/>
                <w:color w:val="auto"/>
                <w:kern w:val="0"/>
              </w:rPr>
            </w:pPr>
            <w:r>
              <w:rPr>
                <w:rFonts w:hint="eastAsia" w:cs="宋体"/>
                <w:color w:val="auto"/>
                <w:kern w:val="0"/>
              </w:rPr>
              <w:t>64</w:t>
            </w:r>
            <w:r>
              <w:rPr>
                <w:rFonts w:cs="宋体"/>
                <w:color w:val="auto"/>
              </w:rPr>
              <w:t>t/a</w:t>
            </w:r>
          </w:p>
        </w:tc>
        <w:tc>
          <w:tcPr>
            <w:tcW w:w="566" w:type="pct"/>
            <w:vAlign w:val="center"/>
          </w:tcPr>
          <w:p w14:paraId="35C9A4D1">
            <w:pPr>
              <w:pStyle w:val="101"/>
              <w:autoSpaceDE w:val="0"/>
              <w:autoSpaceDN w:val="0"/>
              <w:spacing w:line="240" w:lineRule="auto"/>
              <w:ind w:firstLine="0" w:firstLineChars="0"/>
              <w:jc w:val="center"/>
              <w:rPr>
                <w:rFonts w:ascii="Times New Roman" w:hAnsi="Times New Roman" w:eastAsia="宋体" w:cs="宋体"/>
                <w:color w:val="auto"/>
                <w:kern w:val="0"/>
                <w:sz w:val="24"/>
                <w:szCs w:val="22"/>
                <w:lang w:val="en-US" w:eastAsia="zh-CN" w:bidi="ar-SA"/>
              </w:rPr>
            </w:pPr>
            <w:r>
              <w:rPr>
                <w:rFonts w:hint="eastAsia" w:ascii="Times New Roman" w:hAnsi="Times New Roman" w:cs="宋体"/>
                <w:color w:val="auto"/>
                <w:sz w:val="24"/>
                <w:lang w:eastAsia="zh-CN"/>
              </w:rPr>
              <w:t>40.2t/a</w:t>
            </w:r>
          </w:p>
        </w:tc>
        <w:tc>
          <w:tcPr>
            <w:tcW w:w="566" w:type="pct"/>
            <w:shd w:val="clear" w:color="auto" w:fill="auto"/>
            <w:vAlign w:val="center"/>
          </w:tcPr>
          <w:p w14:paraId="0884087F">
            <w:pPr>
              <w:widowControl/>
              <w:spacing w:line="240" w:lineRule="auto"/>
              <w:ind w:firstLine="0" w:firstLineChars="0"/>
              <w:jc w:val="center"/>
              <w:textAlignment w:val="center"/>
              <w:rPr>
                <w:rFonts w:cs="宋体"/>
                <w:color w:val="auto"/>
                <w:kern w:val="0"/>
              </w:rPr>
            </w:pPr>
            <w:r>
              <w:rPr>
                <w:rFonts w:hint="eastAsia" w:cs="宋体"/>
                <w:color w:val="auto"/>
                <w:kern w:val="0"/>
              </w:rPr>
              <w:t>64</w:t>
            </w:r>
            <w:r>
              <w:rPr>
                <w:rFonts w:cs="宋体"/>
                <w:color w:val="auto"/>
              </w:rPr>
              <w:t>t/a</w:t>
            </w:r>
          </w:p>
        </w:tc>
        <w:tc>
          <w:tcPr>
            <w:tcW w:w="570" w:type="pct"/>
            <w:shd w:val="clear" w:color="auto" w:fill="auto"/>
            <w:vAlign w:val="center"/>
          </w:tcPr>
          <w:p w14:paraId="676BA045">
            <w:pPr>
              <w:spacing w:line="240" w:lineRule="auto"/>
              <w:ind w:firstLine="0" w:firstLineChars="0"/>
              <w:jc w:val="center"/>
              <w:rPr>
                <w:rFonts w:cs="宋体"/>
                <w:color w:val="auto"/>
              </w:rPr>
            </w:pPr>
            <w:r>
              <w:rPr>
                <w:rFonts w:hint="eastAsia" w:cs="宋体"/>
                <w:color w:val="auto"/>
              </w:rPr>
              <w:t>+23.8</w:t>
            </w:r>
            <w:r>
              <w:rPr>
                <w:rFonts w:cs="宋体"/>
                <w:color w:val="auto"/>
              </w:rPr>
              <w:t>t/a</w:t>
            </w:r>
          </w:p>
        </w:tc>
      </w:tr>
      <w:tr w14:paraId="0BA1E1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5" w:hRule="atLeast"/>
        </w:trPr>
        <w:tc>
          <w:tcPr>
            <w:tcW w:w="463" w:type="pct"/>
            <w:vMerge w:val="continue"/>
            <w:vAlign w:val="center"/>
          </w:tcPr>
          <w:p w14:paraId="4E51723E">
            <w:pPr>
              <w:pStyle w:val="67"/>
              <w:spacing w:beforeLines="0" w:afterLines="0" w:line="240" w:lineRule="auto"/>
              <w:ind w:firstLine="0" w:firstLineChars="0"/>
              <w:rPr>
                <w:rFonts w:ascii="Times New Roman" w:cs="宋体"/>
                <w:snapToGrid w:val="0"/>
                <w:kern w:val="21"/>
                <w:sz w:val="24"/>
                <w:szCs w:val="24"/>
              </w:rPr>
            </w:pPr>
          </w:p>
        </w:tc>
        <w:tc>
          <w:tcPr>
            <w:tcW w:w="566" w:type="pct"/>
            <w:vAlign w:val="center"/>
          </w:tcPr>
          <w:p w14:paraId="6BE2F795">
            <w:pPr>
              <w:spacing w:line="240" w:lineRule="auto"/>
              <w:ind w:firstLine="0" w:firstLineChars="0"/>
              <w:jc w:val="center"/>
              <w:rPr>
                <w:rFonts w:cs="宋体"/>
                <w:color w:val="auto"/>
              </w:rPr>
            </w:pPr>
            <w:r>
              <w:rPr>
                <w:rFonts w:cs="宋体"/>
                <w:color w:val="auto"/>
              </w:rPr>
              <w:t>CODc</w:t>
            </w:r>
            <w:r>
              <w:rPr>
                <w:rFonts w:cs="宋体"/>
                <w:color w:val="auto"/>
                <w:vertAlign w:val="subscript"/>
              </w:rPr>
              <w:t>r</w:t>
            </w:r>
          </w:p>
        </w:tc>
        <w:tc>
          <w:tcPr>
            <w:tcW w:w="566" w:type="pct"/>
            <w:vAlign w:val="center"/>
          </w:tcPr>
          <w:p w14:paraId="6F0D95C5">
            <w:pPr>
              <w:pStyle w:val="101"/>
              <w:autoSpaceDE w:val="0"/>
              <w:autoSpaceDN w:val="0"/>
              <w:spacing w:line="240" w:lineRule="auto"/>
              <w:ind w:firstLine="0" w:firstLineChars="0"/>
              <w:jc w:val="center"/>
              <w:rPr>
                <w:rFonts w:ascii="Times New Roman" w:hAnsi="Times New Roman" w:cs="宋体"/>
                <w:color w:val="auto"/>
                <w:sz w:val="24"/>
              </w:rPr>
            </w:pPr>
            <w:r>
              <w:rPr>
                <w:rFonts w:hint="eastAsia" w:ascii="Times New Roman" w:hAnsi="Times New Roman" w:cs="宋体"/>
                <w:color w:val="auto"/>
                <w:sz w:val="24"/>
              </w:rPr>
              <w:t>0.0</w:t>
            </w:r>
            <w:r>
              <w:rPr>
                <w:rFonts w:hint="eastAsia" w:ascii="Times New Roman" w:hAnsi="Times New Roman" w:cs="宋体"/>
                <w:color w:val="auto"/>
                <w:sz w:val="24"/>
                <w:lang w:eastAsia="zh-CN"/>
              </w:rPr>
              <w:t>0161</w:t>
            </w:r>
            <w:r>
              <w:rPr>
                <w:rFonts w:hint="eastAsia" w:ascii="Times New Roman" w:hAnsi="Times New Roman" w:cs="宋体"/>
                <w:color w:val="auto"/>
                <w:sz w:val="24"/>
              </w:rPr>
              <w:t>t/a</w:t>
            </w:r>
          </w:p>
        </w:tc>
        <w:tc>
          <w:tcPr>
            <w:tcW w:w="566" w:type="pct"/>
            <w:vAlign w:val="center"/>
          </w:tcPr>
          <w:p w14:paraId="763078DB">
            <w:pPr>
              <w:pStyle w:val="101"/>
              <w:autoSpaceDE w:val="0"/>
              <w:autoSpaceDN w:val="0"/>
              <w:spacing w:line="240" w:lineRule="auto"/>
              <w:ind w:firstLine="0" w:firstLineChars="0"/>
              <w:jc w:val="center"/>
              <w:rPr>
                <w:rFonts w:ascii="Times New Roman" w:hAnsi="Times New Roman" w:eastAsia="宋体" w:cs="宋体"/>
                <w:color w:val="auto"/>
                <w:kern w:val="0"/>
                <w:sz w:val="24"/>
                <w:szCs w:val="22"/>
                <w:lang w:val="en-US" w:eastAsia="zh-CN" w:bidi="ar-SA"/>
              </w:rPr>
            </w:pPr>
            <w:r>
              <w:rPr>
                <w:rFonts w:hint="eastAsia" w:ascii="Times New Roman" w:hAnsi="Times New Roman" w:cs="宋体"/>
                <w:color w:val="auto"/>
                <w:sz w:val="24"/>
              </w:rPr>
              <w:t>0.0</w:t>
            </w:r>
            <w:r>
              <w:rPr>
                <w:rFonts w:hint="eastAsia" w:ascii="Times New Roman" w:hAnsi="Times New Roman" w:cs="宋体"/>
                <w:color w:val="auto"/>
                <w:sz w:val="24"/>
                <w:lang w:eastAsia="zh-CN"/>
              </w:rPr>
              <w:t>0161</w:t>
            </w:r>
            <w:r>
              <w:rPr>
                <w:rFonts w:hint="eastAsia" w:ascii="Times New Roman" w:hAnsi="Times New Roman" w:cs="宋体"/>
                <w:color w:val="auto"/>
                <w:sz w:val="24"/>
              </w:rPr>
              <w:t>t/a</w:t>
            </w:r>
          </w:p>
        </w:tc>
        <w:tc>
          <w:tcPr>
            <w:tcW w:w="566" w:type="pct"/>
            <w:vAlign w:val="center"/>
          </w:tcPr>
          <w:p w14:paraId="462AE578">
            <w:pPr>
              <w:pStyle w:val="101"/>
              <w:autoSpaceDE w:val="0"/>
              <w:autoSpaceDN w:val="0"/>
              <w:spacing w:line="240" w:lineRule="auto"/>
              <w:ind w:firstLine="0" w:firstLineChars="0"/>
              <w:jc w:val="center"/>
              <w:rPr>
                <w:rFonts w:ascii="Times New Roman" w:hAnsi="Times New Roman" w:cs="宋体"/>
                <w:color w:val="auto"/>
                <w:sz w:val="24"/>
                <w:szCs w:val="24"/>
                <w:lang w:eastAsia="zh-CN"/>
              </w:rPr>
            </w:pPr>
            <w:r>
              <w:rPr>
                <w:rFonts w:hint="eastAsia" w:ascii="Times New Roman" w:hAnsi="Times New Roman" w:cs="宋体"/>
                <w:color w:val="auto"/>
                <w:sz w:val="24"/>
                <w:szCs w:val="24"/>
                <w:lang w:eastAsia="zh-CN"/>
              </w:rPr>
              <w:t>0</w:t>
            </w:r>
          </w:p>
        </w:tc>
        <w:tc>
          <w:tcPr>
            <w:tcW w:w="566" w:type="pct"/>
            <w:vAlign w:val="center"/>
          </w:tcPr>
          <w:p w14:paraId="6CBFDA64">
            <w:pPr>
              <w:widowControl/>
              <w:spacing w:line="240" w:lineRule="auto"/>
              <w:ind w:firstLine="0" w:firstLineChars="0"/>
              <w:jc w:val="center"/>
              <w:textAlignment w:val="center"/>
              <w:rPr>
                <w:rFonts w:cs="宋体"/>
                <w:color w:val="auto"/>
              </w:rPr>
            </w:pPr>
            <w:r>
              <w:rPr>
                <w:rFonts w:hint="eastAsia" w:cs="宋体"/>
                <w:color w:val="auto"/>
              </w:rPr>
              <w:t>0.00256</w:t>
            </w:r>
            <w:r>
              <w:rPr>
                <w:rFonts w:cs="宋体"/>
                <w:color w:val="auto"/>
              </w:rPr>
              <w:t>t/a</w:t>
            </w:r>
          </w:p>
        </w:tc>
        <w:tc>
          <w:tcPr>
            <w:tcW w:w="566" w:type="pct"/>
            <w:vAlign w:val="center"/>
          </w:tcPr>
          <w:p w14:paraId="7080E6E2">
            <w:pPr>
              <w:pStyle w:val="101"/>
              <w:autoSpaceDE w:val="0"/>
              <w:autoSpaceDN w:val="0"/>
              <w:spacing w:line="240" w:lineRule="auto"/>
              <w:ind w:firstLine="0" w:firstLineChars="0"/>
              <w:jc w:val="center"/>
              <w:rPr>
                <w:rFonts w:ascii="Times New Roman" w:hAnsi="Times New Roman" w:eastAsia="宋体" w:cs="宋体"/>
                <w:color w:val="auto"/>
                <w:kern w:val="0"/>
                <w:sz w:val="24"/>
                <w:szCs w:val="22"/>
                <w:lang w:val="en-US" w:eastAsia="zh-CN" w:bidi="ar-SA"/>
              </w:rPr>
            </w:pPr>
            <w:r>
              <w:rPr>
                <w:rFonts w:hint="eastAsia" w:ascii="Times New Roman" w:hAnsi="Times New Roman" w:cs="宋体"/>
                <w:color w:val="auto"/>
                <w:sz w:val="24"/>
              </w:rPr>
              <w:t>0.0</w:t>
            </w:r>
            <w:r>
              <w:rPr>
                <w:rFonts w:hint="eastAsia" w:ascii="Times New Roman" w:hAnsi="Times New Roman" w:cs="宋体"/>
                <w:color w:val="auto"/>
                <w:sz w:val="24"/>
                <w:lang w:eastAsia="zh-CN"/>
              </w:rPr>
              <w:t>0161</w:t>
            </w:r>
            <w:r>
              <w:rPr>
                <w:rFonts w:hint="eastAsia" w:ascii="Times New Roman" w:hAnsi="Times New Roman" w:cs="宋体"/>
                <w:color w:val="auto"/>
                <w:sz w:val="24"/>
              </w:rPr>
              <w:t>t/a</w:t>
            </w:r>
          </w:p>
        </w:tc>
        <w:tc>
          <w:tcPr>
            <w:tcW w:w="566" w:type="pct"/>
            <w:shd w:val="clear" w:color="auto" w:fill="auto"/>
            <w:vAlign w:val="center"/>
          </w:tcPr>
          <w:p w14:paraId="421F25AB">
            <w:pPr>
              <w:widowControl/>
              <w:spacing w:line="240" w:lineRule="auto"/>
              <w:ind w:firstLine="0" w:firstLineChars="0"/>
              <w:jc w:val="center"/>
              <w:textAlignment w:val="center"/>
              <w:rPr>
                <w:rFonts w:cs="宋体"/>
                <w:color w:val="auto"/>
              </w:rPr>
            </w:pPr>
            <w:r>
              <w:rPr>
                <w:rFonts w:hint="eastAsia" w:cs="宋体"/>
                <w:color w:val="auto"/>
              </w:rPr>
              <w:t>0.00256</w:t>
            </w:r>
            <w:r>
              <w:rPr>
                <w:rFonts w:cs="宋体"/>
                <w:color w:val="auto"/>
              </w:rPr>
              <w:t>t/a</w:t>
            </w:r>
          </w:p>
        </w:tc>
        <w:tc>
          <w:tcPr>
            <w:tcW w:w="570" w:type="pct"/>
            <w:shd w:val="clear" w:color="auto" w:fill="auto"/>
            <w:vAlign w:val="center"/>
          </w:tcPr>
          <w:p w14:paraId="5A05A572">
            <w:pPr>
              <w:pStyle w:val="101"/>
              <w:spacing w:line="240" w:lineRule="auto"/>
              <w:ind w:firstLine="0" w:firstLineChars="0"/>
              <w:jc w:val="center"/>
              <w:rPr>
                <w:rFonts w:ascii="Times New Roman" w:hAnsi="Times New Roman" w:cs="宋体"/>
                <w:color w:val="auto"/>
                <w:sz w:val="24"/>
                <w:szCs w:val="24"/>
                <w:lang w:eastAsia="zh-CN"/>
              </w:rPr>
            </w:pPr>
            <w:r>
              <w:rPr>
                <w:rFonts w:hint="eastAsia" w:ascii="Times New Roman" w:hAnsi="Times New Roman" w:cs="宋体"/>
                <w:color w:val="auto"/>
                <w:sz w:val="24"/>
                <w:lang w:eastAsia="zh-CN"/>
              </w:rPr>
              <w:t>+0.00095</w:t>
            </w:r>
            <w:r>
              <w:rPr>
                <w:rFonts w:ascii="Times New Roman" w:hAnsi="Times New Roman" w:cs="宋体"/>
                <w:color w:val="auto"/>
                <w:sz w:val="24"/>
              </w:rPr>
              <w:t>t/a</w:t>
            </w:r>
          </w:p>
        </w:tc>
      </w:tr>
      <w:tr w14:paraId="36E709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463" w:type="pct"/>
            <w:vMerge w:val="continue"/>
            <w:vAlign w:val="center"/>
          </w:tcPr>
          <w:p w14:paraId="1F46D56B">
            <w:pPr>
              <w:pStyle w:val="67"/>
              <w:spacing w:beforeLines="0" w:afterLines="0" w:line="240" w:lineRule="auto"/>
              <w:ind w:firstLine="0" w:firstLineChars="0"/>
              <w:rPr>
                <w:rFonts w:ascii="Times New Roman" w:cs="宋体"/>
                <w:snapToGrid w:val="0"/>
                <w:kern w:val="21"/>
                <w:sz w:val="24"/>
                <w:szCs w:val="24"/>
              </w:rPr>
            </w:pPr>
          </w:p>
        </w:tc>
        <w:tc>
          <w:tcPr>
            <w:tcW w:w="566" w:type="pct"/>
            <w:vAlign w:val="center"/>
          </w:tcPr>
          <w:p w14:paraId="5951AB81">
            <w:pPr>
              <w:widowControl/>
              <w:spacing w:line="240" w:lineRule="auto"/>
              <w:ind w:firstLine="0" w:firstLineChars="0"/>
              <w:jc w:val="center"/>
              <w:rPr>
                <w:rFonts w:cs="宋体"/>
                <w:color w:val="auto"/>
              </w:rPr>
            </w:pPr>
            <w:r>
              <w:rPr>
                <w:rFonts w:cs="宋体"/>
                <w:color w:val="auto"/>
              </w:rPr>
              <w:t>氨氮</w:t>
            </w:r>
          </w:p>
        </w:tc>
        <w:tc>
          <w:tcPr>
            <w:tcW w:w="566" w:type="pct"/>
            <w:vAlign w:val="center"/>
          </w:tcPr>
          <w:p w14:paraId="3AB75EC8">
            <w:pPr>
              <w:pStyle w:val="101"/>
              <w:autoSpaceDE w:val="0"/>
              <w:autoSpaceDN w:val="0"/>
              <w:spacing w:line="240" w:lineRule="auto"/>
              <w:ind w:firstLine="0" w:firstLineChars="0"/>
              <w:jc w:val="center"/>
              <w:rPr>
                <w:rFonts w:ascii="Times New Roman" w:hAnsi="Times New Roman" w:cs="宋体"/>
                <w:color w:val="auto"/>
                <w:sz w:val="24"/>
              </w:rPr>
            </w:pPr>
            <w:bookmarkStart w:id="383" w:name="OLE_LINK57"/>
            <w:r>
              <w:rPr>
                <w:rFonts w:hint="eastAsia" w:ascii="Times New Roman" w:hAnsi="Times New Roman" w:cs="宋体"/>
                <w:color w:val="auto"/>
                <w:sz w:val="24"/>
              </w:rPr>
              <w:t>0.000</w:t>
            </w:r>
            <w:bookmarkEnd w:id="383"/>
            <w:r>
              <w:rPr>
                <w:rFonts w:hint="eastAsia" w:ascii="Times New Roman" w:hAnsi="Times New Roman" w:cs="宋体"/>
                <w:color w:val="auto"/>
                <w:sz w:val="24"/>
                <w:lang w:eastAsia="zh-CN"/>
              </w:rPr>
              <w:t>08</w:t>
            </w:r>
            <w:r>
              <w:rPr>
                <w:rFonts w:hint="eastAsia" w:ascii="Times New Roman" w:hAnsi="Times New Roman" w:cs="宋体"/>
                <w:color w:val="auto"/>
                <w:sz w:val="24"/>
              </w:rPr>
              <w:t>t/a</w:t>
            </w:r>
          </w:p>
        </w:tc>
        <w:tc>
          <w:tcPr>
            <w:tcW w:w="566" w:type="pct"/>
            <w:vAlign w:val="center"/>
          </w:tcPr>
          <w:p w14:paraId="56045DCA">
            <w:pPr>
              <w:pStyle w:val="101"/>
              <w:autoSpaceDE w:val="0"/>
              <w:autoSpaceDN w:val="0"/>
              <w:spacing w:line="240" w:lineRule="auto"/>
              <w:ind w:firstLine="0" w:firstLineChars="0"/>
              <w:jc w:val="center"/>
              <w:rPr>
                <w:rFonts w:ascii="Times New Roman" w:hAnsi="Times New Roman" w:eastAsia="宋体" w:cs="宋体"/>
                <w:color w:val="auto"/>
                <w:kern w:val="0"/>
                <w:sz w:val="24"/>
                <w:szCs w:val="22"/>
                <w:lang w:val="en-US" w:eastAsia="zh-CN" w:bidi="ar-SA"/>
              </w:rPr>
            </w:pPr>
            <w:r>
              <w:rPr>
                <w:rFonts w:hint="eastAsia" w:ascii="Times New Roman" w:hAnsi="Times New Roman" w:cs="宋体"/>
                <w:color w:val="auto"/>
                <w:sz w:val="24"/>
              </w:rPr>
              <w:t>0.000</w:t>
            </w:r>
            <w:r>
              <w:rPr>
                <w:rFonts w:hint="eastAsia" w:ascii="Times New Roman" w:hAnsi="Times New Roman" w:cs="宋体"/>
                <w:color w:val="auto"/>
                <w:sz w:val="24"/>
                <w:lang w:eastAsia="zh-CN"/>
              </w:rPr>
              <w:t>08</w:t>
            </w:r>
            <w:r>
              <w:rPr>
                <w:rFonts w:hint="eastAsia" w:ascii="Times New Roman" w:hAnsi="Times New Roman" w:cs="宋体"/>
                <w:color w:val="auto"/>
                <w:sz w:val="24"/>
              </w:rPr>
              <w:t>t/a</w:t>
            </w:r>
          </w:p>
        </w:tc>
        <w:tc>
          <w:tcPr>
            <w:tcW w:w="566" w:type="pct"/>
            <w:vAlign w:val="center"/>
          </w:tcPr>
          <w:p w14:paraId="6C3984B5">
            <w:pPr>
              <w:pStyle w:val="101"/>
              <w:autoSpaceDE w:val="0"/>
              <w:autoSpaceDN w:val="0"/>
              <w:spacing w:line="240" w:lineRule="auto"/>
              <w:ind w:firstLine="0" w:firstLineChars="0"/>
              <w:jc w:val="center"/>
              <w:rPr>
                <w:rFonts w:ascii="Times New Roman" w:hAnsi="Times New Roman" w:cs="宋体"/>
                <w:color w:val="auto"/>
                <w:sz w:val="24"/>
                <w:szCs w:val="24"/>
                <w:lang w:eastAsia="zh-CN"/>
              </w:rPr>
            </w:pPr>
            <w:r>
              <w:rPr>
                <w:rFonts w:hint="eastAsia" w:ascii="Times New Roman" w:hAnsi="Times New Roman" w:cs="宋体"/>
                <w:color w:val="auto"/>
                <w:sz w:val="24"/>
                <w:szCs w:val="24"/>
                <w:lang w:eastAsia="zh-CN"/>
              </w:rPr>
              <w:t>0</w:t>
            </w:r>
          </w:p>
        </w:tc>
        <w:tc>
          <w:tcPr>
            <w:tcW w:w="566" w:type="pct"/>
            <w:vAlign w:val="center"/>
          </w:tcPr>
          <w:p w14:paraId="21D6CE30">
            <w:pPr>
              <w:widowControl/>
              <w:spacing w:line="240" w:lineRule="auto"/>
              <w:ind w:firstLine="0" w:firstLineChars="0"/>
              <w:jc w:val="center"/>
              <w:textAlignment w:val="center"/>
              <w:rPr>
                <w:rFonts w:cs="宋体"/>
                <w:color w:val="auto"/>
              </w:rPr>
            </w:pPr>
            <w:r>
              <w:rPr>
                <w:rFonts w:hint="eastAsia" w:cs="宋体"/>
                <w:color w:val="auto"/>
              </w:rPr>
              <w:t>0.00013</w:t>
            </w:r>
            <w:r>
              <w:rPr>
                <w:rFonts w:cs="宋体"/>
                <w:color w:val="auto"/>
              </w:rPr>
              <w:t>t/a</w:t>
            </w:r>
          </w:p>
        </w:tc>
        <w:tc>
          <w:tcPr>
            <w:tcW w:w="566" w:type="pct"/>
            <w:vAlign w:val="center"/>
          </w:tcPr>
          <w:p w14:paraId="2F43DE4B">
            <w:pPr>
              <w:pStyle w:val="101"/>
              <w:autoSpaceDE w:val="0"/>
              <w:autoSpaceDN w:val="0"/>
              <w:spacing w:line="240" w:lineRule="auto"/>
              <w:ind w:firstLine="0" w:firstLineChars="0"/>
              <w:jc w:val="center"/>
              <w:rPr>
                <w:rFonts w:ascii="Times New Roman" w:hAnsi="Times New Roman" w:eastAsia="宋体" w:cs="宋体"/>
                <w:color w:val="auto"/>
                <w:kern w:val="0"/>
                <w:sz w:val="24"/>
                <w:szCs w:val="22"/>
                <w:lang w:val="en-US" w:eastAsia="zh-CN" w:bidi="ar-SA"/>
              </w:rPr>
            </w:pPr>
            <w:r>
              <w:rPr>
                <w:rFonts w:hint="eastAsia" w:ascii="Times New Roman" w:hAnsi="Times New Roman" w:cs="宋体"/>
                <w:color w:val="auto"/>
                <w:sz w:val="24"/>
              </w:rPr>
              <w:t>0.000</w:t>
            </w:r>
            <w:r>
              <w:rPr>
                <w:rFonts w:hint="eastAsia" w:ascii="Times New Roman" w:hAnsi="Times New Roman" w:cs="宋体"/>
                <w:color w:val="auto"/>
                <w:sz w:val="24"/>
                <w:lang w:eastAsia="zh-CN"/>
              </w:rPr>
              <w:t>08</w:t>
            </w:r>
            <w:r>
              <w:rPr>
                <w:rFonts w:hint="eastAsia" w:ascii="Times New Roman" w:hAnsi="Times New Roman" w:cs="宋体"/>
                <w:color w:val="auto"/>
                <w:sz w:val="24"/>
              </w:rPr>
              <w:t>t/a</w:t>
            </w:r>
          </w:p>
        </w:tc>
        <w:tc>
          <w:tcPr>
            <w:tcW w:w="566" w:type="pct"/>
            <w:shd w:val="clear" w:color="auto" w:fill="auto"/>
            <w:vAlign w:val="center"/>
          </w:tcPr>
          <w:p w14:paraId="4C697172">
            <w:pPr>
              <w:widowControl/>
              <w:spacing w:line="240" w:lineRule="auto"/>
              <w:ind w:firstLine="0" w:firstLineChars="0"/>
              <w:jc w:val="center"/>
              <w:textAlignment w:val="center"/>
              <w:rPr>
                <w:rFonts w:cs="宋体"/>
                <w:color w:val="auto"/>
              </w:rPr>
            </w:pPr>
            <w:r>
              <w:rPr>
                <w:rFonts w:hint="eastAsia" w:cs="宋体"/>
                <w:color w:val="auto"/>
              </w:rPr>
              <w:t>0.00013</w:t>
            </w:r>
            <w:r>
              <w:rPr>
                <w:rFonts w:cs="宋体"/>
                <w:color w:val="auto"/>
              </w:rPr>
              <w:t>t/a</w:t>
            </w:r>
          </w:p>
        </w:tc>
        <w:tc>
          <w:tcPr>
            <w:tcW w:w="570" w:type="pct"/>
            <w:vAlign w:val="center"/>
          </w:tcPr>
          <w:p w14:paraId="26A92FA4">
            <w:pPr>
              <w:widowControl/>
              <w:spacing w:line="240" w:lineRule="auto"/>
              <w:ind w:firstLine="0" w:firstLineChars="0"/>
              <w:jc w:val="center"/>
              <w:textAlignment w:val="center"/>
              <w:rPr>
                <w:rFonts w:cs="宋体"/>
                <w:color w:val="auto"/>
              </w:rPr>
            </w:pPr>
            <w:r>
              <w:rPr>
                <w:rFonts w:hint="eastAsia" w:cs="宋体"/>
                <w:color w:val="auto"/>
              </w:rPr>
              <w:t>+0.00005</w:t>
            </w:r>
            <w:r>
              <w:rPr>
                <w:rFonts w:cs="宋体"/>
                <w:color w:val="auto"/>
              </w:rPr>
              <w:t>t/a</w:t>
            </w:r>
          </w:p>
        </w:tc>
      </w:tr>
      <w:tr w14:paraId="3449F3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463" w:type="pct"/>
            <w:tcBorders>
              <w:bottom w:val="single" w:color="auto" w:sz="4" w:space="0"/>
            </w:tcBorders>
            <w:vAlign w:val="center"/>
          </w:tcPr>
          <w:p w14:paraId="43FF812E">
            <w:pPr>
              <w:pStyle w:val="67"/>
              <w:spacing w:beforeLines="0" w:afterLines="0" w:line="240" w:lineRule="auto"/>
              <w:ind w:firstLine="0" w:firstLineChars="0"/>
              <w:rPr>
                <w:rFonts w:ascii="Times New Roman" w:cs="宋体"/>
                <w:snapToGrid w:val="0"/>
                <w:kern w:val="21"/>
                <w:sz w:val="24"/>
                <w:szCs w:val="24"/>
              </w:rPr>
            </w:pPr>
            <w:r>
              <w:rPr>
                <w:rFonts w:ascii="Times New Roman" w:cs="宋体"/>
                <w:sz w:val="24"/>
                <w:szCs w:val="24"/>
              </w:rPr>
              <w:t>生活垃圾</w:t>
            </w:r>
          </w:p>
        </w:tc>
        <w:tc>
          <w:tcPr>
            <w:tcW w:w="566" w:type="pct"/>
            <w:vAlign w:val="center"/>
          </w:tcPr>
          <w:p w14:paraId="0EF11EDC">
            <w:pPr>
              <w:pStyle w:val="91"/>
              <w:spacing w:line="240" w:lineRule="auto"/>
              <w:ind w:firstLine="0" w:firstLineChars="0"/>
              <w:rPr>
                <w:rFonts w:cs="宋体"/>
                <w:color w:val="auto"/>
                <w:szCs w:val="24"/>
              </w:rPr>
            </w:pPr>
            <w:r>
              <w:rPr>
                <w:rFonts w:cs="宋体"/>
                <w:color w:val="auto"/>
                <w:szCs w:val="24"/>
              </w:rPr>
              <w:t>生活垃圾</w:t>
            </w:r>
          </w:p>
        </w:tc>
        <w:tc>
          <w:tcPr>
            <w:tcW w:w="566" w:type="pct"/>
            <w:vAlign w:val="center"/>
          </w:tcPr>
          <w:p w14:paraId="26909EA6">
            <w:pPr>
              <w:pStyle w:val="101"/>
              <w:autoSpaceDE w:val="0"/>
              <w:autoSpaceDN w:val="0"/>
              <w:spacing w:line="240" w:lineRule="auto"/>
              <w:ind w:firstLine="0" w:firstLineChars="0"/>
              <w:jc w:val="center"/>
              <w:rPr>
                <w:rFonts w:ascii="Times New Roman" w:hAnsi="Times New Roman" w:cs="宋体"/>
                <w:color w:val="auto"/>
                <w:sz w:val="24"/>
                <w:szCs w:val="24"/>
                <w:lang w:eastAsia="zh-CN"/>
              </w:rPr>
            </w:pPr>
            <w:r>
              <w:rPr>
                <w:rFonts w:hint="eastAsia" w:ascii="Times New Roman" w:hAnsi="Times New Roman" w:cs="宋体"/>
                <w:color w:val="auto"/>
                <w:sz w:val="24"/>
                <w:szCs w:val="24"/>
                <w:lang w:eastAsia="zh-CN"/>
              </w:rPr>
              <w:t>0.75t/a</w:t>
            </w:r>
          </w:p>
        </w:tc>
        <w:tc>
          <w:tcPr>
            <w:tcW w:w="566" w:type="pct"/>
            <w:vAlign w:val="center"/>
          </w:tcPr>
          <w:p w14:paraId="3DC27384">
            <w:pPr>
              <w:pStyle w:val="101"/>
              <w:autoSpaceDE w:val="0"/>
              <w:autoSpaceDN w:val="0"/>
              <w:spacing w:line="240" w:lineRule="auto"/>
              <w:ind w:firstLine="0" w:firstLineChars="0"/>
              <w:jc w:val="center"/>
              <w:rPr>
                <w:rFonts w:ascii="Times New Roman" w:hAnsi="Times New Roman" w:eastAsia="宋体" w:cs="宋体"/>
                <w:color w:val="auto"/>
                <w:kern w:val="0"/>
                <w:sz w:val="24"/>
                <w:szCs w:val="24"/>
                <w:lang w:val="en-US" w:eastAsia="zh-CN" w:bidi="ar-SA"/>
              </w:rPr>
            </w:pPr>
            <w:r>
              <w:rPr>
                <w:rFonts w:hint="eastAsia" w:ascii="Times New Roman" w:hAnsi="Times New Roman" w:cs="宋体"/>
                <w:color w:val="auto"/>
                <w:sz w:val="24"/>
                <w:szCs w:val="24"/>
                <w:lang w:eastAsia="zh-CN"/>
              </w:rPr>
              <w:t>0.75t/a</w:t>
            </w:r>
          </w:p>
        </w:tc>
        <w:tc>
          <w:tcPr>
            <w:tcW w:w="566" w:type="pct"/>
            <w:vAlign w:val="center"/>
          </w:tcPr>
          <w:p w14:paraId="0CEA74CE">
            <w:pPr>
              <w:pStyle w:val="101"/>
              <w:autoSpaceDE w:val="0"/>
              <w:autoSpaceDN w:val="0"/>
              <w:spacing w:line="240" w:lineRule="auto"/>
              <w:ind w:firstLine="0" w:firstLineChars="0"/>
              <w:jc w:val="center"/>
              <w:rPr>
                <w:rFonts w:ascii="Times New Roman" w:hAnsi="Times New Roman" w:cs="宋体"/>
                <w:color w:val="auto"/>
                <w:sz w:val="24"/>
                <w:szCs w:val="24"/>
                <w:lang w:eastAsia="zh-CN"/>
              </w:rPr>
            </w:pPr>
            <w:r>
              <w:rPr>
                <w:rFonts w:hint="eastAsia" w:ascii="Times New Roman" w:hAnsi="Times New Roman" w:cs="宋体"/>
                <w:color w:val="auto"/>
                <w:sz w:val="24"/>
                <w:szCs w:val="24"/>
                <w:lang w:eastAsia="zh-CN"/>
              </w:rPr>
              <w:t>0</w:t>
            </w:r>
          </w:p>
        </w:tc>
        <w:tc>
          <w:tcPr>
            <w:tcW w:w="566" w:type="pct"/>
            <w:vAlign w:val="center"/>
          </w:tcPr>
          <w:p w14:paraId="47FF5FE9">
            <w:pPr>
              <w:spacing w:line="240" w:lineRule="auto"/>
              <w:ind w:firstLine="0" w:firstLineChars="0"/>
              <w:jc w:val="center"/>
              <w:rPr>
                <w:rFonts w:cs="宋体"/>
                <w:color w:val="auto"/>
              </w:rPr>
            </w:pPr>
            <w:bookmarkStart w:id="384" w:name="OLE_LINK52"/>
            <w:r>
              <w:rPr>
                <w:rFonts w:hint="eastAsia" w:cs="宋体"/>
                <w:color w:val="auto"/>
              </w:rPr>
              <w:t>1</w:t>
            </w:r>
            <w:r>
              <w:rPr>
                <w:rFonts w:cs="宋体"/>
                <w:color w:val="auto"/>
              </w:rPr>
              <w:t>t/a</w:t>
            </w:r>
            <w:bookmarkEnd w:id="384"/>
          </w:p>
        </w:tc>
        <w:tc>
          <w:tcPr>
            <w:tcW w:w="566" w:type="pct"/>
            <w:vAlign w:val="center"/>
          </w:tcPr>
          <w:p w14:paraId="327DC6F2">
            <w:pPr>
              <w:pStyle w:val="101"/>
              <w:autoSpaceDE w:val="0"/>
              <w:autoSpaceDN w:val="0"/>
              <w:spacing w:line="240" w:lineRule="auto"/>
              <w:ind w:firstLine="0" w:firstLineChars="0"/>
              <w:jc w:val="center"/>
              <w:rPr>
                <w:rFonts w:ascii="Times New Roman" w:hAnsi="Times New Roman" w:eastAsia="宋体" w:cs="宋体"/>
                <w:color w:val="auto"/>
                <w:kern w:val="0"/>
                <w:sz w:val="24"/>
                <w:szCs w:val="24"/>
                <w:lang w:val="en-US" w:eastAsia="zh-CN" w:bidi="ar-SA"/>
              </w:rPr>
            </w:pPr>
            <w:r>
              <w:rPr>
                <w:rFonts w:hint="eastAsia" w:ascii="Times New Roman" w:hAnsi="Times New Roman" w:cs="宋体"/>
                <w:color w:val="auto"/>
                <w:sz w:val="24"/>
                <w:szCs w:val="24"/>
                <w:lang w:eastAsia="zh-CN"/>
              </w:rPr>
              <w:t>0.75t/a</w:t>
            </w:r>
          </w:p>
        </w:tc>
        <w:tc>
          <w:tcPr>
            <w:tcW w:w="566" w:type="pct"/>
            <w:shd w:val="clear" w:color="auto" w:fill="auto"/>
            <w:vAlign w:val="center"/>
          </w:tcPr>
          <w:p w14:paraId="1A279B79">
            <w:pPr>
              <w:spacing w:line="240" w:lineRule="auto"/>
              <w:ind w:firstLine="0" w:firstLineChars="0"/>
              <w:jc w:val="center"/>
              <w:rPr>
                <w:rFonts w:cs="宋体"/>
                <w:color w:val="auto"/>
              </w:rPr>
            </w:pPr>
            <w:r>
              <w:rPr>
                <w:rFonts w:hint="eastAsia" w:cs="宋体"/>
                <w:color w:val="auto"/>
              </w:rPr>
              <w:t>1t/a</w:t>
            </w:r>
          </w:p>
        </w:tc>
        <w:tc>
          <w:tcPr>
            <w:tcW w:w="570" w:type="pct"/>
            <w:vAlign w:val="center"/>
          </w:tcPr>
          <w:p w14:paraId="5FC07D6A">
            <w:pPr>
              <w:spacing w:line="240" w:lineRule="auto"/>
              <w:ind w:firstLine="0" w:firstLineChars="0"/>
              <w:jc w:val="center"/>
              <w:rPr>
                <w:rFonts w:cs="宋体"/>
                <w:color w:val="auto"/>
              </w:rPr>
            </w:pPr>
            <w:r>
              <w:rPr>
                <w:rFonts w:hint="eastAsia" w:cs="宋体"/>
                <w:color w:val="auto"/>
              </w:rPr>
              <w:t>+0.25</w:t>
            </w:r>
            <w:r>
              <w:rPr>
                <w:rFonts w:cs="宋体"/>
                <w:color w:val="auto"/>
              </w:rPr>
              <w:t>t/a</w:t>
            </w:r>
          </w:p>
        </w:tc>
      </w:tr>
      <w:tr w14:paraId="59EB6F1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463" w:type="pct"/>
            <w:vMerge w:val="restart"/>
            <w:tcBorders>
              <w:top w:val="single" w:color="auto" w:sz="4" w:space="0"/>
            </w:tcBorders>
            <w:vAlign w:val="center"/>
          </w:tcPr>
          <w:p w14:paraId="068F2EAD">
            <w:pPr>
              <w:pStyle w:val="67"/>
              <w:spacing w:beforeLines="0" w:afterLines="0" w:line="240" w:lineRule="auto"/>
              <w:ind w:firstLine="0" w:firstLineChars="0"/>
              <w:rPr>
                <w:rFonts w:ascii="Times New Roman" w:cs="宋体"/>
                <w:snapToGrid w:val="0"/>
                <w:kern w:val="21"/>
                <w:sz w:val="24"/>
                <w:szCs w:val="24"/>
              </w:rPr>
            </w:pPr>
            <w:bookmarkStart w:id="385" w:name="OLE_LINK26" w:colFirst="3" w:colLast="8"/>
            <w:r>
              <w:rPr>
                <w:rFonts w:hint="eastAsia" w:ascii="Times New Roman" w:cs="宋体"/>
                <w:snapToGrid w:val="0"/>
                <w:kern w:val="21"/>
                <w:sz w:val="24"/>
                <w:szCs w:val="24"/>
              </w:rPr>
              <w:t>一般工业固废</w:t>
            </w:r>
          </w:p>
        </w:tc>
        <w:tc>
          <w:tcPr>
            <w:tcW w:w="566" w:type="pct"/>
            <w:vAlign w:val="center"/>
          </w:tcPr>
          <w:p w14:paraId="7A1FDD86">
            <w:pPr>
              <w:pStyle w:val="91"/>
              <w:spacing w:line="240" w:lineRule="auto"/>
              <w:ind w:firstLine="0" w:firstLineChars="0"/>
              <w:rPr>
                <w:rFonts w:cs="宋体"/>
                <w:color w:val="auto"/>
                <w:szCs w:val="24"/>
              </w:rPr>
            </w:pPr>
            <w:bookmarkStart w:id="386" w:name="OLE_LINK51"/>
            <w:r>
              <w:rPr>
                <w:rFonts w:cs="宋体"/>
                <w:color w:val="auto"/>
                <w:szCs w:val="24"/>
              </w:rPr>
              <w:t>废包装材料</w:t>
            </w:r>
            <w:bookmarkEnd w:id="386"/>
          </w:p>
        </w:tc>
        <w:tc>
          <w:tcPr>
            <w:tcW w:w="566" w:type="pct"/>
            <w:vAlign w:val="center"/>
          </w:tcPr>
          <w:p w14:paraId="6B7338C1">
            <w:pPr>
              <w:pStyle w:val="101"/>
              <w:autoSpaceDE w:val="0"/>
              <w:autoSpaceDN w:val="0"/>
              <w:spacing w:line="240" w:lineRule="auto"/>
              <w:ind w:firstLine="0" w:firstLineChars="0"/>
              <w:jc w:val="center"/>
              <w:rPr>
                <w:rFonts w:ascii="Times New Roman" w:hAnsi="Times New Roman" w:cs="宋体"/>
                <w:color w:val="auto"/>
                <w:sz w:val="24"/>
                <w:szCs w:val="24"/>
                <w:lang w:eastAsia="zh-CN"/>
              </w:rPr>
            </w:pPr>
            <w:bookmarkStart w:id="387" w:name="OLE_LINK50"/>
            <w:r>
              <w:rPr>
                <w:rFonts w:hint="eastAsia" w:ascii="Times New Roman" w:hAnsi="Times New Roman" w:cs="宋体"/>
                <w:color w:val="auto"/>
                <w:sz w:val="24"/>
                <w:szCs w:val="24"/>
                <w:lang w:eastAsia="zh-CN"/>
              </w:rPr>
              <w:t>0.5</w:t>
            </w:r>
            <w:bookmarkEnd w:id="387"/>
            <w:r>
              <w:rPr>
                <w:rFonts w:hint="eastAsia" w:ascii="Times New Roman" w:hAnsi="Times New Roman" w:cs="宋体"/>
                <w:color w:val="auto"/>
                <w:sz w:val="24"/>
                <w:szCs w:val="24"/>
                <w:lang w:eastAsia="zh-CN"/>
              </w:rPr>
              <w:t>t/a</w:t>
            </w:r>
          </w:p>
        </w:tc>
        <w:tc>
          <w:tcPr>
            <w:tcW w:w="566" w:type="pct"/>
            <w:vAlign w:val="center"/>
          </w:tcPr>
          <w:p w14:paraId="1407785D">
            <w:pPr>
              <w:pStyle w:val="101"/>
              <w:autoSpaceDE w:val="0"/>
              <w:autoSpaceDN w:val="0"/>
              <w:spacing w:line="240" w:lineRule="auto"/>
              <w:ind w:firstLine="0" w:firstLineChars="0"/>
              <w:jc w:val="center"/>
              <w:rPr>
                <w:rFonts w:ascii="Times New Roman" w:hAnsi="Times New Roman" w:eastAsia="宋体" w:cs="宋体"/>
                <w:color w:val="auto"/>
                <w:kern w:val="0"/>
                <w:sz w:val="24"/>
                <w:szCs w:val="24"/>
                <w:lang w:val="en-US" w:eastAsia="zh-CN" w:bidi="ar-SA"/>
              </w:rPr>
            </w:pPr>
            <w:r>
              <w:rPr>
                <w:rFonts w:hint="eastAsia" w:ascii="Times New Roman" w:hAnsi="Times New Roman" w:cs="宋体"/>
                <w:color w:val="auto"/>
                <w:sz w:val="24"/>
                <w:szCs w:val="24"/>
                <w:lang w:eastAsia="zh-CN"/>
              </w:rPr>
              <w:t>0.5t/a</w:t>
            </w:r>
          </w:p>
        </w:tc>
        <w:tc>
          <w:tcPr>
            <w:tcW w:w="566" w:type="pct"/>
            <w:vAlign w:val="center"/>
          </w:tcPr>
          <w:p w14:paraId="6C36E83A">
            <w:pPr>
              <w:pStyle w:val="101"/>
              <w:autoSpaceDE w:val="0"/>
              <w:autoSpaceDN w:val="0"/>
              <w:spacing w:line="240" w:lineRule="auto"/>
              <w:ind w:firstLine="0" w:firstLineChars="0"/>
              <w:jc w:val="center"/>
              <w:rPr>
                <w:rFonts w:ascii="Times New Roman" w:hAnsi="Times New Roman" w:cs="宋体"/>
                <w:color w:val="auto"/>
                <w:sz w:val="24"/>
                <w:szCs w:val="24"/>
                <w:lang w:eastAsia="zh-CN"/>
              </w:rPr>
            </w:pPr>
            <w:r>
              <w:rPr>
                <w:rFonts w:hint="eastAsia" w:ascii="Times New Roman" w:hAnsi="Times New Roman" w:cs="宋体"/>
                <w:color w:val="auto"/>
                <w:sz w:val="24"/>
                <w:szCs w:val="24"/>
                <w:lang w:eastAsia="zh-CN"/>
              </w:rPr>
              <w:t>0</w:t>
            </w:r>
          </w:p>
        </w:tc>
        <w:tc>
          <w:tcPr>
            <w:tcW w:w="566" w:type="pct"/>
            <w:vAlign w:val="center"/>
          </w:tcPr>
          <w:p w14:paraId="1C0CC726">
            <w:pPr>
              <w:spacing w:line="240" w:lineRule="auto"/>
              <w:ind w:firstLine="0" w:firstLineChars="0"/>
              <w:jc w:val="center"/>
              <w:rPr>
                <w:rFonts w:cs="宋体"/>
                <w:color w:val="auto"/>
              </w:rPr>
            </w:pPr>
            <w:bookmarkStart w:id="388" w:name="OLE_LINK251"/>
            <w:r>
              <w:rPr>
                <w:rFonts w:hint="eastAsia" w:cs="宋体"/>
                <w:color w:val="auto"/>
              </w:rPr>
              <w:t>0.</w:t>
            </w:r>
            <w:bookmarkEnd w:id="388"/>
            <w:r>
              <w:rPr>
                <w:rFonts w:hint="eastAsia" w:cs="宋体"/>
                <w:color w:val="auto"/>
              </w:rPr>
              <w:t>7</w:t>
            </w:r>
            <w:r>
              <w:rPr>
                <w:rFonts w:cs="宋体"/>
                <w:color w:val="auto"/>
              </w:rPr>
              <w:t>t/a</w:t>
            </w:r>
          </w:p>
        </w:tc>
        <w:tc>
          <w:tcPr>
            <w:tcW w:w="566" w:type="pct"/>
            <w:vAlign w:val="center"/>
          </w:tcPr>
          <w:p w14:paraId="023A00DF">
            <w:pPr>
              <w:pStyle w:val="101"/>
              <w:autoSpaceDE w:val="0"/>
              <w:autoSpaceDN w:val="0"/>
              <w:spacing w:line="240" w:lineRule="auto"/>
              <w:ind w:firstLine="0" w:firstLineChars="0"/>
              <w:jc w:val="center"/>
              <w:rPr>
                <w:rFonts w:ascii="Times New Roman" w:hAnsi="Times New Roman" w:eastAsia="宋体" w:cs="宋体"/>
                <w:color w:val="auto"/>
                <w:kern w:val="0"/>
                <w:sz w:val="24"/>
                <w:szCs w:val="24"/>
                <w:lang w:val="en-US" w:eastAsia="zh-CN" w:bidi="ar-SA"/>
              </w:rPr>
            </w:pPr>
            <w:r>
              <w:rPr>
                <w:rFonts w:hint="eastAsia" w:ascii="Times New Roman" w:hAnsi="Times New Roman" w:cs="宋体"/>
                <w:color w:val="auto"/>
                <w:sz w:val="24"/>
                <w:szCs w:val="24"/>
                <w:lang w:eastAsia="zh-CN"/>
              </w:rPr>
              <w:t>0.5t/a</w:t>
            </w:r>
          </w:p>
        </w:tc>
        <w:tc>
          <w:tcPr>
            <w:tcW w:w="566" w:type="pct"/>
            <w:shd w:val="clear" w:color="auto" w:fill="auto"/>
            <w:vAlign w:val="center"/>
          </w:tcPr>
          <w:p w14:paraId="430D1BF7">
            <w:pPr>
              <w:spacing w:line="240" w:lineRule="auto"/>
              <w:ind w:firstLine="0" w:firstLineChars="0"/>
              <w:jc w:val="center"/>
              <w:rPr>
                <w:rFonts w:cs="宋体"/>
                <w:color w:val="auto"/>
              </w:rPr>
            </w:pPr>
            <w:r>
              <w:rPr>
                <w:rFonts w:hint="eastAsia" w:cs="宋体"/>
                <w:color w:val="auto"/>
              </w:rPr>
              <w:t>0.7</w:t>
            </w:r>
            <w:r>
              <w:rPr>
                <w:rFonts w:cs="宋体"/>
                <w:color w:val="auto"/>
              </w:rPr>
              <w:t>t/a</w:t>
            </w:r>
          </w:p>
        </w:tc>
        <w:tc>
          <w:tcPr>
            <w:tcW w:w="570" w:type="pct"/>
            <w:vAlign w:val="center"/>
          </w:tcPr>
          <w:p w14:paraId="43E4D572">
            <w:pPr>
              <w:spacing w:line="240" w:lineRule="auto"/>
              <w:ind w:firstLine="0" w:firstLineChars="0"/>
              <w:jc w:val="center"/>
              <w:rPr>
                <w:rFonts w:cs="宋体"/>
                <w:color w:val="auto"/>
              </w:rPr>
            </w:pPr>
            <w:r>
              <w:rPr>
                <w:rFonts w:hint="eastAsia" w:cs="宋体"/>
                <w:color w:val="auto"/>
              </w:rPr>
              <w:t>+0.2t/a</w:t>
            </w:r>
          </w:p>
        </w:tc>
      </w:tr>
      <w:bookmarkEnd w:id="385"/>
      <w:tr w14:paraId="01EA61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463" w:type="pct"/>
            <w:vMerge w:val="continue"/>
            <w:vAlign w:val="center"/>
          </w:tcPr>
          <w:p w14:paraId="13152194">
            <w:pPr>
              <w:pStyle w:val="67"/>
              <w:spacing w:beforeLines="0" w:afterLines="0" w:line="240" w:lineRule="auto"/>
              <w:ind w:firstLine="0" w:firstLineChars="0"/>
              <w:rPr>
                <w:rFonts w:ascii="Times New Roman" w:cs="宋体"/>
                <w:snapToGrid w:val="0"/>
                <w:kern w:val="21"/>
                <w:sz w:val="24"/>
                <w:szCs w:val="24"/>
              </w:rPr>
            </w:pPr>
            <w:bookmarkStart w:id="389" w:name="OLE_LINK45" w:colFirst="2" w:colLast="8"/>
          </w:p>
        </w:tc>
        <w:tc>
          <w:tcPr>
            <w:tcW w:w="566" w:type="pct"/>
            <w:vAlign w:val="center"/>
          </w:tcPr>
          <w:p w14:paraId="3DDED40C">
            <w:pPr>
              <w:pStyle w:val="91"/>
              <w:spacing w:line="240" w:lineRule="auto"/>
              <w:ind w:firstLine="0" w:firstLineChars="0"/>
              <w:rPr>
                <w:rFonts w:cs="宋体"/>
                <w:color w:val="auto"/>
                <w:szCs w:val="24"/>
              </w:rPr>
            </w:pPr>
            <w:r>
              <w:rPr>
                <w:rFonts w:hint="eastAsia" w:cs="宋体"/>
                <w:color w:val="auto"/>
                <w:szCs w:val="24"/>
              </w:rPr>
              <w:t>冷却废水污泥</w:t>
            </w:r>
          </w:p>
        </w:tc>
        <w:tc>
          <w:tcPr>
            <w:tcW w:w="566" w:type="pct"/>
            <w:vAlign w:val="center"/>
          </w:tcPr>
          <w:p w14:paraId="0B4B9C8A">
            <w:pPr>
              <w:pStyle w:val="101"/>
              <w:autoSpaceDE w:val="0"/>
              <w:autoSpaceDN w:val="0"/>
              <w:spacing w:line="240" w:lineRule="auto"/>
              <w:ind w:firstLine="0" w:firstLineChars="0"/>
              <w:jc w:val="center"/>
              <w:rPr>
                <w:rFonts w:ascii="Times New Roman" w:hAnsi="Times New Roman" w:cs="宋体"/>
                <w:color w:val="auto"/>
                <w:sz w:val="24"/>
                <w:szCs w:val="24"/>
                <w:lang w:eastAsia="zh-CN"/>
              </w:rPr>
            </w:pPr>
            <w:r>
              <w:rPr>
                <w:rFonts w:hint="eastAsia" w:ascii="Times New Roman" w:hAnsi="Times New Roman" w:cs="宋体"/>
                <w:color w:val="auto"/>
                <w:sz w:val="24"/>
                <w:szCs w:val="24"/>
                <w:lang w:eastAsia="zh-CN"/>
              </w:rPr>
              <w:t>0.0096t/a</w:t>
            </w:r>
          </w:p>
        </w:tc>
        <w:tc>
          <w:tcPr>
            <w:tcW w:w="566" w:type="pct"/>
            <w:vAlign w:val="center"/>
          </w:tcPr>
          <w:p w14:paraId="13BC54F2">
            <w:pPr>
              <w:pStyle w:val="101"/>
              <w:autoSpaceDE w:val="0"/>
              <w:autoSpaceDN w:val="0"/>
              <w:spacing w:line="240" w:lineRule="auto"/>
              <w:ind w:firstLine="0" w:firstLineChars="0"/>
              <w:jc w:val="center"/>
              <w:rPr>
                <w:rFonts w:ascii="Times New Roman" w:hAnsi="Times New Roman" w:eastAsia="宋体" w:cs="宋体"/>
                <w:color w:val="auto"/>
                <w:kern w:val="0"/>
                <w:sz w:val="24"/>
                <w:szCs w:val="24"/>
                <w:lang w:val="en-US" w:eastAsia="zh-CN" w:bidi="ar-SA"/>
              </w:rPr>
            </w:pPr>
            <w:r>
              <w:rPr>
                <w:rFonts w:hint="eastAsia" w:ascii="Times New Roman" w:hAnsi="Times New Roman" w:cs="宋体"/>
                <w:color w:val="auto"/>
                <w:sz w:val="24"/>
                <w:szCs w:val="24"/>
                <w:lang w:eastAsia="zh-CN"/>
              </w:rPr>
              <w:t>0.0096t/a</w:t>
            </w:r>
          </w:p>
        </w:tc>
        <w:tc>
          <w:tcPr>
            <w:tcW w:w="566" w:type="pct"/>
            <w:vAlign w:val="center"/>
          </w:tcPr>
          <w:p w14:paraId="7EF69085">
            <w:pPr>
              <w:pStyle w:val="101"/>
              <w:autoSpaceDE w:val="0"/>
              <w:autoSpaceDN w:val="0"/>
              <w:spacing w:line="240" w:lineRule="auto"/>
              <w:ind w:firstLine="0" w:firstLineChars="0"/>
              <w:jc w:val="center"/>
              <w:rPr>
                <w:rFonts w:ascii="Times New Roman" w:hAnsi="Times New Roman" w:cs="宋体"/>
                <w:color w:val="auto"/>
                <w:sz w:val="24"/>
                <w:szCs w:val="24"/>
                <w:lang w:eastAsia="zh-CN"/>
              </w:rPr>
            </w:pPr>
            <w:r>
              <w:rPr>
                <w:rFonts w:hint="eastAsia" w:ascii="Times New Roman" w:hAnsi="Times New Roman" w:cs="宋体"/>
                <w:color w:val="auto"/>
                <w:sz w:val="24"/>
                <w:szCs w:val="24"/>
                <w:lang w:eastAsia="zh-CN"/>
              </w:rPr>
              <w:t>0</w:t>
            </w:r>
          </w:p>
        </w:tc>
        <w:tc>
          <w:tcPr>
            <w:tcW w:w="566" w:type="pct"/>
            <w:vAlign w:val="center"/>
          </w:tcPr>
          <w:p w14:paraId="577E8E0E">
            <w:pPr>
              <w:spacing w:line="240" w:lineRule="auto"/>
              <w:ind w:firstLine="0" w:firstLineChars="0"/>
              <w:jc w:val="center"/>
              <w:rPr>
                <w:rFonts w:cs="宋体"/>
                <w:color w:val="auto"/>
              </w:rPr>
            </w:pPr>
            <w:r>
              <w:rPr>
                <w:rFonts w:hint="eastAsia" w:cs="宋体"/>
                <w:color w:val="auto"/>
              </w:rPr>
              <w:t>0.0514</w:t>
            </w:r>
            <w:r>
              <w:rPr>
                <w:rFonts w:cs="宋体"/>
                <w:color w:val="auto"/>
              </w:rPr>
              <w:t>t/a</w:t>
            </w:r>
          </w:p>
        </w:tc>
        <w:tc>
          <w:tcPr>
            <w:tcW w:w="566" w:type="pct"/>
            <w:vAlign w:val="center"/>
          </w:tcPr>
          <w:p w14:paraId="1F1F24D9">
            <w:pPr>
              <w:pStyle w:val="101"/>
              <w:autoSpaceDE w:val="0"/>
              <w:autoSpaceDN w:val="0"/>
              <w:spacing w:line="240" w:lineRule="auto"/>
              <w:ind w:firstLine="0" w:firstLineChars="0"/>
              <w:jc w:val="center"/>
              <w:rPr>
                <w:rFonts w:ascii="Times New Roman" w:hAnsi="Times New Roman" w:eastAsia="宋体" w:cs="宋体"/>
                <w:color w:val="auto"/>
                <w:kern w:val="0"/>
                <w:sz w:val="24"/>
                <w:szCs w:val="24"/>
                <w:lang w:val="en-US" w:eastAsia="zh-CN" w:bidi="ar-SA"/>
              </w:rPr>
            </w:pPr>
            <w:r>
              <w:rPr>
                <w:rFonts w:hint="eastAsia" w:ascii="Times New Roman" w:hAnsi="Times New Roman" w:cs="宋体"/>
                <w:color w:val="auto"/>
                <w:sz w:val="24"/>
                <w:szCs w:val="24"/>
                <w:lang w:eastAsia="zh-CN"/>
              </w:rPr>
              <w:t>0.0096t/a</w:t>
            </w:r>
          </w:p>
        </w:tc>
        <w:tc>
          <w:tcPr>
            <w:tcW w:w="566" w:type="pct"/>
            <w:shd w:val="clear" w:color="auto" w:fill="auto"/>
            <w:vAlign w:val="center"/>
          </w:tcPr>
          <w:p w14:paraId="244BCD5B">
            <w:pPr>
              <w:spacing w:line="240" w:lineRule="auto"/>
              <w:ind w:firstLine="0" w:firstLineChars="0"/>
              <w:jc w:val="center"/>
              <w:rPr>
                <w:rFonts w:cs="宋体"/>
                <w:color w:val="auto"/>
              </w:rPr>
            </w:pPr>
            <w:r>
              <w:rPr>
                <w:rFonts w:hint="eastAsia" w:cs="宋体"/>
                <w:color w:val="auto"/>
              </w:rPr>
              <w:t>0.0514</w:t>
            </w:r>
            <w:r>
              <w:rPr>
                <w:rFonts w:cs="宋体"/>
                <w:color w:val="auto"/>
              </w:rPr>
              <w:t>t/a</w:t>
            </w:r>
          </w:p>
        </w:tc>
        <w:tc>
          <w:tcPr>
            <w:tcW w:w="570" w:type="pct"/>
            <w:vAlign w:val="center"/>
          </w:tcPr>
          <w:p w14:paraId="1F4E3DC2">
            <w:pPr>
              <w:spacing w:line="240" w:lineRule="auto"/>
              <w:ind w:firstLine="0" w:firstLineChars="0"/>
              <w:jc w:val="center"/>
              <w:rPr>
                <w:rFonts w:cs="宋体"/>
                <w:color w:val="auto"/>
              </w:rPr>
            </w:pPr>
            <w:r>
              <w:rPr>
                <w:rFonts w:hint="eastAsia" w:cs="宋体"/>
                <w:color w:val="auto"/>
              </w:rPr>
              <w:t>+0.0418t/a</w:t>
            </w:r>
          </w:p>
        </w:tc>
      </w:tr>
      <w:tr w14:paraId="391871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463" w:type="pct"/>
            <w:vMerge w:val="restart"/>
            <w:vAlign w:val="center"/>
          </w:tcPr>
          <w:p w14:paraId="15774A97">
            <w:pPr>
              <w:pStyle w:val="67"/>
              <w:spacing w:before="24" w:after="24"/>
              <w:ind w:firstLine="0" w:firstLineChars="0"/>
              <w:jc w:val="left"/>
              <w:rPr>
                <w:rFonts w:ascii="Times New Roman" w:cs="宋体"/>
                <w:snapToGrid w:val="0"/>
                <w:kern w:val="21"/>
                <w:sz w:val="24"/>
                <w:szCs w:val="24"/>
              </w:rPr>
            </w:pPr>
            <w:r>
              <w:rPr>
                <w:rFonts w:ascii="Times New Roman" w:cs="宋体"/>
                <w:snapToGrid w:val="0"/>
                <w:kern w:val="21"/>
                <w:sz w:val="24"/>
                <w:szCs w:val="24"/>
              </w:rPr>
              <w:t>危险废物</w:t>
            </w:r>
          </w:p>
        </w:tc>
        <w:tc>
          <w:tcPr>
            <w:tcW w:w="566" w:type="pct"/>
            <w:shd w:val="clear" w:color="auto" w:fill="auto"/>
            <w:vAlign w:val="center"/>
          </w:tcPr>
          <w:p w14:paraId="2069B2FF">
            <w:pPr>
              <w:pStyle w:val="91"/>
              <w:spacing w:line="240" w:lineRule="auto"/>
              <w:ind w:firstLine="0" w:firstLineChars="0"/>
              <w:rPr>
                <w:rFonts w:cs="宋体"/>
                <w:color w:val="auto"/>
                <w:szCs w:val="24"/>
              </w:rPr>
            </w:pPr>
            <w:bookmarkStart w:id="390" w:name="OLE_LINK237"/>
            <w:r>
              <w:rPr>
                <w:rFonts w:hint="eastAsia" w:cs="宋体"/>
                <w:color w:val="auto"/>
                <w:szCs w:val="24"/>
              </w:rPr>
              <w:t>废包装桶</w:t>
            </w:r>
            <w:bookmarkEnd w:id="390"/>
          </w:p>
        </w:tc>
        <w:tc>
          <w:tcPr>
            <w:tcW w:w="566" w:type="pct"/>
            <w:vAlign w:val="center"/>
          </w:tcPr>
          <w:p w14:paraId="2B635835">
            <w:pPr>
              <w:pStyle w:val="101"/>
              <w:autoSpaceDE w:val="0"/>
              <w:autoSpaceDN w:val="0"/>
              <w:spacing w:line="240" w:lineRule="auto"/>
              <w:ind w:firstLine="0" w:firstLineChars="0"/>
              <w:jc w:val="center"/>
              <w:rPr>
                <w:rFonts w:ascii="Times New Roman" w:hAnsi="Times New Roman" w:cs="宋体"/>
                <w:color w:val="auto"/>
                <w:sz w:val="24"/>
                <w:szCs w:val="24"/>
                <w:lang w:eastAsia="zh-CN"/>
              </w:rPr>
            </w:pPr>
            <w:r>
              <w:rPr>
                <w:rFonts w:hint="eastAsia" w:ascii="Times New Roman" w:hAnsi="Times New Roman" w:cs="宋体"/>
                <w:color w:val="auto"/>
                <w:sz w:val="24"/>
                <w:szCs w:val="24"/>
                <w:lang w:eastAsia="zh-CN"/>
              </w:rPr>
              <w:t>0.01t/a</w:t>
            </w:r>
          </w:p>
        </w:tc>
        <w:tc>
          <w:tcPr>
            <w:tcW w:w="566" w:type="pct"/>
            <w:vAlign w:val="center"/>
          </w:tcPr>
          <w:p w14:paraId="72BB3639">
            <w:pPr>
              <w:pStyle w:val="101"/>
              <w:autoSpaceDE w:val="0"/>
              <w:autoSpaceDN w:val="0"/>
              <w:spacing w:line="240" w:lineRule="auto"/>
              <w:ind w:firstLine="0" w:firstLineChars="0"/>
              <w:jc w:val="center"/>
              <w:rPr>
                <w:rFonts w:ascii="Times New Roman" w:hAnsi="Times New Roman" w:eastAsia="宋体" w:cs="宋体"/>
                <w:color w:val="auto"/>
                <w:kern w:val="0"/>
                <w:sz w:val="24"/>
                <w:szCs w:val="24"/>
                <w:lang w:val="en-US" w:eastAsia="zh-CN" w:bidi="ar-SA"/>
              </w:rPr>
            </w:pPr>
            <w:r>
              <w:rPr>
                <w:rFonts w:hint="eastAsia" w:ascii="Times New Roman" w:hAnsi="Times New Roman" w:cs="宋体"/>
                <w:color w:val="auto"/>
                <w:sz w:val="24"/>
                <w:szCs w:val="24"/>
                <w:lang w:eastAsia="zh-CN"/>
              </w:rPr>
              <w:t>0.01t/a</w:t>
            </w:r>
          </w:p>
        </w:tc>
        <w:tc>
          <w:tcPr>
            <w:tcW w:w="566" w:type="pct"/>
            <w:vAlign w:val="center"/>
          </w:tcPr>
          <w:p w14:paraId="7B6377AE">
            <w:pPr>
              <w:pStyle w:val="101"/>
              <w:autoSpaceDE w:val="0"/>
              <w:autoSpaceDN w:val="0"/>
              <w:spacing w:line="240" w:lineRule="auto"/>
              <w:ind w:firstLine="0" w:firstLineChars="0"/>
              <w:jc w:val="center"/>
              <w:rPr>
                <w:rFonts w:ascii="Times New Roman" w:hAnsi="Times New Roman" w:cs="宋体"/>
                <w:color w:val="auto"/>
                <w:sz w:val="24"/>
                <w:szCs w:val="24"/>
                <w:lang w:eastAsia="zh-CN"/>
              </w:rPr>
            </w:pPr>
            <w:r>
              <w:rPr>
                <w:rFonts w:hint="eastAsia" w:ascii="Times New Roman" w:hAnsi="Times New Roman" w:cs="宋体"/>
                <w:color w:val="auto"/>
                <w:sz w:val="24"/>
                <w:szCs w:val="24"/>
                <w:lang w:eastAsia="zh-CN"/>
              </w:rPr>
              <w:t>0</w:t>
            </w:r>
          </w:p>
        </w:tc>
        <w:tc>
          <w:tcPr>
            <w:tcW w:w="566" w:type="pct"/>
            <w:vAlign w:val="center"/>
          </w:tcPr>
          <w:p w14:paraId="6D02C1BC">
            <w:pPr>
              <w:spacing w:line="240" w:lineRule="auto"/>
              <w:ind w:firstLine="0" w:firstLineChars="0"/>
              <w:jc w:val="center"/>
              <w:rPr>
                <w:rFonts w:cs="宋体"/>
                <w:color w:val="auto"/>
              </w:rPr>
            </w:pPr>
            <w:bookmarkStart w:id="391" w:name="OLE_LINK49"/>
            <w:r>
              <w:rPr>
                <w:rFonts w:hint="eastAsia" w:cs="宋体"/>
                <w:color w:val="auto"/>
              </w:rPr>
              <w:t>0.03</w:t>
            </w:r>
            <w:r>
              <w:rPr>
                <w:rFonts w:cs="宋体"/>
                <w:color w:val="auto"/>
              </w:rPr>
              <w:t>t/a</w:t>
            </w:r>
            <w:bookmarkEnd w:id="391"/>
          </w:p>
        </w:tc>
        <w:tc>
          <w:tcPr>
            <w:tcW w:w="566" w:type="pct"/>
            <w:vAlign w:val="center"/>
          </w:tcPr>
          <w:p w14:paraId="27A7D56C">
            <w:pPr>
              <w:pStyle w:val="101"/>
              <w:autoSpaceDE w:val="0"/>
              <w:autoSpaceDN w:val="0"/>
              <w:spacing w:line="240" w:lineRule="auto"/>
              <w:ind w:firstLine="0" w:firstLineChars="0"/>
              <w:jc w:val="center"/>
              <w:rPr>
                <w:rFonts w:ascii="Times New Roman" w:hAnsi="Times New Roman" w:eastAsia="宋体" w:cs="宋体"/>
                <w:color w:val="auto"/>
                <w:kern w:val="0"/>
                <w:sz w:val="24"/>
                <w:szCs w:val="24"/>
                <w:lang w:val="en-US" w:eastAsia="zh-CN" w:bidi="ar-SA"/>
              </w:rPr>
            </w:pPr>
            <w:r>
              <w:rPr>
                <w:rFonts w:hint="eastAsia" w:ascii="Times New Roman" w:hAnsi="Times New Roman" w:cs="宋体"/>
                <w:color w:val="auto"/>
                <w:sz w:val="24"/>
                <w:szCs w:val="24"/>
                <w:lang w:eastAsia="zh-CN"/>
              </w:rPr>
              <w:t>0.01t/a</w:t>
            </w:r>
          </w:p>
        </w:tc>
        <w:tc>
          <w:tcPr>
            <w:tcW w:w="566" w:type="pct"/>
            <w:shd w:val="clear" w:color="auto" w:fill="auto"/>
            <w:vAlign w:val="center"/>
          </w:tcPr>
          <w:p w14:paraId="68B66C10">
            <w:pPr>
              <w:spacing w:line="240" w:lineRule="auto"/>
              <w:ind w:firstLine="0" w:firstLineChars="0"/>
              <w:jc w:val="center"/>
              <w:rPr>
                <w:rFonts w:cs="宋体"/>
                <w:color w:val="auto"/>
              </w:rPr>
            </w:pPr>
            <w:r>
              <w:rPr>
                <w:rFonts w:hint="eastAsia" w:cs="宋体"/>
                <w:color w:val="auto"/>
              </w:rPr>
              <w:t>0.03t/a</w:t>
            </w:r>
          </w:p>
        </w:tc>
        <w:tc>
          <w:tcPr>
            <w:tcW w:w="570" w:type="pct"/>
            <w:vAlign w:val="center"/>
          </w:tcPr>
          <w:p w14:paraId="55E8625F">
            <w:pPr>
              <w:spacing w:line="240" w:lineRule="auto"/>
              <w:ind w:firstLine="0" w:firstLineChars="0"/>
              <w:jc w:val="center"/>
              <w:rPr>
                <w:rFonts w:cs="宋体"/>
                <w:color w:val="auto"/>
              </w:rPr>
            </w:pPr>
            <w:r>
              <w:rPr>
                <w:rFonts w:hint="eastAsia" w:cs="宋体"/>
                <w:color w:val="auto"/>
              </w:rPr>
              <w:t>+0.0</w:t>
            </w:r>
            <w:bookmarkStart w:id="392" w:name="OLE_LINK238"/>
            <w:r>
              <w:rPr>
                <w:rFonts w:hint="eastAsia" w:cs="宋体"/>
                <w:color w:val="auto"/>
              </w:rPr>
              <w:t>2t/a</w:t>
            </w:r>
            <w:bookmarkEnd w:id="392"/>
          </w:p>
        </w:tc>
      </w:tr>
      <w:bookmarkEnd w:id="389"/>
      <w:tr w14:paraId="23BB90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463" w:type="pct"/>
            <w:vMerge w:val="continue"/>
            <w:vAlign w:val="center"/>
          </w:tcPr>
          <w:p w14:paraId="7BA9243B">
            <w:pPr>
              <w:pStyle w:val="67"/>
              <w:spacing w:before="24" w:after="24"/>
              <w:ind w:firstLine="0" w:firstLineChars="0"/>
              <w:jc w:val="left"/>
              <w:rPr>
                <w:rFonts w:ascii="Times New Roman" w:cs="宋体"/>
                <w:snapToGrid w:val="0"/>
                <w:kern w:val="21"/>
                <w:sz w:val="24"/>
                <w:szCs w:val="24"/>
              </w:rPr>
            </w:pPr>
          </w:p>
        </w:tc>
        <w:tc>
          <w:tcPr>
            <w:tcW w:w="566" w:type="pct"/>
            <w:shd w:val="clear" w:color="auto" w:fill="auto"/>
            <w:vAlign w:val="center"/>
          </w:tcPr>
          <w:p w14:paraId="40DAFD00">
            <w:pPr>
              <w:pStyle w:val="91"/>
              <w:spacing w:line="240" w:lineRule="auto"/>
              <w:ind w:firstLine="0" w:firstLineChars="0"/>
              <w:rPr>
                <w:rFonts w:cs="宋体"/>
                <w:color w:val="auto"/>
                <w:szCs w:val="24"/>
              </w:rPr>
            </w:pPr>
            <w:bookmarkStart w:id="393" w:name="OLE_LINK31"/>
            <w:r>
              <w:rPr>
                <w:rFonts w:hint="eastAsia" w:cs="宋体"/>
                <w:color w:val="auto"/>
                <w:szCs w:val="24"/>
              </w:rPr>
              <w:t>废润滑油</w:t>
            </w:r>
            <w:bookmarkEnd w:id="393"/>
          </w:p>
        </w:tc>
        <w:tc>
          <w:tcPr>
            <w:tcW w:w="566" w:type="pct"/>
            <w:vAlign w:val="center"/>
          </w:tcPr>
          <w:p w14:paraId="39DCEA8D">
            <w:pPr>
              <w:pStyle w:val="101"/>
              <w:autoSpaceDE w:val="0"/>
              <w:autoSpaceDN w:val="0"/>
              <w:spacing w:line="240" w:lineRule="auto"/>
              <w:ind w:firstLine="0" w:firstLineChars="0"/>
              <w:jc w:val="center"/>
              <w:rPr>
                <w:rFonts w:ascii="Times New Roman" w:hAnsi="Times New Roman" w:cs="宋体"/>
                <w:color w:val="auto"/>
                <w:sz w:val="24"/>
                <w:szCs w:val="24"/>
                <w:lang w:eastAsia="zh-CN"/>
              </w:rPr>
            </w:pPr>
            <w:r>
              <w:rPr>
                <w:rFonts w:hint="eastAsia" w:ascii="Times New Roman" w:hAnsi="Times New Roman" w:cs="宋体"/>
                <w:color w:val="auto"/>
                <w:sz w:val="24"/>
                <w:szCs w:val="24"/>
                <w:lang w:eastAsia="zh-CN"/>
              </w:rPr>
              <w:t>0.005t/a</w:t>
            </w:r>
          </w:p>
        </w:tc>
        <w:tc>
          <w:tcPr>
            <w:tcW w:w="566" w:type="pct"/>
            <w:vAlign w:val="center"/>
          </w:tcPr>
          <w:p w14:paraId="2976653D">
            <w:pPr>
              <w:pStyle w:val="101"/>
              <w:autoSpaceDE w:val="0"/>
              <w:autoSpaceDN w:val="0"/>
              <w:spacing w:line="240" w:lineRule="auto"/>
              <w:ind w:firstLine="0" w:firstLineChars="0"/>
              <w:jc w:val="center"/>
              <w:rPr>
                <w:rFonts w:ascii="Times New Roman" w:hAnsi="Times New Roman" w:eastAsia="宋体" w:cs="宋体"/>
                <w:color w:val="auto"/>
                <w:kern w:val="0"/>
                <w:sz w:val="24"/>
                <w:szCs w:val="24"/>
                <w:lang w:val="en-US" w:eastAsia="zh-CN" w:bidi="ar-SA"/>
              </w:rPr>
            </w:pPr>
            <w:r>
              <w:rPr>
                <w:rFonts w:hint="eastAsia" w:ascii="Times New Roman" w:hAnsi="Times New Roman" w:cs="宋体"/>
                <w:color w:val="auto"/>
                <w:sz w:val="24"/>
                <w:szCs w:val="24"/>
                <w:lang w:eastAsia="zh-CN"/>
              </w:rPr>
              <w:t>0.005t/a</w:t>
            </w:r>
          </w:p>
        </w:tc>
        <w:tc>
          <w:tcPr>
            <w:tcW w:w="566" w:type="pct"/>
            <w:vAlign w:val="center"/>
          </w:tcPr>
          <w:p w14:paraId="794F5474">
            <w:pPr>
              <w:pStyle w:val="101"/>
              <w:autoSpaceDE w:val="0"/>
              <w:autoSpaceDN w:val="0"/>
              <w:spacing w:line="240" w:lineRule="auto"/>
              <w:ind w:firstLine="0" w:firstLineChars="0"/>
              <w:jc w:val="center"/>
              <w:rPr>
                <w:rFonts w:ascii="Times New Roman" w:hAnsi="Times New Roman" w:cs="宋体"/>
                <w:color w:val="auto"/>
                <w:sz w:val="24"/>
                <w:szCs w:val="24"/>
                <w:lang w:eastAsia="zh-CN"/>
              </w:rPr>
            </w:pPr>
            <w:r>
              <w:rPr>
                <w:rFonts w:hint="eastAsia" w:ascii="Times New Roman" w:hAnsi="Times New Roman" w:cs="宋体"/>
                <w:color w:val="auto"/>
                <w:sz w:val="24"/>
                <w:szCs w:val="24"/>
                <w:lang w:eastAsia="zh-CN"/>
              </w:rPr>
              <w:t>0</w:t>
            </w:r>
          </w:p>
        </w:tc>
        <w:tc>
          <w:tcPr>
            <w:tcW w:w="566" w:type="pct"/>
            <w:vAlign w:val="center"/>
          </w:tcPr>
          <w:p w14:paraId="2D6B3E90">
            <w:pPr>
              <w:spacing w:line="240" w:lineRule="auto"/>
              <w:ind w:firstLine="0" w:firstLineChars="0"/>
              <w:jc w:val="center"/>
              <w:rPr>
                <w:rFonts w:cs="宋体"/>
                <w:color w:val="auto"/>
              </w:rPr>
            </w:pPr>
            <w:bookmarkStart w:id="394" w:name="OLE_LINK46"/>
            <w:r>
              <w:rPr>
                <w:rFonts w:hint="eastAsia" w:cs="宋体"/>
                <w:color w:val="auto"/>
              </w:rPr>
              <w:t>0.07</w:t>
            </w:r>
            <w:r>
              <w:rPr>
                <w:rFonts w:cs="宋体"/>
                <w:color w:val="auto"/>
              </w:rPr>
              <w:t>t/a</w:t>
            </w:r>
            <w:bookmarkEnd w:id="394"/>
          </w:p>
        </w:tc>
        <w:tc>
          <w:tcPr>
            <w:tcW w:w="566" w:type="pct"/>
            <w:vAlign w:val="center"/>
          </w:tcPr>
          <w:p w14:paraId="665E3F69">
            <w:pPr>
              <w:pStyle w:val="101"/>
              <w:autoSpaceDE w:val="0"/>
              <w:autoSpaceDN w:val="0"/>
              <w:spacing w:line="240" w:lineRule="auto"/>
              <w:ind w:firstLine="0" w:firstLineChars="0"/>
              <w:jc w:val="center"/>
              <w:rPr>
                <w:rFonts w:ascii="Times New Roman" w:hAnsi="Times New Roman" w:eastAsia="宋体" w:cs="宋体"/>
                <w:color w:val="auto"/>
                <w:kern w:val="0"/>
                <w:sz w:val="24"/>
                <w:szCs w:val="24"/>
                <w:lang w:val="en-US" w:eastAsia="zh-CN" w:bidi="ar-SA"/>
              </w:rPr>
            </w:pPr>
            <w:r>
              <w:rPr>
                <w:rFonts w:hint="eastAsia" w:ascii="Times New Roman" w:hAnsi="Times New Roman" w:cs="宋体"/>
                <w:color w:val="auto"/>
                <w:sz w:val="24"/>
                <w:szCs w:val="24"/>
                <w:lang w:eastAsia="zh-CN"/>
              </w:rPr>
              <w:t>0.005t/a</w:t>
            </w:r>
          </w:p>
        </w:tc>
        <w:tc>
          <w:tcPr>
            <w:tcW w:w="566" w:type="pct"/>
            <w:shd w:val="clear" w:color="auto" w:fill="auto"/>
            <w:vAlign w:val="center"/>
          </w:tcPr>
          <w:p w14:paraId="0EB5D841">
            <w:pPr>
              <w:spacing w:line="240" w:lineRule="auto"/>
              <w:ind w:firstLine="0" w:firstLineChars="0"/>
              <w:jc w:val="center"/>
              <w:rPr>
                <w:rFonts w:cs="宋体"/>
                <w:color w:val="auto"/>
              </w:rPr>
            </w:pPr>
            <w:r>
              <w:rPr>
                <w:rFonts w:hint="eastAsia" w:cs="宋体"/>
                <w:color w:val="auto"/>
              </w:rPr>
              <w:t>0.07t/a</w:t>
            </w:r>
          </w:p>
        </w:tc>
        <w:tc>
          <w:tcPr>
            <w:tcW w:w="570" w:type="pct"/>
            <w:vAlign w:val="center"/>
          </w:tcPr>
          <w:p w14:paraId="320F04B9">
            <w:pPr>
              <w:spacing w:line="240" w:lineRule="auto"/>
              <w:ind w:firstLine="0" w:firstLineChars="0"/>
              <w:jc w:val="center"/>
              <w:rPr>
                <w:rFonts w:cs="宋体"/>
                <w:color w:val="auto"/>
              </w:rPr>
            </w:pPr>
            <w:r>
              <w:rPr>
                <w:rFonts w:hint="eastAsia" w:cs="宋体"/>
                <w:color w:val="auto"/>
              </w:rPr>
              <w:t>+0.065t/a</w:t>
            </w:r>
          </w:p>
        </w:tc>
      </w:tr>
      <w:tr w14:paraId="3305D8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463" w:type="pct"/>
            <w:vMerge w:val="continue"/>
            <w:vAlign w:val="center"/>
          </w:tcPr>
          <w:p w14:paraId="425FF059">
            <w:pPr>
              <w:pStyle w:val="67"/>
              <w:spacing w:before="24" w:after="24"/>
              <w:ind w:firstLine="0" w:firstLineChars="0"/>
              <w:jc w:val="left"/>
              <w:rPr>
                <w:rFonts w:ascii="Times New Roman" w:cs="宋体"/>
                <w:snapToGrid w:val="0"/>
                <w:kern w:val="21"/>
                <w:sz w:val="24"/>
                <w:szCs w:val="24"/>
              </w:rPr>
            </w:pPr>
          </w:p>
        </w:tc>
        <w:tc>
          <w:tcPr>
            <w:tcW w:w="566" w:type="pct"/>
            <w:shd w:val="clear" w:color="auto" w:fill="auto"/>
            <w:vAlign w:val="center"/>
          </w:tcPr>
          <w:p w14:paraId="183A013A">
            <w:pPr>
              <w:pStyle w:val="91"/>
              <w:spacing w:line="240" w:lineRule="auto"/>
              <w:ind w:firstLine="0" w:firstLineChars="0"/>
              <w:rPr>
                <w:rFonts w:cs="宋体"/>
                <w:color w:val="auto"/>
                <w:szCs w:val="24"/>
              </w:rPr>
            </w:pPr>
            <w:bookmarkStart w:id="395" w:name="OLE_LINK44"/>
            <w:r>
              <w:rPr>
                <w:rFonts w:hint="eastAsia" w:cs="宋体"/>
                <w:color w:val="auto"/>
                <w:szCs w:val="24"/>
              </w:rPr>
              <w:t>废含油抹布/手套</w:t>
            </w:r>
            <w:bookmarkEnd w:id="395"/>
          </w:p>
        </w:tc>
        <w:tc>
          <w:tcPr>
            <w:tcW w:w="566" w:type="pct"/>
            <w:vAlign w:val="center"/>
          </w:tcPr>
          <w:p w14:paraId="5F9D5000">
            <w:pPr>
              <w:pStyle w:val="101"/>
              <w:autoSpaceDE w:val="0"/>
              <w:autoSpaceDN w:val="0"/>
              <w:spacing w:line="240" w:lineRule="auto"/>
              <w:ind w:firstLine="0" w:firstLineChars="0"/>
              <w:jc w:val="center"/>
              <w:rPr>
                <w:rFonts w:ascii="Times New Roman" w:hAnsi="Times New Roman" w:cs="宋体"/>
                <w:color w:val="auto"/>
                <w:sz w:val="24"/>
                <w:szCs w:val="24"/>
                <w:lang w:eastAsia="zh-CN"/>
              </w:rPr>
            </w:pPr>
            <w:r>
              <w:rPr>
                <w:rFonts w:hint="eastAsia" w:ascii="Times New Roman" w:hAnsi="Times New Roman" w:cs="宋体"/>
                <w:color w:val="auto"/>
                <w:sz w:val="24"/>
                <w:szCs w:val="24"/>
                <w:lang w:eastAsia="zh-CN"/>
              </w:rPr>
              <w:t>0.1t/a</w:t>
            </w:r>
          </w:p>
        </w:tc>
        <w:tc>
          <w:tcPr>
            <w:tcW w:w="566" w:type="pct"/>
            <w:vAlign w:val="center"/>
          </w:tcPr>
          <w:p w14:paraId="22541474">
            <w:pPr>
              <w:pStyle w:val="101"/>
              <w:autoSpaceDE w:val="0"/>
              <w:autoSpaceDN w:val="0"/>
              <w:spacing w:line="240" w:lineRule="auto"/>
              <w:ind w:firstLine="0" w:firstLineChars="0"/>
              <w:jc w:val="center"/>
              <w:rPr>
                <w:rFonts w:ascii="Times New Roman" w:hAnsi="Times New Roman" w:eastAsia="宋体" w:cs="宋体"/>
                <w:color w:val="auto"/>
                <w:kern w:val="0"/>
                <w:sz w:val="24"/>
                <w:szCs w:val="24"/>
                <w:lang w:val="en-US" w:eastAsia="zh-CN" w:bidi="ar-SA"/>
              </w:rPr>
            </w:pPr>
            <w:r>
              <w:rPr>
                <w:rFonts w:hint="eastAsia" w:ascii="Times New Roman" w:hAnsi="Times New Roman" w:cs="宋体"/>
                <w:color w:val="auto"/>
                <w:sz w:val="24"/>
                <w:szCs w:val="24"/>
                <w:lang w:eastAsia="zh-CN"/>
              </w:rPr>
              <w:t>0.1t/a</w:t>
            </w:r>
          </w:p>
        </w:tc>
        <w:tc>
          <w:tcPr>
            <w:tcW w:w="566" w:type="pct"/>
            <w:vAlign w:val="center"/>
          </w:tcPr>
          <w:p w14:paraId="79459716">
            <w:pPr>
              <w:pStyle w:val="101"/>
              <w:autoSpaceDE w:val="0"/>
              <w:autoSpaceDN w:val="0"/>
              <w:spacing w:line="240" w:lineRule="auto"/>
              <w:ind w:firstLine="0" w:firstLineChars="0"/>
              <w:jc w:val="center"/>
              <w:rPr>
                <w:rFonts w:ascii="Times New Roman" w:hAnsi="Times New Roman" w:cs="宋体"/>
                <w:color w:val="auto"/>
                <w:sz w:val="24"/>
                <w:szCs w:val="24"/>
                <w:lang w:eastAsia="zh-CN"/>
              </w:rPr>
            </w:pPr>
            <w:r>
              <w:rPr>
                <w:rFonts w:hint="eastAsia" w:ascii="Times New Roman" w:hAnsi="Times New Roman" w:cs="宋体"/>
                <w:color w:val="auto"/>
                <w:sz w:val="24"/>
                <w:szCs w:val="24"/>
                <w:lang w:eastAsia="zh-CN"/>
              </w:rPr>
              <w:t>0</w:t>
            </w:r>
          </w:p>
        </w:tc>
        <w:tc>
          <w:tcPr>
            <w:tcW w:w="566" w:type="pct"/>
            <w:vAlign w:val="center"/>
          </w:tcPr>
          <w:p w14:paraId="1265A5E3">
            <w:pPr>
              <w:spacing w:line="240" w:lineRule="auto"/>
              <w:ind w:firstLine="0" w:firstLineChars="0"/>
              <w:jc w:val="center"/>
              <w:rPr>
                <w:rFonts w:cs="宋体"/>
                <w:color w:val="auto"/>
              </w:rPr>
            </w:pPr>
            <w:r>
              <w:rPr>
                <w:rFonts w:hint="eastAsia" w:cs="宋体"/>
                <w:color w:val="auto"/>
              </w:rPr>
              <w:t>0.2t/a</w:t>
            </w:r>
          </w:p>
        </w:tc>
        <w:tc>
          <w:tcPr>
            <w:tcW w:w="566" w:type="pct"/>
            <w:vAlign w:val="center"/>
          </w:tcPr>
          <w:p w14:paraId="05EF064C">
            <w:pPr>
              <w:pStyle w:val="101"/>
              <w:autoSpaceDE w:val="0"/>
              <w:autoSpaceDN w:val="0"/>
              <w:spacing w:line="240" w:lineRule="auto"/>
              <w:ind w:firstLine="0" w:firstLineChars="0"/>
              <w:jc w:val="center"/>
              <w:rPr>
                <w:rFonts w:ascii="Times New Roman" w:hAnsi="Times New Roman" w:eastAsia="宋体" w:cs="宋体"/>
                <w:color w:val="auto"/>
                <w:kern w:val="0"/>
                <w:sz w:val="24"/>
                <w:szCs w:val="24"/>
                <w:lang w:val="en-US" w:eastAsia="zh-CN" w:bidi="ar-SA"/>
              </w:rPr>
            </w:pPr>
            <w:r>
              <w:rPr>
                <w:rFonts w:hint="eastAsia" w:ascii="Times New Roman" w:hAnsi="Times New Roman" w:cs="宋体"/>
                <w:color w:val="auto"/>
                <w:sz w:val="24"/>
                <w:szCs w:val="24"/>
                <w:lang w:eastAsia="zh-CN"/>
              </w:rPr>
              <w:t>0.1t/a</w:t>
            </w:r>
          </w:p>
        </w:tc>
        <w:tc>
          <w:tcPr>
            <w:tcW w:w="566" w:type="pct"/>
            <w:shd w:val="clear" w:color="auto" w:fill="auto"/>
            <w:vAlign w:val="center"/>
          </w:tcPr>
          <w:p w14:paraId="715D019C">
            <w:pPr>
              <w:spacing w:line="240" w:lineRule="auto"/>
              <w:ind w:firstLine="0" w:firstLineChars="0"/>
              <w:jc w:val="center"/>
              <w:rPr>
                <w:rFonts w:cs="宋体"/>
                <w:color w:val="auto"/>
              </w:rPr>
            </w:pPr>
            <w:r>
              <w:rPr>
                <w:rFonts w:hint="eastAsia" w:cs="宋体"/>
                <w:color w:val="auto"/>
              </w:rPr>
              <w:t>0.2t/a</w:t>
            </w:r>
          </w:p>
        </w:tc>
        <w:tc>
          <w:tcPr>
            <w:tcW w:w="570" w:type="pct"/>
            <w:vAlign w:val="center"/>
          </w:tcPr>
          <w:p w14:paraId="6F86C1F5">
            <w:pPr>
              <w:spacing w:line="240" w:lineRule="auto"/>
              <w:ind w:firstLine="0" w:firstLineChars="0"/>
              <w:jc w:val="center"/>
              <w:rPr>
                <w:rFonts w:cs="宋体"/>
                <w:color w:val="auto"/>
              </w:rPr>
            </w:pPr>
            <w:r>
              <w:rPr>
                <w:rFonts w:hint="eastAsia" w:cs="宋体"/>
                <w:color w:val="auto"/>
              </w:rPr>
              <w:t>+0.1t/a</w:t>
            </w:r>
          </w:p>
        </w:tc>
      </w:tr>
      <w:tr w14:paraId="024D53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463" w:type="pct"/>
            <w:vMerge w:val="continue"/>
            <w:vAlign w:val="center"/>
          </w:tcPr>
          <w:p w14:paraId="1543F5AE">
            <w:pPr>
              <w:pStyle w:val="67"/>
              <w:spacing w:before="24" w:after="24"/>
              <w:ind w:firstLine="480"/>
              <w:rPr>
                <w:rFonts w:ascii="Times New Roman" w:cs="宋体"/>
                <w:snapToGrid w:val="0"/>
                <w:kern w:val="21"/>
                <w:sz w:val="24"/>
                <w:szCs w:val="24"/>
              </w:rPr>
            </w:pPr>
            <w:bookmarkStart w:id="396" w:name="OLE_LINK331" w:colFirst="2" w:colLast="8"/>
          </w:p>
        </w:tc>
        <w:tc>
          <w:tcPr>
            <w:tcW w:w="566" w:type="pct"/>
            <w:shd w:val="clear" w:color="auto" w:fill="auto"/>
            <w:vAlign w:val="center"/>
          </w:tcPr>
          <w:p w14:paraId="6315EFB1">
            <w:pPr>
              <w:pStyle w:val="91"/>
              <w:spacing w:line="240" w:lineRule="auto"/>
              <w:ind w:firstLine="0" w:firstLineChars="0"/>
              <w:rPr>
                <w:rFonts w:cs="宋体"/>
                <w:color w:val="auto"/>
                <w:szCs w:val="24"/>
              </w:rPr>
            </w:pPr>
            <w:r>
              <w:rPr>
                <w:rFonts w:hint="eastAsia" w:cs="宋体"/>
                <w:bCs/>
                <w:color w:val="auto"/>
              </w:rPr>
              <w:t>喷淋废水（含沉渣）</w:t>
            </w:r>
          </w:p>
        </w:tc>
        <w:tc>
          <w:tcPr>
            <w:tcW w:w="566" w:type="pct"/>
            <w:shd w:val="clear" w:color="auto" w:fill="auto"/>
            <w:vAlign w:val="center"/>
          </w:tcPr>
          <w:p w14:paraId="29C6F6C5">
            <w:pPr>
              <w:pStyle w:val="101"/>
              <w:autoSpaceDE w:val="0"/>
              <w:autoSpaceDN w:val="0"/>
              <w:spacing w:line="240" w:lineRule="auto"/>
              <w:ind w:firstLine="0" w:firstLineChars="0"/>
              <w:jc w:val="center"/>
              <w:rPr>
                <w:rFonts w:ascii="Times New Roman" w:hAnsi="Times New Roman" w:cs="宋体"/>
                <w:color w:val="auto"/>
                <w:sz w:val="24"/>
                <w:szCs w:val="24"/>
                <w:lang w:eastAsia="zh-CN"/>
              </w:rPr>
            </w:pPr>
            <w:r>
              <w:rPr>
                <w:rFonts w:hint="eastAsia" w:ascii="Times New Roman" w:hAnsi="Times New Roman" w:cs="宋体"/>
                <w:color w:val="auto"/>
                <w:sz w:val="24"/>
                <w:szCs w:val="24"/>
                <w:lang w:eastAsia="zh-CN"/>
              </w:rPr>
              <w:t>0.02t/a</w:t>
            </w:r>
          </w:p>
        </w:tc>
        <w:tc>
          <w:tcPr>
            <w:tcW w:w="566" w:type="pct"/>
            <w:shd w:val="clear" w:color="auto" w:fill="auto"/>
            <w:vAlign w:val="center"/>
          </w:tcPr>
          <w:p w14:paraId="4E863A77">
            <w:pPr>
              <w:pStyle w:val="101"/>
              <w:autoSpaceDE w:val="0"/>
              <w:autoSpaceDN w:val="0"/>
              <w:spacing w:line="240" w:lineRule="auto"/>
              <w:ind w:firstLine="0" w:firstLineChars="0"/>
              <w:jc w:val="center"/>
              <w:rPr>
                <w:rFonts w:ascii="Times New Roman" w:hAnsi="Times New Roman" w:eastAsia="宋体" w:cs="宋体"/>
                <w:color w:val="auto"/>
                <w:kern w:val="0"/>
                <w:sz w:val="24"/>
                <w:szCs w:val="24"/>
                <w:lang w:val="en-US" w:eastAsia="zh-CN" w:bidi="ar-SA"/>
              </w:rPr>
            </w:pPr>
            <w:r>
              <w:rPr>
                <w:rFonts w:hint="eastAsia" w:ascii="Times New Roman" w:hAnsi="Times New Roman" w:cs="宋体"/>
                <w:color w:val="auto"/>
                <w:sz w:val="24"/>
                <w:szCs w:val="24"/>
                <w:lang w:eastAsia="zh-CN"/>
              </w:rPr>
              <w:t>0.02t/a</w:t>
            </w:r>
          </w:p>
        </w:tc>
        <w:tc>
          <w:tcPr>
            <w:tcW w:w="566" w:type="pct"/>
            <w:shd w:val="clear" w:color="auto" w:fill="auto"/>
            <w:vAlign w:val="center"/>
          </w:tcPr>
          <w:p w14:paraId="1030049A">
            <w:pPr>
              <w:pStyle w:val="101"/>
              <w:autoSpaceDE w:val="0"/>
              <w:autoSpaceDN w:val="0"/>
              <w:spacing w:line="240" w:lineRule="auto"/>
              <w:ind w:firstLine="0" w:firstLineChars="0"/>
              <w:jc w:val="center"/>
              <w:rPr>
                <w:rFonts w:ascii="Times New Roman" w:hAnsi="Times New Roman" w:cs="宋体"/>
                <w:color w:val="auto"/>
                <w:sz w:val="24"/>
                <w:szCs w:val="24"/>
                <w:lang w:eastAsia="zh-CN"/>
              </w:rPr>
            </w:pPr>
            <w:r>
              <w:rPr>
                <w:rFonts w:hint="eastAsia" w:ascii="Times New Roman" w:hAnsi="Times New Roman" w:cs="宋体"/>
                <w:color w:val="auto"/>
                <w:sz w:val="24"/>
                <w:szCs w:val="24"/>
                <w:lang w:eastAsia="zh-CN"/>
              </w:rPr>
              <w:t>0</w:t>
            </w:r>
          </w:p>
        </w:tc>
        <w:tc>
          <w:tcPr>
            <w:tcW w:w="566" w:type="pct"/>
            <w:shd w:val="clear" w:color="auto" w:fill="auto"/>
            <w:vAlign w:val="center"/>
          </w:tcPr>
          <w:p w14:paraId="72DC8E34">
            <w:pPr>
              <w:spacing w:line="240" w:lineRule="auto"/>
              <w:ind w:firstLine="0" w:firstLineChars="0"/>
              <w:jc w:val="center"/>
              <w:rPr>
                <w:rFonts w:cs="宋体"/>
                <w:color w:val="auto"/>
              </w:rPr>
            </w:pPr>
            <w:r>
              <w:rPr>
                <w:rFonts w:hint="eastAsia" w:cs="宋体"/>
                <w:color w:val="auto"/>
              </w:rPr>
              <w:t>12.626</w:t>
            </w:r>
            <w:r>
              <w:rPr>
                <w:rFonts w:cs="宋体"/>
                <w:color w:val="auto"/>
              </w:rPr>
              <w:t>t/a</w:t>
            </w:r>
          </w:p>
        </w:tc>
        <w:tc>
          <w:tcPr>
            <w:tcW w:w="566" w:type="pct"/>
            <w:shd w:val="clear" w:color="auto" w:fill="auto"/>
            <w:vAlign w:val="center"/>
          </w:tcPr>
          <w:p w14:paraId="0ABB704D">
            <w:pPr>
              <w:pStyle w:val="101"/>
              <w:autoSpaceDE w:val="0"/>
              <w:autoSpaceDN w:val="0"/>
              <w:spacing w:line="240" w:lineRule="auto"/>
              <w:ind w:firstLine="0" w:firstLineChars="0"/>
              <w:jc w:val="center"/>
              <w:rPr>
                <w:rFonts w:ascii="Times New Roman" w:hAnsi="Times New Roman" w:eastAsia="宋体" w:cs="宋体"/>
                <w:color w:val="auto"/>
                <w:kern w:val="0"/>
                <w:sz w:val="24"/>
                <w:szCs w:val="24"/>
                <w:lang w:val="en-US" w:eastAsia="zh-CN" w:bidi="ar-SA"/>
              </w:rPr>
            </w:pPr>
            <w:r>
              <w:rPr>
                <w:rFonts w:hint="eastAsia" w:ascii="Times New Roman" w:hAnsi="Times New Roman" w:cs="宋体"/>
                <w:color w:val="auto"/>
                <w:sz w:val="24"/>
                <w:szCs w:val="24"/>
                <w:lang w:eastAsia="zh-CN"/>
              </w:rPr>
              <w:t>0.02t/a</w:t>
            </w:r>
          </w:p>
        </w:tc>
        <w:tc>
          <w:tcPr>
            <w:tcW w:w="566" w:type="pct"/>
            <w:shd w:val="clear" w:color="auto" w:fill="auto"/>
            <w:vAlign w:val="center"/>
          </w:tcPr>
          <w:p w14:paraId="4BE49D5C">
            <w:pPr>
              <w:spacing w:line="240" w:lineRule="auto"/>
              <w:ind w:firstLine="0" w:firstLineChars="0"/>
              <w:jc w:val="center"/>
              <w:rPr>
                <w:rFonts w:cs="宋体"/>
                <w:color w:val="auto"/>
              </w:rPr>
            </w:pPr>
            <w:bookmarkStart w:id="397" w:name="OLE_LINK15"/>
            <w:r>
              <w:rPr>
                <w:rFonts w:hint="eastAsia" w:cs="宋体"/>
                <w:color w:val="auto"/>
              </w:rPr>
              <w:t>12.626</w:t>
            </w:r>
            <w:r>
              <w:rPr>
                <w:rFonts w:cs="宋体"/>
                <w:color w:val="auto"/>
              </w:rPr>
              <w:t>t/a</w:t>
            </w:r>
            <w:bookmarkEnd w:id="397"/>
          </w:p>
        </w:tc>
        <w:tc>
          <w:tcPr>
            <w:tcW w:w="570" w:type="pct"/>
            <w:shd w:val="clear" w:color="auto" w:fill="auto"/>
            <w:vAlign w:val="center"/>
          </w:tcPr>
          <w:p w14:paraId="71925803">
            <w:pPr>
              <w:spacing w:line="240" w:lineRule="auto"/>
              <w:ind w:firstLine="0" w:firstLineChars="0"/>
              <w:jc w:val="center"/>
              <w:rPr>
                <w:rFonts w:cs="宋体"/>
                <w:color w:val="auto"/>
              </w:rPr>
            </w:pPr>
            <w:r>
              <w:rPr>
                <w:rFonts w:hint="eastAsia" w:cs="宋体"/>
                <w:color w:val="auto"/>
              </w:rPr>
              <w:t>+12.606t/a</w:t>
            </w:r>
          </w:p>
        </w:tc>
      </w:tr>
      <w:bookmarkEnd w:id="396"/>
      <w:tr w14:paraId="5E5C8C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463" w:type="pct"/>
            <w:vMerge w:val="continue"/>
            <w:vAlign w:val="center"/>
          </w:tcPr>
          <w:p w14:paraId="47F57F99">
            <w:pPr>
              <w:pStyle w:val="67"/>
              <w:spacing w:before="24" w:after="24"/>
              <w:ind w:firstLine="480"/>
              <w:rPr>
                <w:rFonts w:ascii="Times New Roman" w:cs="宋体"/>
                <w:snapToGrid w:val="0"/>
                <w:kern w:val="21"/>
                <w:sz w:val="24"/>
                <w:szCs w:val="24"/>
              </w:rPr>
            </w:pPr>
          </w:p>
        </w:tc>
        <w:tc>
          <w:tcPr>
            <w:tcW w:w="566" w:type="pct"/>
            <w:shd w:val="clear" w:color="auto" w:fill="auto"/>
            <w:vAlign w:val="center"/>
          </w:tcPr>
          <w:p w14:paraId="7A570D4C">
            <w:pPr>
              <w:pStyle w:val="91"/>
              <w:spacing w:line="240" w:lineRule="auto"/>
              <w:ind w:firstLine="0" w:firstLineChars="0"/>
              <w:rPr>
                <w:rFonts w:cs="宋体"/>
                <w:bCs/>
                <w:color w:val="auto"/>
              </w:rPr>
            </w:pPr>
            <w:r>
              <w:rPr>
                <w:rFonts w:hint="eastAsia" w:cs="宋体"/>
                <w:bCs/>
                <w:color w:val="auto"/>
              </w:rPr>
              <w:t>废过滤棉</w:t>
            </w:r>
          </w:p>
        </w:tc>
        <w:tc>
          <w:tcPr>
            <w:tcW w:w="566" w:type="pct"/>
            <w:shd w:val="clear" w:color="auto" w:fill="auto"/>
            <w:vAlign w:val="center"/>
          </w:tcPr>
          <w:p w14:paraId="17D5765C">
            <w:pPr>
              <w:pStyle w:val="101"/>
              <w:autoSpaceDE w:val="0"/>
              <w:autoSpaceDN w:val="0"/>
              <w:spacing w:line="240" w:lineRule="auto"/>
              <w:ind w:firstLine="0" w:firstLineChars="0"/>
              <w:jc w:val="center"/>
              <w:rPr>
                <w:rFonts w:ascii="Times New Roman" w:hAnsi="Times New Roman" w:cs="宋体"/>
                <w:color w:val="auto"/>
                <w:sz w:val="24"/>
                <w:szCs w:val="24"/>
                <w:lang w:eastAsia="zh-CN"/>
              </w:rPr>
            </w:pPr>
            <w:r>
              <w:rPr>
                <w:rFonts w:hint="eastAsia" w:ascii="Times New Roman" w:hAnsi="Times New Roman" w:cs="宋体"/>
                <w:color w:val="auto"/>
                <w:sz w:val="24"/>
                <w:szCs w:val="24"/>
                <w:lang w:eastAsia="zh-CN"/>
              </w:rPr>
              <w:t>0</w:t>
            </w:r>
          </w:p>
        </w:tc>
        <w:tc>
          <w:tcPr>
            <w:tcW w:w="566" w:type="pct"/>
            <w:shd w:val="clear" w:color="auto" w:fill="auto"/>
            <w:vAlign w:val="center"/>
          </w:tcPr>
          <w:p w14:paraId="144DB763">
            <w:pPr>
              <w:pStyle w:val="101"/>
              <w:autoSpaceDE w:val="0"/>
              <w:autoSpaceDN w:val="0"/>
              <w:spacing w:line="240" w:lineRule="auto"/>
              <w:ind w:firstLine="0" w:firstLineChars="0"/>
              <w:jc w:val="center"/>
              <w:rPr>
                <w:rFonts w:ascii="Times New Roman" w:hAnsi="Times New Roman" w:eastAsia="宋体" w:cs="宋体"/>
                <w:color w:val="auto"/>
                <w:kern w:val="0"/>
                <w:sz w:val="24"/>
                <w:szCs w:val="24"/>
                <w:lang w:val="en-US" w:eastAsia="zh-CN" w:bidi="ar-SA"/>
              </w:rPr>
            </w:pPr>
            <w:r>
              <w:rPr>
                <w:rFonts w:hint="eastAsia" w:ascii="Times New Roman" w:hAnsi="Times New Roman" w:cs="宋体"/>
                <w:color w:val="auto"/>
                <w:sz w:val="24"/>
                <w:szCs w:val="24"/>
                <w:lang w:eastAsia="zh-CN"/>
              </w:rPr>
              <w:t>0</w:t>
            </w:r>
          </w:p>
        </w:tc>
        <w:tc>
          <w:tcPr>
            <w:tcW w:w="566" w:type="pct"/>
            <w:shd w:val="clear" w:color="auto" w:fill="auto"/>
            <w:vAlign w:val="center"/>
          </w:tcPr>
          <w:p w14:paraId="3A475D27">
            <w:pPr>
              <w:pStyle w:val="101"/>
              <w:autoSpaceDE w:val="0"/>
              <w:autoSpaceDN w:val="0"/>
              <w:spacing w:line="240" w:lineRule="auto"/>
              <w:ind w:firstLine="0" w:firstLineChars="0"/>
              <w:jc w:val="center"/>
              <w:rPr>
                <w:rFonts w:ascii="Times New Roman" w:hAnsi="Times New Roman" w:cs="宋体"/>
                <w:color w:val="auto"/>
                <w:sz w:val="24"/>
                <w:szCs w:val="24"/>
                <w:lang w:eastAsia="zh-CN"/>
              </w:rPr>
            </w:pPr>
            <w:r>
              <w:rPr>
                <w:rFonts w:hint="eastAsia" w:ascii="Times New Roman" w:hAnsi="Times New Roman" w:cs="宋体"/>
                <w:color w:val="auto"/>
                <w:sz w:val="24"/>
                <w:szCs w:val="24"/>
                <w:lang w:eastAsia="zh-CN"/>
              </w:rPr>
              <w:t>0</w:t>
            </w:r>
          </w:p>
        </w:tc>
        <w:tc>
          <w:tcPr>
            <w:tcW w:w="566" w:type="pct"/>
            <w:shd w:val="clear" w:color="auto" w:fill="auto"/>
            <w:vAlign w:val="center"/>
          </w:tcPr>
          <w:p w14:paraId="50F8763F">
            <w:pPr>
              <w:spacing w:line="240" w:lineRule="auto"/>
              <w:ind w:firstLine="0" w:firstLineChars="0"/>
              <w:jc w:val="center"/>
              <w:rPr>
                <w:rFonts w:cs="宋体"/>
                <w:color w:val="auto"/>
              </w:rPr>
            </w:pPr>
            <w:bookmarkStart w:id="398" w:name="OLE_LINK332"/>
            <w:r>
              <w:rPr>
                <w:rFonts w:hint="eastAsia" w:cs="宋体"/>
                <w:color w:val="auto"/>
              </w:rPr>
              <w:t>0.4</w:t>
            </w:r>
            <w:r>
              <w:rPr>
                <w:rFonts w:cs="宋体"/>
                <w:color w:val="auto"/>
              </w:rPr>
              <w:t>t/a</w:t>
            </w:r>
            <w:bookmarkEnd w:id="398"/>
          </w:p>
        </w:tc>
        <w:tc>
          <w:tcPr>
            <w:tcW w:w="566" w:type="pct"/>
            <w:shd w:val="clear" w:color="auto" w:fill="auto"/>
            <w:vAlign w:val="center"/>
          </w:tcPr>
          <w:p w14:paraId="4B7AC5AD">
            <w:pPr>
              <w:pStyle w:val="101"/>
              <w:autoSpaceDE w:val="0"/>
              <w:autoSpaceDN w:val="0"/>
              <w:spacing w:line="240" w:lineRule="auto"/>
              <w:ind w:firstLine="0" w:firstLineChars="0"/>
              <w:jc w:val="center"/>
              <w:rPr>
                <w:rFonts w:ascii="Times New Roman" w:hAnsi="Times New Roman" w:eastAsia="宋体" w:cs="宋体"/>
                <w:color w:val="auto"/>
                <w:kern w:val="0"/>
                <w:sz w:val="24"/>
                <w:szCs w:val="24"/>
                <w:lang w:val="en-US" w:eastAsia="zh-CN" w:bidi="ar-SA"/>
              </w:rPr>
            </w:pPr>
            <w:r>
              <w:rPr>
                <w:rFonts w:hint="eastAsia" w:ascii="Times New Roman" w:hAnsi="Times New Roman" w:cs="宋体"/>
                <w:color w:val="auto"/>
                <w:sz w:val="24"/>
                <w:szCs w:val="24"/>
                <w:lang w:eastAsia="zh-CN"/>
              </w:rPr>
              <w:t>0</w:t>
            </w:r>
          </w:p>
        </w:tc>
        <w:tc>
          <w:tcPr>
            <w:tcW w:w="566" w:type="pct"/>
            <w:shd w:val="clear" w:color="auto" w:fill="auto"/>
            <w:vAlign w:val="center"/>
          </w:tcPr>
          <w:p w14:paraId="7698E8F5">
            <w:pPr>
              <w:spacing w:line="240" w:lineRule="auto"/>
              <w:ind w:firstLine="0" w:firstLineChars="0"/>
              <w:jc w:val="center"/>
              <w:rPr>
                <w:rFonts w:cs="宋体"/>
                <w:color w:val="auto"/>
              </w:rPr>
            </w:pPr>
            <w:r>
              <w:rPr>
                <w:rFonts w:hint="eastAsia" w:cs="宋体"/>
                <w:color w:val="auto"/>
              </w:rPr>
              <w:t>0.4t/a</w:t>
            </w:r>
          </w:p>
        </w:tc>
        <w:tc>
          <w:tcPr>
            <w:tcW w:w="570" w:type="pct"/>
            <w:shd w:val="clear" w:color="auto" w:fill="auto"/>
            <w:vAlign w:val="center"/>
          </w:tcPr>
          <w:p w14:paraId="3BE49ABC">
            <w:pPr>
              <w:spacing w:line="240" w:lineRule="auto"/>
              <w:ind w:firstLine="0" w:firstLineChars="0"/>
              <w:jc w:val="center"/>
              <w:rPr>
                <w:rFonts w:cs="宋体"/>
                <w:color w:val="auto"/>
              </w:rPr>
            </w:pPr>
            <w:r>
              <w:rPr>
                <w:rFonts w:hint="eastAsia" w:cs="宋体"/>
                <w:color w:val="auto"/>
              </w:rPr>
              <w:t>+0.4t/a</w:t>
            </w:r>
          </w:p>
        </w:tc>
      </w:tr>
      <w:tr w14:paraId="6131D3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6" w:hRule="atLeast"/>
        </w:trPr>
        <w:tc>
          <w:tcPr>
            <w:tcW w:w="463" w:type="pct"/>
            <w:vMerge w:val="continue"/>
            <w:vAlign w:val="center"/>
          </w:tcPr>
          <w:p w14:paraId="0B818C39">
            <w:pPr>
              <w:pStyle w:val="67"/>
              <w:spacing w:beforeLines="0" w:afterLines="0" w:line="240" w:lineRule="auto"/>
              <w:ind w:firstLine="0" w:firstLineChars="0"/>
              <w:rPr>
                <w:rFonts w:ascii="Times New Roman" w:cs="宋体"/>
                <w:snapToGrid w:val="0"/>
                <w:kern w:val="21"/>
                <w:sz w:val="24"/>
                <w:szCs w:val="24"/>
              </w:rPr>
            </w:pPr>
          </w:p>
        </w:tc>
        <w:tc>
          <w:tcPr>
            <w:tcW w:w="566" w:type="pct"/>
            <w:vAlign w:val="center"/>
          </w:tcPr>
          <w:p w14:paraId="7606699C">
            <w:pPr>
              <w:pStyle w:val="101"/>
              <w:spacing w:line="240" w:lineRule="auto"/>
              <w:ind w:firstLine="0" w:firstLineChars="0"/>
              <w:jc w:val="center"/>
              <w:rPr>
                <w:rFonts w:ascii="Times New Roman" w:hAnsi="Times New Roman" w:cs="宋体"/>
                <w:color w:val="auto"/>
                <w:kern w:val="2"/>
                <w:sz w:val="24"/>
                <w:szCs w:val="24"/>
                <w:lang w:eastAsia="zh-CN"/>
              </w:rPr>
            </w:pPr>
            <w:r>
              <w:rPr>
                <w:rFonts w:ascii="Times New Roman" w:hAnsi="Times New Roman" w:cs="宋体"/>
                <w:color w:val="auto"/>
                <w:kern w:val="2"/>
                <w:sz w:val="24"/>
                <w:szCs w:val="24"/>
                <w:lang w:eastAsia="zh-CN"/>
              </w:rPr>
              <w:t>废活性炭</w:t>
            </w:r>
          </w:p>
        </w:tc>
        <w:tc>
          <w:tcPr>
            <w:tcW w:w="566" w:type="pct"/>
            <w:vAlign w:val="center"/>
          </w:tcPr>
          <w:p w14:paraId="3F425C08">
            <w:pPr>
              <w:pStyle w:val="101"/>
              <w:autoSpaceDE w:val="0"/>
              <w:autoSpaceDN w:val="0"/>
              <w:spacing w:line="240" w:lineRule="auto"/>
              <w:ind w:firstLine="0" w:firstLineChars="0"/>
              <w:jc w:val="center"/>
              <w:rPr>
                <w:rFonts w:ascii="Times New Roman" w:hAnsi="Times New Roman" w:cs="宋体"/>
                <w:color w:val="auto"/>
                <w:sz w:val="24"/>
                <w:szCs w:val="24"/>
                <w:lang w:eastAsia="zh-CN"/>
              </w:rPr>
            </w:pPr>
            <w:r>
              <w:rPr>
                <w:rFonts w:hint="eastAsia" w:ascii="Times New Roman" w:hAnsi="Times New Roman" w:cs="宋体"/>
                <w:color w:val="auto"/>
                <w:sz w:val="24"/>
                <w:szCs w:val="24"/>
                <w:lang w:eastAsia="zh-CN"/>
              </w:rPr>
              <w:t>0.875t/a</w:t>
            </w:r>
          </w:p>
        </w:tc>
        <w:tc>
          <w:tcPr>
            <w:tcW w:w="566" w:type="pct"/>
            <w:vAlign w:val="center"/>
          </w:tcPr>
          <w:p w14:paraId="42C0A2AA">
            <w:pPr>
              <w:pStyle w:val="101"/>
              <w:autoSpaceDE w:val="0"/>
              <w:autoSpaceDN w:val="0"/>
              <w:spacing w:line="240" w:lineRule="auto"/>
              <w:ind w:firstLine="0" w:firstLineChars="0"/>
              <w:jc w:val="center"/>
              <w:rPr>
                <w:rFonts w:ascii="Times New Roman" w:hAnsi="Times New Roman" w:eastAsia="宋体" w:cs="宋体"/>
                <w:color w:val="auto"/>
                <w:kern w:val="0"/>
                <w:sz w:val="24"/>
                <w:szCs w:val="24"/>
                <w:lang w:val="en-US" w:eastAsia="zh-CN" w:bidi="ar-SA"/>
              </w:rPr>
            </w:pPr>
            <w:r>
              <w:rPr>
                <w:rFonts w:hint="eastAsia" w:ascii="Times New Roman" w:hAnsi="Times New Roman" w:cs="宋体"/>
                <w:color w:val="auto"/>
                <w:sz w:val="24"/>
                <w:szCs w:val="24"/>
                <w:lang w:eastAsia="zh-CN"/>
              </w:rPr>
              <w:t>0.875t/a</w:t>
            </w:r>
          </w:p>
        </w:tc>
        <w:tc>
          <w:tcPr>
            <w:tcW w:w="566" w:type="pct"/>
            <w:vAlign w:val="center"/>
          </w:tcPr>
          <w:p w14:paraId="71A87029">
            <w:pPr>
              <w:pStyle w:val="101"/>
              <w:autoSpaceDE w:val="0"/>
              <w:autoSpaceDN w:val="0"/>
              <w:spacing w:line="240" w:lineRule="auto"/>
              <w:ind w:firstLine="0" w:firstLineChars="0"/>
              <w:jc w:val="center"/>
              <w:rPr>
                <w:rFonts w:ascii="Times New Roman" w:hAnsi="Times New Roman" w:cs="宋体"/>
                <w:color w:val="auto"/>
                <w:sz w:val="24"/>
                <w:szCs w:val="24"/>
                <w:lang w:eastAsia="zh-CN"/>
              </w:rPr>
            </w:pPr>
            <w:r>
              <w:rPr>
                <w:rFonts w:hint="eastAsia" w:ascii="Times New Roman" w:hAnsi="Times New Roman" w:cs="宋体"/>
                <w:color w:val="auto"/>
                <w:sz w:val="24"/>
                <w:szCs w:val="24"/>
                <w:lang w:eastAsia="zh-CN"/>
              </w:rPr>
              <w:t>0</w:t>
            </w:r>
          </w:p>
        </w:tc>
        <w:tc>
          <w:tcPr>
            <w:tcW w:w="566" w:type="pct"/>
            <w:vAlign w:val="center"/>
          </w:tcPr>
          <w:p w14:paraId="2811695B">
            <w:pPr>
              <w:pStyle w:val="101"/>
              <w:spacing w:line="240" w:lineRule="auto"/>
              <w:ind w:firstLine="0" w:firstLineChars="0"/>
              <w:jc w:val="center"/>
              <w:rPr>
                <w:rFonts w:ascii="Times New Roman" w:hAnsi="Times New Roman" w:cs="宋体"/>
                <w:color w:val="auto"/>
                <w:sz w:val="24"/>
                <w:szCs w:val="24"/>
                <w:lang w:eastAsia="zh-CN"/>
              </w:rPr>
            </w:pPr>
            <w:r>
              <w:rPr>
                <w:rFonts w:hint="eastAsia" w:ascii="Times New Roman" w:hAnsi="Times New Roman" w:cs="宋体"/>
                <w:color w:val="auto"/>
                <w:sz w:val="24"/>
                <w:szCs w:val="24"/>
                <w:lang w:eastAsia="zh-CN"/>
              </w:rPr>
              <w:t>23.6</w:t>
            </w:r>
            <w:r>
              <w:rPr>
                <w:rFonts w:ascii="Times New Roman" w:hAnsi="Times New Roman" w:cs="宋体"/>
                <w:color w:val="auto"/>
                <w:sz w:val="24"/>
              </w:rPr>
              <w:t>t/a</w:t>
            </w:r>
          </w:p>
        </w:tc>
        <w:tc>
          <w:tcPr>
            <w:tcW w:w="566" w:type="pct"/>
            <w:vAlign w:val="center"/>
          </w:tcPr>
          <w:p w14:paraId="6B567587">
            <w:pPr>
              <w:pStyle w:val="101"/>
              <w:autoSpaceDE w:val="0"/>
              <w:autoSpaceDN w:val="0"/>
              <w:spacing w:line="240" w:lineRule="auto"/>
              <w:ind w:firstLine="0" w:firstLineChars="0"/>
              <w:jc w:val="center"/>
              <w:rPr>
                <w:rFonts w:ascii="Times New Roman" w:hAnsi="Times New Roman" w:eastAsia="宋体" w:cs="宋体"/>
                <w:color w:val="auto"/>
                <w:kern w:val="0"/>
                <w:sz w:val="24"/>
                <w:szCs w:val="24"/>
                <w:lang w:val="en-US" w:eastAsia="zh-CN" w:bidi="ar-SA"/>
              </w:rPr>
            </w:pPr>
            <w:r>
              <w:rPr>
                <w:rFonts w:hint="eastAsia" w:ascii="Times New Roman" w:hAnsi="Times New Roman" w:cs="宋体"/>
                <w:color w:val="auto"/>
                <w:sz w:val="24"/>
                <w:szCs w:val="24"/>
                <w:lang w:eastAsia="zh-CN"/>
              </w:rPr>
              <w:t>0.875t/a</w:t>
            </w:r>
          </w:p>
        </w:tc>
        <w:tc>
          <w:tcPr>
            <w:tcW w:w="566" w:type="pct"/>
            <w:shd w:val="clear" w:color="auto" w:fill="auto"/>
            <w:vAlign w:val="center"/>
          </w:tcPr>
          <w:p w14:paraId="07CABA4F">
            <w:pPr>
              <w:pStyle w:val="101"/>
              <w:spacing w:line="240" w:lineRule="auto"/>
              <w:ind w:firstLine="0" w:firstLineChars="0"/>
              <w:jc w:val="center"/>
              <w:rPr>
                <w:rFonts w:ascii="Times New Roman" w:hAnsi="Times New Roman" w:cs="宋体"/>
                <w:color w:val="auto"/>
                <w:sz w:val="24"/>
                <w:szCs w:val="24"/>
                <w:lang w:eastAsia="zh-CN"/>
              </w:rPr>
            </w:pPr>
            <w:bookmarkStart w:id="399" w:name="OLE_LINK16"/>
            <w:r>
              <w:rPr>
                <w:rFonts w:hint="eastAsia" w:ascii="Times New Roman" w:hAnsi="Times New Roman" w:cs="宋体"/>
                <w:color w:val="auto"/>
                <w:sz w:val="24"/>
                <w:szCs w:val="24"/>
                <w:lang w:eastAsia="zh-CN"/>
              </w:rPr>
              <w:t>23.6</w:t>
            </w:r>
            <w:r>
              <w:rPr>
                <w:rFonts w:ascii="Times New Roman" w:hAnsi="Times New Roman" w:cs="宋体"/>
                <w:color w:val="auto"/>
                <w:sz w:val="24"/>
              </w:rPr>
              <w:t>t/a</w:t>
            </w:r>
            <w:bookmarkEnd w:id="399"/>
          </w:p>
        </w:tc>
        <w:tc>
          <w:tcPr>
            <w:tcW w:w="570" w:type="pct"/>
            <w:vAlign w:val="center"/>
          </w:tcPr>
          <w:p w14:paraId="119BD38F">
            <w:pPr>
              <w:pStyle w:val="101"/>
              <w:spacing w:line="240" w:lineRule="auto"/>
              <w:ind w:firstLine="0" w:firstLineChars="0"/>
              <w:jc w:val="center"/>
              <w:rPr>
                <w:rFonts w:ascii="Times New Roman" w:hAnsi="Times New Roman" w:cs="宋体"/>
                <w:color w:val="auto"/>
                <w:sz w:val="24"/>
                <w:szCs w:val="24"/>
                <w:lang w:eastAsia="zh-CN"/>
              </w:rPr>
            </w:pPr>
            <w:r>
              <w:rPr>
                <w:rFonts w:hint="eastAsia" w:ascii="Times New Roman" w:hAnsi="Times New Roman" w:cs="宋体"/>
                <w:color w:val="auto"/>
                <w:sz w:val="24"/>
                <w:szCs w:val="24"/>
                <w:lang w:eastAsia="zh-CN"/>
              </w:rPr>
              <w:t>+22.725t/a</w:t>
            </w:r>
          </w:p>
        </w:tc>
      </w:tr>
    </w:tbl>
    <w:p w14:paraId="1A9BBF09">
      <w:pPr>
        <w:pStyle w:val="67"/>
        <w:spacing w:before="192" w:beforeLines="80" w:after="24"/>
        <w:jc w:val="left"/>
        <w:rPr>
          <w:rFonts w:ascii="Times New Roman"/>
          <w:snapToGrid w:val="0"/>
          <w:spacing w:val="-6"/>
          <w:kern w:val="21"/>
          <w:szCs w:val="21"/>
        </w:rPr>
      </w:pPr>
      <w:r>
        <w:rPr>
          <w:rFonts w:ascii="Times New Roman"/>
          <w:snapToGrid w:val="0"/>
          <w:kern w:val="21"/>
          <w:szCs w:val="21"/>
        </w:rPr>
        <w:t>注：</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ascii="Times New Roman"/>
          <w:szCs w:val="21"/>
        </w:rPr>
        <w:t>⑥</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ascii="Times New Roman"/>
          <w:szCs w:val="21"/>
        </w:rPr>
        <w:t>①</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3 \* GB3 \* MERGEFORMAT </w:instrText>
      </w:r>
      <w:r>
        <w:rPr>
          <w:rFonts w:ascii="Times New Roman"/>
          <w:snapToGrid w:val="0"/>
          <w:spacing w:val="-6"/>
          <w:kern w:val="21"/>
          <w:szCs w:val="21"/>
        </w:rPr>
        <w:fldChar w:fldCharType="separate"/>
      </w:r>
      <w:r>
        <w:rPr>
          <w:rFonts w:ascii="Times New Roman"/>
          <w:szCs w:val="21"/>
        </w:rPr>
        <w:t>③</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4 \* GB3 \* MERGEFORMAT </w:instrText>
      </w:r>
      <w:r>
        <w:rPr>
          <w:rFonts w:ascii="Times New Roman"/>
          <w:snapToGrid w:val="0"/>
          <w:spacing w:val="-6"/>
          <w:kern w:val="21"/>
          <w:szCs w:val="21"/>
        </w:rPr>
        <w:fldChar w:fldCharType="separate"/>
      </w:r>
      <w:r>
        <w:rPr>
          <w:rFonts w:ascii="Times New Roman"/>
          <w:szCs w:val="21"/>
        </w:rPr>
        <w:t>④</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16"/>
          <w:kern w:val="21"/>
          <w:szCs w:val="21"/>
        </w:rPr>
        <w:fldChar w:fldCharType="begin"/>
      </w:r>
      <w:r>
        <w:rPr>
          <w:rFonts w:ascii="Times New Roman"/>
          <w:snapToGrid w:val="0"/>
          <w:spacing w:val="-16"/>
          <w:kern w:val="21"/>
          <w:szCs w:val="21"/>
        </w:rPr>
        <w:instrText xml:space="preserve"> = 5 \* GB3 \* MERGEFORMAT </w:instrText>
      </w:r>
      <w:r>
        <w:rPr>
          <w:rFonts w:ascii="Times New Roman"/>
          <w:snapToGrid w:val="0"/>
          <w:spacing w:val="-16"/>
          <w:kern w:val="21"/>
          <w:szCs w:val="21"/>
        </w:rPr>
        <w:fldChar w:fldCharType="separate"/>
      </w:r>
      <w:r>
        <w:rPr>
          <w:rFonts w:ascii="Times New Roman"/>
          <w:szCs w:val="21"/>
        </w:rPr>
        <w:t>⑤</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7 \* GB3 \* MERGEFORMAT </w:instrText>
      </w:r>
      <w:r>
        <w:rPr>
          <w:rFonts w:ascii="Times New Roman"/>
          <w:snapToGrid w:val="0"/>
          <w:spacing w:val="-6"/>
          <w:kern w:val="21"/>
          <w:szCs w:val="21"/>
        </w:rPr>
        <w:fldChar w:fldCharType="separate"/>
      </w:r>
      <w:r>
        <w:rPr>
          <w:rFonts w:ascii="Times New Roman"/>
          <w:szCs w:val="21"/>
        </w:rPr>
        <w:t>⑦</w:t>
      </w:r>
      <w:r>
        <w:rPr>
          <w:rFonts w:ascii="Times New Roman"/>
          <w:snapToGrid w:val="0"/>
          <w:spacing w:val="-6"/>
          <w:kern w:val="21"/>
          <w:szCs w:val="21"/>
        </w:rPr>
        <w:fldChar w:fldCharType="end"/>
      </w:r>
      <w:r>
        <w:rPr>
          <w:rFonts w:ascii="Times New Roman"/>
          <w:snapToGrid w:val="0"/>
          <w:spacing w:val="-6"/>
          <w:kern w:val="21"/>
          <w:szCs w:val="21"/>
        </w:rPr>
        <w:t>=</w:t>
      </w:r>
      <w:r>
        <w:rPr>
          <w:rFonts w:ascii="Times New Roman"/>
          <w:snapToGrid w:val="0"/>
          <w:spacing w:val="-16"/>
          <w:kern w:val="21"/>
          <w:szCs w:val="21"/>
        </w:rPr>
        <w:fldChar w:fldCharType="begin"/>
      </w:r>
      <w:r>
        <w:rPr>
          <w:rFonts w:ascii="Times New Roman"/>
          <w:snapToGrid w:val="0"/>
          <w:spacing w:val="-16"/>
          <w:kern w:val="21"/>
          <w:szCs w:val="21"/>
        </w:rPr>
        <w:instrText xml:space="preserve"> = 6 \* GB3 \* MERGEFORMAT </w:instrText>
      </w:r>
      <w:r>
        <w:rPr>
          <w:rFonts w:ascii="Times New Roman"/>
          <w:snapToGrid w:val="0"/>
          <w:spacing w:val="-16"/>
          <w:kern w:val="21"/>
          <w:szCs w:val="21"/>
        </w:rPr>
        <w:fldChar w:fldCharType="separate"/>
      </w:r>
      <w:r>
        <w:rPr>
          <w:rFonts w:ascii="Times New Roman"/>
          <w:szCs w:val="21"/>
        </w:rPr>
        <w:t>⑥</w:t>
      </w:r>
      <w:r>
        <w:rPr>
          <w:rFonts w:ascii="Times New Roman"/>
          <w:snapToGrid w:val="0"/>
          <w:spacing w:val="-16"/>
          <w:kern w:val="21"/>
          <w:szCs w:val="21"/>
        </w:rPr>
        <w:fldChar w:fldCharType="end"/>
      </w:r>
      <w:r>
        <w:rPr>
          <w:rFonts w:ascii="Times New Roman"/>
          <w:snapToGrid w:val="0"/>
          <w:spacing w:val="-16"/>
          <w:kern w:val="21"/>
          <w:szCs w:val="21"/>
        </w:rPr>
        <w:t>-</w:t>
      </w:r>
      <w:r>
        <w:rPr>
          <w:rFonts w:ascii="Times New Roman"/>
          <w:snapToGrid w:val="0"/>
          <w:spacing w:val="-6"/>
          <w:kern w:val="21"/>
          <w:szCs w:val="21"/>
        </w:rPr>
        <w:fldChar w:fldCharType="begin"/>
      </w:r>
      <w:r>
        <w:rPr>
          <w:rFonts w:ascii="Times New Roman"/>
          <w:snapToGrid w:val="0"/>
          <w:spacing w:val="-6"/>
          <w:kern w:val="21"/>
          <w:szCs w:val="21"/>
        </w:rPr>
        <w:instrText xml:space="preserve"> = 1 \* GB3 \* MERGEFORMAT </w:instrText>
      </w:r>
      <w:r>
        <w:rPr>
          <w:rFonts w:ascii="Times New Roman"/>
          <w:snapToGrid w:val="0"/>
          <w:spacing w:val="-6"/>
          <w:kern w:val="21"/>
          <w:szCs w:val="21"/>
        </w:rPr>
        <w:fldChar w:fldCharType="separate"/>
      </w:r>
      <w:r>
        <w:rPr>
          <w:rFonts w:ascii="Times New Roman"/>
          <w:szCs w:val="21"/>
        </w:rPr>
        <w:t>①</w:t>
      </w:r>
      <w:r>
        <w:rPr>
          <w:rFonts w:ascii="Times New Roman"/>
          <w:snapToGrid w:val="0"/>
          <w:spacing w:val="-6"/>
          <w:kern w:val="21"/>
          <w:szCs w:val="21"/>
        </w:rPr>
        <w:fldChar w:fldCharType="end"/>
      </w:r>
      <w:bookmarkStart w:id="400" w:name="_GoBack"/>
      <w:bookmarkEnd w:id="400"/>
    </w:p>
    <w:sectPr>
      <w:footerReference r:id="rId13" w:type="default"/>
      <w:pgSz w:w="16838" w:h="11905" w:orient="landscape"/>
      <w:pgMar w:top="1440" w:right="1440" w:bottom="1440" w:left="1440" w:header="851" w:footer="850" w:gutter="0"/>
      <w:cols w:space="0" w:num="1"/>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34"/>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Impact">
    <w:panose1 w:val="020B0806030902050204"/>
    <w:charset w:val="00"/>
    <w:family w:val="swiss"/>
    <w:pitch w:val="default"/>
    <w:sig w:usb0="00000287" w:usb1="00000000" w:usb2="00000000" w:usb3="00000000" w:csb0="2000009F" w:csb1="DFD7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仿宋_GBK">
    <w:panose1 w:val="03000509000000000000"/>
    <w:charset w:val="86"/>
    <w:family w:val="script"/>
    <w:pitch w:val="default"/>
    <w:sig w:usb0="00000001" w:usb1="080E0000" w:usb2="00000000" w:usb3="00000000" w:csb0="00040000" w:csb1="00000000"/>
  </w:font>
  <w:font w:name="仿宋体">
    <w:altName w:val="宋体"/>
    <w:panose1 w:val="00000000000000000000"/>
    <w:charset w:val="86"/>
    <w:family w:val="roman"/>
    <w:pitch w:val="default"/>
    <w:sig w:usb0="00000000" w:usb1="00000000" w:usb2="00000010" w:usb3="00000000" w:csb0="00040000" w:csb1="00000000"/>
  </w:font>
  <w:font w:name="思源宋体 CN">
    <w:panose1 w:val="02020400000000000000"/>
    <w:charset w:val="86"/>
    <w:family w:val="roman"/>
    <w:pitch w:val="default"/>
    <w:sig w:usb0="20000083" w:usb1="2ADF3C10" w:usb2="00000016" w:usb3="00000000" w:csb0="60060107" w:csb1="00000000"/>
  </w:font>
  <w:font w:name="方正小标宋_GBK">
    <w:altName w:val="微软雅黑"/>
    <w:panose1 w:val="00000000000000000000"/>
    <w:charset w:val="86"/>
    <w:family w:val="script"/>
    <w:pitch w:val="default"/>
    <w:sig w:usb0="00000000" w:usb1="00000000" w:usb2="00082016" w:usb3="00000000" w:csb0="00040001" w:csb1="00000000"/>
  </w:font>
  <w:font w:name="微软雅黑">
    <w:panose1 w:val="020B0503020204020204"/>
    <w:charset w:val="86"/>
    <w:family w:val="swiss"/>
    <w:pitch w:val="default"/>
    <w:sig w:usb0="80000287" w:usb1="2ACF3C50" w:usb2="00000016" w:usb3="00000000" w:csb0="0004001F" w:csb1="00000000"/>
  </w:font>
  <w:font w:name="华文仿宋">
    <w:panose1 w:val="02010600040101010101"/>
    <w:charset w:val="86"/>
    <w:family w:val="auto"/>
    <w:pitch w:val="default"/>
    <w:sig w:usb0="00000287" w:usb1="080F0000" w:usb2="00000000" w:usb3="00000000" w:csb0="0004009F" w:csb1="DFD70000"/>
  </w:font>
  <w:font w:name="TimesNewRomanPSMT">
    <w:altName w:val="等线"/>
    <w:panose1 w:val="00000000000000000000"/>
    <w:charset w:val="86"/>
    <w:family w:val="auto"/>
    <w:pitch w:val="default"/>
    <w:sig w:usb0="00000000" w:usb1="00000000" w:usb2="00000010" w:usb3="00000000" w:csb0="00060000"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B4B763">
    <w:pPr>
      <w:pStyle w:val="23"/>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9AB472">
    <w:pPr>
      <w:pStyle w:val="23"/>
      <w:framePr w:wrap="around" w:vAnchor="text" w:hAnchor="margin" w:xAlign="center" w:y="1"/>
      <w:ind w:firstLine="360"/>
      <w:rPr>
        <w:rStyle w:val="38"/>
      </w:rPr>
    </w:pPr>
    <w:r>
      <w:fldChar w:fldCharType="begin"/>
    </w:r>
    <w:r>
      <w:rPr>
        <w:rStyle w:val="38"/>
      </w:rPr>
      <w:instrText xml:space="preserve">PAGE  </w:instrText>
    </w:r>
    <w:r>
      <w:fldChar w:fldCharType="end"/>
    </w:r>
  </w:p>
  <w:p w14:paraId="2158E6B1">
    <w:pPr>
      <w:pStyle w:val="23"/>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B37A91">
    <w:pPr>
      <w:pStyle w:val="23"/>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ACE8E7">
    <w:pPr>
      <w:pStyle w:val="23"/>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7E96CA">
    <w:pPr>
      <w:pStyle w:val="23"/>
      <w:spacing w:line="240" w:lineRule="auto"/>
      <w:ind w:firstLine="0" w:firstLineChars="0"/>
      <w:jc w:val="center"/>
      <w:rPr>
        <w:sz w:val="24"/>
        <w:szCs w:val="21"/>
      </w:rPr>
    </w:pPr>
    <w:r>
      <w:rPr>
        <w:sz w:val="24"/>
        <w:szCs w:val="24"/>
      </w:rPr>
      <w:fldChar w:fldCharType="begin"/>
    </w:r>
    <w:r>
      <w:rPr>
        <w:sz w:val="24"/>
        <w:szCs w:val="24"/>
      </w:rPr>
      <w:instrText xml:space="preserve">PAGE   \* MERGEFORMAT</w:instrText>
    </w:r>
    <w:r>
      <w:rPr>
        <w:sz w:val="24"/>
        <w:szCs w:val="24"/>
      </w:rPr>
      <w:fldChar w:fldCharType="separate"/>
    </w:r>
    <w:r>
      <w:rPr>
        <w:sz w:val="24"/>
        <w:szCs w:val="24"/>
        <w:lang w:val="zh-CN"/>
      </w:rPr>
      <w:t>2</w:t>
    </w:r>
    <w:r>
      <w:rPr>
        <w:sz w:val="24"/>
        <w:szCs w:val="24"/>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CF7CBF">
    <w:pPr>
      <w:pStyle w:val="23"/>
      <w:ind w:right="360" w:firstLine="360"/>
      <w:jc w:val="center"/>
    </w:pPr>
    <w:r>
      <mc:AlternateContent>
        <mc:Choice Requires="wps">
          <w:drawing>
            <wp:anchor distT="0" distB="0" distL="114300" distR="114300" simplePos="0" relativeHeight="251691008" behindDoc="0" locked="0" layoutInCell="1" allowOverlap="1">
              <wp:simplePos x="0" y="0"/>
              <wp:positionH relativeFrom="margin">
                <wp:align>center</wp:align>
              </wp:positionH>
              <wp:positionV relativeFrom="paragraph">
                <wp:posOffset>0</wp:posOffset>
              </wp:positionV>
              <wp:extent cx="1130935" cy="346075"/>
              <wp:effectExtent l="0" t="0" r="0" b="0"/>
              <wp:wrapNone/>
              <wp:docPr id="390" name="文本框 2051"/>
              <wp:cNvGraphicFramePr/>
              <a:graphic xmlns:a="http://schemas.openxmlformats.org/drawingml/2006/main">
                <a:graphicData uri="http://schemas.microsoft.com/office/word/2010/wordprocessingShape">
                  <wps:wsp>
                    <wps:cNvSpPr txBox="1"/>
                    <wps:spPr>
                      <a:xfrm>
                        <a:off x="0" y="0"/>
                        <a:ext cx="1130935" cy="346075"/>
                      </a:xfrm>
                      <a:prstGeom prst="rect">
                        <a:avLst/>
                      </a:prstGeom>
                      <a:noFill/>
                      <a:ln>
                        <a:noFill/>
                      </a:ln>
                    </wps:spPr>
                    <wps:txbx>
                      <w:txbxContent>
                        <w:p w14:paraId="20696331">
                          <w:pPr>
                            <w:pStyle w:val="23"/>
                            <w:spacing w:line="240" w:lineRule="auto"/>
                            <w:ind w:firstLine="0" w:firstLineChars="0"/>
                            <w:jc w:val="center"/>
                            <w:rPr>
                              <w:rStyle w:val="38"/>
                              <w:rFonts w:ascii="宋体" w:hAnsi="宋体"/>
                              <w:sz w:val="28"/>
                              <w:szCs w:val="28"/>
                            </w:rPr>
                          </w:pPr>
                          <w:r>
                            <w:rPr>
                              <w:rFonts w:ascii="宋体" w:hAnsi="宋体"/>
                              <w:sz w:val="24"/>
                              <w:szCs w:val="24"/>
                            </w:rPr>
                            <w:fldChar w:fldCharType="begin"/>
                          </w:r>
                          <w:r>
                            <w:rPr>
                              <w:rStyle w:val="38"/>
                              <w:rFonts w:ascii="宋体" w:hAnsi="宋体"/>
                              <w:sz w:val="24"/>
                              <w:szCs w:val="24"/>
                            </w:rPr>
                            <w:instrText xml:space="preserve">PAGE  </w:instrText>
                          </w:r>
                          <w:r>
                            <w:rPr>
                              <w:rFonts w:ascii="宋体" w:hAnsi="宋体"/>
                              <w:sz w:val="24"/>
                              <w:szCs w:val="24"/>
                            </w:rPr>
                            <w:fldChar w:fldCharType="separate"/>
                          </w:r>
                          <w:r>
                            <w:rPr>
                              <w:rStyle w:val="38"/>
                              <w:rFonts w:ascii="宋体" w:hAnsi="宋体"/>
                              <w:sz w:val="24"/>
                              <w:szCs w:val="24"/>
                            </w:rPr>
                            <w:t>108</w:t>
                          </w:r>
                          <w:r>
                            <w:rPr>
                              <w:rFonts w:ascii="宋体" w:hAnsi="宋体"/>
                              <w:sz w:val="24"/>
                              <w:szCs w:val="24"/>
                            </w:rPr>
                            <w:fldChar w:fldCharType="end"/>
                          </w:r>
                        </w:p>
                      </w:txbxContent>
                    </wps:txbx>
                    <wps:bodyPr wrap="none" lIns="0" tIns="0" rIns="0" bIns="0" upright="1">
                      <a:spAutoFit/>
                    </wps:bodyPr>
                  </wps:wsp>
                </a:graphicData>
              </a:graphic>
            </wp:anchor>
          </w:drawing>
        </mc:Choice>
        <mc:Fallback>
          <w:pict>
            <v:shape id="文本框 2051" o:spid="_x0000_s1026" o:spt="202" type="#_x0000_t202" style="position:absolute;left:0pt;margin-top:0pt;height:27.25pt;width:89.05pt;mso-position-horizontal:center;mso-position-horizontal-relative:margin;mso-wrap-style:none;z-index:251691008;mso-width-relative:page;mso-height-relative:page;" filled="f" stroked="f" coordsize="21600,21600" o:gfxdata="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r66UM0gAAAAQBAAAPAAAAAAAAAAEAIAAAACIAAABk&#10;cnMvZG93bnJldi54bWxQSwECFAAUAAAACACHTuJAqsuDk9MBAACdAwAADgAAAAAAAAABACAAAAAh&#10;AQAAZHJzL2Uyb0RvYy54bWxQSwUGAAAAAAYABgBZAQAAZgUAAAAA&#10;">
              <v:fill on="f" focussize="0,0"/>
              <v:stroke on="f"/>
              <v:imagedata o:title=""/>
              <o:lock v:ext="edit" aspectratio="f"/>
              <v:textbox inset="0mm,0mm,0mm,0mm" style="mso-fit-shape-to-text:t;">
                <w:txbxContent>
                  <w:p w14:paraId="20696331">
                    <w:pPr>
                      <w:pStyle w:val="23"/>
                      <w:spacing w:line="240" w:lineRule="auto"/>
                      <w:ind w:firstLine="0" w:firstLineChars="0"/>
                      <w:jc w:val="center"/>
                      <w:rPr>
                        <w:rStyle w:val="38"/>
                        <w:rFonts w:ascii="宋体" w:hAnsi="宋体"/>
                        <w:sz w:val="28"/>
                        <w:szCs w:val="28"/>
                      </w:rPr>
                    </w:pPr>
                    <w:r>
                      <w:rPr>
                        <w:rFonts w:ascii="宋体" w:hAnsi="宋体"/>
                        <w:sz w:val="24"/>
                        <w:szCs w:val="24"/>
                      </w:rPr>
                      <w:fldChar w:fldCharType="begin"/>
                    </w:r>
                    <w:r>
                      <w:rPr>
                        <w:rStyle w:val="38"/>
                        <w:rFonts w:ascii="宋体" w:hAnsi="宋体"/>
                        <w:sz w:val="24"/>
                        <w:szCs w:val="24"/>
                      </w:rPr>
                      <w:instrText xml:space="preserve">PAGE  </w:instrText>
                    </w:r>
                    <w:r>
                      <w:rPr>
                        <w:rFonts w:ascii="宋体" w:hAnsi="宋体"/>
                        <w:sz w:val="24"/>
                        <w:szCs w:val="24"/>
                      </w:rPr>
                      <w:fldChar w:fldCharType="separate"/>
                    </w:r>
                    <w:r>
                      <w:rPr>
                        <w:rStyle w:val="38"/>
                        <w:rFonts w:ascii="宋体" w:hAnsi="宋体"/>
                        <w:sz w:val="24"/>
                        <w:szCs w:val="24"/>
                      </w:rPr>
                      <w:t>108</w:t>
                    </w:r>
                    <w:r>
                      <w:rPr>
                        <w:rFonts w:ascii="宋体" w:hAnsi="宋体"/>
                        <w:sz w:val="24"/>
                        <w:szCs w:val="24"/>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291A0A">
    <w:pPr>
      <w:ind w:left="48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37EB79">
    <w:pPr>
      <w:pStyle w:val="24"/>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DCC48C">
    <w:pPr>
      <w:pStyle w:val="24"/>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A268E3A"/>
    <w:multiLevelType w:val="singleLevel"/>
    <w:tmpl w:val="CA268E3A"/>
    <w:lvl w:ilvl="0" w:tentative="0">
      <w:start w:val="2"/>
      <w:numFmt w:val="decimal"/>
      <w:suff w:val="nothing"/>
      <w:lvlText w:val="%1、"/>
      <w:lvlJc w:val="left"/>
    </w:lvl>
  </w:abstractNum>
  <w:abstractNum w:abstractNumId="1">
    <w:nsid w:val="CB108450"/>
    <w:multiLevelType w:val="singleLevel"/>
    <w:tmpl w:val="CB108450"/>
    <w:lvl w:ilvl="0" w:tentative="0">
      <w:start w:val="2"/>
      <w:numFmt w:val="decimal"/>
      <w:suff w:val="nothing"/>
      <w:lvlText w:val="%1）"/>
      <w:lvlJc w:val="left"/>
    </w:lvl>
  </w:abstractNum>
  <w:abstractNum w:abstractNumId="2">
    <w:nsid w:val="73B4C5B0"/>
    <w:multiLevelType w:val="singleLevel"/>
    <w:tmpl w:val="73B4C5B0"/>
    <w:lvl w:ilvl="0" w:tentative="0">
      <w:start w:val="1"/>
      <w:numFmt w:val="decimal"/>
      <w:suff w:val="nothing"/>
      <w:lvlText w:val="%1"/>
      <w:lvlJc w:val="center"/>
      <w:pPr>
        <w:ind w:left="0" w:firstLine="0"/>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dit="trackedChanges" w:enforcement="0"/>
  <w:defaultTabStop w:val="420"/>
  <w:doNotHyphenateCaps/>
  <w:drawingGridHorizontalSpacing w:val="120"/>
  <w:drawingGridVerticalSpacing w:val="163"/>
  <w:displayHorizontalDrawingGridEvery w:val="1"/>
  <w:displayVerticalDrawingGridEvery w:val="1"/>
  <w:noPunctuationKerning w:val="1"/>
  <w:characterSpacingControl w:val="compressPunctuation"/>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Y2NGYwNzc3MDg3MWM5MmI2MGU4Mzk0YTg0ZjlkOWEifQ=="/>
  </w:docVars>
  <w:rsids>
    <w:rsidRoot w:val="00172A27"/>
    <w:rsid w:val="000060B3"/>
    <w:rsid w:val="00006FA7"/>
    <w:rsid w:val="000100D9"/>
    <w:rsid w:val="00010C41"/>
    <w:rsid w:val="00011EC9"/>
    <w:rsid w:val="00012ECE"/>
    <w:rsid w:val="00013BCF"/>
    <w:rsid w:val="00022D15"/>
    <w:rsid w:val="00023A9D"/>
    <w:rsid w:val="00024146"/>
    <w:rsid w:val="000243FC"/>
    <w:rsid w:val="00024C08"/>
    <w:rsid w:val="00027029"/>
    <w:rsid w:val="0003174C"/>
    <w:rsid w:val="00035B2B"/>
    <w:rsid w:val="000377EC"/>
    <w:rsid w:val="00042A5C"/>
    <w:rsid w:val="0004364B"/>
    <w:rsid w:val="00047894"/>
    <w:rsid w:val="00053550"/>
    <w:rsid w:val="00054296"/>
    <w:rsid w:val="000551B1"/>
    <w:rsid w:val="00055C56"/>
    <w:rsid w:val="000615D8"/>
    <w:rsid w:val="0006197C"/>
    <w:rsid w:val="00061B1F"/>
    <w:rsid w:val="000662B4"/>
    <w:rsid w:val="00067329"/>
    <w:rsid w:val="00070B9E"/>
    <w:rsid w:val="00072230"/>
    <w:rsid w:val="000733C4"/>
    <w:rsid w:val="0007365E"/>
    <w:rsid w:val="00073D25"/>
    <w:rsid w:val="00074783"/>
    <w:rsid w:val="000750B4"/>
    <w:rsid w:val="000755EA"/>
    <w:rsid w:val="0007698F"/>
    <w:rsid w:val="0008070B"/>
    <w:rsid w:val="000810AC"/>
    <w:rsid w:val="00081A02"/>
    <w:rsid w:val="00081C52"/>
    <w:rsid w:val="000821B3"/>
    <w:rsid w:val="00082231"/>
    <w:rsid w:val="000831E9"/>
    <w:rsid w:val="00083241"/>
    <w:rsid w:val="00084EB9"/>
    <w:rsid w:val="00085B98"/>
    <w:rsid w:val="0008666B"/>
    <w:rsid w:val="00087480"/>
    <w:rsid w:val="00090F90"/>
    <w:rsid w:val="00091708"/>
    <w:rsid w:val="00092D38"/>
    <w:rsid w:val="0009377B"/>
    <w:rsid w:val="00097C40"/>
    <w:rsid w:val="000A06EB"/>
    <w:rsid w:val="000A1B5F"/>
    <w:rsid w:val="000A20C9"/>
    <w:rsid w:val="000A35F5"/>
    <w:rsid w:val="000A717E"/>
    <w:rsid w:val="000B058F"/>
    <w:rsid w:val="000B0779"/>
    <w:rsid w:val="000B19AD"/>
    <w:rsid w:val="000B4467"/>
    <w:rsid w:val="000B4DB9"/>
    <w:rsid w:val="000B6846"/>
    <w:rsid w:val="000C09AC"/>
    <w:rsid w:val="000C0C60"/>
    <w:rsid w:val="000C2DB7"/>
    <w:rsid w:val="000C3826"/>
    <w:rsid w:val="000C3A59"/>
    <w:rsid w:val="000C5EC3"/>
    <w:rsid w:val="000C6DBB"/>
    <w:rsid w:val="000C767F"/>
    <w:rsid w:val="000C7888"/>
    <w:rsid w:val="000D1CBF"/>
    <w:rsid w:val="000D45DE"/>
    <w:rsid w:val="000D5A44"/>
    <w:rsid w:val="000E00C8"/>
    <w:rsid w:val="000E0CC2"/>
    <w:rsid w:val="000E3ED2"/>
    <w:rsid w:val="000E44C3"/>
    <w:rsid w:val="000E5A24"/>
    <w:rsid w:val="000E78A3"/>
    <w:rsid w:val="000F1DAB"/>
    <w:rsid w:val="000F39CA"/>
    <w:rsid w:val="000F3E19"/>
    <w:rsid w:val="000F4EBB"/>
    <w:rsid w:val="000F5C08"/>
    <w:rsid w:val="000F5E97"/>
    <w:rsid w:val="00102C2E"/>
    <w:rsid w:val="001040E6"/>
    <w:rsid w:val="0010539F"/>
    <w:rsid w:val="001057DD"/>
    <w:rsid w:val="00105863"/>
    <w:rsid w:val="00112D1A"/>
    <w:rsid w:val="0011484E"/>
    <w:rsid w:val="00115F9B"/>
    <w:rsid w:val="00120C08"/>
    <w:rsid w:val="00125369"/>
    <w:rsid w:val="001266E3"/>
    <w:rsid w:val="00131F42"/>
    <w:rsid w:val="0013339B"/>
    <w:rsid w:val="00135428"/>
    <w:rsid w:val="001357F1"/>
    <w:rsid w:val="00140FA8"/>
    <w:rsid w:val="001426D9"/>
    <w:rsid w:val="00142FEB"/>
    <w:rsid w:val="00143A2D"/>
    <w:rsid w:val="001443E2"/>
    <w:rsid w:val="00145032"/>
    <w:rsid w:val="00145A41"/>
    <w:rsid w:val="00146030"/>
    <w:rsid w:val="0014665E"/>
    <w:rsid w:val="00146914"/>
    <w:rsid w:val="001500F6"/>
    <w:rsid w:val="00151675"/>
    <w:rsid w:val="00155BE3"/>
    <w:rsid w:val="00157435"/>
    <w:rsid w:val="0016043D"/>
    <w:rsid w:val="001606F0"/>
    <w:rsid w:val="00166F07"/>
    <w:rsid w:val="001728AB"/>
    <w:rsid w:val="00172A27"/>
    <w:rsid w:val="00174147"/>
    <w:rsid w:val="0017484A"/>
    <w:rsid w:val="0017504D"/>
    <w:rsid w:val="0017671A"/>
    <w:rsid w:val="0017728D"/>
    <w:rsid w:val="00177422"/>
    <w:rsid w:val="001774AE"/>
    <w:rsid w:val="00184590"/>
    <w:rsid w:val="001870D1"/>
    <w:rsid w:val="0018781E"/>
    <w:rsid w:val="0019262D"/>
    <w:rsid w:val="001955FB"/>
    <w:rsid w:val="00195666"/>
    <w:rsid w:val="00197192"/>
    <w:rsid w:val="0019736B"/>
    <w:rsid w:val="001A12C5"/>
    <w:rsid w:val="001A1B35"/>
    <w:rsid w:val="001A3F49"/>
    <w:rsid w:val="001A48A2"/>
    <w:rsid w:val="001A6F61"/>
    <w:rsid w:val="001B0987"/>
    <w:rsid w:val="001B37A9"/>
    <w:rsid w:val="001B476E"/>
    <w:rsid w:val="001B4CF1"/>
    <w:rsid w:val="001B649F"/>
    <w:rsid w:val="001B72B8"/>
    <w:rsid w:val="001C12C3"/>
    <w:rsid w:val="001C34DC"/>
    <w:rsid w:val="001C5C81"/>
    <w:rsid w:val="001C69B3"/>
    <w:rsid w:val="001C757B"/>
    <w:rsid w:val="001D114B"/>
    <w:rsid w:val="001D1C82"/>
    <w:rsid w:val="001D2CB1"/>
    <w:rsid w:val="001D348C"/>
    <w:rsid w:val="001D3BAE"/>
    <w:rsid w:val="001D50C9"/>
    <w:rsid w:val="001D5595"/>
    <w:rsid w:val="001D7874"/>
    <w:rsid w:val="001D7F22"/>
    <w:rsid w:val="001E014E"/>
    <w:rsid w:val="001E13EB"/>
    <w:rsid w:val="001E4D95"/>
    <w:rsid w:val="001E5CA0"/>
    <w:rsid w:val="001E5DC4"/>
    <w:rsid w:val="001E63FF"/>
    <w:rsid w:val="001F0F17"/>
    <w:rsid w:val="001F26D1"/>
    <w:rsid w:val="001F3347"/>
    <w:rsid w:val="001F36D3"/>
    <w:rsid w:val="001F512D"/>
    <w:rsid w:val="001F5C58"/>
    <w:rsid w:val="001F69E4"/>
    <w:rsid w:val="00200BF9"/>
    <w:rsid w:val="00201219"/>
    <w:rsid w:val="00201AC1"/>
    <w:rsid w:val="0020546E"/>
    <w:rsid w:val="002125B4"/>
    <w:rsid w:val="002155B8"/>
    <w:rsid w:val="00217FB6"/>
    <w:rsid w:val="00220E39"/>
    <w:rsid w:val="00221D03"/>
    <w:rsid w:val="00222661"/>
    <w:rsid w:val="00224839"/>
    <w:rsid w:val="002249B2"/>
    <w:rsid w:val="0022603C"/>
    <w:rsid w:val="00226574"/>
    <w:rsid w:val="00226936"/>
    <w:rsid w:val="00226B2A"/>
    <w:rsid w:val="002278EC"/>
    <w:rsid w:val="0023280E"/>
    <w:rsid w:val="0023696B"/>
    <w:rsid w:val="002377D1"/>
    <w:rsid w:val="0024035F"/>
    <w:rsid w:val="00240CA6"/>
    <w:rsid w:val="0024565B"/>
    <w:rsid w:val="002466FC"/>
    <w:rsid w:val="00250499"/>
    <w:rsid w:val="002506BC"/>
    <w:rsid w:val="00250A8D"/>
    <w:rsid w:val="00250E03"/>
    <w:rsid w:val="00252B98"/>
    <w:rsid w:val="002530D3"/>
    <w:rsid w:val="00254327"/>
    <w:rsid w:val="00254345"/>
    <w:rsid w:val="00255C53"/>
    <w:rsid w:val="00257E1A"/>
    <w:rsid w:val="0026096E"/>
    <w:rsid w:val="0026264C"/>
    <w:rsid w:val="00263815"/>
    <w:rsid w:val="00264557"/>
    <w:rsid w:val="002656A2"/>
    <w:rsid w:val="00271FD0"/>
    <w:rsid w:val="002805AB"/>
    <w:rsid w:val="00280B97"/>
    <w:rsid w:val="002816FF"/>
    <w:rsid w:val="00281C70"/>
    <w:rsid w:val="00284204"/>
    <w:rsid w:val="002863AC"/>
    <w:rsid w:val="0028652D"/>
    <w:rsid w:val="00286720"/>
    <w:rsid w:val="00290B45"/>
    <w:rsid w:val="00291773"/>
    <w:rsid w:val="002A168C"/>
    <w:rsid w:val="002A22C6"/>
    <w:rsid w:val="002A3CA2"/>
    <w:rsid w:val="002A3CD1"/>
    <w:rsid w:val="002A3DC7"/>
    <w:rsid w:val="002B09A3"/>
    <w:rsid w:val="002B49E2"/>
    <w:rsid w:val="002B4B50"/>
    <w:rsid w:val="002B7B00"/>
    <w:rsid w:val="002B7C44"/>
    <w:rsid w:val="002C1E6C"/>
    <w:rsid w:val="002C2B17"/>
    <w:rsid w:val="002C38F6"/>
    <w:rsid w:val="002C418B"/>
    <w:rsid w:val="002C55A2"/>
    <w:rsid w:val="002C701F"/>
    <w:rsid w:val="002C76D9"/>
    <w:rsid w:val="002D1517"/>
    <w:rsid w:val="002D1DF1"/>
    <w:rsid w:val="002D3DD0"/>
    <w:rsid w:val="002D7808"/>
    <w:rsid w:val="002D7E3F"/>
    <w:rsid w:val="002E1F3A"/>
    <w:rsid w:val="002E298A"/>
    <w:rsid w:val="002E29EC"/>
    <w:rsid w:val="002E2D47"/>
    <w:rsid w:val="002F067E"/>
    <w:rsid w:val="002F14CF"/>
    <w:rsid w:val="002F187F"/>
    <w:rsid w:val="002F2AC2"/>
    <w:rsid w:val="002F5BCB"/>
    <w:rsid w:val="002F7399"/>
    <w:rsid w:val="002F750F"/>
    <w:rsid w:val="00301978"/>
    <w:rsid w:val="00301A73"/>
    <w:rsid w:val="0030332C"/>
    <w:rsid w:val="00304A12"/>
    <w:rsid w:val="003051C2"/>
    <w:rsid w:val="00306945"/>
    <w:rsid w:val="00307997"/>
    <w:rsid w:val="00307C30"/>
    <w:rsid w:val="00311AE3"/>
    <w:rsid w:val="00311B49"/>
    <w:rsid w:val="00312296"/>
    <w:rsid w:val="00314F0E"/>
    <w:rsid w:val="00315021"/>
    <w:rsid w:val="003159F1"/>
    <w:rsid w:val="00317835"/>
    <w:rsid w:val="00321D8E"/>
    <w:rsid w:val="0032257C"/>
    <w:rsid w:val="003254F2"/>
    <w:rsid w:val="00325928"/>
    <w:rsid w:val="00330FDC"/>
    <w:rsid w:val="00332863"/>
    <w:rsid w:val="00333C86"/>
    <w:rsid w:val="00334FA0"/>
    <w:rsid w:val="0033684D"/>
    <w:rsid w:val="00336C90"/>
    <w:rsid w:val="00337B42"/>
    <w:rsid w:val="0034002A"/>
    <w:rsid w:val="003402FB"/>
    <w:rsid w:val="0034078E"/>
    <w:rsid w:val="00341B42"/>
    <w:rsid w:val="00342E07"/>
    <w:rsid w:val="0034348F"/>
    <w:rsid w:val="00346695"/>
    <w:rsid w:val="003479DC"/>
    <w:rsid w:val="00350448"/>
    <w:rsid w:val="003511C3"/>
    <w:rsid w:val="00352D13"/>
    <w:rsid w:val="0035336F"/>
    <w:rsid w:val="00356653"/>
    <w:rsid w:val="00356715"/>
    <w:rsid w:val="00356E88"/>
    <w:rsid w:val="0035743F"/>
    <w:rsid w:val="003577A2"/>
    <w:rsid w:val="00357BE2"/>
    <w:rsid w:val="003608B5"/>
    <w:rsid w:val="0036170C"/>
    <w:rsid w:val="0036180F"/>
    <w:rsid w:val="0036187D"/>
    <w:rsid w:val="0036488C"/>
    <w:rsid w:val="003658CB"/>
    <w:rsid w:val="00366868"/>
    <w:rsid w:val="00366A59"/>
    <w:rsid w:val="00366E0F"/>
    <w:rsid w:val="00372CF6"/>
    <w:rsid w:val="00373646"/>
    <w:rsid w:val="00380E01"/>
    <w:rsid w:val="00381A72"/>
    <w:rsid w:val="00381D4C"/>
    <w:rsid w:val="00382687"/>
    <w:rsid w:val="00383AAE"/>
    <w:rsid w:val="00383F7D"/>
    <w:rsid w:val="00384676"/>
    <w:rsid w:val="00384D1E"/>
    <w:rsid w:val="0038614C"/>
    <w:rsid w:val="00390857"/>
    <w:rsid w:val="00391B1E"/>
    <w:rsid w:val="00391BE0"/>
    <w:rsid w:val="0039387B"/>
    <w:rsid w:val="00394610"/>
    <w:rsid w:val="003A4BF3"/>
    <w:rsid w:val="003A5B78"/>
    <w:rsid w:val="003A6B49"/>
    <w:rsid w:val="003A7384"/>
    <w:rsid w:val="003B0495"/>
    <w:rsid w:val="003B1162"/>
    <w:rsid w:val="003B32CA"/>
    <w:rsid w:val="003B420D"/>
    <w:rsid w:val="003B53C3"/>
    <w:rsid w:val="003B5DD0"/>
    <w:rsid w:val="003B660F"/>
    <w:rsid w:val="003C046E"/>
    <w:rsid w:val="003C2979"/>
    <w:rsid w:val="003C311E"/>
    <w:rsid w:val="003C6C16"/>
    <w:rsid w:val="003C7F01"/>
    <w:rsid w:val="003D04CB"/>
    <w:rsid w:val="003D0F33"/>
    <w:rsid w:val="003D54E3"/>
    <w:rsid w:val="003D6198"/>
    <w:rsid w:val="003D62F1"/>
    <w:rsid w:val="003D794D"/>
    <w:rsid w:val="003E0DA1"/>
    <w:rsid w:val="003E3058"/>
    <w:rsid w:val="003E41C0"/>
    <w:rsid w:val="003E4D29"/>
    <w:rsid w:val="003E6B64"/>
    <w:rsid w:val="003E76A9"/>
    <w:rsid w:val="003F0809"/>
    <w:rsid w:val="003F1F4F"/>
    <w:rsid w:val="003F1FD9"/>
    <w:rsid w:val="003F56CF"/>
    <w:rsid w:val="003F6A8C"/>
    <w:rsid w:val="003F6B3F"/>
    <w:rsid w:val="003F755C"/>
    <w:rsid w:val="00401348"/>
    <w:rsid w:val="00406F01"/>
    <w:rsid w:val="00413126"/>
    <w:rsid w:val="00416D50"/>
    <w:rsid w:val="00416FD5"/>
    <w:rsid w:val="00417772"/>
    <w:rsid w:val="00420E6A"/>
    <w:rsid w:val="00423173"/>
    <w:rsid w:val="00425A9E"/>
    <w:rsid w:val="00426D6B"/>
    <w:rsid w:val="00430859"/>
    <w:rsid w:val="00431BE5"/>
    <w:rsid w:val="00431E6C"/>
    <w:rsid w:val="00432458"/>
    <w:rsid w:val="00433CE7"/>
    <w:rsid w:val="0043523B"/>
    <w:rsid w:val="004452A7"/>
    <w:rsid w:val="0044738D"/>
    <w:rsid w:val="00450AF5"/>
    <w:rsid w:val="00452738"/>
    <w:rsid w:val="0045304A"/>
    <w:rsid w:val="00453A65"/>
    <w:rsid w:val="00453D0B"/>
    <w:rsid w:val="00454F4C"/>
    <w:rsid w:val="00456091"/>
    <w:rsid w:val="00457D34"/>
    <w:rsid w:val="0046359A"/>
    <w:rsid w:val="00464DC8"/>
    <w:rsid w:val="00465F8C"/>
    <w:rsid w:val="00466321"/>
    <w:rsid w:val="00466839"/>
    <w:rsid w:val="0047018B"/>
    <w:rsid w:val="0047115A"/>
    <w:rsid w:val="00473DAB"/>
    <w:rsid w:val="00473ED3"/>
    <w:rsid w:val="0047635E"/>
    <w:rsid w:val="00483ECF"/>
    <w:rsid w:val="00483EE4"/>
    <w:rsid w:val="00484B5F"/>
    <w:rsid w:val="00484B9B"/>
    <w:rsid w:val="004855F6"/>
    <w:rsid w:val="0048661E"/>
    <w:rsid w:val="00487633"/>
    <w:rsid w:val="00487F84"/>
    <w:rsid w:val="00490748"/>
    <w:rsid w:val="00491ED9"/>
    <w:rsid w:val="00494670"/>
    <w:rsid w:val="00494F2A"/>
    <w:rsid w:val="004A17F6"/>
    <w:rsid w:val="004A3823"/>
    <w:rsid w:val="004A3A31"/>
    <w:rsid w:val="004A6819"/>
    <w:rsid w:val="004B1379"/>
    <w:rsid w:val="004B26D3"/>
    <w:rsid w:val="004B3F3D"/>
    <w:rsid w:val="004B57E8"/>
    <w:rsid w:val="004B638B"/>
    <w:rsid w:val="004B6EA8"/>
    <w:rsid w:val="004C0B30"/>
    <w:rsid w:val="004C1824"/>
    <w:rsid w:val="004C1E98"/>
    <w:rsid w:val="004C27C6"/>
    <w:rsid w:val="004C34BC"/>
    <w:rsid w:val="004C370E"/>
    <w:rsid w:val="004C606D"/>
    <w:rsid w:val="004E54B8"/>
    <w:rsid w:val="004E6946"/>
    <w:rsid w:val="004F1AD8"/>
    <w:rsid w:val="004F23B2"/>
    <w:rsid w:val="00500D4B"/>
    <w:rsid w:val="005039CB"/>
    <w:rsid w:val="005045F7"/>
    <w:rsid w:val="00505074"/>
    <w:rsid w:val="0050513C"/>
    <w:rsid w:val="00505484"/>
    <w:rsid w:val="0050558F"/>
    <w:rsid w:val="00505C29"/>
    <w:rsid w:val="00506286"/>
    <w:rsid w:val="00510813"/>
    <w:rsid w:val="005108A8"/>
    <w:rsid w:val="00511990"/>
    <w:rsid w:val="00511DE0"/>
    <w:rsid w:val="00511E48"/>
    <w:rsid w:val="00512AD3"/>
    <w:rsid w:val="0051413C"/>
    <w:rsid w:val="00514870"/>
    <w:rsid w:val="00514B9B"/>
    <w:rsid w:val="005173AA"/>
    <w:rsid w:val="0051778D"/>
    <w:rsid w:val="00517F02"/>
    <w:rsid w:val="005227DE"/>
    <w:rsid w:val="00522C87"/>
    <w:rsid w:val="00524303"/>
    <w:rsid w:val="00524D68"/>
    <w:rsid w:val="005258A2"/>
    <w:rsid w:val="005271D2"/>
    <w:rsid w:val="0052728B"/>
    <w:rsid w:val="00527540"/>
    <w:rsid w:val="0053015D"/>
    <w:rsid w:val="0053067E"/>
    <w:rsid w:val="0053125A"/>
    <w:rsid w:val="00531F03"/>
    <w:rsid w:val="00532158"/>
    <w:rsid w:val="0053221D"/>
    <w:rsid w:val="005324FF"/>
    <w:rsid w:val="00533ED0"/>
    <w:rsid w:val="005351FE"/>
    <w:rsid w:val="005401AE"/>
    <w:rsid w:val="00542E07"/>
    <w:rsid w:val="00543579"/>
    <w:rsid w:val="00543CFB"/>
    <w:rsid w:val="00545424"/>
    <w:rsid w:val="00547287"/>
    <w:rsid w:val="00553424"/>
    <w:rsid w:val="00554A7B"/>
    <w:rsid w:val="0055572C"/>
    <w:rsid w:val="00557D02"/>
    <w:rsid w:val="0056106A"/>
    <w:rsid w:val="00561932"/>
    <w:rsid w:val="0056359D"/>
    <w:rsid w:val="00564FBE"/>
    <w:rsid w:val="00565423"/>
    <w:rsid w:val="005659C2"/>
    <w:rsid w:val="00565FDC"/>
    <w:rsid w:val="0057027E"/>
    <w:rsid w:val="00571EA5"/>
    <w:rsid w:val="005720AE"/>
    <w:rsid w:val="00573D8B"/>
    <w:rsid w:val="00577BD0"/>
    <w:rsid w:val="00580D96"/>
    <w:rsid w:val="00582CAD"/>
    <w:rsid w:val="00584D7E"/>
    <w:rsid w:val="0058548F"/>
    <w:rsid w:val="00594D77"/>
    <w:rsid w:val="00595D8B"/>
    <w:rsid w:val="005969E4"/>
    <w:rsid w:val="005A06B7"/>
    <w:rsid w:val="005A1365"/>
    <w:rsid w:val="005A1759"/>
    <w:rsid w:val="005A68A7"/>
    <w:rsid w:val="005B0B76"/>
    <w:rsid w:val="005B5482"/>
    <w:rsid w:val="005B6678"/>
    <w:rsid w:val="005D0143"/>
    <w:rsid w:val="005D36AB"/>
    <w:rsid w:val="005D485A"/>
    <w:rsid w:val="005D54E9"/>
    <w:rsid w:val="005D5B86"/>
    <w:rsid w:val="005D7B28"/>
    <w:rsid w:val="005D7DD5"/>
    <w:rsid w:val="005E41BB"/>
    <w:rsid w:val="005E6FF4"/>
    <w:rsid w:val="005F0814"/>
    <w:rsid w:val="005F383C"/>
    <w:rsid w:val="005F5E5E"/>
    <w:rsid w:val="006018D6"/>
    <w:rsid w:val="00603AB9"/>
    <w:rsid w:val="00603C8A"/>
    <w:rsid w:val="00606BCC"/>
    <w:rsid w:val="00610567"/>
    <w:rsid w:val="006113EF"/>
    <w:rsid w:val="0061153F"/>
    <w:rsid w:val="00611792"/>
    <w:rsid w:val="00612B64"/>
    <w:rsid w:val="006165D4"/>
    <w:rsid w:val="00617CC3"/>
    <w:rsid w:val="006201CE"/>
    <w:rsid w:val="00620EC9"/>
    <w:rsid w:val="00623A42"/>
    <w:rsid w:val="00623AE1"/>
    <w:rsid w:val="00626ADB"/>
    <w:rsid w:val="00630DF5"/>
    <w:rsid w:val="006313B3"/>
    <w:rsid w:val="00631B9B"/>
    <w:rsid w:val="00634C9D"/>
    <w:rsid w:val="006356C3"/>
    <w:rsid w:val="006358C6"/>
    <w:rsid w:val="006377A6"/>
    <w:rsid w:val="00637A3D"/>
    <w:rsid w:val="00637BB0"/>
    <w:rsid w:val="00640538"/>
    <w:rsid w:val="006411EF"/>
    <w:rsid w:val="00642858"/>
    <w:rsid w:val="00643BE4"/>
    <w:rsid w:val="00645E8C"/>
    <w:rsid w:val="00645F40"/>
    <w:rsid w:val="006513B0"/>
    <w:rsid w:val="006519C9"/>
    <w:rsid w:val="00662BEC"/>
    <w:rsid w:val="00665BAD"/>
    <w:rsid w:val="0066750F"/>
    <w:rsid w:val="00670C4D"/>
    <w:rsid w:val="006711BD"/>
    <w:rsid w:val="00672193"/>
    <w:rsid w:val="006748B8"/>
    <w:rsid w:val="006775C3"/>
    <w:rsid w:val="00677A19"/>
    <w:rsid w:val="00683B4E"/>
    <w:rsid w:val="006926D2"/>
    <w:rsid w:val="0069290A"/>
    <w:rsid w:val="006937FE"/>
    <w:rsid w:val="00696F2F"/>
    <w:rsid w:val="0069775A"/>
    <w:rsid w:val="00697813"/>
    <w:rsid w:val="006A0B0A"/>
    <w:rsid w:val="006A3523"/>
    <w:rsid w:val="006A3801"/>
    <w:rsid w:val="006A3EE8"/>
    <w:rsid w:val="006A4693"/>
    <w:rsid w:val="006A4A4B"/>
    <w:rsid w:val="006A70E5"/>
    <w:rsid w:val="006A72BF"/>
    <w:rsid w:val="006B03F2"/>
    <w:rsid w:val="006B1EEF"/>
    <w:rsid w:val="006B31D9"/>
    <w:rsid w:val="006B37DC"/>
    <w:rsid w:val="006B3F58"/>
    <w:rsid w:val="006B4F68"/>
    <w:rsid w:val="006B6C37"/>
    <w:rsid w:val="006C0592"/>
    <w:rsid w:val="006C1C99"/>
    <w:rsid w:val="006C272E"/>
    <w:rsid w:val="006C49AC"/>
    <w:rsid w:val="006C4D31"/>
    <w:rsid w:val="006C5338"/>
    <w:rsid w:val="006C5479"/>
    <w:rsid w:val="006D13B5"/>
    <w:rsid w:val="006D369C"/>
    <w:rsid w:val="006D52E2"/>
    <w:rsid w:val="006D7C11"/>
    <w:rsid w:val="006E00AF"/>
    <w:rsid w:val="006E03A1"/>
    <w:rsid w:val="006E12FF"/>
    <w:rsid w:val="006E1B03"/>
    <w:rsid w:val="006E3476"/>
    <w:rsid w:val="006E607E"/>
    <w:rsid w:val="006F18E4"/>
    <w:rsid w:val="006F4735"/>
    <w:rsid w:val="007009E9"/>
    <w:rsid w:val="00700D7A"/>
    <w:rsid w:val="0070253C"/>
    <w:rsid w:val="007056C5"/>
    <w:rsid w:val="00705927"/>
    <w:rsid w:val="00705C5F"/>
    <w:rsid w:val="00706C5D"/>
    <w:rsid w:val="00706FC5"/>
    <w:rsid w:val="007160B1"/>
    <w:rsid w:val="00721990"/>
    <w:rsid w:val="00727497"/>
    <w:rsid w:val="00732922"/>
    <w:rsid w:val="0073459B"/>
    <w:rsid w:val="00735AB9"/>
    <w:rsid w:val="00742677"/>
    <w:rsid w:val="00744A3D"/>
    <w:rsid w:val="007472C0"/>
    <w:rsid w:val="007501F4"/>
    <w:rsid w:val="007505B1"/>
    <w:rsid w:val="0075162E"/>
    <w:rsid w:val="00751D20"/>
    <w:rsid w:val="00754034"/>
    <w:rsid w:val="007544A0"/>
    <w:rsid w:val="00756556"/>
    <w:rsid w:val="007618C4"/>
    <w:rsid w:val="00762346"/>
    <w:rsid w:val="00762C9F"/>
    <w:rsid w:val="00763F0B"/>
    <w:rsid w:val="007673B3"/>
    <w:rsid w:val="00767980"/>
    <w:rsid w:val="00770317"/>
    <w:rsid w:val="00770B19"/>
    <w:rsid w:val="00771C06"/>
    <w:rsid w:val="0077417A"/>
    <w:rsid w:val="0077463F"/>
    <w:rsid w:val="00775A7F"/>
    <w:rsid w:val="007770E9"/>
    <w:rsid w:val="007836EA"/>
    <w:rsid w:val="00783DA3"/>
    <w:rsid w:val="00784CDA"/>
    <w:rsid w:val="007875C8"/>
    <w:rsid w:val="007906C4"/>
    <w:rsid w:val="007940EA"/>
    <w:rsid w:val="007967E8"/>
    <w:rsid w:val="007A0E07"/>
    <w:rsid w:val="007A2170"/>
    <w:rsid w:val="007A22BF"/>
    <w:rsid w:val="007A3323"/>
    <w:rsid w:val="007A70DC"/>
    <w:rsid w:val="007A7C20"/>
    <w:rsid w:val="007B1609"/>
    <w:rsid w:val="007B72B8"/>
    <w:rsid w:val="007B7A58"/>
    <w:rsid w:val="007C199D"/>
    <w:rsid w:val="007C2122"/>
    <w:rsid w:val="007C21B5"/>
    <w:rsid w:val="007C3105"/>
    <w:rsid w:val="007C3487"/>
    <w:rsid w:val="007C5F16"/>
    <w:rsid w:val="007C70F3"/>
    <w:rsid w:val="007D0394"/>
    <w:rsid w:val="007D139A"/>
    <w:rsid w:val="007D238D"/>
    <w:rsid w:val="007D42BF"/>
    <w:rsid w:val="007D4C6D"/>
    <w:rsid w:val="007E0745"/>
    <w:rsid w:val="007E1440"/>
    <w:rsid w:val="007E4BD2"/>
    <w:rsid w:val="007E5326"/>
    <w:rsid w:val="007F079C"/>
    <w:rsid w:val="007F3642"/>
    <w:rsid w:val="007F3E3B"/>
    <w:rsid w:val="007F4497"/>
    <w:rsid w:val="00801393"/>
    <w:rsid w:val="00802F88"/>
    <w:rsid w:val="00805512"/>
    <w:rsid w:val="0080749F"/>
    <w:rsid w:val="00807E3D"/>
    <w:rsid w:val="008103FF"/>
    <w:rsid w:val="0081293E"/>
    <w:rsid w:val="00812C0D"/>
    <w:rsid w:val="00815465"/>
    <w:rsid w:val="00816DBE"/>
    <w:rsid w:val="00817E9A"/>
    <w:rsid w:val="008212F1"/>
    <w:rsid w:val="00824FEC"/>
    <w:rsid w:val="0082560B"/>
    <w:rsid w:val="00827F1F"/>
    <w:rsid w:val="008306BD"/>
    <w:rsid w:val="00831A80"/>
    <w:rsid w:val="00833743"/>
    <w:rsid w:val="008340A4"/>
    <w:rsid w:val="00834840"/>
    <w:rsid w:val="00837310"/>
    <w:rsid w:val="00846C19"/>
    <w:rsid w:val="00867DD9"/>
    <w:rsid w:val="0087135F"/>
    <w:rsid w:val="00872D94"/>
    <w:rsid w:val="00873BEC"/>
    <w:rsid w:val="00880364"/>
    <w:rsid w:val="008821EE"/>
    <w:rsid w:val="00882355"/>
    <w:rsid w:val="0088442D"/>
    <w:rsid w:val="00885285"/>
    <w:rsid w:val="00885449"/>
    <w:rsid w:val="00885E95"/>
    <w:rsid w:val="008863CF"/>
    <w:rsid w:val="008872C3"/>
    <w:rsid w:val="00887F14"/>
    <w:rsid w:val="00890259"/>
    <w:rsid w:val="00891592"/>
    <w:rsid w:val="0089176B"/>
    <w:rsid w:val="00891E9E"/>
    <w:rsid w:val="00893CC4"/>
    <w:rsid w:val="008966C7"/>
    <w:rsid w:val="008A1023"/>
    <w:rsid w:val="008A2F68"/>
    <w:rsid w:val="008A4D46"/>
    <w:rsid w:val="008A5DE5"/>
    <w:rsid w:val="008A7A89"/>
    <w:rsid w:val="008B17A7"/>
    <w:rsid w:val="008B3F33"/>
    <w:rsid w:val="008B4FA6"/>
    <w:rsid w:val="008B5043"/>
    <w:rsid w:val="008B5282"/>
    <w:rsid w:val="008B7C17"/>
    <w:rsid w:val="008C1866"/>
    <w:rsid w:val="008C2D01"/>
    <w:rsid w:val="008C384B"/>
    <w:rsid w:val="008C40E6"/>
    <w:rsid w:val="008D0F7A"/>
    <w:rsid w:val="008D312F"/>
    <w:rsid w:val="008D3CB3"/>
    <w:rsid w:val="008D3F95"/>
    <w:rsid w:val="008D5041"/>
    <w:rsid w:val="008D5082"/>
    <w:rsid w:val="008D68E4"/>
    <w:rsid w:val="008E0347"/>
    <w:rsid w:val="008E0506"/>
    <w:rsid w:val="008E0CFF"/>
    <w:rsid w:val="008E3024"/>
    <w:rsid w:val="008E39B6"/>
    <w:rsid w:val="008E5D6B"/>
    <w:rsid w:val="008E76F0"/>
    <w:rsid w:val="008F15FE"/>
    <w:rsid w:val="008F2D29"/>
    <w:rsid w:val="008F4BB1"/>
    <w:rsid w:val="008F4D71"/>
    <w:rsid w:val="008F5187"/>
    <w:rsid w:val="008F60D8"/>
    <w:rsid w:val="008F75A2"/>
    <w:rsid w:val="00900978"/>
    <w:rsid w:val="00902727"/>
    <w:rsid w:val="009029D4"/>
    <w:rsid w:val="0090312B"/>
    <w:rsid w:val="00903F9B"/>
    <w:rsid w:val="00904433"/>
    <w:rsid w:val="0090554A"/>
    <w:rsid w:val="00910367"/>
    <w:rsid w:val="0091240F"/>
    <w:rsid w:val="00913685"/>
    <w:rsid w:val="00914BA7"/>
    <w:rsid w:val="0091736D"/>
    <w:rsid w:val="009213F6"/>
    <w:rsid w:val="0092368C"/>
    <w:rsid w:val="009247F8"/>
    <w:rsid w:val="00926142"/>
    <w:rsid w:val="00926C25"/>
    <w:rsid w:val="0093037A"/>
    <w:rsid w:val="009327A6"/>
    <w:rsid w:val="009332D0"/>
    <w:rsid w:val="00933394"/>
    <w:rsid w:val="0093356E"/>
    <w:rsid w:val="0093456F"/>
    <w:rsid w:val="009366AC"/>
    <w:rsid w:val="0094154D"/>
    <w:rsid w:val="00942B3F"/>
    <w:rsid w:val="0094646F"/>
    <w:rsid w:val="0095155F"/>
    <w:rsid w:val="00952A8B"/>
    <w:rsid w:val="00954429"/>
    <w:rsid w:val="009563CE"/>
    <w:rsid w:val="009637D3"/>
    <w:rsid w:val="009661B3"/>
    <w:rsid w:val="00966DB4"/>
    <w:rsid w:val="00967718"/>
    <w:rsid w:val="00976328"/>
    <w:rsid w:val="0097680D"/>
    <w:rsid w:val="00982438"/>
    <w:rsid w:val="00982F62"/>
    <w:rsid w:val="009832FC"/>
    <w:rsid w:val="0098404C"/>
    <w:rsid w:val="00985283"/>
    <w:rsid w:val="00985E48"/>
    <w:rsid w:val="009907CA"/>
    <w:rsid w:val="009950A0"/>
    <w:rsid w:val="00995992"/>
    <w:rsid w:val="00995C40"/>
    <w:rsid w:val="009A03E5"/>
    <w:rsid w:val="009A0F3B"/>
    <w:rsid w:val="009A1BB4"/>
    <w:rsid w:val="009A2628"/>
    <w:rsid w:val="009A3200"/>
    <w:rsid w:val="009A6B56"/>
    <w:rsid w:val="009A753F"/>
    <w:rsid w:val="009A7CE1"/>
    <w:rsid w:val="009B0897"/>
    <w:rsid w:val="009B0B21"/>
    <w:rsid w:val="009B270A"/>
    <w:rsid w:val="009B4A2C"/>
    <w:rsid w:val="009B6FFB"/>
    <w:rsid w:val="009B7BD9"/>
    <w:rsid w:val="009C05EC"/>
    <w:rsid w:val="009C7DD5"/>
    <w:rsid w:val="009E227D"/>
    <w:rsid w:val="009E4383"/>
    <w:rsid w:val="009E5019"/>
    <w:rsid w:val="009E5585"/>
    <w:rsid w:val="009E75AE"/>
    <w:rsid w:val="009F01CE"/>
    <w:rsid w:val="009F09E4"/>
    <w:rsid w:val="009F24FF"/>
    <w:rsid w:val="009F2DF7"/>
    <w:rsid w:val="009F4040"/>
    <w:rsid w:val="009F5E09"/>
    <w:rsid w:val="00A002AC"/>
    <w:rsid w:val="00A04F1B"/>
    <w:rsid w:val="00A0501B"/>
    <w:rsid w:val="00A0764D"/>
    <w:rsid w:val="00A1003F"/>
    <w:rsid w:val="00A14947"/>
    <w:rsid w:val="00A161A3"/>
    <w:rsid w:val="00A166BB"/>
    <w:rsid w:val="00A20850"/>
    <w:rsid w:val="00A211CF"/>
    <w:rsid w:val="00A216AE"/>
    <w:rsid w:val="00A2369F"/>
    <w:rsid w:val="00A23B71"/>
    <w:rsid w:val="00A25244"/>
    <w:rsid w:val="00A32A83"/>
    <w:rsid w:val="00A32E5A"/>
    <w:rsid w:val="00A33F3F"/>
    <w:rsid w:val="00A368DB"/>
    <w:rsid w:val="00A423AA"/>
    <w:rsid w:val="00A43E96"/>
    <w:rsid w:val="00A460B4"/>
    <w:rsid w:val="00A47335"/>
    <w:rsid w:val="00A53E4D"/>
    <w:rsid w:val="00A53EC6"/>
    <w:rsid w:val="00A55C0F"/>
    <w:rsid w:val="00A604D9"/>
    <w:rsid w:val="00A61DAE"/>
    <w:rsid w:val="00A61FFC"/>
    <w:rsid w:val="00A62D13"/>
    <w:rsid w:val="00A62E53"/>
    <w:rsid w:val="00A63493"/>
    <w:rsid w:val="00A65ADD"/>
    <w:rsid w:val="00A6715C"/>
    <w:rsid w:val="00A677F1"/>
    <w:rsid w:val="00A762D4"/>
    <w:rsid w:val="00A80EDB"/>
    <w:rsid w:val="00A821D6"/>
    <w:rsid w:val="00A8225D"/>
    <w:rsid w:val="00A823CA"/>
    <w:rsid w:val="00A846E5"/>
    <w:rsid w:val="00A8713F"/>
    <w:rsid w:val="00A873B1"/>
    <w:rsid w:val="00A87BBD"/>
    <w:rsid w:val="00A90BA1"/>
    <w:rsid w:val="00A97A9A"/>
    <w:rsid w:val="00AA0671"/>
    <w:rsid w:val="00AA0744"/>
    <w:rsid w:val="00AA14F1"/>
    <w:rsid w:val="00AA2531"/>
    <w:rsid w:val="00AA5C1D"/>
    <w:rsid w:val="00AB1E09"/>
    <w:rsid w:val="00AB27DD"/>
    <w:rsid w:val="00AB5330"/>
    <w:rsid w:val="00AB5FB8"/>
    <w:rsid w:val="00AB74C7"/>
    <w:rsid w:val="00AB7747"/>
    <w:rsid w:val="00AC14CE"/>
    <w:rsid w:val="00AC25C7"/>
    <w:rsid w:val="00AC2A56"/>
    <w:rsid w:val="00AD055E"/>
    <w:rsid w:val="00AD2A11"/>
    <w:rsid w:val="00AD2F07"/>
    <w:rsid w:val="00AD47A7"/>
    <w:rsid w:val="00AD4FE0"/>
    <w:rsid w:val="00AE4F25"/>
    <w:rsid w:val="00AE5B63"/>
    <w:rsid w:val="00AE6AEA"/>
    <w:rsid w:val="00AE6F51"/>
    <w:rsid w:val="00AF0CBF"/>
    <w:rsid w:val="00AF1939"/>
    <w:rsid w:val="00AF257F"/>
    <w:rsid w:val="00AF33CF"/>
    <w:rsid w:val="00AF4D50"/>
    <w:rsid w:val="00AF5675"/>
    <w:rsid w:val="00AF6179"/>
    <w:rsid w:val="00B009F6"/>
    <w:rsid w:val="00B01981"/>
    <w:rsid w:val="00B1295A"/>
    <w:rsid w:val="00B13AA4"/>
    <w:rsid w:val="00B13DBE"/>
    <w:rsid w:val="00B14835"/>
    <w:rsid w:val="00B161A7"/>
    <w:rsid w:val="00B20A45"/>
    <w:rsid w:val="00B216B7"/>
    <w:rsid w:val="00B22C5C"/>
    <w:rsid w:val="00B23FED"/>
    <w:rsid w:val="00B24F30"/>
    <w:rsid w:val="00B3001E"/>
    <w:rsid w:val="00B31ABF"/>
    <w:rsid w:val="00B321C7"/>
    <w:rsid w:val="00B321EA"/>
    <w:rsid w:val="00B33BE3"/>
    <w:rsid w:val="00B34B4B"/>
    <w:rsid w:val="00B34E63"/>
    <w:rsid w:val="00B36734"/>
    <w:rsid w:val="00B37B10"/>
    <w:rsid w:val="00B40DBF"/>
    <w:rsid w:val="00B521EF"/>
    <w:rsid w:val="00B52904"/>
    <w:rsid w:val="00B533B4"/>
    <w:rsid w:val="00B53B5D"/>
    <w:rsid w:val="00B54EB2"/>
    <w:rsid w:val="00B5507C"/>
    <w:rsid w:val="00B57E5F"/>
    <w:rsid w:val="00B6055E"/>
    <w:rsid w:val="00B610EA"/>
    <w:rsid w:val="00B6317D"/>
    <w:rsid w:val="00B63308"/>
    <w:rsid w:val="00B635B3"/>
    <w:rsid w:val="00B655CC"/>
    <w:rsid w:val="00B66896"/>
    <w:rsid w:val="00B676CE"/>
    <w:rsid w:val="00B70004"/>
    <w:rsid w:val="00B717F0"/>
    <w:rsid w:val="00B71AF2"/>
    <w:rsid w:val="00B72CCC"/>
    <w:rsid w:val="00B72CF0"/>
    <w:rsid w:val="00B7508C"/>
    <w:rsid w:val="00B7723F"/>
    <w:rsid w:val="00B77713"/>
    <w:rsid w:val="00B80534"/>
    <w:rsid w:val="00B80A95"/>
    <w:rsid w:val="00B8433C"/>
    <w:rsid w:val="00B84548"/>
    <w:rsid w:val="00B845FD"/>
    <w:rsid w:val="00B84FED"/>
    <w:rsid w:val="00B86530"/>
    <w:rsid w:val="00B86F0C"/>
    <w:rsid w:val="00B87491"/>
    <w:rsid w:val="00B90B21"/>
    <w:rsid w:val="00B94547"/>
    <w:rsid w:val="00B94B9D"/>
    <w:rsid w:val="00B94FDB"/>
    <w:rsid w:val="00B96D7E"/>
    <w:rsid w:val="00BA29E9"/>
    <w:rsid w:val="00BA45F4"/>
    <w:rsid w:val="00BA6150"/>
    <w:rsid w:val="00BA6680"/>
    <w:rsid w:val="00BA684E"/>
    <w:rsid w:val="00BA7142"/>
    <w:rsid w:val="00BB01EF"/>
    <w:rsid w:val="00BB0DA6"/>
    <w:rsid w:val="00BB237C"/>
    <w:rsid w:val="00BB2B0B"/>
    <w:rsid w:val="00BB4129"/>
    <w:rsid w:val="00BB41A3"/>
    <w:rsid w:val="00BB532E"/>
    <w:rsid w:val="00BB7115"/>
    <w:rsid w:val="00BB7B52"/>
    <w:rsid w:val="00BC17D7"/>
    <w:rsid w:val="00BC32DC"/>
    <w:rsid w:val="00BC35B6"/>
    <w:rsid w:val="00BC4E0D"/>
    <w:rsid w:val="00BC691F"/>
    <w:rsid w:val="00BD1115"/>
    <w:rsid w:val="00BD14B3"/>
    <w:rsid w:val="00BD1B51"/>
    <w:rsid w:val="00BD1F03"/>
    <w:rsid w:val="00BD4596"/>
    <w:rsid w:val="00BD6993"/>
    <w:rsid w:val="00BD7066"/>
    <w:rsid w:val="00BD71AA"/>
    <w:rsid w:val="00BE0B97"/>
    <w:rsid w:val="00BE1064"/>
    <w:rsid w:val="00BE1405"/>
    <w:rsid w:val="00BE1553"/>
    <w:rsid w:val="00BE312D"/>
    <w:rsid w:val="00BE3D3C"/>
    <w:rsid w:val="00BE75E4"/>
    <w:rsid w:val="00BF0818"/>
    <w:rsid w:val="00BF1059"/>
    <w:rsid w:val="00BF15AD"/>
    <w:rsid w:val="00BF1C20"/>
    <w:rsid w:val="00C00160"/>
    <w:rsid w:val="00C0140A"/>
    <w:rsid w:val="00C04477"/>
    <w:rsid w:val="00C04BA2"/>
    <w:rsid w:val="00C058F2"/>
    <w:rsid w:val="00C1049C"/>
    <w:rsid w:val="00C10578"/>
    <w:rsid w:val="00C11D6C"/>
    <w:rsid w:val="00C135BC"/>
    <w:rsid w:val="00C13CC5"/>
    <w:rsid w:val="00C15C95"/>
    <w:rsid w:val="00C2596A"/>
    <w:rsid w:val="00C25DC4"/>
    <w:rsid w:val="00C27537"/>
    <w:rsid w:val="00C303D0"/>
    <w:rsid w:val="00C3105F"/>
    <w:rsid w:val="00C31C4B"/>
    <w:rsid w:val="00C3289C"/>
    <w:rsid w:val="00C328FE"/>
    <w:rsid w:val="00C33507"/>
    <w:rsid w:val="00C34140"/>
    <w:rsid w:val="00C3438E"/>
    <w:rsid w:val="00C34AAF"/>
    <w:rsid w:val="00C35CA7"/>
    <w:rsid w:val="00C36385"/>
    <w:rsid w:val="00C37542"/>
    <w:rsid w:val="00C379CB"/>
    <w:rsid w:val="00C4409D"/>
    <w:rsid w:val="00C44DE4"/>
    <w:rsid w:val="00C44E72"/>
    <w:rsid w:val="00C45A06"/>
    <w:rsid w:val="00C45EFF"/>
    <w:rsid w:val="00C47665"/>
    <w:rsid w:val="00C47E5B"/>
    <w:rsid w:val="00C47FAF"/>
    <w:rsid w:val="00C51167"/>
    <w:rsid w:val="00C569DC"/>
    <w:rsid w:val="00C56BCD"/>
    <w:rsid w:val="00C56C9F"/>
    <w:rsid w:val="00C57730"/>
    <w:rsid w:val="00C61E4B"/>
    <w:rsid w:val="00C624EA"/>
    <w:rsid w:val="00C64BFF"/>
    <w:rsid w:val="00C67CC1"/>
    <w:rsid w:val="00C704E9"/>
    <w:rsid w:val="00C7112C"/>
    <w:rsid w:val="00C717F2"/>
    <w:rsid w:val="00C71DFD"/>
    <w:rsid w:val="00C7282A"/>
    <w:rsid w:val="00C73399"/>
    <w:rsid w:val="00C763C9"/>
    <w:rsid w:val="00C76DA7"/>
    <w:rsid w:val="00C80057"/>
    <w:rsid w:val="00C82232"/>
    <w:rsid w:val="00C82913"/>
    <w:rsid w:val="00C849F0"/>
    <w:rsid w:val="00C85116"/>
    <w:rsid w:val="00C85221"/>
    <w:rsid w:val="00C869FB"/>
    <w:rsid w:val="00C93789"/>
    <w:rsid w:val="00C937D5"/>
    <w:rsid w:val="00C9614E"/>
    <w:rsid w:val="00C972B1"/>
    <w:rsid w:val="00CA018E"/>
    <w:rsid w:val="00CA1022"/>
    <w:rsid w:val="00CA2CCE"/>
    <w:rsid w:val="00CA36F1"/>
    <w:rsid w:val="00CA43FD"/>
    <w:rsid w:val="00CA474D"/>
    <w:rsid w:val="00CA69E7"/>
    <w:rsid w:val="00CA7EF8"/>
    <w:rsid w:val="00CB0332"/>
    <w:rsid w:val="00CB162A"/>
    <w:rsid w:val="00CB4123"/>
    <w:rsid w:val="00CB617B"/>
    <w:rsid w:val="00CC0060"/>
    <w:rsid w:val="00CC14C6"/>
    <w:rsid w:val="00CC1CCE"/>
    <w:rsid w:val="00CC489B"/>
    <w:rsid w:val="00CC4D2D"/>
    <w:rsid w:val="00CC72E6"/>
    <w:rsid w:val="00CC73A5"/>
    <w:rsid w:val="00CD2BCD"/>
    <w:rsid w:val="00CD3884"/>
    <w:rsid w:val="00CD3A4C"/>
    <w:rsid w:val="00CD4058"/>
    <w:rsid w:val="00CD50E2"/>
    <w:rsid w:val="00CD7C6E"/>
    <w:rsid w:val="00CE10E9"/>
    <w:rsid w:val="00CE2910"/>
    <w:rsid w:val="00CE2A3B"/>
    <w:rsid w:val="00CE3BA9"/>
    <w:rsid w:val="00CE48FE"/>
    <w:rsid w:val="00CE4C21"/>
    <w:rsid w:val="00CE5393"/>
    <w:rsid w:val="00CF033C"/>
    <w:rsid w:val="00CF36BE"/>
    <w:rsid w:val="00CF6000"/>
    <w:rsid w:val="00CF74A1"/>
    <w:rsid w:val="00D00009"/>
    <w:rsid w:val="00D003F3"/>
    <w:rsid w:val="00D00FD5"/>
    <w:rsid w:val="00D0283E"/>
    <w:rsid w:val="00D0364F"/>
    <w:rsid w:val="00D06834"/>
    <w:rsid w:val="00D07B9F"/>
    <w:rsid w:val="00D14D36"/>
    <w:rsid w:val="00D1507E"/>
    <w:rsid w:val="00D15B46"/>
    <w:rsid w:val="00D21985"/>
    <w:rsid w:val="00D22B93"/>
    <w:rsid w:val="00D24BD8"/>
    <w:rsid w:val="00D255EA"/>
    <w:rsid w:val="00D25B66"/>
    <w:rsid w:val="00D26856"/>
    <w:rsid w:val="00D308ED"/>
    <w:rsid w:val="00D34D77"/>
    <w:rsid w:val="00D36D86"/>
    <w:rsid w:val="00D37B8A"/>
    <w:rsid w:val="00D428AA"/>
    <w:rsid w:val="00D433FE"/>
    <w:rsid w:val="00D43701"/>
    <w:rsid w:val="00D50A34"/>
    <w:rsid w:val="00D53EFA"/>
    <w:rsid w:val="00D56306"/>
    <w:rsid w:val="00D56AC6"/>
    <w:rsid w:val="00D57D41"/>
    <w:rsid w:val="00D62427"/>
    <w:rsid w:val="00D62888"/>
    <w:rsid w:val="00D62D1D"/>
    <w:rsid w:val="00D714A5"/>
    <w:rsid w:val="00D722C2"/>
    <w:rsid w:val="00D75118"/>
    <w:rsid w:val="00D751BB"/>
    <w:rsid w:val="00D75270"/>
    <w:rsid w:val="00D8089C"/>
    <w:rsid w:val="00D811FE"/>
    <w:rsid w:val="00D82499"/>
    <w:rsid w:val="00D83326"/>
    <w:rsid w:val="00D8712F"/>
    <w:rsid w:val="00D927E3"/>
    <w:rsid w:val="00D94A7C"/>
    <w:rsid w:val="00D95896"/>
    <w:rsid w:val="00DA4F60"/>
    <w:rsid w:val="00DB001A"/>
    <w:rsid w:val="00DB0C49"/>
    <w:rsid w:val="00DB1CAB"/>
    <w:rsid w:val="00DB287D"/>
    <w:rsid w:val="00DB2983"/>
    <w:rsid w:val="00DB7EE5"/>
    <w:rsid w:val="00DC1257"/>
    <w:rsid w:val="00DC16A0"/>
    <w:rsid w:val="00DC3DC0"/>
    <w:rsid w:val="00DC5B2B"/>
    <w:rsid w:val="00DC5C0D"/>
    <w:rsid w:val="00DC72B6"/>
    <w:rsid w:val="00DD0B27"/>
    <w:rsid w:val="00DD1F33"/>
    <w:rsid w:val="00DD318D"/>
    <w:rsid w:val="00DF0D67"/>
    <w:rsid w:val="00DF2E12"/>
    <w:rsid w:val="00DF4F30"/>
    <w:rsid w:val="00DF514A"/>
    <w:rsid w:val="00DF6690"/>
    <w:rsid w:val="00DF6804"/>
    <w:rsid w:val="00E00872"/>
    <w:rsid w:val="00E01A70"/>
    <w:rsid w:val="00E0358D"/>
    <w:rsid w:val="00E04323"/>
    <w:rsid w:val="00E04B4A"/>
    <w:rsid w:val="00E0549F"/>
    <w:rsid w:val="00E070A2"/>
    <w:rsid w:val="00E105D3"/>
    <w:rsid w:val="00E15727"/>
    <w:rsid w:val="00E23DA9"/>
    <w:rsid w:val="00E2656A"/>
    <w:rsid w:val="00E332B1"/>
    <w:rsid w:val="00E34857"/>
    <w:rsid w:val="00E354A1"/>
    <w:rsid w:val="00E37C1D"/>
    <w:rsid w:val="00E412D0"/>
    <w:rsid w:val="00E413F6"/>
    <w:rsid w:val="00E4163E"/>
    <w:rsid w:val="00E445F9"/>
    <w:rsid w:val="00E5028B"/>
    <w:rsid w:val="00E55348"/>
    <w:rsid w:val="00E55D37"/>
    <w:rsid w:val="00E56322"/>
    <w:rsid w:val="00E60476"/>
    <w:rsid w:val="00E60982"/>
    <w:rsid w:val="00E60E65"/>
    <w:rsid w:val="00E61643"/>
    <w:rsid w:val="00E6190A"/>
    <w:rsid w:val="00E62C62"/>
    <w:rsid w:val="00E64AD8"/>
    <w:rsid w:val="00E64E18"/>
    <w:rsid w:val="00E65342"/>
    <w:rsid w:val="00E654C1"/>
    <w:rsid w:val="00E65D97"/>
    <w:rsid w:val="00E71893"/>
    <w:rsid w:val="00E72A5A"/>
    <w:rsid w:val="00E73354"/>
    <w:rsid w:val="00E73D7F"/>
    <w:rsid w:val="00E7625A"/>
    <w:rsid w:val="00E81B02"/>
    <w:rsid w:val="00E81EDF"/>
    <w:rsid w:val="00E82ABC"/>
    <w:rsid w:val="00E83FA8"/>
    <w:rsid w:val="00E86EDD"/>
    <w:rsid w:val="00E9242D"/>
    <w:rsid w:val="00E92EF6"/>
    <w:rsid w:val="00E93D11"/>
    <w:rsid w:val="00EA058C"/>
    <w:rsid w:val="00EA78BC"/>
    <w:rsid w:val="00EA7E9B"/>
    <w:rsid w:val="00EB1532"/>
    <w:rsid w:val="00EB1C8F"/>
    <w:rsid w:val="00EB35D5"/>
    <w:rsid w:val="00EB498B"/>
    <w:rsid w:val="00EB5255"/>
    <w:rsid w:val="00EB5C47"/>
    <w:rsid w:val="00ED0639"/>
    <w:rsid w:val="00ED0DF4"/>
    <w:rsid w:val="00ED2C9F"/>
    <w:rsid w:val="00ED7576"/>
    <w:rsid w:val="00EE10CA"/>
    <w:rsid w:val="00EE1896"/>
    <w:rsid w:val="00EE4E23"/>
    <w:rsid w:val="00EE5414"/>
    <w:rsid w:val="00EF045C"/>
    <w:rsid w:val="00EF0FBB"/>
    <w:rsid w:val="00EF261C"/>
    <w:rsid w:val="00EF2E9B"/>
    <w:rsid w:val="00EF365F"/>
    <w:rsid w:val="00EF4626"/>
    <w:rsid w:val="00EF4755"/>
    <w:rsid w:val="00EF6F84"/>
    <w:rsid w:val="00EF7135"/>
    <w:rsid w:val="00EF7282"/>
    <w:rsid w:val="00F00D85"/>
    <w:rsid w:val="00F0139E"/>
    <w:rsid w:val="00F027DB"/>
    <w:rsid w:val="00F065C2"/>
    <w:rsid w:val="00F068C2"/>
    <w:rsid w:val="00F13935"/>
    <w:rsid w:val="00F14A7A"/>
    <w:rsid w:val="00F20804"/>
    <w:rsid w:val="00F22902"/>
    <w:rsid w:val="00F22985"/>
    <w:rsid w:val="00F236BE"/>
    <w:rsid w:val="00F27915"/>
    <w:rsid w:val="00F3383E"/>
    <w:rsid w:val="00F349C2"/>
    <w:rsid w:val="00F361C1"/>
    <w:rsid w:val="00F368AF"/>
    <w:rsid w:val="00F416D0"/>
    <w:rsid w:val="00F44F67"/>
    <w:rsid w:val="00F456C4"/>
    <w:rsid w:val="00F465A7"/>
    <w:rsid w:val="00F50B7C"/>
    <w:rsid w:val="00F54FC9"/>
    <w:rsid w:val="00F550E6"/>
    <w:rsid w:val="00F57AA7"/>
    <w:rsid w:val="00F60F97"/>
    <w:rsid w:val="00F65143"/>
    <w:rsid w:val="00F666C0"/>
    <w:rsid w:val="00F66723"/>
    <w:rsid w:val="00F66EDD"/>
    <w:rsid w:val="00F72288"/>
    <w:rsid w:val="00F7375E"/>
    <w:rsid w:val="00F74345"/>
    <w:rsid w:val="00F802E3"/>
    <w:rsid w:val="00F803E2"/>
    <w:rsid w:val="00F80A0A"/>
    <w:rsid w:val="00F82B19"/>
    <w:rsid w:val="00F831F2"/>
    <w:rsid w:val="00F871E8"/>
    <w:rsid w:val="00F90B5A"/>
    <w:rsid w:val="00F90F55"/>
    <w:rsid w:val="00F9212D"/>
    <w:rsid w:val="00F965DA"/>
    <w:rsid w:val="00FA3192"/>
    <w:rsid w:val="00FA33B3"/>
    <w:rsid w:val="00FA3980"/>
    <w:rsid w:val="00FA406A"/>
    <w:rsid w:val="00FA6C8C"/>
    <w:rsid w:val="00FA7EC4"/>
    <w:rsid w:val="00FB462B"/>
    <w:rsid w:val="00FB503A"/>
    <w:rsid w:val="00FB516C"/>
    <w:rsid w:val="00FB5F94"/>
    <w:rsid w:val="00FC2785"/>
    <w:rsid w:val="00FC34F9"/>
    <w:rsid w:val="00FC43E8"/>
    <w:rsid w:val="00FD0236"/>
    <w:rsid w:val="00FD18F4"/>
    <w:rsid w:val="00FD1ADF"/>
    <w:rsid w:val="00FD2C81"/>
    <w:rsid w:val="00FD54DB"/>
    <w:rsid w:val="00FD619F"/>
    <w:rsid w:val="00FD6288"/>
    <w:rsid w:val="00FE33E4"/>
    <w:rsid w:val="00FE78AB"/>
    <w:rsid w:val="00FF2289"/>
    <w:rsid w:val="00FF2FDB"/>
    <w:rsid w:val="00FF5878"/>
    <w:rsid w:val="00FF6193"/>
    <w:rsid w:val="0105054C"/>
    <w:rsid w:val="010D365A"/>
    <w:rsid w:val="011375A8"/>
    <w:rsid w:val="01147F82"/>
    <w:rsid w:val="011C546E"/>
    <w:rsid w:val="01290F7E"/>
    <w:rsid w:val="013001F2"/>
    <w:rsid w:val="01306390"/>
    <w:rsid w:val="0147778C"/>
    <w:rsid w:val="015D1E09"/>
    <w:rsid w:val="01642931"/>
    <w:rsid w:val="01650689"/>
    <w:rsid w:val="017C4E3A"/>
    <w:rsid w:val="017D35C6"/>
    <w:rsid w:val="01925ECD"/>
    <w:rsid w:val="019849A8"/>
    <w:rsid w:val="019D115B"/>
    <w:rsid w:val="01B22F29"/>
    <w:rsid w:val="01BB40A8"/>
    <w:rsid w:val="01CA7CCE"/>
    <w:rsid w:val="01D62159"/>
    <w:rsid w:val="01DC612E"/>
    <w:rsid w:val="01DE302E"/>
    <w:rsid w:val="01FA4A6B"/>
    <w:rsid w:val="023B48CB"/>
    <w:rsid w:val="0244182B"/>
    <w:rsid w:val="0245601F"/>
    <w:rsid w:val="024828BE"/>
    <w:rsid w:val="0261282B"/>
    <w:rsid w:val="02697903"/>
    <w:rsid w:val="02780BB1"/>
    <w:rsid w:val="029029C8"/>
    <w:rsid w:val="02953EBA"/>
    <w:rsid w:val="029E2444"/>
    <w:rsid w:val="02B849E0"/>
    <w:rsid w:val="02BF77F6"/>
    <w:rsid w:val="02C15B2D"/>
    <w:rsid w:val="02D52B76"/>
    <w:rsid w:val="02E81A84"/>
    <w:rsid w:val="02F96569"/>
    <w:rsid w:val="02F96864"/>
    <w:rsid w:val="030B3282"/>
    <w:rsid w:val="030F42DA"/>
    <w:rsid w:val="032227DF"/>
    <w:rsid w:val="03304250"/>
    <w:rsid w:val="0336239A"/>
    <w:rsid w:val="033C1FB3"/>
    <w:rsid w:val="03472398"/>
    <w:rsid w:val="03476A6C"/>
    <w:rsid w:val="03494E99"/>
    <w:rsid w:val="035C0E64"/>
    <w:rsid w:val="03736D53"/>
    <w:rsid w:val="03834C59"/>
    <w:rsid w:val="03960557"/>
    <w:rsid w:val="039B64CB"/>
    <w:rsid w:val="03AE2FE7"/>
    <w:rsid w:val="03CE5AA1"/>
    <w:rsid w:val="03EA5378"/>
    <w:rsid w:val="03EA7B21"/>
    <w:rsid w:val="04025D59"/>
    <w:rsid w:val="04245B63"/>
    <w:rsid w:val="044004C3"/>
    <w:rsid w:val="045C2232"/>
    <w:rsid w:val="04661E6C"/>
    <w:rsid w:val="047435BE"/>
    <w:rsid w:val="047863C4"/>
    <w:rsid w:val="04867476"/>
    <w:rsid w:val="049431BA"/>
    <w:rsid w:val="049963F6"/>
    <w:rsid w:val="04AD642B"/>
    <w:rsid w:val="04B4385A"/>
    <w:rsid w:val="04B83106"/>
    <w:rsid w:val="04D0237F"/>
    <w:rsid w:val="04D27F09"/>
    <w:rsid w:val="04DB0D13"/>
    <w:rsid w:val="04E10346"/>
    <w:rsid w:val="04E73BB4"/>
    <w:rsid w:val="04E83A5B"/>
    <w:rsid w:val="04F2713E"/>
    <w:rsid w:val="04F9302B"/>
    <w:rsid w:val="050251C7"/>
    <w:rsid w:val="050863E2"/>
    <w:rsid w:val="052102F4"/>
    <w:rsid w:val="052540E0"/>
    <w:rsid w:val="053B3E0E"/>
    <w:rsid w:val="053E61A4"/>
    <w:rsid w:val="0546683E"/>
    <w:rsid w:val="054F351D"/>
    <w:rsid w:val="05530B22"/>
    <w:rsid w:val="05674FD3"/>
    <w:rsid w:val="058129F3"/>
    <w:rsid w:val="05836971"/>
    <w:rsid w:val="05914D2F"/>
    <w:rsid w:val="05967132"/>
    <w:rsid w:val="05A33BF0"/>
    <w:rsid w:val="05CD6993"/>
    <w:rsid w:val="05F07B65"/>
    <w:rsid w:val="05F83EAE"/>
    <w:rsid w:val="060317A8"/>
    <w:rsid w:val="0615257F"/>
    <w:rsid w:val="061D5AE9"/>
    <w:rsid w:val="06210048"/>
    <w:rsid w:val="06336191"/>
    <w:rsid w:val="063E7D85"/>
    <w:rsid w:val="064C314F"/>
    <w:rsid w:val="06515686"/>
    <w:rsid w:val="066A43E3"/>
    <w:rsid w:val="066A737B"/>
    <w:rsid w:val="068C7A4F"/>
    <w:rsid w:val="06953894"/>
    <w:rsid w:val="06A607CB"/>
    <w:rsid w:val="06A70082"/>
    <w:rsid w:val="06B55FC0"/>
    <w:rsid w:val="06C75145"/>
    <w:rsid w:val="06D02127"/>
    <w:rsid w:val="06F35772"/>
    <w:rsid w:val="07171A83"/>
    <w:rsid w:val="07293586"/>
    <w:rsid w:val="07295285"/>
    <w:rsid w:val="0730634C"/>
    <w:rsid w:val="07344F4E"/>
    <w:rsid w:val="07636392"/>
    <w:rsid w:val="07770C56"/>
    <w:rsid w:val="07832C2B"/>
    <w:rsid w:val="078C29DD"/>
    <w:rsid w:val="078D102C"/>
    <w:rsid w:val="07D126F5"/>
    <w:rsid w:val="07D74BD2"/>
    <w:rsid w:val="07DF18A4"/>
    <w:rsid w:val="07F3161F"/>
    <w:rsid w:val="07F83852"/>
    <w:rsid w:val="081E4B98"/>
    <w:rsid w:val="082B2FC9"/>
    <w:rsid w:val="082F1E97"/>
    <w:rsid w:val="083178B3"/>
    <w:rsid w:val="083750BF"/>
    <w:rsid w:val="084D6628"/>
    <w:rsid w:val="08560610"/>
    <w:rsid w:val="08664EB8"/>
    <w:rsid w:val="086842A7"/>
    <w:rsid w:val="086A0748"/>
    <w:rsid w:val="087E65CB"/>
    <w:rsid w:val="088176B4"/>
    <w:rsid w:val="08915791"/>
    <w:rsid w:val="08981074"/>
    <w:rsid w:val="089B6503"/>
    <w:rsid w:val="08A1188A"/>
    <w:rsid w:val="08C9280E"/>
    <w:rsid w:val="08E4455A"/>
    <w:rsid w:val="08ED2462"/>
    <w:rsid w:val="090F2A84"/>
    <w:rsid w:val="09144D6F"/>
    <w:rsid w:val="092217DD"/>
    <w:rsid w:val="09297161"/>
    <w:rsid w:val="093A7294"/>
    <w:rsid w:val="09470C3E"/>
    <w:rsid w:val="097F1087"/>
    <w:rsid w:val="09970529"/>
    <w:rsid w:val="099C3B84"/>
    <w:rsid w:val="09A50389"/>
    <w:rsid w:val="09A908B8"/>
    <w:rsid w:val="09AC305C"/>
    <w:rsid w:val="09BA4874"/>
    <w:rsid w:val="09C32FBA"/>
    <w:rsid w:val="09C36D71"/>
    <w:rsid w:val="09DC4891"/>
    <w:rsid w:val="09DE4A06"/>
    <w:rsid w:val="09EA23C0"/>
    <w:rsid w:val="0A0017DF"/>
    <w:rsid w:val="0A0F1918"/>
    <w:rsid w:val="0A263993"/>
    <w:rsid w:val="0A2D3AC2"/>
    <w:rsid w:val="0A374116"/>
    <w:rsid w:val="0A3B46F5"/>
    <w:rsid w:val="0A640BEA"/>
    <w:rsid w:val="0A6F38C7"/>
    <w:rsid w:val="0AA755DF"/>
    <w:rsid w:val="0AAC57F1"/>
    <w:rsid w:val="0AB15C77"/>
    <w:rsid w:val="0AC56FF1"/>
    <w:rsid w:val="0AD207EF"/>
    <w:rsid w:val="0AD96F7B"/>
    <w:rsid w:val="0AF85123"/>
    <w:rsid w:val="0AFC5F00"/>
    <w:rsid w:val="0B0A6810"/>
    <w:rsid w:val="0B120D44"/>
    <w:rsid w:val="0B163D2C"/>
    <w:rsid w:val="0B290B86"/>
    <w:rsid w:val="0B4351B8"/>
    <w:rsid w:val="0B4D3BF1"/>
    <w:rsid w:val="0B5862A7"/>
    <w:rsid w:val="0B6960D9"/>
    <w:rsid w:val="0B762B83"/>
    <w:rsid w:val="0B785749"/>
    <w:rsid w:val="0B7875FC"/>
    <w:rsid w:val="0BD27BF6"/>
    <w:rsid w:val="0BDE6B7B"/>
    <w:rsid w:val="0BE3432C"/>
    <w:rsid w:val="0BEB4854"/>
    <w:rsid w:val="0BEC3C5B"/>
    <w:rsid w:val="0C05422A"/>
    <w:rsid w:val="0C196220"/>
    <w:rsid w:val="0C32417E"/>
    <w:rsid w:val="0C3474D3"/>
    <w:rsid w:val="0C3B3C7D"/>
    <w:rsid w:val="0C4D0F6F"/>
    <w:rsid w:val="0C733B2F"/>
    <w:rsid w:val="0C92437E"/>
    <w:rsid w:val="0CAB2EAE"/>
    <w:rsid w:val="0CB34C61"/>
    <w:rsid w:val="0CB94B93"/>
    <w:rsid w:val="0CC22DC0"/>
    <w:rsid w:val="0CDE1D68"/>
    <w:rsid w:val="0CF248F4"/>
    <w:rsid w:val="0D171E16"/>
    <w:rsid w:val="0D197B03"/>
    <w:rsid w:val="0D4224D6"/>
    <w:rsid w:val="0D4416DD"/>
    <w:rsid w:val="0D45125F"/>
    <w:rsid w:val="0D621C7D"/>
    <w:rsid w:val="0D6C4F19"/>
    <w:rsid w:val="0D724335"/>
    <w:rsid w:val="0D85265F"/>
    <w:rsid w:val="0D935B07"/>
    <w:rsid w:val="0DB305DA"/>
    <w:rsid w:val="0DB7651E"/>
    <w:rsid w:val="0DBC50A6"/>
    <w:rsid w:val="0DCB52A1"/>
    <w:rsid w:val="0DF073EF"/>
    <w:rsid w:val="0DF94666"/>
    <w:rsid w:val="0E115894"/>
    <w:rsid w:val="0E1A3B33"/>
    <w:rsid w:val="0E1E63BC"/>
    <w:rsid w:val="0E1E7140"/>
    <w:rsid w:val="0E210350"/>
    <w:rsid w:val="0E243395"/>
    <w:rsid w:val="0E3A41D5"/>
    <w:rsid w:val="0E442A2C"/>
    <w:rsid w:val="0E5C414B"/>
    <w:rsid w:val="0E632477"/>
    <w:rsid w:val="0E6B438E"/>
    <w:rsid w:val="0E73034D"/>
    <w:rsid w:val="0E88354F"/>
    <w:rsid w:val="0E91341E"/>
    <w:rsid w:val="0ED42E99"/>
    <w:rsid w:val="0EFC2178"/>
    <w:rsid w:val="0F0142DF"/>
    <w:rsid w:val="0F0C024D"/>
    <w:rsid w:val="0F13775A"/>
    <w:rsid w:val="0F156105"/>
    <w:rsid w:val="0F31228B"/>
    <w:rsid w:val="0F5F45FE"/>
    <w:rsid w:val="0F690809"/>
    <w:rsid w:val="0F8C0EE3"/>
    <w:rsid w:val="0F9A112B"/>
    <w:rsid w:val="0FA15FE3"/>
    <w:rsid w:val="0FAD1A3D"/>
    <w:rsid w:val="0FC07388"/>
    <w:rsid w:val="0FC471E7"/>
    <w:rsid w:val="0FCB3C5F"/>
    <w:rsid w:val="0FDD43C3"/>
    <w:rsid w:val="0FEB1C2B"/>
    <w:rsid w:val="0FFF7484"/>
    <w:rsid w:val="10050CDF"/>
    <w:rsid w:val="1010293A"/>
    <w:rsid w:val="10114736"/>
    <w:rsid w:val="10277CAB"/>
    <w:rsid w:val="102D1FA7"/>
    <w:rsid w:val="103F0C02"/>
    <w:rsid w:val="105D74E2"/>
    <w:rsid w:val="10642A6C"/>
    <w:rsid w:val="106D2F64"/>
    <w:rsid w:val="10722A33"/>
    <w:rsid w:val="10882AB8"/>
    <w:rsid w:val="10A55CEE"/>
    <w:rsid w:val="10A735CE"/>
    <w:rsid w:val="10A75195"/>
    <w:rsid w:val="10B63710"/>
    <w:rsid w:val="10B71A40"/>
    <w:rsid w:val="10C226EF"/>
    <w:rsid w:val="10D73F5D"/>
    <w:rsid w:val="10DA091A"/>
    <w:rsid w:val="10E50E6C"/>
    <w:rsid w:val="10E537A2"/>
    <w:rsid w:val="10F10820"/>
    <w:rsid w:val="10F343E5"/>
    <w:rsid w:val="111C2F7A"/>
    <w:rsid w:val="111F404A"/>
    <w:rsid w:val="11264E6A"/>
    <w:rsid w:val="113413B0"/>
    <w:rsid w:val="115565A6"/>
    <w:rsid w:val="115A2523"/>
    <w:rsid w:val="115A2C96"/>
    <w:rsid w:val="1161311A"/>
    <w:rsid w:val="11665CA1"/>
    <w:rsid w:val="118E379B"/>
    <w:rsid w:val="11963E18"/>
    <w:rsid w:val="11AB78C4"/>
    <w:rsid w:val="11AC34E3"/>
    <w:rsid w:val="11B27966"/>
    <w:rsid w:val="11C404DF"/>
    <w:rsid w:val="11C664AC"/>
    <w:rsid w:val="11CB33D4"/>
    <w:rsid w:val="11EA6E88"/>
    <w:rsid w:val="121C399E"/>
    <w:rsid w:val="12235B7A"/>
    <w:rsid w:val="125D44A0"/>
    <w:rsid w:val="127745B6"/>
    <w:rsid w:val="12822740"/>
    <w:rsid w:val="128750E9"/>
    <w:rsid w:val="12AC362F"/>
    <w:rsid w:val="12D24F2C"/>
    <w:rsid w:val="12E463C6"/>
    <w:rsid w:val="12EA45E9"/>
    <w:rsid w:val="12F924D1"/>
    <w:rsid w:val="1300192F"/>
    <w:rsid w:val="130848A2"/>
    <w:rsid w:val="131D402F"/>
    <w:rsid w:val="131F0546"/>
    <w:rsid w:val="1361585B"/>
    <w:rsid w:val="13622204"/>
    <w:rsid w:val="136E2DDE"/>
    <w:rsid w:val="138C4573"/>
    <w:rsid w:val="13916645"/>
    <w:rsid w:val="13951726"/>
    <w:rsid w:val="13983317"/>
    <w:rsid w:val="139D3FB2"/>
    <w:rsid w:val="13A81C97"/>
    <w:rsid w:val="13AF7A9C"/>
    <w:rsid w:val="13B642FE"/>
    <w:rsid w:val="13BD38DE"/>
    <w:rsid w:val="13C609E5"/>
    <w:rsid w:val="13CB4909"/>
    <w:rsid w:val="13CF716E"/>
    <w:rsid w:val="13D52DF5"/>
    <w:rsid w:val="13DB7F34"/>
    <w:rsid w:val="13EB2871"/>
    <w:rsid w:val="13FC6308"/>
    <w:rsid w:val="13FE3360"/>
    <w:rsid w:val="140963B5"/>
    <w:rsid w:val="14396509"/>
    <w:rsid w:val="14671D9C"/>
    <w:rsid w:val="146C014D"/>
    <w:rsid w:val="146C4ADA"/>
    <w:rsid w:val="146D691F"/>
    <w:rsid w:val="148314E4"/>
    <w:rsid w:val="149527D6"/>
    <w:rsid w:val="14A01080"/>
    <w:rsid w:val="14A46D03"/>
    <w:rsid w:val="14BD002F"/>
    <w:rsid w:val="14C1460B"/>
    <w:rsid w:val="14D178CD"/>
    <w:rsid w:val="14DD2C3C"/>
    <w:rsid w:val="14FE77F3"/>
    <w:rsid w:val="14FF6ECC"/>
    <w:rsid w:val="1500708B"/>
    <w:rsid w:val="150420FF"/>
    <w:rsid w:val="15095AC8"/>
    <w:rsid w:val="151108D2"/>
    <w:rsid w:val="152D239E"/>
    <w:rsid w:val="153F50E3"/>
    <w:rsid w:val="157572F3"/>
    <w:rsid w:val="157F0C66"/>
    <w:rsid w:val="159352D7"/>
    <w:rsid w:val="15983FAA"/>
    <w:rsid w:val="15AB18B4"/>
    <w:rsid w:val="15DE3600"/>
    <w:rsid w:val="15E74C42"/>
    <w:rsid w:val="15F35395"/>
    <w:rsid w:val="15FC723A"/>
    <w:rsid w:val="16075995"/>
    <w:rsid w:val="16087E1D"/>
    <w:rsid w:val="16094BB9"/>
    <w:rsid w:val="16137937"/>
    <w:rsid w:val="161D3945"/>
    <w:rsid w:val="16297009"/>
    <w:rsid w:val="162C10CB"/>
    <w:rsid w:val="162D700A"/>
    <w:rsid w:val="163971C4"/>
    <w:rsid w:val="163C2021"/>
    <w:rsid w:val="16445606"/>
    <w:rsid w:val="166C453B"/>
    <w:rsid w:val="16783AEC"/>
    <w:rsid w:val="16A46210"/>
    <w:rsid w:val="16C43DFB"/>
    <w:rsid w:val="16C55E6C"/>
    <w:rsid w:val="16DC7997"/>
    <w:rsid w:val="16DE614F"/>
    <w:rsid w:val="16E01731"/>
    <w:rsid w:val="16E25DF1"/>
    <w:rsid w:val="16E34214"/>
    <w:rsid w:val="170C69FC"/>
    <w:rsid w:val="171E4694"/>
    <w:rsid w:val="1731498A"/>
    <w:rsid w:val="1737657F"/>
    <w:rsid w:val="17494163"/>
    <w:rsid w:val="174A7CE7"/>
    <w:rsid w:val="174E03C5"/>
    <w:rsid w:val="17532245"/>
    <w:rsid w:val="17612B3F"/>
    <w:rsid w:val="17666C3D"/>
    <w:rsid w:val="17701D14"/>
    <w:rsid w:val="17735226"/>
    <w:rsid w:val="178F2AFD"/>
    <w:rsid w:val="179B06A6"/>
    <w:rsid w:val="179D7CAF"/>
    <w:rsid w:val="17A66737"/>
    <w:rsid w:val="17B172B6"/>
    <w:rsid w:val="17B36025"/>
    <w:rsid w:val="17C204A6"/>
    <w:rsid w:val="17CC0F8E"/>
    <w:rsid w:val="17E01D00"/>
    <w:rsid w:val="17E57E88"/>
    <w:rsid w:val="17FC11D2"/>
    <w:rsid w:val="1821268E"/>
    <w:rsid w:val="182F5A28"/>
    <w:rsid w:val="18490724"/>
    <w:rsid w:val="1862603A"/>
    <w:rsid w:val="187B1E6A"/>
    <w:rsid w:val="187D53EA"/>
    <w:rsid w:val="188D1B5C"/>
    <w:rsid w:val="188D4CCF"/>
    <w:rsid w:val="18985524"/>
    <w:rsid w:val="18990B31"/>
    <w:rsid w:val="189F624C"/>
    <w:rsid w:val="18A6461B"/>
    <w:rsid w:val="18AD3BFF"/>
    <w:rsid w:val="18C43019"/>
    <w:rsid w:val="18D527A7"/>
    <w:rsid w:val="18D67E3B"/>
    <w:rsid w:val="18E714BD"/>
    <w:rsid w:val="18F86036"/>
    <w:rsid w:val="19100DD5"/>
    <w:rsid w:val="191D335C"/>
    <w:rsid w:val="1923352C"/>
    <w:rsid w:val="1925050E"/>
    <w:rsid w:val="192F7C08"/>
    <w:rsid w:val="19374EB8"/>
    <w:rsid w:val="194505FE"/>
    <w:rsid w:val="196602A0"/>
    <w:rsid w:val="196640D0"/>
    <w:rsid w:val="196B16E7"/>
    <w:rsid w:val="197F7990"/>
    <w:rsid w:val="19820B2B"/>
    <w:rsid w:val="198D312B"/>
    <w:rsid w:val="19C20389"/>
    <w:rsid w:val="19D97D62"/>
    <w:rsid w:val="19DF3F37"/>
    <w:rsid w:val="19E962F6"/>
    <w:rsid w:val="19F623F7"/>
    <w:rsid w:val="19FB4BFE"/>
    <w:rsid w:val="1A150658"/>
    <w:rsid w:val="1A1C66C0"/>
    <w:rsid w:val="1A2F6EA3"/>
    <w:rsid w:val="1A3537A8"/>
    <w:rsid w:val="1A3850A3"/>
    <w:rsid w:val="1A42393B"/>
    <w:rsid w:val="1A4F256F"/>
    <w:rsid w:val="1A5F755A"/>
    <w:rsid w:val="1A7A1496"/>
    <w:rsid w:val="1AAD45DE"/>
    <w:rsid w:val="1AB3532B"/>
    <w:rsid w:val="1ABC5EFC"/>
    <w:rsid w:val="1AC303E8"/>
    <w:rsid w:val="1AD50AFF"/>
    <w:rsid w:val="1AE654C9"/>
    <w:rsid w:val="1AE75C76"/>
    <w:rsid w:val="1AED4AA9"/>
    <w:rsid w:val="1B046F80"/>
    <w:rsid w:val="1B0F723E"/>
    <w:rsid w:val="1B181901"/>
    <w:rsid w:val="1B3267B5"/>
    <w:rsid w:val="1B3A0627"/>
    <w:rsid w:val="1B40161D"/>
    <w:rsid w:val="1B416BA3"/>
    <w:rsid w:val="1B441859"/>
    <w:rsid w:val="1B4641B9"/>
    <w:rsid w:val="1B4D65F3"/>
    <w:rsid w:val="1B6606B1"/>
    <w:rsid w:val="1B8847D2"/>
    <w:rsid w:val="1B8A66C7"/>
    <w:rsid w:val="1B95115E"/>
    <w:rsid w:val="1B997728"/>
    <w:rsid w:val="1BAA0BEC"/>
    <w:rsid w:val="1BAC69BC"/>
    <w:rsid w:val="1BB46657"/>
    <w:rsid w:val="1BB9498B"/>
    <w:rsid w:val="1BBB1512"/>
    <w:rsid w:val="1BD10C08"/>
    <w:rsid w:val="1BE42985"/>
    <w:rsid w:val="1C0402C3"/>
    <w:rsid w:val="1C054074"/>
    <w:rsid w:val="1C057675"/>
    <w:rsid w:val="1C0C3226"/>
    <w:rsid w:val="1C1B71A7"/>
    <w:rsid w:val="1C2226C0"/>
    <w:rsid w:val="1C2A1B90"/>
    <w:rsid w:val="1C2B45FF"/>
    <w:rsid w:val="1C334F74"/>
    <w:rsid w:val="1C580C91"/>
    <w:rsid w:val="1C5865C3"/>
    <w:rsid w:val="1C5A6AD7"/>
    <w:rsid w:val="1C5C51B2"/>
    <w:rsid w:val="1C5E7925"/>
    <w:rsid w:val="1C62222F"/>
    <w:rsid w:val="1C712060"/>
    <w:rsid w:val="1C8A2C6D"/>
    <w:rsid w:val="1C9571A6"/>
    <w:rsid w:val="1CB7105C"/>
    <w:rsid w:val="1CC37895"/>
    <w:rsid w:val="1CD60EDD"/>
    <w:rsid w:val="1CE251E9"/>
    <w:rsid w:val="1CE877E7"/>
    <w:rsid w:val="1CFD070F"/>
    <w:rsid w:val="1CFE5619"/>
    <w:rsid w:val="1CFF6D16"/>
    <w:rsid w:val="1D0762A7"/>
    <w:rsid w:val="1D255BF3"/>
    <w:rsid w:val="1D271A61"/>
    <w:rsid w:val="1D2862D8"/>
    <w:rsid w:val="1D337DB3"/>
    <w:rsid w:val="1D4604A0"/>
    <w:rsid w:val="1D4669B7"/>
    <w:rsid w:val="1D4C63DD"/>
    <w:rsid w:val="1D4D7C00"/>
    <w:rsid w:val="1D5232E9"/>
    <w:rsid w:val="1D5F6196"/>
    <w:rsid w:val="1D6132A5"/>
    <w:rsid w:val="1D6A6A92"/>
    <w:rsid w:val="1D7D0EDF"/>
    <w:rsid w:val="1D8E56D5"/>
    <w:rsid w:val="1D8F0D14"/>
    <w:rsid w:val="1DA04055"/>
    <w:rsid w:val="1DA31139"/>
    <w:rsid w:val="1DA8115B"/>
    <w:rsid w:val="1DA81189"/>
    <w:rsid w:val="1DAB29F9"/>
    <w:rsid w:val="1DAD3E75"/>
    <w:rsid w:val="1DBE100D"/>
    <w:rsid w:val="1DC03767"/>
    <w:rsid w:val="1DC13FCB"/>
    <w:rsid w:val="1DC15136"/>
    <w:rsid w:val="1DD0369E"/>
    <w:rsid w:val="1DD32836"/>
    <w:rsid w:val="1DD978A2"/>
    <w:rsid w:val="1DE1377B"/>
    <w:rsid w:val="1E0A7281"/>
    <w:rsid w:val="1E0E136C"/>
    <w:rsid w:val="1E25119A"/>
    <w:rsid w:val="1E3B1FCF"/>
    <w:rsid w:val="1E3E1C49"/>
    <w:rsid w:val="1E40557B"/>
    <w:rsid w:val="1E746936"/>
    <w:rsid w:val="1E7522D0"/>
    <w:rsid w:val="1E773365"/>
    <w:rsid w:val="1E7A43DA"/>
    <w:rsid w:val="1E7E3C6A"/>
    <w:rsid w:val="1E831280"/>
    <w:rsid w:val="1E8F0675"/>
    <w:rsid w:val="1E9528AA"/>
    <w:rsid w:val="1E9C300C"/>
    <w:rsid w:val="1E9C75FB"/>
    <w:rsid w:val="1E9F748D"/>
    <w:rsid w:val="1EB1403F"/>
    <w:rsid w:val="1EB9030D"/>
    <w:rsid w:val="1EC024D4"/>
    <w:rsid w:val="1EC30CED"/>
    <w:rsid w:val="1EC33F19"/>
    <w:rsid w:val="1EE91A2B"/>
    <w:rsid w:val="1EEC1DF8"/>
    <w:rsid w:val="1EF81E85"/>
    <w:rsid w:val="1F017A33"/>
    <w:rsid w:val="1F2C0CDC"/>
    <w:rsid w:val="1F3F789D"/>
    <w:rsid w:val="1F40796A"/>
    <w:rsid w:val="1F6038FD"/>
    <w:rsid w:val="1F83152E"/>
    <w:rsid w:val="1FBA3746"/>
    <w:rsid w:val="1FBC75C7"/>
    <w:rsid w:val="1FC042E4"/>
    <w:rsid w:val="1FC64043"/>
    <w:rsid w:val="1FE7539E"/>
    <w:rsid w:val="1FEA2C88"/>
    <w:rsid w:val="1FEF174A"/>
    <w:rsid w:val="2000515D"/>
    <w:rsid w:val="200269B2"/>
    <w:rsid w:val="200548D5"/>
    <w:rsid w:val="200A3A07"/>
    <w:rsid w:val="201027B2"/>
    <w:rsid w:val="20176E32"/>
    <w:rsid w:val="20210751"/>
    <w:rsid w:val="20247EF6"/>
    <w:rsid w:val="203468C2"/>
    <w:rsid w:val="203C4CE1"/>
    <w:rsid w:val="204E66F8"/>
    <w:rsid w:val="20561CAD"/>
    <w:rsid w:val="20671BE0"/>
    <w:rsid w:val="206B61FA"/>
    <w:rsid w:val="20963CB8"/>
    <w:rsid w:val="20A011D0"/>
    <w:rsid w:val="20A81A1B"/>
    <w:rsid w:val="20AE4FB5"/>
    <w:rsid w:val="20B07FB6"/>
    <w:rsid w:val="20B646FB"/>
    <w:rsid w:val="20EF5AED"/>
    <w:rsid w:val="21025026"/>
    <w:rsid w:val="210C6EAE"/>
    <w:rsid w:val="210E7527"/>
    <w:rsid w:val="21175963"/>
    <w:rsid w:val="212D00BF"/>
    <w:rsid w:val="213458D1"/>
    <w:rsid w:val="213B74B1"/>
    <w:rsid w:val="21462E3A"/>
    <w:rsid w:val="215A2310"/>
    <w:rsid w:val="21914CD3"/>
    <w:rsid w:val="21BF6A73"/>
    <w:rsid w:val="21D24405"/>
    <w:rsid w:val="21DB3CB7"/>
    <w:rsid w:val="21DE318A"/>
    <w:rsid w:val="21EA14C5"/>
    <w:rsid w:val="21EF5B80"/>
    <w:rsid w:val="22237ED7"/>
    <w:rsid w:val="22317971"/>
    <w:rsid w:val="22337DF7"/>
    <w:rsid w:val="22366077"/>
    <w:rsid w:val="22576990"/>
    <w:rsid w:val="225919E7"/>
    <w:rsid w:val="226273A3"/>
    <w:rsid w:val="226A257C"/>
    <w:rsid w:val="227E7E56"/>
    <w:rsid w:val="2281110F"/>
    <w:rsid w:val="22883C87"/>
    <w:rsid w:val="22A47E75"/>
    <w:rsid w:val="22A85ED2"/>
    <w:rsid w:val="22CA56D0"/>
    <w:rsid w:val="22F47480"/>
    <w:rsid w:val="22F5258B"/>
    <w:rsid w:val="22FC0797"/>
    <w:rsid w:val="22FE3341"/>
    <w:rsid w:val="23280912"/>
    <w:rsid w:val="232E0476"/>
    <w:rsid w:val="23313D7E"/>
    <w:rsid w:val="2335523F"/>
    <w:rsid w:val="234E4979"/>
    <w:rsid w:val="23694EE9"/>
    <w:rsid w:val="237028AD"/>
    <w:rsid w:val="237644FD"/>
    <w:rsid w:val="237968D2"/>
    <w:rsid w:val="23904A45"/>
    <w:rsid w:val="2395779C"/>
    <w:rsid w:val="2396490E"/>
    <w:rsid w:val="23A328B7"/>
    <w:rsid w:val="23B0326D"/>
    <w:rsid w:val="23B9324E"/>
    <w:rsid w:val="23C42C54"/>
    <w:rsid w:val="23C6233B"/>
    <w:rsid w:val="23CF5677"/>
    <w:rsid w:val="23D7244F"/>
    <w:rsid w:val="23DE1C48"/>
    <w:rsid w:val="23F9004E"/>
    <w:rsid w:val="23FD106F"/>
    <w:rsid w:val="240210CD"/>
    <w:rsid w:val="241C358C"/>
    <w:rsid w:val="24350BEC"/>
    <w:rsid w:val="243C084F"/>
    <w:rsid w:val="245076D2"/>
    <w:rsid w:val="245B0CD5"/>
    <w:rsid w:val="245F5D11"/>
    <w:rsid w:val="246D4199"/>
    <w:rsid w:val="246D7845"/>
    <w:rsid w:val="247022A7"/>
    <w:rsid w:val="248122ED"/>
    <w:rsid w:val="24946E0D"/>
    <w:rsid w:val="24A32EE9"/>
    <w:rsid w:val="24A63F04"/>
    <w:rsid w:val="24AA4E90"/>
    <w:rsid w:val="24AD6F94"/>
    <w:rsid w:val="24AF6568"/>
    <w:rsid w:val="24AF7138"/>
    <w:rsid w:val="24B27852"/>
    <w:rsid w:val="24BA5585"/>
    <w:rsid w:val="24BF09F7"/>
    <w:rsid w:val="24C91E6F"/>
    <w:rsid w:val="24CF46F9"/>
    <w:rsid w:val="24D130F7"/>
    <w:rsid w:val="24EC5F6E"/>
    <w:rsid w:val="25123706"/>
    <w:rsid w:val="252D53FE"/>
    <w:rsid w:val="25320BFF"/>
    <w:rsid w:val="2533749A"/>
    <w:rsid w:val="25485D6F"/>
    <w:rsid w:val="25592AA0"/>
    <w:rsid w:val="2560231B"/>
    <w:rsid w:val="25670FEC"/>
    <w:rsid w:val="256D3B90"/>
    <w:rsid w:val="2585134C"/>
    <w:rsid w:val="25857691"/>
    <w:rsid w:val="25B216F1"/>
    <w:rsid w:val="25DB1478"/>
    <w:rsid w:val="25E5090B"/>
    <w:rsid w:val="25E675F1"/>
    <w:rsid w:val="25EC2D81"/>
    <w:rsid w:val="25F45300"/>
    <w:rsid w:val="26161EEF"/>
    <w:rsid w:val="261F20D3"/>
    <w:rsid w:val="2634179D"/>
    <w:rsid w:val="26415D15"/>
    <w:rsid w:val="264A27D5"/>
    <w:rsid w:val="2653385F"/>
    <w:rsid w:val="266250F3"/>
    <w:rsid w:val="26671E51"/>
    <w:rsid w:val="266D2F42"/>
    <w:rsid w:val="26776B87"/>
    <w:rsid w:val="26792858"/>
    <w:rsid w:val="26797B39"/>
    <w:rsid w:val="267D69E7"/>
    <w:rsid w:val="268C4A4A"/>
    <w:rsid w:val="2693583B"/>
    <w:rsid w:val="26977984"/>
    <w:rsid w:val="269B3CCB"/>
    <w:rsid w:val="26A36964"/>
    <w:rsid w:val="26A600F0"/>
    <w:rsid w:val="26C360FC"/>
    <w:rsid w:val="26C86118"/>
    <w:rsid w:val="26DE0200"/>
    <w:rsid w:val="26E543C0"/>
    <w:rsid w:val="26EB6EF0"/>
    <w:rsid w:val="27065BF9"/>
    <w:rsid w:val="270F3110"/>
    <w:rsid w:val="27102819"/>
    <w:rsid w:val="273B795D"/>
    <w:rsid w:val="27457E9C"/>
    <w:rsid w:val="27483067"/>
    <w:rsid w:val="27645DA8"/>
    <w:rsid w:val="276631C8"/>
    <w:rsid w:val="277057A2"/>
    <w:rsid w:val="27716A62"/>
    <w:rsid w:val="277F6498"/>
    <w:rsid w:val="27AC1848"/>
    <w:rsid w:val="27B906E4"/>
    <w:rsid w:val="27E234BC"/>
    <w:rsid w:val="27F555FD"/>
    <w:rsid w:val="281D2E01"/>
    <w:rsid w:val="28215D92"/>
    <w:rsid w:val="28252FA2"/>
    <w:rsid w:val="28324CE5"/>
    <w:rsid w:val="285D4C84"/>
    <w:rsid w:val="287B058E"/>
    <w:rsid w:val="28B46C06"/>
    <w:rsid w:val="28B66172"/>
    <w:rsid w:val="28C11323"/>
    <w:rsid w:val="28DF2811"/>
    <w:rsid w:val="28E77501"/>
    <w:rsid w:val="28E80FF5"/>
    <w:rsid w:val="28EA3E5B"/>
    <w:rsid w:val="28EB4B13"/>
    <w:rsid w:val="28FB3648"/>
    <w:rsid w:val="290D4817"/>
    <w:rsid w:val="290F02E0"/>
    <w:rsid w:val="291D0C4F"/>
    <w:rsid w:val="29206EB8"/>
    <w:rsid w:val="29233E76"/>
    <w:rsid w:val="29380351"/>
    <w:rsid w:val="29595666"/>
    <w:rsid w:val="296B68DA"/>
    <w:rsid w:val="29726BFC"/>
    <w:rsid w:val="2972725E"/>
    <w:rsid w:val="297E47EA"/>
    <w:rsid w:val="29874881"/>
    <w:rsid w:val="298E2CE3"/>
    <w:rsid w:val="29AD562A"/>
    <w:rsid w:val="29C94933"/>
    <w:rsid w:val="29CA2459"/>
    <w:rsid w:val="29CC0BB3"/>
    <w:rsid w:val="29D100A9"/>
    <w:rsid w:val="29D775D8"/>
    <w:rsid w:val="29E325E0"/>
    <w:rsid w:val="29ED2599"/>
    <w:rsid w:val="29ED6FED"/>
    <w:rsid w:val="29F3375E"/>
    <w:rsid w:val="29FD37CE"/>
    <w:rsid w:val="2A005E7B"/>
    <w:rsid w:val="2A10286E"/>
    <w:rsid w:val="2A1A518F"/>
    <w:rsid w:val="2A1F011D"/>
    <w:rsid w:val="2A245D88"/>
    <w:rsid w:val="2A2B2EF8"/>
    <w:rsid w:val="2A4250CD"/>
    <w:rsid w:val="2A452503"/>
    <w:rsid w:val="2A4614B3"/>
    <w:rsid w:val="2A4E308A"/>
    <w:rsid w:val="2A4F7B00"/>
    <w:rsid w:val="2A510485"/>
    <w:rsid w:val="2A517BE1"/>
    <w:rsid w:val="2A963718"/>
    <w:rsid w:val="2AA122C5"/>
    <w:rsid w:val="2AA64116"/>
    <w:rsid w:val="2AB12643"/>
    <w:rsid w:val="2AB25A1E"/>
    <w:rsid w:val="2AC27BCB"/>
    <w:rsid w:val="2AC9533F"/>
    <w:rsid w:val="2AE412F9"/>
    <w:rsid w:val="2AF711EA"/>
    <w:rsid w:val="2AFB3515"/>
    <w:rsid w:val="2B01145C"/>
    <w:rsid w:val="2B0A2DF4"/>
    <w:rsid w:val="2B1A2A55"/>
    <w:rsid w:val="2B1B5E57"/>
    <w:rsid w:val="2B207F3B"/>
    <w:rsid w:val="2B24625D"/>
    <w:rsid w:val="2B2C11DC"/>
    <w:rsid w:val="2B394314"/>
    <w:rsid w:val="2B471539"/>
    <w:rsid w:val="2B535728"/>
    <w:rsid w:val="2B5D6A7B"/>
    <w:rsid w:val="2B9806C9"/>
    <w:rsid w:val="2BA936A8"/>
    <w:rsid w:val="2BAE32A1"/>
    <w:rsid w:val="2BC60FC8"/>
    <w:rsid w:val="2BCC6C93"/>
    <w:rsid w:val="2BEF11F5"/>
    <w:rsid w:val="2C106849"/>
    <w:rsid w:val="2C131AF6"/>
    <w:rsid w:val="2C1E5F74"/>
    <w:rsid w:val="2C251BC9"/>
    <w:rsid w:val="2C300FC1"/>
    <w:rsid w:val="2C315A5A"/>
    <w:rsid w:val="2C4B1C25"/>
    <w:rsid w:val="2C4D5FD2"/>
    <w:rsid w:val="2C532BDA"/>
    <w:rsid w:val="2C6733C4"/>
    <w:rsid w:val="2C707187"/>
    <w:rsid w:val="2C792598"/>
    <w:rsid w:val="2C794291"/>
    <w:rsid w:val="2C7A4C6C"/>
    <w:rsid w:val="2C8E5FB7"/>
    <w:rsid w:val="2CB127CD"/>
    <w:rsid w:val="2CB92E2D"/>
    <w:rsid w:val="2CC503B2"/>
    <w:rsid w:val="2CCC3747"/>
    <w:rsid w:val="2CCC5058"/>
    <w:rsid w:val="2CDC48D9"/>
    <w:rsid w:val="2CDF621C"/>
    <w:rsid w:val="2CFD4FD9"/>
    <w:rsid w:val="2D210FA3"/>
    <w:rsid w:val="2D234FE2"/>
    <w:rsid w:val="2D294951"/>
    <w:rsid w:val="2D2A5DE1"/>
    <w:rsid w:val="2D3E0CD3"/>
    <w:rsid w:val="2D411747"/>
    <w:rsid w:val="2D473239"/>
    <w:rsid w:val="2D560C70"/>
    <w:rsid w:val="2D65477E"/>
    <w:rsid w:val="2D9E56F5"/>
    <w:rsid w:val="2D9F49A1"/>
    <w:rsid w:val="2DA440FB"/>
    <w:rsid w:val="2DB54F5F"/>
    <w:rsid w:val="2DB87D8C"/>
    <w:rsid w:val="2DCD34F3"/>
    <w:rsid w:val="2DD00A37"/>
    <w:rsid w:val="2DD83364"/>
    <w:rsid w:val="2DD91C0E"/>
    <w:rsid w:val="2DE75388"/>
    <w:rsid w:val="2DED2ED8"/>
    <w:rsid w:val="2E026666"/>
    <w:rsid w:val="2E245576"/>
    <w:rsid w:val="2E313EBC"/>
    <w:rsid w:val="2E32600F"/>
    <w:rsid w:val="2E374CD4"/>
    <w:rsid w:val="2E437C7A"/>
    <w:rsid w:val="2E496043"/>
    <w:rsid w:val="2E575260"/>
    <w:rsid w:val="2E606D4D"/>
    <w:rsid w:val="2E667F96"/>
    <w:rsid w:val="2E8226AB"/>
    <w:rsid w:val="2E8928E3"/>
    <w:rsid w:val="2EC60CAF"/>
    <w:rsid w:val="2ED42AD1"/>
    <w:rsid w:val="2EEA5D4E"/>
    <w:rsid w:val="2EEB2B13"/>
    <w:rsid w:val="2F022ECB"/>
    <w:rsid w:val="2F1749E6"/>
    <w:rsid w:val="2F36031A"/>
    <w:rsid w:val="2F4B650C"/>
    <w:rsid w:val="2F4C59E7"/>
    <w:rsid w:val="2F5A1478"/>
    <w:rsid w:val="2F5E167A"/>
    <w:rsid w:val="2FAA502D"/>
    <w:rsid w:val="2FC226A2"/>
    <w:rsid w:val="2FCD0CD1"/>
    <w:rsid w:val="2FCF78AD"/>
    <w:rsid w:val="2FD065E6"/>
    <w:rsid w:val="2FD96870"/>
    <w:rsid w:val="2FDE0A0C"/>
    <w:rsid w:val="2FE2323D"/>
    <w:rsid w:val="30093CDB"/>
    <w:rsid w:val="3018227E"/>
    <w:rsid w:val="302630E3"/>
    <w:rsid w:val="3035239E"/>
    <w:rsid w:val="3036527A"/>
    <w:rsid w:val="3039104B"/>
    <w:rsid w:val="304131E7"/>
    <w:rsid w:val="30580BC9"/>
    <w:rsid w:val="305B5D86"/>
    <w:rsid w:val="305F2C18"/>
    <w:rsid w:val="306D22A7"/>
    <w:rsid w:val="307D218E"/>
    <w:rsid w:val="309E50D7"/>
    <w:rsid w:val="30A10105"/>
    <w:rsid w:val="30AC3F3B"/>
    <w:rsid w:val="30B579BF"/>
    <w:rsid w:val="30C839DD"/>
    <w:rsid w:val="30DA7426"/>
    <w:rsid w:val="311154D7"/>
    <w:rsid w:val="311A0102"/>
    <w:rsid w:val="311E2ED7"/>
    <w:rsid w:val="31330BF0"/>
    <w:rsid w:val="31433F9A"/>
    <w:rsid w:val="31523460"/>
    <w:rsid w:val="315619EE"/>
    <w:rsid w:val="315C449C"/>
    <w:rsid w:val="31687D65"/>
    <w:rsid w:val="316D2B10"/>
    <w:rsid w:val="31705337"/>
    <w:rsid w:val="317130FF"/>
    <w:rsid w:val="318F5CE6"/>
    <w:rsid w:val="319E1D2A"/>
    <w:rsid w:val="31AC1C27"/>
    <w:rsid w:val="31B82709"/>
    <w:rsid w:val="31C1449F"/>
    <w:rsid w:val="31D05482"/>
    <w:rsid w:val="31D52B4D"/>
    <w:rsid w:val="31DA44DF"/>
    <w:rsid w:val="31E7004C"/>
    <w:rsid w:val="31ED33ED"/>
    <w:rsid w:val="320209E2"/>
    <w:rsid w:val="322062CF"/>
    <w:rsid w:val="32292EEA"/>
    <w:rsid w:val="322A7F39"/>
    <w:rsid w:val="322D0D53"/>
    <w:rsid w:val="32376B51"/>
    <w:rsid w:val="323F53AE"/>
    <w:rsid w:val="32400B34"/>
    <w:rsid w:val="32477843"/>
    <w:rsid w:val="32483335"/>
    <w:rsid w:val="32520607"/>
    <w:rsid w:val="326B04E4"/>
    <w:rsid w:val="327B737C"/>
    <w:rsid w:val="32857E1B"/>
    <w:rsid w:val="329E6876"/>
    <w:rsid w:val="32AE2918"/>
    <w:rsid w:val="32FD73FC"/>
    <w:rsid w:val="330707FF"/>
    <w:rsid w:val="33124708"/>
    <w:rsid w:val="33153992"/>
    <w:rsid w:val="332546A1"/>
    <w:rsid w:val="33280746"/>
    <w:rsid w:val="333015F2"/>
    <w:rsid w:val="333017E1"/>
    <w:rsid w:val="3333344C"/>
    <w:rsid w:val="33484B1B"/>
    <w:rsid w:val="334B6320"/>
    <w:rsid w:val="334C1F8C"/>
    <w:rsid w:val="33631B7B"/>
    <w:rsid w:val="336F3C4F"/>
    <w:rsid w:val="33A8762E"/>
    <w:rsid w:val="33D22636"/>
    <w:rsid w:val="33D934D4"/>
    <w:rsid w:val="33E9487C"/>
    <w:rsid w:val="33EC6C5A"/>
    <w:rsid w:val="33F5456E"/>
    <w:rsid w:val="33FE2F6A"/>
    <w:rsid w:val="340C5C99"/>
    <w:rsid w:val="340D78FC"/>
    <w:rsid w:val="340E07E5"/>
    <w:rsid w:val="34235BF7"/>
    <w:rsid w:val="34357D22"/>
    <w:rsid w:val="343A7346"/>
    <w:rsid w:val="34420637"/>
    <w:rsid w:val="344A01C8"/>
    <w:rsid w:val="34576C06"/>
    <w:rsid w:val="345C08C0"/>
    <w:rsid w:val="3461714C"/>
    <w:rsid w:val="34686D75"/>
    <w:rsid w:val="346E6D62"/>
    <w:rsid w:val="34897199"/>
    <w:rsid w:val="34904252"/>
    <w:rsid w:val="34943D90"/>
    <w:rsid w:val="34975F33"/>
    <w:rsid w:val="349D49AB"/>
    <w:rsid w:val="34A4577A"/>
    <w:rsid w:val="34C0586B"/>
    <w:rsid w:val="34C9767B"/>
    <w:rsid w:val="34CD7BFA"/>
    <w:rsid w:val="34E24AFB"/>
    <w:rsid w:val="34E71D9A"/>
    <w:rsid w:val="34FB35AB"/>
    <w:rsid w:val="34FF56AD"/>
    <w:rsid w:val="35052576"/>
    <w:rsid w:val="35054CFD"/>
    <w:rsid w:val="350A6F26"/>
    <w:rsid w:val="35156C7E"/>
    <w:rsid w:val="35281F95"/>
    <w:rsid w:val="3531125E"/>
    <w:rsid w:val="3539609A"/>
    <w:rsid w:val="353D0826"/>
    <w:rsid w:val="35491358"/>
    <w:rsid w:val="354B5100"/>
    <w:rsid w:val="355B42B2"/>
    <w:rsid w:val="35613714"/>
    <w:rsid w:val="35640B8C"/>
    <w:rsid w:val="35666A72"/>
    <w:rsid w:val="3579545F"/>
    <w:rsid w:val="357A3838"/>
    <w:rsid w:val="358C5FA8"/>
    <w:rsid w:val="358D4A67"/>
    <w:rsid w:val="359A53D6"/>
    <w:rsid w:val="35BC68A9"/>
    <w:rsid w:val="35C15DF1"/>
    <w:rsid w:val="35D64E27"/>
    <w:rsid w:val="35F93DE6"/>
    <w:rsid w:val="35FB10EF"/>
    <w:rsid w:val="35FE569F"/>
    <w:rsid w:val="36074A7F"/>
    <w:rsid w:val="360A6217"/>
    <w:rsid w:val="360E18D7"/>
    <w:rsid w:val="36152386"/>
    <w:rsid w:val="3619790A"/>
    <w:rsid w:val="36271AE3"/>
    <w:rsid w:val="362B3170"/>
    <w:rsid w:val="36340260"/>
    <w:rsid w:val="364D7A90"/>
    <w:rsid w:val="36706F05"/>
    <w:rsid w:val="367A63A9"/>
    <w:rsid w:val="367B2DED"/>
    <w:rsid w:val="368B0FF4"/>
    <w:rsid w:val="368C24EA"/>
    <w:rsid w:val="36923549"/>
    <w:rsid w:val="3692581B"/>
    <w:rsid w:val="36A54B95"/>
    <w:rsid w:val="36B11E03"/>
    <w:rsid w:val="36B75FBF"/>
    <w:rsid w:val="36BB5A02"/>
    <w:rsid w:val="36BD0C45"/>
    <w:rsid w:val="36DA0782"/>
    <w:rsid w:val="36E02EAC"/>
    <w:rsid w:val="36E70BCB"/>
    <w:rsid w:val="36E7464B"/>
    <w:rsid w:val="36F44C29"/>
    <w:rsid w:val="36F47DCE"/>
    <w:rsid w:val="36F541F6"/>
    <w:rsid w:val="37103BA1"/>
    <w:rsid w:val="37121F44"/>
    <w:rsid w:val="371C0585"/>
    <w:rsid w:val="37337890"/>
    <w:rsid w:val="37347AC7"/>
    <w:rsid w:val="37351CEE"/>
    <w:rsid w:val="373C3427"/>
    <w:rsid w:val="373C78FB"/>
    <w:rsid w:val="376C6090"/>
    <w:rsid w:val="377216B6"/>
    <w:rsid w:val="378330C8"/>
    <w:rsid w:val="37904CE2"/>
    <w:rsid w:val="37965F2C"/>
    <w:rsid w:val="37A23C7A"/>
    <w:rsid w:val="37B50C88"/>
    <w:rsid w:val="37C33C39"/>
    <w:rsid w:val="37D51EDF"/>
    <w:rsid w:val="37D932E6"/>
    <w:rsid w:val="37E00298"/>
    <w:rsid w:val="37EC448B"/>
    <w:rsid w:val="37EF036A"/>
    <w:rsid w:val="3812518A"/>
    <w:rsid w:val="38137B61"/>
    <w:rsid w:val="381978DC"/>
    <w:rsid w:val="3836440D"/>
    <w:rsid w:val="383E473E"/>
    <w:rsid w:val="385D312F"/>
    <w:rsid w:val="386E69EC"/>
    <w:rsid w:val="386F71B7"/>
    <w:rsid w:val="387D101D"/>
    <w:rsid w:val="38836149"/>
    <w:rsid w:val="38876EDC"/>
    <w:rsid w:val="388E4F59"/>
    <w:rsid w:val="38AA6CF9"/>
    <w:rsid w:val="38AE0DF4"/>
    <w:rsid w:val="38B302F9"/>
    <w:rsid w:val="38ED008B"/>
    <w:rsid w:val="38F12CD3"/>
    <w:rsid w:val="38F94775"/>
    <w:rsid w:val="39065067"/>
    <w:rsid w:val="390E3C58"/>
    <w:rsid w:val="391D76ED"/>
    <w:rsid w:val="39293AFC"/>
    <w:rsid w:val="392971ED"/>
    <w:rsid w:val="39325651"/>
    <w:rsid w:val="393B14F7"/>
    <w:rsid w:val="393B432B"/>
    <w:rsid w:val="394D77FC"/>
    <w:rsid w:val="396D7371"/>
    <w:rsid w:val="39717338"/>
    <w:rsid w:val="397D4DF2"/>
    <w:rsid w:val="398E054F"/>
    <w:rsid w:val="399033A0"/>
    <w:rsid w:val="399D023B"/>
    <w:rsid w:val="399D20FF"/>
    <w:rsid w:val="39BD262D"/>
    <w:rsid w:val="39BE61D6"/>
    <w:rsid w:val="39C173D5"/>
    <w:rsid w:val="39DF389C"/>
    <w:rsid w:val="39F3690D"/>
    <w:rsid w:val="39FE330C"/>
    <w:rsid w:val="3A033549"/>
    <w:rsid w:val="3A156F98"/>
    <w:rsid w:val="3A513A4C"/>
    <w:rsid w:val="3A521622"/>
    <w:rsid w:val="3A522946"/>
    <w:rsid w:val="3A656D5E"/>
    <w:rsid w:val="3A6C38E7"/>
    <w:rsid w:val="3A6E18AD"/>
    <w:rsid w:val="3A862AE8"/>
    <w:rsid w:val="3A872856"/>
    <w:rsid w:val="3A9317A3"/>
    <w:rsid w:val="3AC94CE0"/>
    <w:rsid w:val="3ACE2049"/>
    <w:rsid w:val="3ADF3168"/>
    <w:rsid w:val="3AE0201D"/>
    <w:rsid w:val="3AF0529A"/>
    <w:rsid w:val="3B013F56"/>
    <w:rsid w:val="3B024078"/>
    <w:rsid w:val="3B1D7ED6"/>
    <w:rsid w:val="3B34643A"/>
    <w:rsid w:val="3B3552C2"/>
    <w:rsid w:val="3B375F44"/>
    <w:rsid w:val="3B3763D1"/>
    <w:rsid w:val="3B3A4DDC"/>
    <w:rsid w:val="3B467C6C"/>
    <w:rsid w:val="3B54135C"/>
    <w:rsid w:val="3B59012A"/>
    <w:rsid w:val="3B5A0C3A"/>
    <w:rsid w:val="3B765A19"/>
    <w:rsid w:val="3B7A71C4"/>
    <w:rsid w:val="3B8E4FD0"/>
    <w:rsid w:val="3BAA33E6"/>
    <w:rsid w:val="3BB166D1"/>
    <w:rsid w:val="3BC87D3B"/>
    <w:rsid w:val="3BCB604C"/>
    <w:rsid w:val="3BCC5D4A"/>
    <w:rsid w:val="3BD41FC0"/>
    <w:rsid w:val="3BDF117C"/>
    <w:rsid w:val="3BE43358"/>
    <w:rsid w:val="3BFA71F9"/>
    <w:rsid w:val="3C0D06AF"/>
    <w:rsid w:val="3C145852"/>
    <w:rsid w:val="3C1902BB"/>
    <w:rsid w:val="3C2F6E1E"/>
    <w:rsid w:val="3C3955C9"/>
    <w:rsid w:val="3C3D06D4"/>
    <w:rsid w:val="3C4F64BA"/>
    <w:rsid w:val="3C5600FC"/>
    <w:rsid w:val="3C567AF1"/>
    <w:rsid w:val="3C725D62"/>
    <w:rsid w:val="3C892AD2"/>
    <w:rsid w:val="3C9F3BB5"/>
    <w:rsid w:val="3CAB1604"/>
    <w:rsid w:val="3CAD615D"/>
    <w:rsid w:val="3CBA3C24"/>
    <w:rsid w:val="3CBF6BEA"/>
    <w:rsid w:val="3CC823D8"/>
    <w:rsid w:val="3CCF0B5A"/>
    <w:rsid w:val="3CD016DD"/>
    <w:rsid w:val="3CDA245A"/>
    <w:rsid w:val="3D060942"/>
    <w:rsid w:val="3D1E06B7"/>
    <w:rsid w:val="3D335DE1"/>
    <w:rsid w:val="3D3B564F"/>
    <w:rsid w:val="3D576EF8"/>
    <w:rsid w:val="3D671681"/>
    <w:rsid w:val="3D70539A"/>
    <w:rsid w:val="3D707008"/>
    <w:rsid w:val="3D852A05"/>
    <w:rsid w:val="3D85696B"/>
    <w:rsid w:val="3D993451"/>
    <w:rsid w:val="3D9B54BB"/>
    <w:rsid w:val="3DC079D3"/>
    <w:rsid w:val="3DD516A1"/>
    <w:rsid w:val="3DED3BFE"/>
    <w:rsid w:val="3DFA4297"/>
    <w:rsid w:val="3E082185"/>
    <w:rsid w:val="3E1D3674"/>
    <w:rsid w:val="3E210442"/>
    <w:rsid w:val="3E277921"/>
    <w:rsid w:val="3E5C11DD"/>
    <w:rsid w:val="3E662B1A"/>
    <w:rsid w:val="3E6A5D64"/>
    <w:rsid w:val="3E6D0D27"/>
    <w:rsid w:val="3E715934"/>
    <w:rsid w:val="3E9E7CE5"/>
    <w:rsid w:val="3EA31AF8"/>
    <w:rsid w:val="3EB96F32"/>
    <w:rsid w:val="3EBB1345"/>
    <w:rsid w:val="3EC06FC1"/>
    <w:rsid w:val="3ECB2C62"/>
    <w:rsid w:val="3EDA0523"/>
    <w:rsid w:val="3EE5656C"/>
    <w:rsid w:val="3EFB1AF5"/>
    <w:rsid w:val="3EFB2320"/>
    <w:rsid w:val="3F027712"/>
    <w:rsid w:val="3F08105E"/>
    <w:rsid w:val="3F16689C"/>
    <w:rsid w:val="3F170B2F"/>
    <w:rsid w:val="3F316DAB"/>
    <w:rsid w:val="3F3C29A0"/>
    <w:rsid w:val="3F4735BD"/>
    <w:rsid w:val="3F4E49B4"/>
    <w:rsid w:val="3F5C195B"/>
    <w:rsid w:val="3F9A45A3"/>
    <w:rsid w:val="3F9F4702"/>
    <w:rsid w:val="3FA3669C"/>
    <w:rsid w:val="3FA60462"/>
    <w:rsid w:val="3FA66D3E"/>
    <w:rsid w:val="3FA67796"/>
    <w:rsid w:val="3FAC6431"/>
    <w:rsid w:val="3FB81277"/>
    <w:rsid w:val="3FC03B81"/>
    <w:rsid w:val="3FCF438B"/>
    <w:rsid w:val="3FDA4D4C"/>
    <w:rsid w:val="3FE659F3"/>
    <w:rsid w:val="4003108C"/>
    <w:rsid w:val="40041DC9"/>
    <w:rsid w:val="40140984"/>
    <w:rsid w:val="40157DEF"/>
    <w:rsid w:val="40224945"/>
    <w:rsid w:val="40275AB8"/>
    <w:rsid w:val="402C6D16"/>
    <w:rsid w:val="403849D0"/>
    <w:rsid w:val="404448BC"/>
    <w:rsid w:val="4047328B"/>
    <w:rsid w:val="40624844"/>
    <w:rsid w:val="407A6407"/>
    <w:rsid w:val="4081735A"/>
    <w:rsid w:val="40B81A8E"/>
    <w:rsid w:val="40BF2401"/>
    <w:rsid w:val="40CC4C3A"/>
    <w:rsid w:val="40D87E0F"/>
    <w:rsid w:val="40DA5CA7"/>
    <w:rsid w:val="40F02D15"/>
    <w:rsid w:val="40F70279"/>
    <w:rsid w:val="412C61C4"/>
    <w:rsid w:val="412D26B1"/>
    <w:rsid w:val="41304DF5"/>
    <w:rsid w:val="415E19AD"/>
    <w:rsid w:val="41605725"/>
    <w:rsid w:val="4166553C"/>
    <w:rsid w:val="41894625"/>
    <w:rsid w:val="419F7B45"/>
    <w:rsid w:val="41A201F0"/>
    <w:rsid w:val="41BE67F9"/>
    <w:rsid w:val="41E023C2"/>
    <w:rsid w:val="41EE0F83"/>
    <w:rsid w:val="42002A64"/>
    <w:rsid w:val="4200449D"/>
    <w:rsid w:val="420A5691"/>
    <w:rsid w:val="421F738E"/>
    <w:rsid w:val="423A3BCC"/>
    <w:rsid w:val="424118D6"/>
    <w:rsid w:val="4243519E"/>
    <w:rsid w:val="424C5CAA"/>
    <w:rsid w:val="424D1CB3"/>
    <w:rsid w:val="424E57D2"/>
    <w:rsid w:val="425458E1"/>
    <w:rsid w:val="42586E03"/>
    <w:rsid w:val="4260502C"/>
    <w:rsid w:val="426923B8"/>
    <w:rsid w:val="42696AE7"/>
    <w:rsid w:val="428342C2"/>
    <w:rsid w:val="429479D1"/>
    <w:rsid w:val="42976609"/>
    <w:rsid w:val="42B26C49"/>
    <w:rsid w:val="42B62658"/>
    <w:rsid w:val="42CE7725"/>
    <w:rsid w:val="42D24A05"/>
    <w:rsid w:val="42DC6A3C"/>
    <w:rsid w:val="42E222A0"/>
    <w:rsid w:val="42FB119D"/>
    <w:rsid w:val="43003612"/>
    <w:rsid w:val="430C3D3C"/>
    <w:rsid w:val="43175F46"/>
    <w:rsid w:val="431D0056"/>
    <w:rsid w:val="43223B21"/>
    <w:rsid w:val="43280A03"/>
    <w:rsid w:val="43397FDC"/>
    <w:rsid w:val="433A6FE6"/>
    <w:rsid w:val="433E1A96"/>
    <w:rsid w:val="434147F7"/>
    <w:rsid w:val="4348021F"/>
    <w:rsid w:val="43480868"/>
    <w:rsid w:val="4350713C"/>
    <w:rsid w:val="43571797"/>
    <w:rsid w:val="436653E0"/>
    <w:rsid w:val="436A63E7"/>
    <w:rsid w:val="437238C5"/>
    <w:rsid w:val="438619AC"/>
    <w:rsid w:val="43C4431A"/>
    <w:rsid w:val="43C57B38"/>
    <w:rsid w:val="43D973AE"/>
    <w:rsid w:val="43DF3C78"/>
    <w:rsid w:val="4409502C"/>
    <w:rsid w:val="440A1978"/>
    <w:rsid w:val="440A655F"/>
    <w:rsid w:val="440E1167"/>
    <w:rsid w:val="4412796E"/>
    <w:rsid w:val="44146C41"/>
    <w:rsid w:val="441822E7"/>
    <w:rsid w:val="44212583"/>
    <w:rsid w:val="44270E3D"/>
    <w:rsid w:val="442C773B"/>
    <w:rsid w:val="442F0067"/>
    <w:rsid w:val="44365E73"/>
    <w:rsid w:val="445724EF"/>
    <w:rsid w:val="4462407C"/>
    <w:rsid w:val="446E0308"/>
    <w:rsid w:val="447A3F58"/>
    <w:rsid w:val="4485286A"/>
    <w:rsid w:val="448D7411"/>
    <w:rsid w:val="44901B43"/>
    <w:rsid w:val="44A95CAA"/>
    <w:rsid w:val="44B04D7D"/>
    <w:rsid w:val="44B311E7"/>
    <w:rsid w:val="44B951CC"/>
    <w:rsid w:val="44BA6492"/>
    <w:rsid w:val="44CD14E0"/>
    <w:rsid w:val="44E2774A"/>
    <w:rsid w:val="44F20B0B"/>
    <w:rsid w:val="44F25795"/>
    <w:rsid w:val="44FD61AA"/>
    <w:rsid w:val="44FE2747"/>
    <w:rsid w:val="45017DD7"/>
    <w:rsid w:val="45137D08"/>
    <w:rsid w:val="45210236"/>
    <w:rsid w:val="4527614B"/>
    <w:rsid w:val="452D1715"/>
    <w:rsid w:val="452E1696"/>
    <w:rsid w:val="452E5F4C"/>
    <w:rsid w:val="45320B87"/>
    <w:rsid w:val="45534332"/>
    <w:rsid w:val="45612018"/>
    <w:rsid w:val="45622468"/>
    <w:rsid w:val="45726C57"/>
    <w:rsid w:val="45743E4A"/>
    <w:rsid w:val="4584424D"/>
    <w:rsid w:val="45877710"/>
    <w:rsid w:val="458946E9"/>
    <w:rsid w:val="459260C9"/>
    <w:rsid w:val="45A25C1A"/>
    <w:rsid w:val="45A47C0E"/>
    <w:rsid w:val="45A81814"/>
    <w:rsid w:val="45B23675"/>
    <w:rsid w:val="45C12BEF"/>
    <w:rsid w:val="45C43703"/>
    <w:rsid w:val="45D31F34"/>
    <w:rsid w:val="45DB181E"/>
    <w:rsid w:val="45DD4A47"/>
    <w:rsid w:val="4607445E"/>
    <w:rsid w:val="461B1DAC"/>
    <w:rsid w:val="46371701"/>
    <w:rsid w:val="46440331"/>
    <w:rsid w:val="46551978"/>
    <w:rsid w:val="46577FD6"/>
    <w:rsid w:val="465D4160"/>
    <w:rsid w:val="466E65F8"/>
    <w:rsid w:val="467F0CF9"/>
    <w:rsid w:val="468E063F"/>
    <w:rsid w:val="46984734"/>
    <w:rsid w:val="46B52052"/>
    <w:rsid w:val="46B5206F"/>
    <w:rsid w:val="46C16DCB"/>
    <w:rsid w:val="46D955A7"/>
    <w:rsid w:val="46DA591E"/>
    <w:rsid w:val="46E018B9"/>
    <w:rsid w:val="46F63049"/>
    <w:rsid w:val="46F830F8"/>
    <w:rsid w:val="47027F7E"/>
    <w:rsid w:val="47092B52"/>
    <w:rsid w:val="47133957"/>
    <w:rsid w:val="471D2DD0"/>
    <w:rsid w:val="471E49F3"/>
    <w:rsid w:val="47227A99"/>
    <w:rsid w:val="47352029"/>
    <w:rsid w:val="47492FB2"/>
    <w:rsid w:val="474B4782"/>
    <w:rsid w:val="476472BA"/>
    <w:rsid w:val="476D7CAF"/>
    <w:rsid w:val="4771482F"/>
    <w:rsid w:val="47721D0E"/>
    <w:rsid w:val="478168DD"/>
    <w:rsid w:val="47A07E0C"/>
    <w:rsid w:val="47AD71EA"/>
    <w:rsid w:val="47C71867"/>
    <w:rsid w:val="47DA67C1"/>
    <w:rsid w:val="47DB1AEC"/>
    <w:rsid w:val="47EE2D28"/>
    <w:rsid w:val="47F36DFE"/>
    <w:rsid w:val="47F83F34"/>
    <w:rsid w:val="48010519"/>
    <w:rsid w:val="48036613"/>
    <w:rsid w:val="484752C1"/>
    <w:rsid w:val="484946C4"/>
    <w:rsid w:val="484F3B05"/>
    <w:rsid w:val="48653621"/>
    <w:rsid w:val="486B3856"/>
    <w:rsid w:val="486D154D"/>
    <w:rsid w:val="4870272E"/>
    <w:rsid w:val="48746121"/>
    <w:rsid w:val="487E463E"/>
    <w:rsid w:val="4890703A"/>
    <w:rsid w:val="48966FC9"/>
    <w:rsid w:val="489E2A01"/>
    <w:rsid w:val="48A54CA8"/>
    <w:rsid w:val="48AA57DD"/>
    <w:rsid w:val="48B0193B"/>
    <w:rsid w:val="48B30557"/>
    <w:rsid w:val="48C510DF"/>
    <w:rsid w:val="48DD2E0A"/>
    <w:rsid w:val="48E629B4"/>
    <w:rsid w:val="48F21359"/>
    <w:rsid w:val="49044BE8"/>
    <w:rsid w:val="490F3C52"/>
    <w:rsid w:val="491940CC"/>
    <w:rsid w:val="49204AC8"/>
    <w:rsid w:val="493447BD"/>
    <w:rsid w:val="49492F43"/>
    <w:rsid w:val="495407CE"/>
    <w:rsid w:val="49797CF8"/>
    <w:rsid w:val="49883A6B"/>
    <w:rsid w:val="498975CF"/>
    <w:rsid w:val="49900B72"/>
    <w:rsid w:val="49AD4B2D"/>
    <w:rsid w:val="49C1743E"/>
    <w:rsid w:val="49CF4A96"/>
    <w:rsid w:val="49DA3B9B"/>
    <w:rsid w:val="49DC7715"/>
    <w:rsid w:val="49E24F4D"/>
    <w:rsid w:val="49F85144"/>
    <w:rsid w:val="49F92EE1"/>
    <w:rsid w:val="49FA7572"/>
    <w:rsid w:val="4A023139"/>
    <w:rsid w:val="4A1531C3"/>
    <w:rsid w:val="4A2A125F"/>
    <w:rsid w:val="4A2F3D2E"/>
    <w:rsid w:val="4A3174F5"/>
    <w:rsid w:val="4A3D6214"/>
    <w:rsid w:val="4A4A3B02"/>
    <w:rsid w:val="4A6346F5"/>
    <w:rsid w:val="4A692BBD"/>
    <w:rsid w:val="4A745E65"/>
    <w:rsid w:val="4A7B576F"/>
    <w:rsid w:val="4A89713F"/>
    <w:rsid w:val="4A8D215F"/>
    <w:rsid w:val="4A9A07F7"/>
    <w:rsid w:val="4AA3047C"/>
    <w:rsid w:val="4AB368C6"/>
    <w:rsid w:val="4AB4263E"/>
    <w:rsid w:val="4AEA0FF7"/>
    <w:rsid w:val="4AF561A9"/>
    <w:rsid w:val="4B00690E"/>
    <w:rsid w:val="4B0349FD"/>
    <w:rsid w:val="4B03775E"/>
    <w:rsid w:val="4B11375C"/>
    <w:rsid w:val="4B1D307B"/>
    <w:rsid w:val="4B2D56EC"/>
    <w:rsid w:val="4B2E04B8"/>
    <w:rsid w:val="4B354EE7"/>
    <w:rsid w:val="4B3F45FD"/>
    <w:rsid w:val="4B582341"/>
    <w:rsid w:val="4B645116"/>
    <w:rsid w:val="4B6B31A1"/>
    <w:rsid w:val="4B9F509C"/>
    <w:rsid w:val="4BA051BA"/>
    <w:rsid w:val="4BAA3050"/>
    <w:rsid w:val="4BBD67C9"/>
    <w:rsid w:val="4BD065B2"/>
    <w:rsid w:val="4BD3773E"/>
    <w:rsid w:val="4BEE427F"/>
    <w:rsid w:val="4BEE48EA"/>
    <w:rsid w:val="4BF344F0"/>
    <w:rsid w:val="4C1B1915"/>
    <w:rsid w:val="4C2E44E5"/>
    <w:rsid w:val="4C447326"/>
    <w:rsid w:val="4C4A0649"/>
    <w:rsid w:val="4C52096F"/>
    <w:rsid w:val="4C593F12"/>
    <w:rsid w:val="4C673E0C"/>
    <w:rsid w:val="4C6A38FC"/>
    <w:rsid w:val="4C6D63AD"/>
    <w:rsid w:val="4C780A76"/>
    <w:rsid w:val="4C7E5ECA"/>
    <w:rsid w:val="4C876AA5"/>
    <w:rsid w:val="4C8A2ACC"/>
    <w:rsid w:val="4C9B1205"/>
    <w:rsid w:val="4CA24E44"/>
    <w:rsid w:val="4CB05A24"/>
    <w:rsid w:val="4CB13176"/>
    <w:rsid w:val="4CC4374B"/>
    <w:rsid w:val="4CE97F67"/>
    <w:rsid w:val="4CF4683D"/>
    <w:rsid w:val="4D0E00FB"/>
    <w:rsid w:val="4D176606"/>
    <w:rsid w:val="4D1822C1"/>
    <w:rsid w:val="4D205A61"/>
    <w:rsid w:val="4D265639"/>
    <w:rsid w:val="4D28526C"/>
    <w:rsid w:val="4D32534A"/>
    <w:rsid w:val="4D401A5B"/>
    <w:rsid w:val="4D4B02B3"/>
    <w:rsid w:val="4D6C78C7"/>
    <w:rsid w:val="4D7517FD"/>
    <w:rsid w:val="4D78714F"/>
    <w:rsid w:val="4D8D6604"/>
    <w:rsid w:val="4DCE3A17"/>
    <w:rsid w:val="4DEC4FB0"/>
    <w:rsid w:val="4DF3347D"/>
    <w:rsid w:val="4DFE2B1D"/>
    <w:rsid w:val="4E05000D"/>
    <w:rsid w:val="4E075D8A"/>
    <w:rsid w:val="4E1C3E22"/>
    <w:rsid w:val="4E2F2707"/>
    <w:rsid w:val="4E630603"/>
    <w:rsid w:val="4E681BD4"/>
    <w:rsid w:val="4E6A373F"/>
    <w:rsid w:val="4E6A73C2"/>
    <w:rsid w:val="4E6B4908"/>
    <w:rsid w:val="4E6F0E02"/>
    <w:rsid w:val="4E72675F"/>
    <w:rsid w:val="4E730CEB"/>
    <w:rsid w:val="4E7C3473"/>
    <w:rsid w:val="4E832F56"/>
    <w:rsid w:val="4EA457ED"/>
    <w:rsid w:val="4EBE0070"/>
    <w:rsid w:val="4EC00FAD"/>
    <w:rsid w:val="4EC033FE"/>
    <w:rsid w:val="4EC71676"/>
    <w:rsid w:val="4ECB5A61"/>
    <w:rsid w:val="4EE33859"/>
    <w:rsid w:val="4EE63BBD"/>
    <w:rsid w:val="4EE925DA"/>
    <w:rsid w:val="4EED7ACB"/>
    <w:rsid w:val="4EFA0F67"/>
    <w:rsid w:val="4F0C702F"/>
    <w:rsid w:val="4F0F2A4E"/>
    <w:rsid w:val="4F1E7E26"/>
    <w:rsid w:val="4F251D5C"/>
    <w:rsid w:val="4F3F2E1E"/>
    <w:rsid w:val="4F473A81"/>
    <w:rsid w:val="4F5B723C"/>
    <w:rsid w:val="4F6463E1"/>
    <w:rsid w:val="4F6B3C13"/>
    <w:rsid w:val="4F796D9F"/>
    <w:rsid w:val="4F9733BB"/>
    <w:rsid w:val="4F9843DC"/>
    <w:rsid w:val="4FA93FD8"/>
    <w:rsid w:val="4FAE6708"/>
    <w:rsid w:val="4FBA42C9"/>
    <w:rsid w:val="4FC62A8C"/>
    <w:rsid w:val="4FDD1D4A"/>
    <w:rsid w:val="4FE20F0D"/>
    <w:rsid w:val="4FE51552"/>
    <w:rsid w:val="4FEB6B02"/>
    <w:rsid w:val="4FF624A1"/>
    <w:rsid w:val="4FFA6D45"/>
    <w:rsid w:val="501C6CBB"/>
    <w:rsid w:val="502E6984"/>
    <w:rsid w:val="50355FCF"/>
    <w:rsid w:val="504B2AA6"/>
    <w:rsid w:val="504B6240"/>
    <w:rsid w:val="50504C4B"/>
    <w:rsid w:val="5063579C"/>
    <w:rsid w:val="506900F0"/>
    <w:rsid w:val="508B5A66"/>
    <w:rsid w:val="509C6E7C"/>
    <w:rsid w:val="50AA3F1E"/>
    <w:rsid w:val="50B84337"/>
    <w:rsid w:val="50CF45F4"/>
    <w:rsid w:val="50D45164"/>
    <w:rsid w:val="50EE6934"/>
    <w:rsid w:val="51086C8D"/>
    <w:rsid w:val="512B6BE9"/>
    <w:rsid w:val="512D5869"/>
    <w:rsid w:val="51314912"/>
    <w:rsid w:val="51322974"/>
    <w:rsid w:val="5162104E"/>
    <w:rsid w:val="51700D69"/>
    <w:rsid w:val="518F5318"/>
    <w:rsid w:val="519228EA"/>
    <w:rsid w:val="519E142D"/>
    <w:rsid w:val="51A054E7"/>
    <w:rsid w:val="51A25B11"/>
    <w:rsid w:val="51B5489E"/>
    <w:rsid w:val="51B91DC7"/>
    <w:rsid w:val="51F46618"/>
    <w:rsid w:val="51F94928"/>
    <w:rsid w:val="520122C8"/>
    <w:rsid w:val="52180C03"/>
    <w:rsid w:val="522C6F57"/>
    <w:rsid w:val="523522B6"/>
    <w:rsid w:val="524E7F7B"/>
    <w:rsid w:val="5259569B"/>
    <w:rsid w:val="526315B9"/>
    <w:rsid w:val="52841AC9"/>
    <w:rsid w:val="528F220C"/>
    <w:rsid w:val="529425C1"/>
    <w:rsid w:val="529E7FCB"/>
    <w:rsid w:val="52A457A3"/>
    <w:rsid w:val="52B256B5"/>
    <w:rsid w:val="52B729E6"/>
    <w:rsid w:val="52C91A04"/>
    <w:rsid w:val="52C975AF"/>
    <w:rsid w:val="52E37F64"/>
    <w:rsid w:val="52EF6909"/>
    <w:rsid w:val="52F34BEA"/>
    <w:rsid w:val="53384354"/>
    <w:rsid w:val="533F74A8"/>
    <w:rsid w:val="5367681F"/>
    <w:rsid w:val="538C2600"/>
    <w:rsid w:val="538F1F11"/>
    <w:rsid w:val="53903AEA"/>
    <w:rsid w:val="53A039CC"/>
    <w:rsid w:val="53A1505A"/>
    <w:rsid w:val="53A62FF9"/>
    <w:rsid w:val="53BB2873"/>
    <w:rsid w:val="53C32D17"/>
    <w:rsid w:val="53DA3115"/>
    <w:rsid w:val="53EB63D7"/>
    <w:rsid w:val="53F41559"/>
    <w:rsid w:val="53FF7C61"/>
    <w:rsid w:val="54063E08"/>
    <w:rsid w:val="540C1D4C"/>
    <w:rsid w:val="54267555"/>
    <w:rsid w:val="543437E8"/>
    <w:rsid w:val="54524254"/>
    <w:rsid w:val="54712C76"/>
    <w:rsid w:val="549D29F5"/>
    <w:rsid w:val="549F2A3D"/>
    <w:rsid w:val="54A83213"/>
    <w:rsid w:val="54B938D3"/>
    <w:rsid w:val="54C14A90"/>
    <w:rsid w:val="54C94F38"/>
    <w:rsid w:val="54D252F2"/>
    <w:rsid w:val="54D92965"/>
    <w:rsid w:val="54F73313"/>
    <w:rsid w:val="54F80955"/>
    <w:rsid w:val="55322AAE"/>
    <w:rsid w:val="553C658B"/>
    <w:rsid w:val="555170A7"/>
    <w:rsid w:val="55586AF0"/>
    <w:rsid w:val="557243E7"/>
    <w:rsid w:val="5577280B"/>
    <w:rsid w:val="55777466"/>
    <w:rsid w:val="55843E3B"/>
    <w:rsid w:val="5587536D"/>
    <w:rsid w:val="559B174B"/>
    <w:rsid w:val="55B71306"/>
    <w:rsid w:val="55C117F3"/>
    <w:rsid w:val="55C25A29"/>
    <w:rsid w:val="55C61CF3"/>
    <w:rsid w:val="55CE0CF4"/>
    <w:rsid w:val="55DD2BA5"/>
    <w:rsid w:val="55E873C6"/>
    <w:rsid w:val="55F21091"/>
    <w:rsid w:val="55F50744"/>
    <w:rsid w:val="56094A06"/>
    <w:rsid w:val="560B3455"/>
    <w:rsid w:val="560B59D8"/>
    <w:rsid w:val="560E5013"/>
    <w:rsid w:val="562160A6"/>
    <w:rsid w:val="56274A76"/>
    <w:rsid w:val="56284218"/>
    <w:rsid w:val="56610D70"/>
    <w:rsid w:val="56670462"/>
    <w:rsid w:val="56682A5B"/>
    <w:rsid w:val="566D6D0C"/>
    <w:rsid w:val="567A60F2"/>
    <w:rsid w:val="568D48D7"/>
    <w:rsid w:val="56AC6E6F"/>
    <w:rsid w:val="56B22A9C"/>
    <w:rsid w:val="56B35155"/>
    <w:rsid w:val="56B62190"/>
    <w:rsid w:val="56B67FDE"/>
    <w:rsid w:val="56C17FCF"/>
    <w:rsid w:val="56CD372D"/>
    <w:rsid w:val="56D35A65"/>
    <w:rsid w:val="56D40610"/>
    <w:rsid w:val="56DA3297"/>
    <w:rsid w:val="56F360A5"/>
    <w:rsid w:val="56F54085"/>
    <w:rsid w:val="5703624B"/>
    <w:rsid w:val="57082AE0"/>
    <w:rsid w:val="571403DA"/>
    <w:rsid w:val="57356E3F"/>
    <w:rsid w:val="57577E82"/>
    <w:rsid w:val="576645CF"/>
    <w:rsid w:val="57683096"/>
    <w:rsid w:val="576F217A"/>
    <w:rsid w:val="579D368B"/>
    <w:rsid w:val="57B0355B"/>
    <w:rsid w:val="57B72A76"/>
    <w:rsid w:val="57C132D9"/>
    <w:rsid w:val="57C30BAD"/>
    <w:rsid w:val="57C3426C"/>
    <w:rsid w:val="57C51A88"/>
    <w:rsid w:val="57CC4006"/>
    <w:rsid w:val="57CE1F93"/>
    <w:rsid w:val="57CE66F7"/>
    <w:rsid w:val="57D12A81"/>
    <w:rsid w:val="57DD31D4"/>
    <w:rsid w:val="57FD73D2"/>
    <w:rsid w:val="57FF29D7"/>
    <w:rsid w:val="580C3E6C"/>
    <w:rsid w:val="582B4629"/>
    <w:rsid w:val="58350697"/>
    <w:rsid w:val="58381365"/>
    <w:rsid w:val="584D643E"/>
    <w:rsid w:val="586A6CFC"/>
    <w:rsid w:val="587F5C2F"/>
    <w:rsid w:val="588743D1"/>
    <w:rsid w:val="5887701A"/>
    <w:rsid w:val="589553E5"/>
    <w:rsid w:val="58D1503B"/>
    <w:rsid w:val="58F307D5"/>
    <w:rsid w:val="58FB01AB"/>
    <w:rsid w:val="58FE1FAE"/>
    <w:rsid w:val="590550B0"/>
    <w:rsid w:val="591C7555"/>
    <w:rsid w:val="59223136"/>
    <w:rsid w:val="59247DA9"/>
    <w:rsid w:val="593F2ABC"/>
    <w:rsid w:val="59594ADC"/>
    <w:rsid w:val="596A205E"/>
    <w:rsid w:val="596E0255"/>
    <w:rsid w:val="5991597F"/>
    <w:rsid w:val="59B2243E"/>
    <w:rsid w:val="59C0439F"/>
    <w:rsid w:val="59C87E95"/>
    <w:rsid w:val="59CB1100"/>
    <w:rsid w:val="59E65699"/>
    <w:rsid w:val="5A004D4A"/>
    <w:rsid w:val="5A0E3854"/>
    <w:rsid w:val="5A1F4B06"/>
    <w:rsid w:val="5A27617F"/>
    <w:rsid w:val="5A344885"/>
    <w:rsid w:val="5A3926D4"/>
    <w:rsid w:val="5A533C21"/>
    <w:rsid w:val="5A557160"/>
    <w:rsid w:val="5A5A4FB0"/>
    <w:rsid w:val="5A640949"/>
    <w:rsid w:val="5A9C1D5C"/>
    <w:rsid w:val="5ABA2732"/>
    <w:rsid w:val="5ABA5A4E"/>
    <w:rsid w:val="5ABC7C4E"/>
    <w:rsid w:val="5ABE2233"/>
    <w:rsid w:val="5AD85ED5"/>
    <w:rsid w:val="5ADA3300"/>
    <w:rsid w:val="5B0D1DED"/>
    <w:rsid w:val="5B1E7D8B"/>
    <w:rsid w:val="5B201C2D"/>
    <w:rsid w:val="5B2630E4"/>
    <w:rsid w:val="5B2D0048"/>
    <w:rsid w:val="5B2D5DFB"/>
    <w:rsid w:val="5B4377F2"/>
    <w:rsid w:val="5B4A1AEB"/>
    <w:rsid w:val="5B92504F"/>
    <w:rsid w:val="5BA6388F"/>
    <w:rsid w:val="5BBD67C7"/>
    <w:rsid w:val="5BC53444"/>
    <w:rsid w:val="5BD82ED1"/>
    <w:rsid w:val="5BD83A5E"/>
    <w:rsid w:val="5BDC5206"/>
    <w:rsid w:val="5BDF5D95"/>
    <w:rsid w:val="5BE777F6"/>
    <w:rsid w:val="5BEC791B"/>
    <w:rsid w:val="5BF1704E"/>
    <w:rsid w:val="5BF41415"/>
    <w:rsid w:val="5BFE408A"/>
    <w:rsid w:val="5BFE7528"/>
    <w:rsid w:val="5C014B3A"/>
    <w:rsid w:val="5C0A266C"/>
    <w:rsid w:val="5C3A44DB"/>
    <w:rsid w:val="5C4E3203"/>
    <w:rsid w:val="5C69109C"/>
    <w:rsid w:val="5C70046E"/>
    <w:rsid w:val="5C767F10"/>
    <w:rsid w:val="5C82434A"/>
    <w:rsid w:val="5C8A1748"/>
    <w:rsid w:val="5C8A31FF"/>
    <w:rsid w:val="5C930CE0"/>
    <w:rsid w:val="5C9E682B"/>
    <w:rsid w:val="5CA87454"/>
    <w:rsid w:val="5CA91AAD"/>
    <w:rsid w:val="5CB4795E"/>
    <w:rsid w:val="5CC843B9"/>
    <w:rsid w:val="5CCD511C"/>
    <w:rsid w:val="5CD86660"/>
    <w:rsid w:val="5CF66061"/>
    <w:rsid w:val="5CFF7BD9"/>
    <w:rsid w:val="5D0B107A"/>
    <w:rsid w:val="5D105314"/>
    <w:rsid w:val="5D115F1E"/>
    <w:rsid w:val="5D1360DB"/>
    <w:rsid w:val="5D1538E2"/>
    <w:rsid w:val="5D192C76"/>
    <w:rsid w:val="5D4109E2"/>
    <w:rsid w:val="5D614C6C"/>
    <w:rsid w:val="5D8C52B4"/>
    <w:rsid w:val="5DC45FDB"/>
    <w:rsid w:val="5DD73143"/>
    <w:rsid w:val="5DFE66A5"/>
    <w:rsid w:val="5E141C06"/>
    <w:rsid w:val="5E203E1A"/>
    <w:rsid w:val="5E24601B"/>
    <w:rsid w:val="5E2467F1"/>
    <w:rsid w:val="5E3C6BD1"/>
    <w:rsid w:val="5E415EBC"/>
    <w:rsid w:val="5E47745D"/>
    <w:rsid w:val="5E5A45FB"/>
    <w:rsid w:val="5E641E39"/>
    <w:rsid w:val="5E85096B"/>
    <w:rsid w:val="5E92592C"/>
    <w:rsid w:val="5E961D20"/>
    <w:rsid w:val="5EAC38D8"/>
    <w:rsid w:val="5EB167DE"/>
    <w:rsid w:val="5EDA221B"/>
    <w:rsid w:val="5EE27322"/>
    <w:rsid w:val="5F0D4706"/>
    <w:rsid w:val="5F1A2B43"/>
    <w:rsid w:val="5F32260B"/>
    <w:rsid w:val="5F4F703F"/>
    <w:rsid w:val="5F8C566C"/>
    <w:rsid w:val="5F961D31"/>
    <w:rsid w:val="5FA12D39"/>
    <w:rsid w:val="5FB837BB"/>
    <w:rsid w:val="5FCB31DD"/>
    <w:rsid w:val="5FCE093D"/>
    <w:rsid w:val="5FD47CC0"/>
    <w:rsid w:val="6017113C"/>
    <w:rsid w:val="601E25DC"/>
    <w:rsid w:val="601E438A"/>
    <w:rsid w:val="603B56AA"/>
    <w:rsid w:val="603C2B51"/>
    <w:rsid w:val="60556AAD"/>
    <w:rsid w:val="6065396A"/>
    <w:rsid w:val="60695812"/>
    <w:rsid w:val="608108BD"/>
    <w:rsid w:val="6082725B"/>
    <w:rsid w:val="60891ED4"/>
    <w:rsid w:val="60903494"/>
    <w:rsid w:val="60956B25"/>
    <w:rsid w:val="609A104B"/>
    <w:rsid w:val="60A24FBB"/>
    <w:rsid w:val="60AB6D77"/>
    <w:rsid w:val="60AC01C1"/>
    <w:rsid w:val="60B45E22"/>
    <w:rsid w:val="60CC405A"/>
    <w:rsid w:val="60DF1D6B"/>
    <w:rsid w:val="60F1387B"/>
    <w:rsid w:val="60F22DAB"/>
    <w:rsid w:val="60FC235E"/>
    <w:rsid w:val="610416ED"/>
    <w:rsid w:val="61300E5D"/>
    <w:rsid w:val="613E0519"/>
    <w:rsid w:val="61410C30"/>
    <w:rsid w:val="6145245A"/>
    <w:rsid w:val="61812E22"/>
    <w:rsid w:val="618F4493"/>
    <w:rsid w:val="619C24EA"/>
    <w:rsid w:val="619E5284"/>
    <w:rsid w:val="61BD0FF3"/>
    <w:rsid w:val="61DD54B1"/>
    <w:rsid w:val="61E215D8"/>
    <w:rsid w:val="61F020BD"/>
    <w:rsid w:val="6201410B"/>
    <w:rsid w:val="62140B91"/>
    <w:rsid w:val="621A3BF6"/>
    <w:rsid w:val="621B3775"/>
    <w:rsid w:val="62243F99"/>
    <w:rsid w:val="6235097C"/>
    <w:rsid w:val="62364782"/>
    <w:rsid w:val="62375BD7"/>
    <w:rsid w:val="62481CED"/>
    <w:rsid w:val="62504F95"/>
    <w:rsid w:val="625B018B"/>
    <w:rsid w:val="627A4DBE"/>
    <w:rsid w:val="62824D14"/>
    <w:rsid w:val="629A17D8"/>
    <w:rsid w:val="629A192B"/>
    <w:rsid w:val="62D376AD"/>
    <w:rsid w:val="62DA74D7"/>
    <w:rsid w:val="62DB0C58"/>
    <w:rsid w:val="62E211A4"/>
    <w:rsid w:val="62FF70B6"/>
    <w:rsid w:val="631902CA"/>
    <w:rsid w:val="631D7D84"/>
    <w:rsid w:val="63253B11"/>
    <w:rsid w:val="633622DF"/>
    <w:rsid w:val="63400F78"/>
    <w:rsid w:val="635001B8"/>
    <w:rsid w:val="63766B4C"/>
    <w:rsid w:val="639339A5"/>
    <w:rsid w:val="6394356A"/>
    <w:rsid w:val="639760D3"/>
    <w:rsid w:val="63A23524"/>
    <w:rsid w:val="63AB5143"/>
    <w:rsid w:val="63BD1B7D"/>
    <w:rsid w:val="63C61B2C"/>
    <w:rsid w:val="63D062E3"/>
    <w:rsid w:val="63D40BE9"/>
    <w:rsid w:val="63DD79DB"/>
    <w:rsid w:val="63F63329"/>
    <w:rsid w:val="63FB30C5"/>
    <w:rsid w:val="64102431"/>
    <w:rsid w:val="642202DE"/>
    <w:rsid w:val="645333ED"/>
    <w:rsid w:val="646A047C"/>
    <w:rsid w:val="646F76A4"/>
    <w:rsid w:val="64922C9C"/>
    <w:rsid w:val="64A41A80"/>
    <w:rsid w:val="64A5243A"/>
    <w:rsid w:val="64B231F0"/>
    <w:rsid w:val="64D850AE"/>
    <w:rsid w:val="64EE3382"/>
    <w:rsid w:val="64F531DE"/>
    <w:rsid w:val="65010959"/>
    <w:rsid w:val="650439E7"/>
    <w:rsid w:val="651352A3"/>
    <w:rsid w:val="651A6CE4"/>
    <w:rsid w:val="651D2E62"/>
    <w:rsid w:val="65275821"/>
    <w:rsid w:val="652A4208"/>
    <w:rsid w:val="65373578"/>
    <w:rsid w:val="6547052D"/>
    <w:rsid w:val="655A2308"/>
    <w:rsid w:val="65665984"/>
    <w:rsid w:val="65B23EF2"/>
    <w:rsid w:val="65B31455"/>
    <w:rsid w:val="65D941B3"/>
    <w:rsid w:val="65F1531A"/>
    <w:rsid w:val="65F362B8"/>
    <w:rsid w:val="65F90E4A"/>
    <w:rsid w:val="661224AE"/>
    <w:rsid w:val="66160B21"/>
    <w:rsid w:val="663A7A43"/>
    <w:rsid w:val="665171D4"/>
    <w:rsid w:val="66560D21"/>
    <w:rsid w:val="66730101"/>
    <w:rsid w:val="668E290A"/>
    <w:rsid w:val="669F442C"/>
    <w:rsid w:val="66AB665F"/>
    <w:rsid w:val="66BC2C18"/>
    <w:rsid w:val="66D734E4"/>
    <w:rsid w:val="67102854"/>
    <w:rsid w:val="6714259A"/>
    <w:rsid w:val="671E22C5"/>
    <w:rsid w:val="671F124A"/>
    <w:rsid w:val="672D5D06"/>
    <w:rsid w:val="672E0134"/>
    <w:rsid w:val="673553AA"/>
    <w:rsid w:val="67364928"/>
    <w:rsid w:val="6736719C"/>
    <w:rsid w:val="6740552D"/>
    <w:rsid w:val="67655937"/>
    <w:rsid w:val="67686611"/>
    <w:rsid w:val="676B72AB"/>
    <w:rsid w:val="677A33C6"/>
    <w:rsid w:val="67831E17"/>
    <w:rsid w:val="67833234"/>
    <w:rsid w:val="678B0BB5"/>
    <w:rsid w:val="67B70C5E"/>
    <w:rsid w:val="67C65596"/>
    <w:rsid w:val="67CF7936"/>
    <w:rsid w:val="67D76F8A"/>
    <w:rsid w:val="67EE0368"/>
    <w:rsid w:val="67F45C40"/>
    <w:rsid w:val="67F87BB6"/>
    <w:rsid w:val="67FD04F1"/>
    <w:rsid w:val="6806174B"/>
    <w:rsid w:val="68155D6C"/>
    <w:rsid w:val="681F6961"/>
    <w:rsid w:val="68220B24"/>
    <w:rsid w:val="6833525F"/>
    <w:rsid w:val="68497BB7"/>
    <w:rsid w:val="684C26A0"/>
    <w:rsid w:val="684D56BA"/>
    <w:rsid w:val="68610A2F"/>
    <w:rsid w:val="68631EBA"/>
    <w:rsid w:val="686B66E0"/>
    <w:rsid w:val="687B7EE7"/>
    <w:rsid w:val="68805514"/>
    <w:rsid w:val="688F6F18"/>
    <w:rsid w:val="68AA7102"/>
    <w:rsid w:val="68BE2BAE"/>
    <w:rsid w:val="68D05E6E"/>
    <w:rsid w:val="68F22A81"/>
    <w:rsid w:val="69004F74"/>
    <w:rsid w:val="6904507A"/>
    <w:rsid w:val="69097331"/>
    <w:rsid w:val="690E4483"/>
    <w:rsid w:val="690F1C1E"/>
    <w:rsid w:val="69182B10"/>
    <w:rsid w:val="69252C2D"/>
    <w:rsid w:val="69316E2F"/>
    <w:rsid w:val="69450571"/>
    <w:rsid w:val="694E2071"/>
    <w:rsid w:val="694F30C6"/>
    <w:rsid w:val="695076AB"/>
    <w:rsid w:val="695A0B28"/>
    <w:rsid w:val="695A2C4F"/>
    <w:rsid w:val="6976471E"/>
    <w:rsid w:val="69766163"/>
    <w:rsid w:val="697A3B33"/>
    <w:rsid w:val="697B767A"/>
    <w:rsid w:val="697C2535"/>
    <w:rsid w:val="698060B5"/>
    <w:rsid w:val="698C5CB0"/>
    <w:rsid w:val="69A41DA4"/>
    <w:rsid w:val="69BD345C"/>
    <w:rsid w:val="69BF390B"/>
    <w:rsid w:val="69C97DD1"/>
    <w:rsid w:val="69D44760"/>
    <w:rsid w:val="69E37865"/>
    <w:rsid w:val="69E93057"/>
    <w:rsid w:val="69F124D6"/>
    <w:rsid w:val="69F26396"/>
    <w:rsid w:val="69F516AD"/>
    <w:rsid w:val="6A1938B8"/>
    <w:rsid w:val="6A2F1539"/>
    <w:rsid w:val="6A520EC7"/>
    <w:rsid w:val="6A5826C2"/>
    <w:rsid w:val="6A725BE0"/>
    <w:rsid w:val="6A84722A"/>
    <w:rsid w:val="6A882422"/>
    <w:rsid w:val="6AC02C0D"/>
    <w:rsid w:val="6AC15A42"/>
    <w:rsid w:val="6ADE3093"/>
    <w:rsid w:val="6AE44204"/>
    <w:rsid w:val="6AEF52A0"/>
    <w:rsid w:val="6AF87E20"/>
    <w:rsid w:val="6AFA0CF0"/>
    <w:rsid w:val="6B12481E"/>
    <w:rsid w:val="6B1653C7"/>
    <w:rsid w:val="6B3044F1"/>
    <w:rsid w:val="6B322639"/>
    <w:rsid w:val="6B472290"/>
    <w:rsid w:val="6B532E57"/>
    <w:rsid w:val="6B5645EB"/>
    <w:rsid w:val="6B56531F"/>
    <w:rsid w:val="6B5C1CD6"/>
    <w:rsid w:val="6B786CDD"/>
    <w:rsid w:val="6B872A00"/>
    <w:rsid w:val="6B881251"/>
    <w:rsid w:val="6B937884"/>
    <w:rsid w:val="6B9E4576"/>
    <w:rsid w:val="6BAA1799"/>
    <w:rsid w:val="6BB261E6"/>
    <w:rsid w:val="6BB90DE8"/>
    <w:rsid w:val="6BBB30C2"/>
    <w:rsid w:val="6BC73B27"/>
    <w:rsid w:val="6BD149A6"/>
    <w:rsid w:val="6BD47B7F"/>
    <w:rsid w:val="6BE769FB"/>
    <w:rsid w:val="6BF1147C"/>
    <w:rsid w:val="6BFC6352"/>
    <w:rsid w:val="6C016886"/>
    <w:rsid w:val="6C111E44"/>
    <w:rsid w:val="6C1E1DDF"/>
    <w:rsid w:val="6C28360B"/>
    <w:rsid w:val="6C307A24"/>
    <w:rsid w:val="6C3513D9"/>
    <w:rsid w:val="6C3A079D"/>
    <w:rsid w:val="6C460A48"/>
    <w:rsid w:val="6C4A7FE6"/>
    <w:rsid w:val="6C636C38"/>
    <w:rsid w:val="6C6E7FF0"/>
    <w:rsid w:val="6C7C0DB6"/>
    <w:rsid w:val="6C804154"/>
    <w:rsid w:val="6C855049"/>
    <w:rsid w:val="6C977C73"/>
    <w:rsid w:val="6CA36342"/>
    <w:rsid w:val="6CBE13CE"/>
    <w:rsid w:val="6D3F53F1"/>
    <w:rsid w:val="6D4149F5"/>
    <w:rsid w:val="6D475025"/>
    <w:rsid w:val="6D6F26C8"/>
    <w:rsid w:val="6D8050C0"/>
    <w:rsid w:val="6D874995"/>
    <w:rsid w:val="6D8E5D47"/>
    <w:rsid w:val="6D9927BE"/>
    <w:rsid w:val="6DA07D03"/>
    <w:rsid w:val="6DA175F3"/>
    <w:rsid w:val="6DB34098"/>
    <w:rsid w:val="6DB545B6"/>
    <w:rsid w:val="6DB875FB"/>
    <w:rsid w:val="6DB93944"/>
    <w:rsid w:val="6DBC51E2"/>
    <w:rsid w:val="6DCB02A1"/>
    <w:rsid w:val="6DE02FB4"/>
    <w:rsid w:val="6DE82C7F"/>
    <w:rsid w:val="6E070B53"/>
    <w:rsid w:val="6E1921A8"/>
    <w:rsid w:val="6E23001B"/>
    <w:rsid w:val="6E2F31DD"/>
    <w:rsid w:val="6E3204CD"/>
    <w:rsid w:val="6E501FCB"/>
    <w:rsid w:val="6E514CED"/>
    <w:rsid w:val="6E610EC6"/>
    <w:rsid w:val="6E663431"/>
    <w:rsid w:val="6E9D1C94"/>
    <w:rsid w:val="6EB563D5"/>
    <w:rsid w:val="6EB80EAC"/>
    <w:rsid w:val="6ED053E9"/>
    <w:rsid w:val="6ED67E59"/>
    <w:rsid w:val="6ED92677"/>
    <w:rsid w:val="6EDC37DD"/>
    <w:rsid w:val="6EDD0A36"/>
    <w:rsid w:val="6EF870BB"/>
    <w:rsid w:val="6EF96E4D"/>
    <w:rsid w:val="6F0A722A"/>
    <w:rsid w:val="6F225983"/>
    <w:rsid w:val="6F2B6AC3"/>
    <w:rsid w:val="6F2C2DF9"/>
    <w:rsid w:val="6F347726"/>
    <w:rsid w:val="6F352E73"/>
    <w:rsid w:val="6F35555E"/>
    <w:rsid w:val="6F396A26"/>
    <w:rsid w:val="6F3A7D64"/>
    <w:rsid w:val="6F4A3C30"/>
    <w:rsid w:val="6F543B4F"/>
    <w:rsid w:val="6F563B40"/>
    <w:rsid w:val="6F6F2A7D"/>
    <w:rsid w:val="6F706A3F"/>
    <w:rsid w:val="6F8D6A13"/>
    <w:rsid w:val="6FAF24CD"/>
    <w:rsid w:val="6FB51A99"/>
    <w:rsid w:val="6FCB7847"/>
    <w:rsid w:val="6FCE7B7A"/>
    <w:rsid w:val="6FE4739E"/>
    <w:rsid w:val="6FF814B9"/>
    <w:rsid w:val="6FFC5590"/>
    <w:rsid w:val="70120FFB"/>
    <w:rsid w:val="70210F5D"/>
    <w:rsid w:val="704A2F79"/>
    <w:rsid w:val="70545E6C"/>
    <w:rsid w:val="705D3EEE"/>
    <w:rsid w:val="706D1DD0"/>
    <w:rsid w:val="70856B87"/>
    <w:rsid w:val="70883428"/>
    <w:rsid w:val="70AA5B21"/>
    <w:rsid w:val="70B8374B"/>
    <w:rsid w:val="70B94C28"/>
    <w:rsid w:val="70BA00FF"/>
    <w:rsid w:val="70CE7706"/>
    <w:rsid w:val="70D527EE"/>
    <w:rsid w:val="70D92C6A"/>
    <w:rsid w:val="70DD1791"/>
    <w:rsid w:val="70E0631D"/>
    <w:rsid w:val="70E84C6C"/>
    <w:rsid w:val="70FC4273"/>
    <w:rsid w:val="712C2BEB"/>
    <w:rsid w:val="712D7C96"/>
    <w:rsid w:val="713030AF"/>
    <w:rsid w:val="714125CE"/>
    <w:rsid w:val="71476A9E"/>
    <w:rsid w:val="71493231"/>
    <w:rsid w:val="714A1D08"/>
    <w:rsid w:val="715015A2"/>
    <w:rsid w:val="715B5300"/>
    <w:rsid w:val="715C16BF"/>
    <w:rsid w:val="71695D12"/>
    <w:rsid w:val="71804EA4"/>
    <w:rsid w:val="71A139C7"/>
    <w:rsid w:val="71C12532"/>
    <w:rsid w:val="71D27F8A"/>
    <w:rsid w:val="71E80C9B"/>
    <w:rsid w:val="71F679AC"/>
    <w:rsid w:val="71F72C8D"/>
    <w:rsid w:val="71FC02A3"/>
    <w:rsid w:val="721215E0"/>
    <w:rsid w:val="722340B0"/>
    <w:rsid w:val="72406015"/>
    <w:rsid w:val="725325B9"/>
    <w:rsid w:val="72553024"/>
    <w:rsid w:val="72593F7F"/>
    <w:rsid w:val="72723293"/>
    <w:rsid w:val="72966949"/>
    <w:rsid w:val="729D3834"/>
    <w:rsid w:val="729F0B26"/>
    <w:rsid w:val="72AA01D1"/>
    <w:rsid w:val="72AE58D4"/>
    <w:rsid w:val="72B02875"/>
    <w:rsid w:val="72C15774"/>
    <w:rsid w:val="72C45265"/>
    <w:rsid w:val="72D6385C"/>
    <w:rsid w:val="72E13705"/>
    <w:rsid w:val="72F0350D"/>
    <w:rsid w:val="72F403B0"/>
    <w:rsid w:val="730B4C41"/>
    <w:rsid w:val="730E042D"/>
    <w:rsid w:val="73122968"/>
    <w:rsid w:val="73163C5B"/>
    <w:rsid w:val="731F5D5E"/>
    <w:rsid w:val="73616452"/>
    <w:rsid w:val="73634A7D"/>
    <w:rsid w:val="737A0D45"/>
    <w:rsid w:val="73BB3DF4"/>
    <w:rsid w:val="73C51AD5"/>
    <w:rsid w:val="73CF760D"/>
    <w:rsid w:val="73F523AC"/>
    <w:rsid w:val="73FE56DD"/>
    <w:rsid w:val="73FF117A"/>
    <w:rsid w:val="741E793C"/>
    <w:rsid w:val="743B3304"/>
    <w:rsid w:val="745B48F4"/>
    <w:rsid w:val="745B7D5C"/>
    <w:rsid w:val="745D0B92"/>
    <w:rsid w:val="745E3944"/>
    <w:rsid w:val="745F00D3"/>
    <w:rsid w:val="746D75F9"/>
    <w:rsid w:val="74770CD2"/>
    <w:rsid w:val="749471E1"/>
    <w:rsid w:val="74A85A65"/>
    <w:rsid w:val="74BA5C68"/>
    <w:rsid w:val="74C958F1"/>
    <w:rsid w:val="74D51674"/>
    <w:rsid w:val="751618E3"/>
    <w:rsid w:val="7521074C"/>
    <w:rsid w:val="7528245B"/>
    <w:rsid w:val="752C0EA6"/>
    <w:rsid w:val="756E3252"/>
    <w:rsid w:val="75720FA8"/>
    <w:rsid w:val="75763257"/>
    <w:rsid w:val="75866801"/>
    <w:rsid w:val="75B54C13"/>
    <w:rsid w:val="75BE0CA2"/>
    <w:rsid w:val="75C53B57"/>
    <w:rsid w:val="75CC6980"/>
    <w:rsid w:val="75E3083F"/>
    <w:rsid w:val="75E60340"/>
    <w:rsid w:val="76286F5D"/>
    <w:rsid w:val="762D3D39"/>
    <w:rsid w:val="763132FC"/>
    <w:rsid w:val="7635099D"/>
    <w:rsid w:val="7642578C"/>
    <w:rsid w:val="7644274D"/>
    <w:rsid w:val="76454419"/>
    <w:rsid w:val="76516E0F"/>
    <w:rsid w:val="7672477C"/>
    <w:rsid w:val="7682184D"/>
    <w:rsid w:val="768A5DB9"/>
    <w:rsid w:val="76921595"/>
    <w:rsid w:val="7694417E"/>
    <w:rsid w:val="76946294"/>
    <w:rsid w:val="76A26A07"/>
    <w:rsid w:val="76B30572"/>
    <w:rsid w:val="76B44018"/>
    <w:rsid w:val="76CF2909"/>
    <w:rsid w:val="76E41E4E"/>
    <w:rsid w:val="76EA29FC"/>
    <w:rsid w:val="771E05C9"/>
    <w:rsid w:val="77264A7D"/>
    <w:rsid w:val="773B361B"/>
    <w:rsid w:val="7745384C"/>
    <w:rsid w:val="774872ED"/>
    <w:rsid w:val="77607885"/>
    <w:rsid w:val="77762421"/>
    <w:rsid w:val="777D62EF"/>
    <w:rsid w:val="77862AE9"/>
    <w:rsid w:val="77871945"/>
    <w:rsid w:val="779B768D"/>
    <w:rsid w:val="77A411C1"/>
    <w:rsid w:val="77AC5580"/>
    <w:rsid w:val="77B56B1F"/>
    <w:rsid w:val="77C5239A"/>
    <w:rsid w:val="77DE46D3"/>
    <w:rsid w:val="77DF1FC3"/>
    <w:rsid w:val="77EE068E"/>
    <w:rsid w:val="77F53409"/>
    <w:rsid w:val="77FA73A1"/>
    <w:rsid w:val="780954C8"/>
    <w:rsid w:val="780F09F4"/>
    <w:rsid w:val="78212811"/>
    <w:rsid w:val="78212E1E"/>
    <w:rsid w:val="782570BB"/>
    <w:rsid w:val="78287344"/>
    <w:rsid w:val="782B3BC7"/>
    <w:rsid w:val="783E09F1"/>
    <w:rsid w:val="784B788E"/>
    <w:rsid w:val="786F3127"/>
    <w:rsid w:val="787776F0"/>
    <w:rsid w:val="78A90480"/>
    <w:rsid w:val="78AE3869"/>
    <w:rsid w:val="78BB7F3D"/>
    <w:rsid w:val="78CB6195"/>
    <w:rsid w:val="78D32916"/>
    <w:rsid w:val="78F51172"/>
    <w:rsid w:val="79132AA2"/>
    <w:rsid w:val="792B602A"/>
    <w:rsid w:val="79343C3C"/>
    <w:rsid w:val="794A5D98"/>
    <w:rsid w:val="7957027F"/>
    <w:rsid w:val="795A422D"/>
    <w:rsid w:val="796D2011"/>
    <w:rsid w:val="796F0529"/>
    <w:rsid w:val="798D4979"/>
    <w:rsid w:val="79AC031A"/>
    <w:rsid w:val="79B527D9"/>
    <w:rsid w:val="79D73C17"/>
    <w:rsid w:val="79FC0AEC"/>
    <w:rsid w:val="7A364017"/>
    <w:rsid w:val="7A4D4138"/>
    <w:rsid w:val="7A4E7799"/>
    <w:rsid w:val="7A8265E1"/>
    <w:rsid w:val="7A8F43AA"/>
    <w:rsid w:val="7AB94F83"/>
    <w:rsid w:val="7ADD10D8"/>
    <w:rsid w:val="7AE64082"/>
    <w:rsid w:val="7AEA15E0"/>
    <w:rsid w:val="7AF74902"/>
    <w:rsid w:val="7AFF3532"/>
    <w:rsid w:val="7AFF5A1A"/>
    <w:rsid w:val="7B011A2A"/>
    <w:rsid w:val="7B1B327D"/>
    <w:rsid w:val="7B2B28AC"/>
    <w:rsid w:val="7B327FB1"/>
    <w:rsid w:val="7B3C1E6A"/>
    <w:rsid w:val="7B4428FF"/>
    <w:rsid w:val="7B512CCA"/>
    <w:rsid w:val="7B643141"/>
    <w:rsid w:val="7B686D42"/>
    <w:rsid w:val="7B6E01E2"/>
    <w:rsid w:val="7B78070C"/>
    <w:rsid w:val="7B7C28F8"/>
    <w:rsid w:val="7B841746"/>
    <w:rsid w:val="7B8D1D3A"/>
    <w:rsid w:val="7B8E01BE"/>
    <w:rsid w:val="7B9479E7"/>
    <w:rsid w:val="7BA06143"/>
    <w:rsid w:val="7BA06571"/>
    <w:rsid w:val="7BA916E4"/>
    <w:rsid w:val="7BC23DAC"/>
    <w:rsid w:val="7BD2522F"/>
    <w:rsid w:val="7BDA7E4C"/>
    <w:rsid w:val="7BDD1298"/>
    <w:rsid w:val="7BF14B11"/>
    <w:rsid w:val="7BF554F9"/>
    <w:rsid w:val="7C0C5586"/>
    <w:rsid w:val="7C3C55BE"/>
    <w:rsid w:val="7C4A0ECA"/>
    <w:rsid w:val="7C502F5A"/>
    <w:rsid w:val="7C5036C5"/>
    <w:rsid w:val="7C655094"/>
    <w:rsid w:val="7C6C1383"/>
    <w:rsid w:val="7C6C5AC7"/>
    <w:rsid w:val="7C950E2A"/>
    <w:rsid w:val="7CB37A88"/>
    <w:rsid w:val="7CB9570E"/>
    <w:rsid w:val="7CC630CC"/>
    <w:rsid w:val="7CC6544B"/>
    <w:rsid w:val="7CD53DA3"/>
    <w:rsid w:val="7CE7618C"/>
    <w:rsid w:val="7CF65256"/>
    <w:rsid w:val="7CFB5D27"/>
    <w:rsid w:val="7D0239FF"/>
    <w:rsid w:val="7D05731B"/>
    <w:rsid w:val="7D10613C"/>
    <w:rsid w:val="7D1B0177"/>
    <w:rsid w:val="7D23702C"/>
    <w:rsid w:val="7D3624F4"/>
    <w:rsid w:val="7D3A14B5"/>
    <w:rsid w:val="7D3C5CB5"/>
    <w:rsid w:val="7D400A8D"/>
    <w:rsid w:val="7D4D1DE7"/>
    <w:rsid w:val="7D5E40CD"/>
    <w:rsid w:val="7D650960"/>
    <w:rsid w:val="7D6513F2"/>
    <w:rsid w:val="7D78341C"/>
    <w:rsid w:val="7D7C4A5C"/>
    <w:rsid w:val="7D8B298B"/>
    <w:rsid w:val="7D8C5DEA"/>
    <w:rsid w:val="7DB618B0"/>
    <w:rsid w:val="7DBF009A"/>
    <w:rsid w:val="7DC74EC1"/>
    <w:rsid w:val="7DCD56F2"/>
    <w:rsid w:val="7DD2120E"/>
    <w:rsid w:val="7DF04F86"/>
    <w:rsid w:val="7E2D63D7"/>
    <w:rsid w:val="7E2E13F5"/>
    <w:rsid w:val="7E2F4BE5"/>
    <w:rsid w:val="7E411563"/>
    <w:rsid w:val="7E4B1F16"/>
    <w:rsid w:val="7E6F655F"/>
    <w:rsid w:val="7E797400"/>
    <w:rsid w:val="7EA60439"/>
    <w:rsid w:val="7EA87D63"/>
    <w:rsid w:val="7ECF746B"/>
    <w:rsid w:val="7EDF7E54"/>
    <w:rsid w:val="7EF02F3D"/>
    <w:rsid w:val="7EF84662"/>
    <w:rsid w:val="7F001CE7"/>
    <w:rsid w:val="7F022175"/>
    <w:rsid w:val="7F2A2404"/>
    <w:rsid w:val="7F4A1A9A"/>
    <w:rsid w:val="7F515254"/>
    <w:rsid w:val="7F5C270F"/>
    <w:rsid w:val="7F600ADD"/>
    <w:rsid w:val="7F694D38"/>
    <w:rsid w:val="7FB004E9"/>
    <w:rsid w:val="7FC161D6"/>
    <w:rsid w:val="7FC20DC0"/>
    <w:rsid w:val="7FC756CE"/>
    <w:rsid w:val="7FCC2B42"/>
    <w:rsid w:val="7FE1371F"/>
    <w:rsid w:val="7FE47E50"/>
    <w:rsid w:val="7FF506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ocked="1"/>
    <w:lsdException w:qFormat="1" w:unhideWhenUsed="0" w:uiPriority="0" w:semiHidden="0" w:name="heading 2" w:locked="1"/>
    <w:lsdException w:qFormat="1" w:unhideWhenUsed="0" w:uiPriority="0" w:semiHidden="0" w:name="heading 3" w:locked="1"/>
    <w:lsdException w:qFormat="1" w:unhideWhenUsed="0" w:uiPriority="1"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ocked="1"/>
    <w:lsdException w:qFormat="1"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35"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semiHidden="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qFormat="1"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iPriority="0" w:semiHidden="0" w:name="Body Text First Indent 2" w:locked="1"/>
    <w:lsdException w:unhideWhenUsed="0" w:uiPriority="0" w:semiHidden="0" w:name="Note Heading" w:locked="1"/>
    <w:lsdException w:qFormat="1" w:unhideWhenUsed="0" w:uiPriority="0" w:semiHidden="0" w:name="Body Text 2" w:locked="1"/>
    <w:lsdException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unhideWhenUsed="0" w:uiPriority="0" w:semiHidden="0" w:name="Block Text" w:locked="1"/>
    <w:lsdException w:qFormat="1" w:unhideWhenUsed="0" w:uiPriority="99"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qFormat="1" w:unhideWhenUsed="0" w:uiPriority="0" w:semiHidden="0" w:name="Document Map" w:locked="1"/>
    <w:lsdException w:qFormat="1" w:unhideWhenUsed="0" w:uiPriority="0" w:semiHidden="0" w:name="Plain Text" w:locked="1"/>
    <w:lsdException w:qFormat="1" w:uiPriority="99"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qFormat="1"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name="Balloon Text"/>
    <w:lsdException w:qFormat="1" w:unhideWhenUsed="0" w:uiPriority="0" w:semiHidden="0" w:name="Table Grid"/>
    <w:lsdException w:uiPriority="0"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720" w:firstLineChars="200"/>
    </w:pPr>
    <w:rPr>
      <w:rFonts w:ascii="Times New Roman" w:hAnsi="Times New Roman" w:eastAsia="宋体" w:cs="Times New Roman"/>
      <w:kern w:val="2"/>
      <w:sz w:val="24"/>
      <w:szCs w:val="24"/>
      <w:lang w:val="en-US" w:eastAsia="zh-CN" w:bidi="ar-SA"/>
    </w:rPr>
  </w:style>
  <w:style w:type="paragraph" w:styleId="2">
    <w:name w:val="heading 1"/>
    <w:basedOn w:val="1"/>
    <w:next w:val="1"/>
    <w:link w:val="49"/>
    <w:autoRedefine/>
    <w:qFormat/>
    <w:locked/>
    <w:uiPriority w:val="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autoRedefine/>
    <w:qFormat/>
    <w:locked/>
    <w:uiPriority w:val="0"/>
    <w:pPr>
      <w:keepNext/>
      <w:keepLines/>
      <w:autoSpaceDE w:val="0"/>
      <w:autoSpaceDN w:val="0"/>
      <w:adjustRightInd w:val="0"/>
      <w:spacing w:before="120" w:after="120"/>
      <w:ind w:left="2318" w:hanging="425"/>
      <w:textAlignment w:val="baseline"/>
      <w:outlineLvl w:val="1"/>
    </w:pPr>
    <w:rPr>
      <w:b/>
      <w:kern w:val="24"/>
      <w:szCs w:val="20"/>
    </w:rPr>
  </w:style>
  <w:style w:type="paragraph" w:styleId="4">
    <w:name w:val="heading 3"/>
    <w:basedOn w:val="1"/>
    <w:next w:val="1"/>
    <w:autoRedefine/>
    <w:qFormat/>
    <w:locked/>
    <w:uiPriority w:val="0"/>
    <w:pPr>
      <w:autoSpaceDE w:val="0"/>
      <w:autoSpaceDN w:val="0"/>
      <w:adjustRightInd w:val="0"/>
      <w:spacing w:before="120" w:after="120"/>
      <w:ind w:left="993" w:firstLine="0"/>
      <w:textAlignment w:val="baseline"/>
      <w:outlineLvl w:val="2"/>
    </w:pPr>
    <w:rPr>
      <w:rFonts w:ascii="宋体" w:hAnsi="Impact" w:eastAsia="楷体_GB2312"/>
      <w:b/>
      <w:kern w:val="24"/>
      <w:szCs w:val="20"/>
    </w:rPr>
  </w:style>
  <w:style w:type="paragraph" w:styleId="5">
    <w:name w:val="heading 4"/>
    <w:basedOn w:val="1"/>
    <w:next w:val="1"/>
    <w:autoRedefine/>
    <w:qFormat/>
    <w:locked/>
    <w:uiPriority w:val="1"/>
    <w:pPr>
      <w:ind w:left="698"/>
      <w:outlineLvl w:val="3"/>
    </w:pPr>
    <w:rPr>
      <w:rFonts w:ascii="宋体" w:hAnsi="宋体" w:cs="宋体"/>
      <w:b/>
      <w:bCs/>
      <w:lang w:val="zh-CN" w:bidi="zh-CN"/>
    </w:rPr>
  </w:style>
  <w:style w:type="character" w:default="1" w:styleId="36">
    <w:name w:val="Default Paragraph Font"/>
    <w:autoRedefine/>
    <w:semiHidden/>
    <w:unhideWhenUsed/>
    <w:qFormat/>
    <w:uiPriority w:val="1"/>
  </w:style>
  <w:style w:type="table" w:default="1" w:styleId="34">
    <w:name w:val="Normal Table"/>
    <w:autoRedefine/>
    <w:semiHidden/>
    <w:unhideWhenUsed/>
    <w:qFormat/>
    <w:uiPriority w:val="99"/>
    <w:tblPr>
      <w:tblCellMar>
        <w:top w:w="0" w:type="dxa"/>
        <w:left w:w="108" w:type="dxa"/>
        <w:bottom w:w="0" w:type="dxa"/>
        <w:right w:w="108" w:type="dxa"/>
      </w:tblCellMar>
    </w:tblPr>
  </w:style>
  <w:style w:type="paragraph" w:styleId="6">
    <w:name w:val="E-mail Signature"/>
    <w:basedOn w:val="1"/>
    <w:next w:val="7"/>
    <w:autoRedefine/>
    <w:unhideWhenUsed/>
    <w:qFormat/>
    <w:locked/>
    <w:uiPriority w:val="99"/>
    <w:pPr>
      <w:spacing w:line="460" w:lineRule="exact"/>
      <w:ind w:firstLine="200"/>
    </w:pPr>
  </w:style>
  <w:style w:type="paragraph" w:customStyle="1" w:styleId="7">
    <w:name w:val="文章"/>
    <w:basedOn w:val="8"/>
    <w:next w:val="11"/>
    <w:autoRedefine/>
    <w:qFormat/>
    <w:uiPriority w:val="0"/>
    <w:pPr>
      <w:ind w:firstLine="480"/>
    </w:pPr>
    <w:rPr>
      <w:kern w:val="2"/>
      <w:sz w:val="26"/>
      <w:szCs w:val="22"/>
    </w:rPr>
  </w:style>
  <w:style w:type="paragraph" w:styleId="8">
    <w:name w:val="Body Text Indent"/>
    <w:basedOn w:val="1"/>
    <w:next w:val="9"/>
    <w:link w:val="50"/>
    <w:autoRedefine/>
    <w:qFormat/>
    <w:uiPriority w:val="0"/>
    <w:pPr>
      <w:spacing w:line="240" w:lineRule="auto"/>
      <w:ind w:firstLine="0" w:firstLineChars="0"/>
      <w:jc w:val="center"/>
    </w:pPr>
    <w:rPr>
      <w:kern w:val="0"/>
      <w:sz w:val="21"/>
      <w:szCs w:val="20"/>
    </w:rPr>
  </w:style>
  <w:style w:type="paragraph" w:styleId="9">
    <w:name w:val="Body Text"/>
    <w:basedOn w:val="1"/>
    <w:next w:val="10"/>
    <w:link w:val="51"/>
    <w:autoRedefine/>
    <w:qFormat/>
    <w:uiPriority w:val="0"/>
    <w:pPr>
      <w:widowControl/>
      <w:snapToGrid w:val="0"/>
      <w:spacing w:before="60" w:after="160" w:line="259" w:lineRule="auto"/>
      <w:ind w:right="113"/>
    </w:pPr>
    <w:rPr>
      <w:kern w:val="0"/>
      <w:sz w:val="18"/>
      <w:szCs w:val="20"/>
    </w:rPr>
  </w:style>
  <w:style w:type="paragraph" w:styleId="10">
    <w:name w:val="Normal Indent"/>
    <w:basedOn w:val="1"/>
    <w:next w:val="1"/>
    <w:autoRedefine/>
    <w:qFormat/>
    <w:locked/>
    <w:uiPriority w:val="0"/>
    <w:pPr>
      <w:ind w:firstLine="420"/>
    </w:pPr>
    <w:rPr>
      <w:rFonts w:eastAsia="仿宋_GB2312"/>
      <w:sz w:val="28"/>
      <w:szCs w:val="20"/>
    </w:rPr>
  </w:style>
  <w:style w:type="paragraph" w:styleId="11">
    <w:name w:val="List"/>
    <w:basedOn w:val="1"/>
    <w:next w:val="12"/>
    <w:autoRedefine/>
    <w:qFormat/>
    <w:locked/>
    <w:uiPriority w:val="0"/>
    <w:pPr>
      <w:spacing w:line="320" w:lineRule="exact"/>
      <w:jc w:val="center"/>
    </w:pPr>
    <w:rPr>
      <w:sz w:val="20"/>
    </w:rPr>
  </w:style>
  <w:style w:type="paragraph" w:styleId="12">
    <w:name w:val="List Bullet 2"/>
    <w:basedOn w:val="1"/>
    <w:next w:val="13"/>
    <w:autoRedefine/>
    <w:qFormat/>
    <w:locked/>
    <w:uiPriority w:val="0"/>
    <w:pPr>
      <w:tabs>
        <w:tab w:val="left" w:pos="780"/>
      </w:tabs>
      <w:ind w:left="780" w:hanging="360"/>
    </w:pPr>
  </w:style>
  <w:style w:type="paragraph" w:customStyle="1" w:styleId="13">
    <w:name w:val="xl70"/>
    <w:basedOn w:val="1"/>
    <w:next w:val="14"/>
    <w:autoRedefine/>
    <w:qFormat/>
    <w:uiPriority w:val="0"/>
    <w:pPr>
      <w:widowControl/>
      <w:spacing w:before="280" w:after="280"/>
    </w:pPr>
    <w:rPr>
      <w:rFonts w:ascii="宋体"/>
    </w:rPr>
  </w:style>
  <w:style w:type="paragraph" w:customStyle="1" w:styleId="14">
    <w:name w:val="正文缩进1"/>
    <w:basedOn w:val="1"/>
    <w:next w:val="15"/>
    <w:autoRedefine/>
    <w:qFormat/>
    <w:uiPriority w:val="0"/>
    <w:pPr>
      <w:ind w:firstLine="420"/>
    </w:pPr>
    <w:rPr>
      <w:rFonts w:ascii="宋体"/>
      <w:sz w:val="28"/>
    </w:rPr>
  </w:style>
  <w:style w:type="paragraph" w:customStyle="1" w:styleId="15">
    <w:name w:val="td1"/>
    <w:basedOn w:val="1"/>
    <w:next w:val="1"/>
    <w:autoRedefine/>
    <w:qFormat/>
    <w:uiPriority w:val="0"/>
    <w:pPr>
      <w:widowControl/>
      <w:spacing w:before="280" w:after="280" w:line="300" w:lineRule="atLeast"/>
      <w:ind w:firstLine="200"/>
    </w:pPr>
    <w:rPr>
      <w:color w:val="000000"/>
      <w:sz w:val="18"/>
    </w:rPr>
  </w:style>
  <w:style w:type="paragraph" w:styleId="16">
    <w:name w:val="caption"/>
    <w:basedOn w:val="1"/>
    <w:next w:val="1"/>
    <w:link w:val="52"/>
    <w:autoRedefine/>
    <w:qFormat/>
    <w:locked/>
    <w:uiPriority w:val="35"/>
    <w:pPr>
      <w:spacing w:line="240" w:lineRule="auto"/>
      <w:ind w:firstLine="0" w:firstLineChars="0"/>
      <w:jc w:val="center"/>
    </w:pPr>
    <w:rPr>
      <w:b/>
      <w:kern w:val="0"/>
      <w:sz w:val="21"/>
      <w:szCs w:val="20"/>
    </w:rPr>
  </w:style>
  <w:style w:type="paragraph" w:styleId="17">
    <w:name w:val="Document Map"/>
    <w:basedOn w:val="1"/>
    <w:link w:val="53"/>
    <w:autoRedefine/>
    <w:qFormat/>
    <w:locked/>
    <w:uiPriority w:val="0"/>
    <w:rPr>
      <w:rFonts w:ascii="宋体"/>
      <w:sz w:val="18"/>
      <w:szCs w:val="18"/>
    </w:rPr>
  </w:style>
  <w:style w:type="paragraph" w:styleId="18">
    <w:name w:val="annotation text"/>
    <w:basedOn w:val="1"/>
    <w:link w:val="54"/>
    <w:autoRedefine/>
    <w:qFormat/>
    <w:uiPriority w:val="0"/>
    <w:rPr>
      <w:kern w:val="0"/>
      <w:szCs w:val="20"/>
    </w:rPr>
  </w:style>
  <w:style w:type="paragraph" w:styleId="19">
    <w:name w:val="Plain Text"/>
    <w:basedOn w:val="1"/>
    <w:next w:val="1"/>
    <w:autoRedefine/>
    <w:qFormat/>
    <w:locked/>
    <w:uiPriority w:val="0"/>
    <w:rPr>
      <w:rFonts w:ascii="宋体" w:hAnsi="Courier New" w:eastAsia="仿宋_GB2312"/>
      <w:snapToGrid w:val="0"/>
      <w:kern w:val="0"/>
      <w:szCs w:val="20"/>
    </w:rPr>
  </w:style>
  <w:style w:type="paragraph" w:styleId="20">
    <w:name w:val="Date"/>
    <w:basedOn w:val="1"/>
    <w:next w:val="1"/>
    <w:link w:val="55"/>
    <w:autoRedefine/>
    <w:qFormat/>
    <w:uiPriority w:val="0"/>
    <w:pPr>
      <w:ind w:left="100" w:leftChars="2500"/>
    </w:pPr>
    <w:rPr>
      <w:kern w:val="0"/>
      <w:szCs w:val="20"/>
    </w:rPr>
  </w:style>
  <w:style w:type="paragraph" w:styleId="21">
    <w:name w:val="Body Text Indent 2"/>
    <w:basedOn w:val="1"/>
    <w:autoRedefine/>
    <w:qFormat/>
    <w:locked/>
    <w:uiPriority w:val="0"/>
    <w:pPr>
      <w:ind w:firstLine="540"/>
    </w:pPr>
    <w:rPr>
      <w:rFonts w:ascii="宋体"/>
    </w:rPr>
  </w:style>
  <w:style w:type="paragraph" w:styleId="22">
    <w:name w:val="Balloon Text"/>
    <w:basedOn w:val="1"/>
    <w:link w:val="56"/>
    <w:autoRedefine/>
    <w:semiHidden/>
    <w:qFormat/>
    <w:uiPriority w:val="0"/>
    <w:rPr>
      <w:kern w:val="0"/>
      <w:sz w:val="18"/>
      <w:szCs w:val="20"/>
    </w:rPr>
  </w:style>
  <w:style w:type="paragraph" w:styleId="23">
    <w:name w:val="footer"/>
    <w:basedOn w:val="1"/>
    <w:next w:val="1"/>
    <w:link w:val="57"/>
    <w:autoRedefine/>
    <w:qFormat/>
    <w:uiPriority w:val="99"/>
    <w:pPr>
      <w:tabs>
        <w:tab w:val="center" w:pos="4153"/>
        <w:tab w:val="right" w:pos="8306"/>
      </w:tabs>
      <w:snapToGrid w:val="0"/>
    </w:pPr>
    <w:rPr>
      <w:kern w:val="0"/>
      <w:sz w:val="18"/>
      <w:szCs w:val="20"/>
    </w:rPr>
  </w:style>
  <w:style w:type="paragraph" w:styleId="24">
    <w:name w:val="header"/>
    <w:basedOn w:val="1"/>
    <w:link w:val="58"/>
    <w:autoRedefine/>
    <w:qFormat/>
    <w:uiPriority w:val="0"/>
    <w:pPr>
      <w:pBdr>
        <w:bottom w:val="single" w:color="auto" w:sz="6" w:space="1"/>
      </w:pBdr>
      <w:tabs>
        <w:tab w:val="center" w:pos="4153"/>
        <w:tab w:val="right" w:pos="8306"/>
      </w:tabs>
      <w:snapToGrid w:val="0"/>
      <w:jc w:val="center"/>
    </w:pPr>
    <w:rPr>
      <w:kern w:val="0"/>
      <w:sz w:val="18"/>
      <w:szCs w:val="20"/>
    </w:rPr>
  </w:style>
  <w:style w:type="paragraph" w:styleId="25">
    <w:name w:val="toc 1"/>
    <w:basedOn w:val="1"/>
    <w:next w:val="1"/>
    <w:autoRedefine/>
    <w:qFormat/>
    <w:locked/>
    <w:uiPriority w:val="39"/>
  </w:style>
  <w:style w:type="paragraph" w:styleId="26">
    <w:name w:val="Body Text Indent 3"/>
    <w:basedOn w:val="1"/>
    <w:autoRedefine/>
    <w:qFormat/>
    <w:locked/>
    <w:uiPriority w:val="0"/>
    <w:pPr>
      <w:spacing w:after="120"/>
      <w:ind w:left="420" w:leftChars="200"/>
    </w:pPr>
    <w:rPr>
      <w:sz w:val="16"/>
      <w:szCs w:val="16"/>
    </w:rPr>
  </w:style>
  <w:style w:type="paragraph" w:styleId="27">
    <w:name w:val="toc 2"/>
    <w:basedOn w:val="1"/>
    <w:next w:val="6"/>
    <w:autoRedefine/>
    <w:qFormat/>
    <w:locked/>
    <w:uiPriority w:val="0"/>
    <w:pPr>
      <w:ind w:left="420" w:leftChars="200"/>
    </w:pPr>
  </w:style>
  <w:style w:type="paragraph" w:styleId="28">
    <w:name w:val="Body Text 2"/>
    <w:basedOn w:val="1"/>
    <w:autoRedefine/>
    <w:qFormat/>
    <w:locked/>
    <w:uiPriority w:val="0"/>
    <w:pPr>
      <w:spacing w:after="120" w:line="480" w:lineRule="auto"/>
    </w:pPr>
  </w:style>
  <w:style w:type="paragraph" w:styleId="29">
    <w:name w:val="HTML Preformatted"/>
    <w:basedOn w:val="1"/>
    <w:autoRedefine/>
    <w:qFormat/>
    <w:locked/>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hint="eastAsia" w:ascii="宋体" w:hAnsi="宋体"/>
      <w:kern w:val="0"/>
    </w:rPr>
  </w:style>
  <w:style w:type="paragraph" w:styleId="30">
    <w:name w:val="Normal (Web)"/>
    <w:basedOn w:val="1"/>
    <w:link w:val="59"/>
    <w:autoRedefine/>
    <w:qFormat/>
    <w:uiPriority w:val="0"/>
    <w:pPr>
      <w:widowControl/>
      <w:spacing w:before="100" w:beforeAutospacing="1" w:after="100" w:afterAutospacing="1"/>
    </w:pPr>
    <w:rPr>
      <w:rFonts w:ascii="宋体" w:hAnsi="宋体"/>
      <w:kern w:val="0"/>
      <w:szCs w:val="20"/>
    </w:rPr>
  </w:style>
  <w:style w:type="paragraph" w:styleId="31">
    <w:name w:val="annotation subject"/>
    <w:basedOn w:val="18"/>
    <w:next w:val="18"/>
    <w:link w:val="60"/>
    <w:autoRedefine/>
    <w:semiHidden/>
    <w:qFormat/>
    <w:uiPriority w:val="0"/>
    <w:rPr>
      <w:b/>
      <w:kern w:val="2"/>
    </w:rPr>
  </w:style>
  <w:style w:type="paragraph" w:styleId="32">
    <w:name w:val="Body Text First Indent"/>
    <w:basedOn w:val="9"/>
    <w:next w:val="1"/>
    <w:autoRedefine/>
    <w:qFormat/>
    <w:locked/>
    <w:uiPriority w:val="0"/>
    <w:pPr>
      <w:spacing w:after="120" w:line="240" w:lineRule="auto"/>
      <w:ind w:firstLine="420" w:firstLineChars="100"/>
    </w:pPr>
    <w:rPr>
      <w:sz w:val="21"/>
    </w:rPr>
  </w:style>
  <w:style w:type="paragraph" w:styleId="33">
    <w:name w:val="Body Text First Indent 2"/>
    <w:basedOn w:val="8"/>
    <w:next w:val="32"/>
    <w:autoRedefine/>
    <w:unhideWhenUsed/>
    <w:qFormat/>
    <w:locked/>
    <w:uiPriority w:val="0"/>
    <w:pPr>
      <w:tabs>
        <w:tab w:val="left" w:pos="480"/>
      </w:tabs>
      <w:ind w:firstLine="420" w:firstLineChars="200"/>
    </w:pPr>
  </w:style>
  <w:style w:type="table" w:styleId="35">
    <w:name w:val="Table Grid"/>
    <w:basedOn w:val="34"/>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7">
    <w:name w:val="Strong"/>
    <w:autoRedefine/>
    <w:qFormat/>
    <w:locked/>
    <w:uiPriority w:val="0"/>
    <w:rPr>
      <w:b/>
    </w:rPr>
  </w:style>
  <w:style w:type="character" w:styleId="38">
    <w:name w:val="page number"/>
    <w:autoRedefine/>
    <w:qFormat/>
    <w:locked/>
    <w:uiPriority w:val="0"/>
  </w:style>
  <w:style w:type="character" w:styleId="39">
    <w:name w:val="Emphasis"/>
    <w:autoRedefine/>
    <w:qFormat/>
    <w:locked/>
    <w:uiPriority w:val="0"/>
    <w:rPr>
      <w:i/>
    </w:rPr>
  </w:style>
  <w:style w:type="character" w:styleId="40">
    <w:name w:val="Hyperlink"/>
    <w:autoRedefine/>
    <w:qFormat/>
    <w:locked/>
    <w:uiPriority w:val="99"/>
    <w:rPr>
      <w:color w:val="100040"/>
      <w:sz w:val="19"/>
      <w:szCs w:val="19"/>
      <w:u w:val="none"/>
    </w:rPr>
  </w:style>
  <w:style w:type="character" w:styleId="41">
    <w:name w:val="annotation reference"/>
    <w:basedOn w:val="36"/>
    <w:autoRedefine/>
    <w:qFormat/>
    <w:uiPriority w:val="0"/>
    <w:rPr>
      <w:sz w:val="21"/>
    </w:rPr>
  </w:style>
  <w:style w:type="paragraph" w:customStyle="1" w:styleId="42">
    <w:name w:val="Default"/>
    <w:basedOn w:val="43"/>
    <w:next w:val="1"/>
    <w:autoRedefine/>
    <w:qFormat/>
    <w:uiPriority w:val="0"/>
    <w:pPr>
      <w:tabs>
        <w:tab w:val="right" w:pos="0"/>
      </w:tabs>
      <w:autoSpaceDE w:val="0"/>
      <w:autoSpaceDN w:val="0"/>
    </w:pPr>
    <w:rPr>
      <w:rFonts w:hAnsi="Times New Roman" w:eastAsia="宋体" w:cs="宋体"/>
      <w:color w:val="000000"/>
      <w:szCs w:val="24"/>
    </w:rPr>
  </w:style>
  <w:style w:type="paragraph" w:customStyle="1" w:styleId="43">
    <w:name w:val="纯文本1"/>
    <w:basedOn w:val="1"/>
    <w:autoRedefine/>
    <w:qFormat/>
    <w:uiPriority w:val="0"/>
    <w:pPr>
      <w:tabs>
        <w:tab w:val="right" w:pos="0"/>
      </w:tabs>
      <w:adjustRightInd w:val="0"/>
      <w:snapToGrid w:val="0"/>
      <w:jc w:val="center"/>
      <w:textAlignment w:val="baseline"/>
    </w:pPr>
    <w:rPr>
      <w:rFonts w:ascii="宋体" w:hAnsi="Courier New" w:eastAsia="仿宋_GB2312"/>
      <w:snapToGrid w:val="0"/>
      <w:kern w:val="0"/>
      <w:szCs w:val="20"/>
    </w:rPr>
  </w:style>
  <w:style w:type="paragraph" w:customStyle="1" w:styleId="44">
    <w:name w:val="样式35"/>
    <w:basedOn w:val="45"/>
    <w:next w:val="46"/>
    <w:autoRedefine/>
    <w:qFormat/>
    <w:uiPriority w:val="0"/>
    <w:pPr>
      <w:tabs>
        <w:tab w:val="left" w:pos="0"/>
        <w:tab w:val="left" w:pos="360"/>
        <w:tab w:val="left" w:pos="540"/>
        <w:tab w:val="left" w:pos="567"/>
        <w:tab w:val="left" w:pos="4140"/>
      </w:tabs>
      <w:spacing w:line="312" w:lineRule="auto"/>
      <w:ind w:firstLine="567"/>
      <w:jc w:val="both"/>
    </w:pPr>
    <w:rPr>
      <w:rFonts w:ascii="宋体"/>
      <w:sz w:val="21"/>
      <w:szCs w:val="22"/>
    </w:rPr>
  </w:style>
  <w:style w:type="paragraph" w:customStyle="1" w:styleId="45">
    <w:name w:val="表 内容"/>
    <w:basedOn w:val="1"/>
    <w:autoRedefine/>
    <w:qFormat/>
    <w:uiPriority w:val="0"/>
    <w:pPr>
      <w:adjustRightInd w:val="0"/>
      <w:snapToGrid w:val="0"/>
      <w:spacing w:beforeLines="15" w:afterLines="15"/>
      <w:jc w:val="center"/>
    </w:pPr>
    <w:rPr>
      <w:szCs w:val="21"/>
    </w:rPr>
  </w:style>
  <w:style w:type="paragraph" w:customStyle="1" w:styleId="46">
    <w:name w:val="font6"/>
    <w:next w:val="27"/>
    <w:autoRedefine/>
    <w:qFormat/>
    <w:uiPriority w:val="0"/>
    <w:pPr>
      <w:spacing w:before="280" w:after="280"/>
      <w:jc w:val="both"/>
    </w:pPr>
    <w:rPr>
      <w:rFonts w:ascii="Times New Roman" w:hAnsi="Times New Roman" w:eastAsia="宋体" w:cs="Times New Roman"/>
      <w:kern w:val="2"/>
      <w:sz w:val="21"/>
      <w:szCs w:val="22"/>
      <w:lang w:val="en-US" w:eastAsia="zh-CN" w:bidi="ar-SA"/>
    </w:rPr>
  </w:style>
  <w:style w:type="paragraph" w:customStyle="1" w:styleId="47">
    <w:name w:val="样式1"/>
    <w:basedOn w:val="1"/>
    <w:autoRedefine/>
    <w:qFormat/>
    <w:uiPriority w:val="0"/>
    <w:pPr>
      <w:spacing w:after="40" w:line="300" w:lineRule="atLeast"/>
      <w:jc w:val="center"/>
      <w:outlineLvl w:val="2"/>
    </w:pPr>
    <w:rPr>
      <w:rFonts w:eastAsia="楷体_GB2312"/>
      <w:szCs w:val="20"/>
    </w:rPr>
  </w:style>
  <w:style w:type="paragraph" w:customStyle="1" w:styleId="48">
    <w:name w:val="环评正文"/>
    <w:basedOn w:val="1"/>
    <w:autoRedefine/>
    <w:qFormat/>
    <w:uiPriority w:val="0"/>
    <w:pPr>
      <w:ind w:firstLine="420"/>
    </w:pPr>
  </w:style>
  <w:style w:type="character" w:customStyle="1" w:styleId="49">
    <w:name w:val="标题 1 字符"/>
    <w:basedOn w:val="36"/>
    <w:link w:val="2"/>
    <w:autoRedefine/>
    <w:qFormat/>
    <w:uiPriority w:val="9"/>
    <w:rPr>
      <w:rFonts w:eastAsia="黑体"/>
      <w:b/>
      <w:bCs/>
      <w:color w:val="000000"/>
      <w:kern w:val="44"/>
      <w:sz w:val="30"/>
      <w:szCs w:val="30"/>
    </w:rPr>
  </w:style>
  <w:style w:type="character" w:customStyle="1" w:styleId="50">
    <w:name w:val="正文文本缩进 字符"/>
    <w:link w:val="8"/>
    <w:autoRedefine/>
    <w:semiHidden/>
    <w:qFormat/>
    <w:locked/>
    <w:uiPriority w:val="0"/>
    <w:rPr>
      <w:rFonts w:ascii="Times New Roman" w:hAnsi="Times New Roman" w:eastAsia="宋体"/>
      <w:sz w:val="21"/>
    </w:rPr>
  </w:style>
  <w:style w:type="character" w:customStyle="1" w:styleId="51">
    <w:name w:val="正文文本 字符"/>
    <w:link w:val="9"/>
    <w:autoRedefine/>
    <w:qFormat/>
    <w:locked/>
    <w:uiPriority w:val="0"/>
    <w:rPr>
      <w:sz w:val="18"/>
    </w:rPr>
  </w:style>
  <w:style w:type="character" w:customStyle="1" w:styleId="52">
    <w:name w:val="题注 字符"/>
    <w:link w:val="16"/>
    <w:autoRedefine/>
    <w:qFormat/>
    <w:uiPriority w:val="35"/>
    <w:rPr>
      <w:b/>
      <w:sz w:val="21"/>
    </w:rPr>
  </w:style>
  <w:style w:type="character" w:customStyle="1" w:styleId="53">
    <w:name w:val="文档结构图 字符"/>
    <w:basedOn w:val="36"/>
    <w:link w:val="17"/>
    <w:autoRedefine/>
    <w:qFormat/>
    <w:uiPriority w:val="0"/>
    <w:rPr>
      <w:rFonts w:ascii="宋体"/>
      <w:kern w:val="2"/>
      <w:sz w:val="18"/>
      <w:szCs w:val="18"/>
    </w:rPr>
  </w:style>
  <w:style w:type="character" w:customStyle="1" w:styleId="54">
    <w:name w:val="批注文字 字符"/>
    <w:link w:val="18"/>
    <w:autoRedefine/>
    <w:qFormat/>
    <w:locked/>
    <w:uiPriority w:val="0"/>
    <w:rPr>
      <w:rFonts w:ascii="Times New Roman" w:hAnsi="Times New Roman" w:eastAsia="宋体"/>
      <w:sz w:val="24"/>
    </w:rPr>
  </w:style>
  <w:style w:type="character" w:customStyle="1" w:styleId="55">
    <w:name w:val="日期 字符1"/>
    <w:link w:val="20"/>
    <w:autoRedefine/>
    <w:qFormat/>
    <w:locked/>
    <w:uiPriority w:val="0"/>
    <w:rPr>
      <w:rFonts w:ascii="Times New Roman" w:hAnsi="Times New Roman" w:eastAsia="宋体"/>
      <w:sz w:val="24"/>
    </w:rPr>
  </w:style>
  <w:style w:type="character" w:customStyle="1" w:styleId="56">
    <w:name w:val="批注框文本 字符"/>
    <w:link w:val="22"/>
    <w:autoRedefine/>
    <w:semiHidden/>
    <w:qFormat/>
    <w:locked/>
    <w:uiPriority w:val="0"/>
    <w:rPr>
      <w:rFonts w:ascii="Times New Roman" w:hAnsi="Times New Roman" w:eastAsia="宋体"/>
      <w:sz w:val="18"/>
    </w:rPr>
  </w:style>
  <w:style w:type="character" w:customStyle="1" w:styleId="57">
    <w:name w:val="页脚 字符1"/>
    <w:link w:val="23"/>
    <w:autoRedefine/>
    <w:qFormat/>
    <w:locked/>
    <w:uiPriority w:val="99"/>
    <w:rPr>
      <w:sz w:val="18"/>
    </w:rPr>
  </w:style>
  <w:style w:type="character" w:customStyle="1" w:styleId="58">
    <w:name w:val="页眉 字符"/>
    <w:link w:val="24"/>
    <w:autoRedefine/>
    <w:qFormat/>
    <w:locked/>
    <w:uiPriority w:val="0"/>
    <w:rPr>
      <w:sz w:val="18"/>
    </w:rPr>
  </w:style>
  <w:style w:type="character" w:customStyle="1" w:styleId="59">
    <w:name w:val="普通(网站) 字符"/>
    <w:link w:val="30"/>
    <w:autoRedefine/>
    <w:qFormat/>
    <w:locked/>
    <w:uiPriority w:val="0"/>
    <w:rPr>
      <w:rFonts w:ascii="宋体" w:hAnsi="宋体" w:eastAsia="宋体"/>
      <w:sz w:val="24"/>
    </w:rPr>
  </w:style>
  <w:style w:type="character" w:customStyle="1" w:styleId="60">
    <w:name w:val="批注主题 字符"/>
    <w:link w:val="31"/>
    <w:autoRedefine/>
    <w:semiHidden/>
    <w:qFormat/>
    <w:locked/>
    <w:uiPriority w:val="0"/>
    <w:rPr>
      <w:rFonts w:ascii="Times New Roman" w:hAnsi="Times New Roman" w:eastAsia="宋体"/>
      <w:b/>
      <w:kern w:val="2"/>
      <w:sz w:val="24"/>
    </w:rPr>
  </w:style>
  <w:style w:type="paragraph" w:customStyle="1" w:styleId="61">
    <w:name w:val="正文文字 6"/>
    <w:next w:val="1"/>
    <w:autoRedefine/>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62">
    <w:name w:val="样式26"/>
    <w:basedOn w:val="63"/>
    <w:autoRedefine/>
    <w:qFormat/>
    <w:uiPriority w:val="0"/>
    <w:pPr>
      <w:tabs>
        <w:tab w:val="left" w:pos="0"/>
        <w:tab w:val="left" w:pos="360"/>
        <w:tab w:val="left" w:pos="540"/>
        <w:tab w:val="left" w:pos="567"/>
        <w:tab w:val="left" w:pos="4140"/>
      </w:tabs>
    </w:pPr>
  </w:style>
  <w:style w:type="paragraph" w:customStyle="1" w:styleId="63">
    <w:name w:val="样式21"/>
    <w:basedOn w:val="64"/>
    <w:autoRedefine/>
    <w:qFormat/>
    <w:uiPriority w:val="0"/>
    <w:pPr>
      <w:tabs>
        <w:tab w:val="left" w:pos="360"/>
        <w:tab w:val="left" w:pos="567"/>
        <w:tab w:val="left" w:pos="4140"/>
      </w:tabs>
      <w:spacing w:before="120" w:after="120"/>
      <w:ind w:hanging="992"/>
    </w:pPr>
  </w:style>
  <w:style w:type="paragraph" w:customStyle="1" w:styleId="64">
    <w:name w:val="样式5"/>
    <w:basedOn w:val="65"/>
    <w:autoRedefine/>
    <w:qFormat/>
    <w:uiPriority w:val="0"/>
    <w:pPr>
      <w:tabs>
        <w:tab w:val="left" w:pos="360"/>
        <w:tab w:val="left" w:pos="567"/>
        <w:tab w:val="left" w:pos="4140"/>
      </w:tabs>
    </w:pPr>
  </w:style>
  <w:style w:type="paragraph" w:customStyle="1" w:styleId="65">
    <w:name w:val="样式12"/>
    <w:basedOn w:val="66"/>
    <w:autoRedefine/>
    <w:qFormat/>
    <w:uiPriority w:val="0"/>
    <w:pPr>
      <w:tabs>
        <w:tab w:val="left" w:pos="4140"/>
      </w:tabs>
      <w:spacing w:line="360" w:lineRule="auto"/>
    </w:pPr>
    <w:rPr>
      <w:rFonts w:ascii="Arial" w:hAnsi="Arial" w:cs="Arial"/>
      <w:bCs/>
      <w:szCs w:val="24"/>
    </w:rPr>
  </w:style>
  <w:style w:type="paragraph" w:customStyle="1" w:styleId="66">
    <w:name w:val="样式 标题 3标题 3 Char标题3H3h33rd level第二层条三级标题ReHead 3 WSA头..."/>
    <w:basedOn w:val="4"/>
    <w:autoRedefine/>
    <w:qFormat/>
    <w:uiPriority w:val="0"/>
    <w:pPr>
      <w:tabs>
        <w:tab w:val="left" w:pos="4140"/>
      </w:tabs>
      <w:spacing w:before="260" w:after="260" w:line="416" w:lineRule="auto"/>
      <w:ind w:left="4140" w:hanging="720" w:firstLineChars="0"/>
    </w:pPr>
    <w:rPr>
      <w:rFonts w:eastAsia="黑体"/>
      <w:color w:val="FF0000"/>
    </w:rPr>
  </w:style>
  <w:style w:type="paragraph" w:customStyle="1" w:styleId="67">
    <w:name w:val="表格"/>
    <w:basedOn w:val="10"/>
    <w:next w:val="1"/>
    <w:link w:val="68"/>
    <w:autoRedefine/>
    <w:qFormat/>
    <w:uiPriority w:val="0"/>
    <w:pPr>
      <w:adjustRightInd w:val="0"/>
      <w:snapToGrid w:val="0"/>
      <w:spacing w:beforeLines="10" w:afterLines="10" w:line="259" w:lineRule="auto"/>
      <w:jc w:val="center"/>
    </w:pPr>
    <w:rPr>
      <w:rFonts w:ascii="宋体" w:eastAsia="宋体"/>
      <w:kern w:val="0"/>
      <w:sz w:val="21"/>
    </w:rPr>
  </w:style>
  <w:style w:type="character" w:customStyle="1" w:styleId="68">
    <w:name w:val="表格 Char"/>
    <w:link w:val="67"/>
    <w:autoRedefine/>
    <w:qFormat/>
    <w:locked/>
    <w:uiPriority w:val="0"/>
    <w:rPr>
      <w:rFonts w:ascii="宋体"/>
      <w:sz w:val="21"/>
    </w:rPr>
  </w:style>
  <w:style w:type="character" w:customStyle="1" w:styleId="69">
    <w:name w:val="批注文字 字符1"/>
    <w:autoRedefine/>
    <w:semiHidden/>
    <w:qFormat/>
    <w:uiPriority w:val="0"/>
    <w:rPr>
      <w:rFonts w:ascii="Times New Roman" w:hAnsi="Times New Roman" w:eastAsia="宋体"/>
      <w:sz w:val="24"/>
    </w:rPr>
  </w:style>
  <w:style w:type="character" w:customStyle="1" w:styleId="70">
    <w:name w:val="表内容 Char"/>
    <w:link w:val="71"/>
    <w:autoRedefine/>
    <w:qFormat/>
    <w:uiPriority w:val="0"/>
  </w:style>
  <w:style w:type="paragraph" w:customStyle="1" w:styleId="71">
    <w:name w:val="表内容"/>
    <w:basedOn w:val="1"/>
    <w:next w:val="72"/>
    <w:link w:val="70"/>
    <w:autoRedefine/>
    <w:qFormat/>
    <w:uiPriority w:val="0"/>
    <w:pPr>
      <w:jc w:val="center"/>
    </w:pPr>
  </w:style>
  <w:style w:type="paragraph" w:customStyle="1" w:styleId="72">
    <w:name w:val="正文内容"/>
    <w:basedOn w:val="1"/>
    <w:autoRedefine/>
    <w:qFormat/>
    <w:uiPriority w:val="0"/>
    <w:pPr>
      <w:ind w:firstLine="200"/>
    </w:pPr>
  </w:style>
  <w:style w:type="character" w:customStyle="1" w:styleId="73">
    <w:name w:val="页脚 字符"/>
    <w:autoRedefine/>
    <w:qFormat/>
    <w:uiPriority w:val="99"/>
  </w:style>
  <w:style w:type="character" w:customStyle="1" w:styleId="74">
    <w:name w:val="日期 字符"/>
    <w:autoRedefine/>
    <w:semiHidden/>
    <w:qFormat/>
    <w:uiPriority w:val="0"/>
    <w:rPr>
      <w:rFonts w:ascii="Times New Roman" w:hAnsi="Times New Roman" w:eastAsia="宋体"/>
      <w:sz w:val="24"/>
    </w:rPr>
  </w:style>
  <w:style w:type="character" w:customStyle="1" w:styleId="75">
    <w:name w:val="font01"/>
    <w:autoRedefine/>
    <w:qFormat/>
    <w:uiPriority w:val="0"/>
    <w:rPr>
      <w:rFonts w:hint="default" w:ascii="Times New Roman" w:hAnsi="Times New Roman" w:cs="Times New Roman"/>
      <w:color w:val="000000"/>
      <w:sz w:val="21"/>
      <w:szCs w:val="21"/>
      <w:u w:val="none"/>
      <w:vertAlign w:val="superscript"/>
    </w:rPr>
  </w:style>
  <w:style w:type="character" w:customStyle="1" w:styleId="76">
    <w:name w:val="fontstyle01"/>
    <w:autoRedefine/>
    <w:qFormat/>
    <w:uiPriority w:val="0"/>
    <w:rPr>
      <w:rFonts w:hint="eastAsia" w:ascii="宋体" w:hAnsi="宋体" w:eastAsia="宋体"/>
      <w:color w:val="000000"/>
      <w:sz w:val="24"/>
      <w:szCs w:val="24"/>
    </w:rPr>
  </w:style>
  <w:style w:type="character" w:customStyle="1" w:styleId="77">
    <w:name w:val="font31"/>
    <w:autoRedefine/>
    <w:qFormat/>
    <w:uiPriority w:val="0"/>
    <w:rPr>
      <w:rFonts w:hint="eastAsia" w:ascii="宋体" w:hAnsi="宋体" w:eastAsia="宋体" w:cs="宋体"/>
      <w:color w:val="000000"/>
      <w:sz w:val="21"/>
      <w:szCs w:val="21"/>
      <w:u w:val="none"/>
    </w:rPr>
  </w:style>
  <w:style w:type="character" w:customStyle="1" w:styleId="78">
    <w:name w:val="font11"/>
    <w:autoRedefine/>
    <w:qFormat/>
    <w:uiPriority w:val="0"/>
    <w:rPr>
      <w:rFonts w:hint="default" w:ascii="Times New Roman" w:hAnsi="Times New Roman" w:cs="Times New Roman"/>
      <w:color w:val="000000"/>
      <w:sz w:val="21"/>
      <w:szCs w:val="21"/>
      <w:u w:val="none"/>
    </w:rPr>
  </w:style>
  <w:style w:type="character" w:customStyle="1" w:styleId="79">
    <w:name w:val="正文文本 字符1"/>
    <w:autoRedefine/>
    <w:semiHidden/>
    <w:qFormat/>
    <w:uiPriority w:val="0"/>
    <w:rPr>
      <w:rFonts w:ascii="Times New Roman" w:hAnsi="Times New Roman" w:eastAsia="宋体"/>
      <w:sz w:val="24"/>
    </w:rPr>
  </w:style>
  <w:style w:type="paragraph" w:customStyle="1" w:styleId="80">
    <w:name w:val="蓝森表格内容"/>
    <w:basedOn w:val="1"/>
    <w:autoRedefine/>
    <w:qFormat/>
    <w:uiPriority w:val="0"/>
    <w:pPr>
      <w:spacing w:line="360" w:lineRule="exact"/>
      <w:jc w:val="center"/>
    </w:pPr>
    <w:rPr>
      <w:rFonts w:hAnsi="宋体"/>
      <w:szCs w:val="21"/>
    </w:rPr>
  </w:style>
  <w:style w:type="paragraph" w:customStyle="1" w:styleId="81">
    <w:name w:val="无间隔1"/>
    <w:basedOn w:val="1"/>
    <w:autoRedefine/>
    <w:qFormat/>
    <w:uiPriority w:val="0"/>
    <w:pPr>
      <w:jc w:val="center"/>
    </w:pPr>
    <w:rPr>
      <w:rFonts w:ascii="Calibri" w:hAnsi="Calibri"/>
      <w:szCs w:val="20"/>
    </w:rPr>
  </w:style>
  <w:style w:type="paragraph" w:customStyle="1" w:styleId="82">
    <w:name w:val="正文1"/>
    <w:basedOn w:val="1"/>
    <w:autoRedefine/>
    <w:qFormat/>
    <w:uiPriority w:val="0"/>
    <w:pPr>
      <w:adjustRightInd w:val="0"/>
    </w:pPr>
    <w:rPr>
      <w:rFonts w:eastAsia="楷体_GB2312"/>
      <w:szCs w:val="20"/>
    </w:rPr>
  </w:style>
  <w:style w:type="paragraph" w:styleId="83">
    <w:name w:val="List Paragraph"/>
    <w:basedOn w:val="1"/>
    <w:autoRedefine/>
    <w:qFormat/>
    <w:uiPriority w:val="99"/>
    <w:pPr>
      <w:ind w:firstLine="420"/>
    </w:pPr>
  </w:style>
  <w:style w:type="paragraph" w:customStyle="1" w:styleId="84">
    <w:name w:val="小四 间距1.5 缩进2"/>
    <w:basedOn w:val="1"/>
    <w:autoRedefine/>
    <w:qFormat/>
    <w:uiPriority w:val="0"/>
    <w:pPr>
      <w:ind w:firstLine="415" w:firstLineChars="173"/>
    </w:pPr>
  </w:style>
  <w:style w:type="paragraph" w:customStyle="1" w:styleId="85">
    <w:name w:val="表后正文"/>
    <w:basedOn w:val="21"/>
    <w:autoRedefine/>
    <w:qFormat/>
    <w:uiPriority w:val="0"/>
    <w:pPr>
      <w:adjustRightInd w:val="0"/>
      <w:spacing w:beforeLines="50" w:line="480" w:lineRule="exact"/>
      <w:ind w:firstLine="560"/>
      <w:textAlignment w:val="baseline"/>
    </w:pPr>
    <w:rPr>
      <w:rFonts w:eastAsia="楷体_GB2312"/>
      <w:color w:val="000000"/>
      <w:sz w:val="28"/>
    </w:rPr>
  </w:style>
  <w:style w:type="paragraph" w:customStyle="1" w:styleId="86">
    <w:name w:val="Other|1"/>
    <w:basedOn w:val="1"/>
    <w:autoRedefine/>
    <w:qFormat/>
    <w:uiPriority w:val="0"/>
    <w:pPr>
      <w:spacing w:after="600" w:line="427" w:lineRule="auto"/>
      <w:ind w:firstLine="400"/>
    </w:pPr>
    <w:rPr>
      <w:rFonts w:ascii="宋体" w:hAnsi="宋体" w:cs="宋体"/>
      <w:sz w:val="28"/>
      <w:szCs w:val="28"/>
      <w:lang w:val="zh-TW" w:eastAsia="zh-TW" w:bidi="zh-TW"/>
    </w:rPr>
  </w:style>
  <w:style w:type="paragraph" w:customStyle="1" w:styleId="87">
    <w:name w:val="正文_10"/>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88">
    <w:name w:val="蓝森表头"/>
    <w:basedOn w:val="47"/>
    <w:autoRedefine/>
    <w:qFormat/>
    <w:uiPriority w:val="0"/>
    <w:pPr>
      <w:ind w:firstLine="480"/>
    </w:pPr>
    <w:rPr>
      <w:szCs w:val="24"/>
    </w:rPr>
  </w:style>
  <w:style w:type="paragraph" w:customStyle="1" w:styleId="89">
    <w:name w:val="样式 方正仿宋_GBK 三号 行距: 固定值 28 磅"/>
    <w:basedOn w:val="1"/>
    <w:autoRedefine/>
    <w:qFormat/>
    <w:uiPriority w:val="0"/>
    <w:pPr>
      <w:ind w:firstLine="200"/>
    </w:pPr>
    <w:rPr>
      <w:rFonts w:ascii="方正仿宋_GBK" w:hAnsi="方正仿宋_GBK" w:cs="宋体"/>
      <w:sz w:val="28"/>
      <w:szCs w:val="20"/>
    </w:rPr>
  </w:style>
  <w:style w:type="paragraph" w:styleId="90">
    <w:name w:val="No Spacing"/>
    <w:autoRedefine/>
    <w:qFormat/>
    <w:uiPriority w:val="1"/>
    <w:rPr>
      <w:rFonts w:ascii="Calibri" w:hAnsi="Calibri" w:eastAsia="宋体" w:cs="Arial"/>
      <w:sz w:val="22"/>
      <w:szCs w:val="22"/>
      <w:lang w:val="en-US" w:eastAsia="zh-CN" w:bidi="ar-SA"/>
    </w:rPr>
  </w:style>
  <w:style w:type="paragraph" w:customStyle="1" w:styleId="91">
    <w:name w:val="表格字体"/>
    <w:basedOn w:val="1"/>
    <w:autoRedefine/>
    <w:qFormat/>
    <w:uiPriority w:val="0"/>
    <w:pPr>
      <w:jc w:val="center"/>
    </w:pPr>
    <w:rPr>
      <w:szCs w:val="21"/>
    </w:rPr>
  </w:style>
  <w:style w:type="paragraph" w:customStyle="1" w:styleId="92">
    <w:name w:val="表标题"/>
    <w:basedOn w:val="72"/>
    <w:next w:val="72"/>
    <w:autoRedefine/>
    <w:qFormat/>
    <w:uiPriority w:val="0"/>
    <w:pPr>
      <w:adjustRightInd w:val="0"/>
      <w:snapToGrid w:val="0"/>
      <w:jc w:val="center"/>
    </w:pPr>
    <w:rPr>
      <w:rFonts w:ascii="宋体" w:hAnsi="宋体"/>
      <w:szCs w:val="20"/>
    </w:rPr>
  </w:style>
  <w:style w:type="paragraph" w:customStyle="1" w:styleId="93">
    <w:name w:val="表格 32"/>
    <w:basedOn w:val="1"/>
    <w:autoRedefine/>
    <w:qFormat/>
    <w:uiPriority w:val="0"/>
    <w:pPr>
      <w:autoSpaceDE w:val="0"/>
      <w:autoSpaceDN w:val="0"/>
      <w:adjustRightInd w:val="0"/>
      <w:jc w:val="center"/>
      <w:textAlignment w:val="baseline"/>
    </w:pPr>
    <w:rPr>
      <w:rFonts w:ascii="宋体" w:hAnsi="Impact"/>
      <w:kern w:val="24"/>
      <w:szCs w:val="20"/>
    </w:rPr>
  </w:style>
  <w:style w:type="paragraph" w:customStyle="1" w:styleId="94">
    <w:name w:val="【表格】"/>
    <w:next w:val="32"/>
    <w:autoRedefine/>
    <w:qFormat/>
    <w:uiPriority w:val="0"/>
    <w:pPr>
      <w:jc w:val="center"/>
    </w:pPr>
    <w:rPr>
      <w:rFonts w:ascii="Times New Roman" w:hAnsi="Times New Roman" w:eastAsia="宋体" w:cs="Times New Roman"/>
      <w:sz w:val="21"/>
      <w:szCs w:val="24"/>
      <w:lang w:val="en-US" w:eastAsia="zh-CN" w:bidi="ar-SA"/>
    </w:rPr>
  </w:style>
  <w:style w:type="paragraph" w:customStyle="1" w:styleId="95">
    <w:name w:val="Lux 正文"/>
    <w:basedOn w:val="1"/>
    <w:autoRedefine/>
    <w:qFormat/>
    <w:uiPriority w:val="0"/>
    <w:pPr>
      <w:ind w:firstLine="200"/>
    </w:pPr>
    <w:rPr>
      <w:kern w:val="0"/>
    </w:rPr>
  </w:style>
  <w:style w:type="paragraph" w:customStyle="1" w:styleId="96">
    <w:name w:val="表1表2"/>
    <w:basedOn w:val="1"/>
    <w:autoRedefine/>
    <w:qFormat/>
    <w:uiPriority w:val="0"/>
    <w:pPr>
      <w:autoSpaceDE w:val="0"/>
      <w:autoSpaceDN w:val="0"/>
      <w:adjustRightInd w:val="0"/>
      <w:jc w:val="center"/>
      <w:textAlignment w:val="center"/>
    </w:pPr>
    <w:rPr>
      <w:rFonts w:eastAsia="仿宋体"/>
      <w:kern w:val="0"/>
      <w:szCs w:val="20"/>
    </w:rPr>
  </w:style>
  <w:style w:type="paragraph" w:customStyle="1" w:styleId="97">
    <w:name w:val="正 文"/>
    <w:basedOn w:val="1"/>
    <w:autoRedefine/>
    <w:qFormat/>
    <w:uiPriority w:val="0"/>
    <w:rPr>
      <w:rFonts w:ascii="仿宋" w:hAnsi="仿宋" w:eastAsia="仿宋"/>
    </w:rPr>
  </w:style>
  <w:style w:type="paragraph" w:customStyle="1" w:styleId="98">
    <w:name w:val="正文2"/>
    <w:autoRedefine/>
    <w:qFormat/>
    <w:uiPriority w:val="0"/>
    <w:pPr>
      <w:jc w:val="both"/>
    </w:pPr>
    <w:rPr>
      <w:rFonts w:ascii="Times New Roman" w:hAnsi="Times New Roman" w:eastAsia="宋体" w:cs="Times New Roman"/>
      <w:kern w:val="2"/>
      <w:sz w:val="21"/>
      <w:szCs w:val="21"/>
      <w:lang w:val="en-US" w:eastAsia="zh-CN" w:bidi="ar-SA"/>
    </w:rPr>
  </w:style>
  <w:style w:type="paragraph" w:customStyle="1" w:styleId="99">
    <w:name w:val="表格填充1"/>
    <w:basedOn w:val="1"/>
    <w:autoRedefine/>
    <w:qFormat/>
    <w:uiPriority w:val="0"/>
    <w:pPr>
      <w:adjustRightInd w:val="0"/>
      <w:snapToGrid w:val="0"/>
      <w:spacing w:line="400" w:lineRule="exact"/>
      <w:jc w:val="center"/>
    </w:pPr>
    <w:rPr>
      <w:snapToGrid w:val="0"/>
      <w:kern w:val="0"/>
      <w:szCs w:val="18"/>
    </w:rPr>
  </w:style>
  <w:style w:type="paragraph" w:customStyle="1" w:styleId="100">
    <w:name w:val="正文格式"/>
    <w:basedOn w:val="1"/>
    <w:autoRedefine/>
    <w:qFormat/>
    <w:uiPriority w:val="0"/>
    <w:pPr>
      <w:ind w:firstLine="482"/>
    </w:pPr>
    <w:rPr>
      <w:rFonts w:ascii="宋体" w:hAnsi="宋体"/>
    </w:rPr>
  </w:style>
  <w:style w:type="paragraph" w:customStyle="1" w:styleId="101">
    <w:name w:val="Table Paragraph"/>
    <w:basedOn w:val="1"/>
    <w:autoRedefine/>
    <w:qFormat/>
    <w:uiPriority w:val="1"/>
    <w:rPr>
      <w:rFonts w:ascii="Calibri" w:hAnsi="Calibri"/>
      <w:kern w:val="0"/>
      <w:sz w:val="22"/>
      <w:szCs w:val="22"/>
      <w:lang w:eastAsia="en-US"/>
    </w:rPr>
  </w:style>
  <w:style w:type="paragraph" w:customStyle="1" w:styleId="102">
    <w:name w:val="表格通用"/>
    <w:basedOn w:val="1"/>
    <w:next w:val="1"/>
    <w:autoRedefine/>
    <w:qFormat/>
    <w:uiPriority w:val="0"/>
    <w:pPr>
      <w:spacing w:beforeLines="1" w:line="240" w:lineRule="auto"/>
      <w:jc w:val="center"/>
    </w:pPr>
    <w:rPr>
      <w:sz w:val="21"/>
    </w:rPr>
  </w:style>
  <w:style w:type="paragraph" w:customStyle="1" w:styleId="103">
    <w:name w:val="样式 居中 底端: (单实线 自动设置  0.75 磅 行宽)"/>
    <w:basedOn w:val="1"/>
    <w:autoRedefine/>
    <w:qFormat/>
    <w:uiPriority w:val="0"/>
    <w:pPr>
      <w:jc w:val="center"/>
    </w:pPr>
    <w:rPr>
      <w:rFonts w:cs="宋体"/>
      <w:szCs w:val="20"/>
    </w:rPr>
  </w:style>
  <w:style w:type="paragraph" w:customStyle="1" w:styleId="104">
    <w:name w:val="正文4"/>
    <w:basedOn w:val="1"/>
    <w:autoRedefine/>
    <w:qFormat/>
    <w:uiPriority w:val="0"/>
    <w:pPr>
      <w:tabs>
        <w:tab w:val="left" w:pos="480"/>
      </w:tabs>
      <w:ind w:firstLine="200"/>
    </w:pPr>
    <w:rPr>
      <w:rFonts w:cs="宋体"/>
      <w:szCs w:val="20"/>
    </w:rPr>
  </w:style>
  <w:style w:type="paragraph" w:customStyle="1" w:styleId="105">
    <w:name w:val="节3级标题"/>
    <w:basedOn w:val="1"/>
    <w:next w:val="72"/>
    <w:autoRedefine/>
    <w:qFormat/>
    <w:uiPriority w:val="0"/>
    <w:pPr>
      <w:outlineLvl w:val="2"/>
    </w:pPr>
  </w:style>
  <w:style w:type="paragraph" w:customStyle="1" w:styleId="106">
    <w:name w:val="表格题名"/>
    <w:basedOn w:val="42"/>
    <w:autoRedefine/>
    <w:qFormat/>
    <w:uiPriority w:val="0"/>
    <w:rPr>
      <w:rFonts w:ascii="思源宋体 CN" w:hAnsi="思源宋体 CN" w:eastAsia="思源宋体 CN"/>
      <w:sz w:val="28"/>
    </w:rPr>
  </w:style>
  <w:style w:type="paragraph" w:customStyle="1" w:styleId="107">
    <w:name w:val="样式 报告 + 首行缩进:  2 字符"/>
    <w:basedOn w:val="1"/>
    <w:autoRedefine/>
    <w:qFormat/>
    <w:uiPriority w:val="0"/>
    <w:pPr>
      <w:overflowPunct w:val="0"/>
      <w:adjustRightInd w:val="0"/>
      <w:spacing w:before="60" w:after="60" w:line="400" w:lineRule="atLeast"/>
      <w:ind w:firstLine="200"/>
      <w:textAlignment w:val="baseline"/>
    </w:pPr>
    <w:rPr>
      <w:szCs w:val="20"/>
    </w:rPr>
  </w:style>
  <w:style w:type="paragraph" w:customStyle="1" w:styleId="108">
    <w:name w:val="普通(网站)2"/>
    <w:basedOn w:val="1"/>
    <w:autoRedefine/>
    <w:qFormat/>
    <w:uiPriority w:val="0"/>
    <w:pPr>
      <w:widowControl/>
      <w:spacing w:before="100" w:beforeAutospacing="1" w:after="100" w:afterAutospacing="1"/>
    </w:pPr>
    <w:rPr>
      <w:rFonts w:ascii="宋体" w:hAnsi="宋体"/>
      <w:szCs w:val="20"/>
    </w:rPr>
  </w:style>
  <w:style w:type="paragraph" w:customStyle="1" w:styleId="109">
    <w:name w:val="正文3"/>
    <w:autoRedefine/>
    <w:qFormat/>
    <w:uiPriority w:val="0"/>
    <w:pPr>
      <w:jc w:val="both"/>
    </w:pPr>
    <w:rPr>
      <w:rFonts w:ascii="Calibri" w:hAnsi="Calibri" w:eastAsia="宋体" w:cs="Calibri"/>
      <w:kern w:val="2"/>
      <w:sz w:val="21"/>
      <w:szCs w:val="21"/>
      <w:lang w:val="en-US" w:eastAsia="zh-CN" w:bidi="ar-SA"/>
    </w:rPr>
  </w:style>
  <w:style w:type="table" w:customStyle="1" w:styleId="110">
    <w:name w:val="Table Normal"/>
    <w:autoRedefine/>
    <w:unhideWhenUsed/>
    <w:qFormat/>
    <w:uiPriority w:val="2"/>
    <w:tblPr>
      <w:tblCellMar>
        <w:top w:w="0" w:type="dxa"/>
        <w:left w:w="0" w:type="dxa"/>
        <w:bottom w:w="0" w:type="dxa"/>
        <w:right w:w="0" w:type="dxa"/>
      </w:tblCellMar>
    </w:tblPr>
  </w:style>
  <w:style w:type="paragraph" w:customStyle="1" w:styleId="111">
    <w:name w:val="WPSOffice手动目录 1"/>
    <w:autoRedefine/>
    <w:qFormat/>
    <w:uiPriority w:val="0"/>
    <w:rPr>
      <w:rFonts w:ascii="Times New Roman" w:hAnsi="Times New Roman" w:eastAsia="宋体" w:cs="Times New Roman"/>
      <w:lang w:val="en-US" w:eastAsia="zh-CN" w:bidi="ar-SA"/>
    </w:rPr>
  </w:style>
  <w:style w:type="paragraph" w:customStyle="1" w:styleId="112">
    <w:name w:val="正因6.无纲标题"/>
    <w:next w:val="1"/>
    <w:autoRedefine/>
    <w:qFormat/>
    <w:uiPriority w:val="0"/>
    <w:pPr>
      <w:tabs>
        <w:tab w:val="left" w:pos="0"/>
      </w:tabs>
      <w:spacing w:beforeLines="50" w:line="360" w:lineRule="auto"/>
      <w:ind w:firstLine="400"/>
    </w:pPr>
    <w:rPr>
      <w:rFonts w:ascii="Times New Roman" w:hAnsi="Times New Roman" w:eastAsia="宋体" w:cs="Times New Roman"/>
      <w:b/>
      <w:sz w:val="24"/>
      <w:lang w:val="en-US" w:eastAsia="zh-CN" w:bidi="ar-SA"/>
    </w:rPr>
  </w:style>
  <w:style w:type="paragraph" w:customStyle="1" w:styleId="113">
    <w:name w:val="正因2.2表格内文字"/>
    <w:autoRedefine/>
    <w:qFormat/>
    <w:uiPriority w:val="0"/>
    <w:pPr>
      <w:jc w:val="center"/>
    </w:pPr>
    <w:rPr>
      <w:rFonts w:ascii="Times New Roman" w:hAnsi="Times New Roman" w:eastAsia="宋体" w:cs="Times New Roman"/>
      <w:sz w:val="21"/>
      <w:lang w:val="en-US" w:eastAsia="zh-CN" w:bidi="ar-SA"/>
    </w:rPr>
  </w:style>
  <w:style w:type="paragraph" w:customStyle="1" w:styleId="114">
    <w:name w:val="表图标题"/>
    <w:basedOn w:val="115"/>
    <w:next w:val="1"/>
    <w:link w:val="117"/>
    <w:autoRedefine/>
    <w:qFormat/>
    <w:uiPriority w:val="0"/>
    <w:pPr>
      <w:ind w:firstLine="0" w:firstLineChars="0"/>
      <w:jc w:val="center"/>
    </w:pPr>
  </w:style>
  <w:style w:type="paragraph" w:customStyle="1" w:styleId="115">
    <w:name w:val="二级标"/>
    <w:basedOn w:val="116"/>
    <w:autoRedefine/>
    <w:qFormat/>
    <w:uiPriority w:val="0"/>
    <w:pPr>
      <w:ind w:firstLine="482" w:firstLineChars="200"/>
    </w:pPr>
    <w:rPr>
      <w:sz w:val="24"/>
    </w:rPr>
  </w:style>
  <w:style w:type="paragraph" w:customStyle="1" w:styleId="116">
    <w:name w:val="一级标"/>
    <w:basedOn w:val="1"/>
    <w:autoRedefine/>
    <w:qFormat/>
    <w:uiPriority w:val="0"/>
    <w:pPr>
      <w:ind w:firstLine="0" w:firstLineChars="0"/>
    </w:pPr>
    <w:rPr>
      <w:b/>
      <w:sz w:val="28"/>
    </w:rPr>
  </w:style>
  <w:style w:type="character" w:customStyle="1" w:styleId="117">
    <w:name w:val="表图标题 Char"/>
    <w:link w:val="114"/>
    <w:autoRedefine/>
    <w:qFormat/>
    <w:uiPriority w:val="0"/>
    <w:rPr>
      <w:b/>
      <w:kern w:val="2"/>
      <w:sz w:val="24"/>
      <w:szCs w:val="24"/>
    </w:rPr>
  </w:style>
  <w:style w:type="paragraph" w:customStyle="1" w:styleId="118">
    <w:name w:val="表格格式"/>
    <w:basedOn w:val="114"/>
    <w:next w:val="1"/>
    <w:autoRedefine/>
    <w:qFormat/>
    <w:uiPriority w:val="0"/>
    <w:pPr>
      <w:spacing w:line="240" w:lineRule="auto"/>
    </w:pPr>
    <w:rPr>
      <w:b w:val="0"/>
      <w:snapToGrid w:val="0"/>
      <w:sz w:val="21"/>
    </w:rPr>
  </w:style>
  <w:style w:type="paragraph" w:customStyle="1" w:styleId="119">
    <w:name w:val="表格正文"/>
    <w:basedOn w:val="1"/>
    <w:next w:val="1"/>
    <w:autoRedefine/>
    <w:qFormat/>
    <w:uiPriority w:val="1"/>
    <w:pPr>
      <w:spacing w:line="240" w:lineRule="auto"/>
      <w:jc w:val="center"/>
    </w:pPr>
    <w:rPr>
      <w:sz w:val="21"/>
    </w:rPr>
  </w:style>
  <w:style w:type="character" w:customStyle="1" w:styleId="120">
    <w:name w:val="bt11"/>
    <w:basedOn w:val="36"/>
    <w:autoRedefine/>
    <w:qFormat/>
    <w:uiPriority w:val="0"/>
    <w:rPr>
      <w:rFonts w:hint="eastAsia" w:ascii="黑体" w:eastAsia="黑体"/>
      <w:color w:val="000000"/>
      <w:sz w:val="28"/>
      <w:szCs w:val="28"/>
    </w:rPr>
  </w:style>
  <w:style w:type="character" w:customStyle="1" w:styleId="121">
    <w:name w:val="text_piice"/>
    <w:basedOn w:val="36"/>
    <w:autoRedefine/>
    <w:qFormat/>
    <w:uiPriority w:val="0"/>
  </w:style>
  <w:style w:type="character" w:customStyle="1" w:styleId="122">
    <w:name w:val="ENFI正文 Char Char"/>
    <w:link w:val="123"/>
    <w:autoRedefine/>
    <w:qFormat/>
    <w:uiPriority w:val="0"/>
    <w:rPr>
      <w:color w:val="000000"/>
      <w:sz w:val="28"/>
    </w:rPr>
  </w:style>
  <w:style w:type="paragraph" w:customStyle="1" w:styleId="123">
    <w:name w:val="ENFI正文"/>
    <w:basedOn w:val="1"/>
    <w:link w:val="122"/>
    <w:autoRedefine/>
    <w:qFormat/>
    <w:uiPriority w:val="0"/>
    <w:pPr>
      <w:adjustRightInd w:val="0"/>
      <w:snapToGrid w:val="0"/>
      <w:spacing w:line="500" w:lineRule="exact"/>
      <w:ind w:firstLine="567" w:firstLineChars="0"/>
      <w:jc w:val="both"/>
    </w:pPr>
    <w:rPr>
      <w:color w:val="000000"/>
      <w:kern w:val="0"/>
      <w:sz w:val="28"/>
      <w:szCs w:val="20"/>
    </w:rPr>
  </w:style>
  <w:style w:type="character" w:customStyle="1" w:styleId="124">
    <w:name w:val="！正文 Char Char"/>
    <w:link w:val="125"/>
    <w:autoRedefine/>
    <w:qFormat/>
    <w:uiPriority w:val="0"/>
    <w:rPr>
      <w:kern w:val="2"/>
      <w:sz w:val="24"/>
      <w:szCs w:val="22"/>
    </w:rPr>
  </w:style>
  <w:style w:type="paragraph" w:customStyle="1" w:styleId="125">
    <w:name w:val="！正文"/>
    <w:basedOn w:val="1"/>
    <w:link w:val="124"/>
    <w:autoRedefine/>
    <w:qFormat/>
    <w:uiPriority w:val="0"/>
    <w:pPr>
      <w:ind w:firstLine="200"/>
      <w:jc w:val="both"/>
    </w:pPr>
    <w:rPr>
      <w:szCs w:val="22"/>
    </w:rPr>
  </w:style>
  <w:style w:type="character" w:customStyle="1" w:styleId="126">
    <w:name w:val="报告表  段 Char Char"/>
    <w:link w:val="127"/>
    <w:autoRedefine/>
    <w:qFormat/>
    <w:uiPriority w:val="0"/>
    <w:rPr>
      <w:rFonts w:ascii="宋体"/>
      <w:sz w:val="24"/>
    </w:rPr>
  </w:style>
  <w:style w:type="paragraph" w:customStyle="1" w:styleId="127">
    <w:name w:val="报告表  段"/>
    <w:basedOn w:val="1"/>
    <w:link w:val="126"/>
    <w:autoRedefine/>
    <w:qFormat/>
    <w:uiPriority w:val="0"/>
    <w:pPr>
      <w:adjustRightInd w:val="0"/>
      <w:ind w:firstLine="505" w:firstLineChars="0"/>
      <w:jc w:val="both"/>
      <w:textAlignment w:val="baseline"/>
    </w:pPr>
    <w:rPr>
      <w:rFonts w:ascii="宋体"/>
      <w:kern w:val="0"/>
      <w:szCs w:val="20"/>
    </w:rPr>
  </w:style>
  <w:style w:type="paragraph" w:customStyle="1" w:styleId="128">
    <w:name w:val="Table Text"/>
    <w:basedOn w:val="1"/>
    <w:autoRedefine/>
    <w:semiHidden/>
    <w:qFormat/>
    <w:uiPriority w:val="0"/>
    <w:rPr>
      <w:rFonts w:ascii="宋体" w:hAnsi="宋体" w:cs="宋体"/>
      <w:lang w:eastAsia="en-US"/>
    </w:rPr>
  </w:style>
  <w:style w:type="paragraph" w:customStyle="1" w:styleId="129">
    <w:name w:val="样式3"/>
    <w:basedOn w:val="1"/>
    <w:autoRedefine/>
    <w:qFormat/>
    <w:uiPriority w:val="0"/>
    <w:pPr>
      <w:snapToGrid w:val="0"/>
      <w:spacing w:before="120" w:beforeLines="50"/>
      <w:ind w:firstLine="480"/>
    </w:pPr>
    <w:rPr>
      <w:rFonts w:eastAsia="仿宋"/>
      <w:color w:val="000000"/>
      <w:kern w:val="0"/>
    </w:rPr>
  </w:style>
  <w:style w:type="paragraph" w:customStyle="1" w:styleId="130">
    <w:name w:val="Huo 小四缩进2"/>
    <w:basedOn w:val="1"/>
    <w:autoRedefine/>
    <w:qFormat/>
    <w:uiPriority w:val="0"/>
    <w:pPr>
      <w:ind w:firstLine="200"/>
    </w:pPr>
  </w:style>
  <w:style w:type="paragraph" w:customStyle="1" w:styleId="131">
    <w:name w:val="小四缩进2黑体"/>
    <w:basedOn w:val="1"/>
    <w:next w:val="132"/>
    <w:autoRedefine/>
    <w:qFormat/>
    <w:uiPriority w:val="0"/>
    <w:pPr>
      <w:ind w:firstLine="200"/>
    </w:pPr>
    <w:rPr>
      <w:rFonts w:eastAsia="黑体" w:cs="仿宋_GB2312"/>
      <w:bCs/>
      <w:color w:val="000000"/>
    </w:rPr>
  </w:style>
  <w:style w:type="paragraph" w:customStyle="1" w:styleId="132">
    <w:name w:val="小四缩进2"/>
    <w:basedOn w:val="1"/>
    <w:autoRedefine/>
    <w:qFormat/>
    <w:uiPriority w:val="0"/>
    <w:pPr>
      <w:ind w:firstLine="480"/>
    </w:pPr>
    <w:rPr>
      <w:rFonts w:cs="仿宋_GB2312"/>
    </w:rPr>
  </w:style>
  <w:style w:type="character" w:customStyle="1" w:styleId="133">
    <w:name w:val="15"/>
    <w:autoRedefine/>
    <w:qFormat/>
    <w:uiPriority w:val="0"/>
    <w:rPr>
      <w:rFonts w:hint="default" w:ascii="Times New Roman" w:hAnsi="Times New Roman"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9" Type="http://schemas.openxmlformats.org/officeDocument/2006/relationships/fontTable" Target="fontTable.xml"/><Relationship Id="rId38" Type="http://schemas.openxmlformats.org/officeDocument/2006/relationships/customXml" Target="../customXml/item2.xml"/><Relationship Id="rId37" Type="http://schemas.openxmlformats.org/officeDocument/2006/relationships/numbering" Target="numbering.xml"/><Relationship Id="rId36" Type="http://schemas.openxmlformats.org/officeDocument/2006/relationships/customXml" Target="../customXml/item1.xml"/><Relationship Id="rId35" Type="http://schemas.openxmlformats.org/officeDocument/2006/relationships/image" Target="media/image14.wmf"/><Relationship Id="rId34" Type="http://schemas.openxmlformats.org/officeDocument/2006/relationships/oleObject" Target="embeddings/oleObject3.bin"/><Relationship Id="rId33" Type="http://schemas.openxmlformats.org/officeDocument/2006/relationships/image" Target="media/image13.wmf"/><Relationship Id="rId32" Type="http://schemas.openxmlformats.org/officeDocument/2006/relationships/oleObject" Target="embeddings/oleObject2.bin"/><Relationship Id="rId31" Type="http://schemas.openxmlformats.org/officeDocument/2006/relationships/image" Target="media/image12.wmf"/><Relationship Id="rId30" Type="http://schemas.openxmlformats.org/officeDocument/2006/relationships/oleObject" Target="embeddings/oleObject1.bin"/><Relationship Id="rId3" Type="http://schemas.openxmlformats.org/officeDocument/2006/relationships/footnotes" Target="footnotes.xml"/><Relationship Id="rId29" Type="http://schemas.openxmlformats.org/officeDocument/2006/relationships/image" Target="media/image11.emf"/><Relationship Id="rId28" Type="http://schemas.openxmlformats.org/officeDocument/2006/relationships/package" Target="embeddings/Microsoft_Visio___4.vsdx"/><Relationship Id="rId27" Type="http://schemas.openxmlformats.org/officeDocument/2006/relationships/image" Target="media/image10.wmf"/><Relationship Id="rId26" Type="http://schemas.openxmlformats.org/officeDocument/2006/relationships/image" Target="media/image9.png"/><Relationship Id="rId25" Type="http://schemas.openxmlformats.org/officeDocument/2006/relationships/image" Target="media/image8.png"/><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emf"/><Relationship Id="rId21" Type="http://schemas.openxmlformats.org/officeDocument/2006/relationships/package" Target="embeddings/Microsoft_Visio___3.vsdx"/><Relationship Id="rId20" Type="http://schemas.openxmlformats.org/officeDocument/2006/relationships/image" Target="media/image4.emf"/><Relationship Id="rId2" Type="http://schemas.openxmlformats.org/officeDocument/2006/relationships/settings" Target="settings.xml"/><Relationship Id="rId19" Type="http://schemas.openxmlformats.org/officeDocument/2006/relationships/package" Target="embeddings/Microsoft_Visio___2.vsdx"/><Relationship Id="rId18" Type="http://schemas.openxmlformats.org/officeDocument/2006/relationships/image" Target="media/image3.emf"/><Relationship Id="rId17" Type="http://schemas.openxmlformats.org/officeDocument/2006/relationships/package" Target="embeddings/Microsoft_Visio___1.vsdx"/><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11E91E1-8C6F-45B4-BE0E-BA8D420BC15D}">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67</Pages>
  <Words>716</Words>
  <Characters>823</Characters>
  <Lines>3172</Lines>
  <Paragraphs>2621</Paragraphs>
  <TotalTime>13</TotalTime>
  <ScaleCrop>false</ScaleCrop>
  <LinksUpToDate>false</LinksUpToDate>
  <CharactersWithSpaces>888</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2024-05-17T06:58:00Z</dcterms:created>
  <dc:creator>lhj</dc:creator>
  <cp:lastModifiedBy>起风了</cp:lastModifiedBy>
  <cp:lastPrinted>2023-06-01T02:50:00Z</cp:lastPrinted>
  <dcterms:modified xsi:type="dcterms:W3CDTF">2025-08-28T07:06:20Z</dcterms:modified>
  <dc:title>附件2</dc:title>
  <cp:revision>79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BCFFBFF63EF84648A3E0B6091A2E3EEE_13</vt:lpwstr>
  </property>
  <property fmtid="{D5CDD505-2E9C-101B-9397-08002B2CF9AE}" pid="4" name="KSOSaveFontToCloudKey">
    <vt:lpwstr>255291055_btnclosed</vt:lpwstr>
  </property>
  <property fmtid="{D5CDD505-2E9C-101B-9397-08002B2CF9AE}" pid="5" name="KSOTemplateDocerSaveRecord">
    <vt:lpwstr>eyJoZGlkIjoiM2JlMzY1OGQ4NTRjZjEyNmEzOTU4MGE1MjUwZmE0MDEiLCJ1c2VySWQiOiIxOTg0MTgyOTIifQ==</vt:lpwstr>
  </property>
</Properties>
</file>