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pacing w:line="440" w:lineRule="exact"/>
        <w:jc w:val="center"/>
        <w:textAlignment w:val="auto"/>
        <w:rPr>
          <w:rFonts w:hint="eastAsia" w:ascii="仿宋" w:hAnsi="仿宋" w:eastAsia="仿宋" w:cs="仿宋"/>
          <w:color w:val="auto"/>
          <w:kern w:val="0"/>
          <w:sz w:val="24"/>
          <w:szCs w:val="24"/>
          <w:highlight w:val="none"/>
        </w:rPr>
      </w:pPr>
      <w:bookmarkStart w:id="0" w:name="_Toc6822"/>
      <w:r>
        <w:rPr>
          <w:rFonts w:hint="eastAsia" w:ascii="仿宋" w:hAnsi="仿宋" w:eastAsia="仿宋" w:cs="仿宋"/>
          <w:color w:val="auto"/>
          <w:kern w:val="0"/>
          <w:sz w:val="24"/>
          <w:szCs w:val="24"/>
          <w:highlight w:val="none"/>
        </w:rPr>
        <w:t xml:space="preserve">第一部分 </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邀请函</w:t>
      </w:r>
      <w:bookmarkEnd w:id="0"/>
    </w:p>
    <w:p>
      <w:pPr>
        <w:pageBreakBefore w:val="0"/>
        <w:widowControl w:val="0"/>
        <w:kinsoku/>
        <w:wordWrap/>
        <w:overflowPunct/>
        <w:topLinePunct w:val="0"/>
        <w:bidi w:val="0"/>
        <w:spacing w:line="44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各（潜在）供应商:</w:t>
      </w:r>
    </w:p>
    <w:p>
      <w:pPr>
        <w:pageBreakBefore w:val="0"/>
        <w:widowControl w:val="0"/>
        <w:kinsoku/>
        <w:wordWrap/>
        <w:overflowPunct/>
        <w:topLinePunct w:val="0"/>
        <w:bidi w:val="0"/>
        <w:spacing w:line="440" w:lineRule="exact"/>
        <w:ind w:firstLine="480" w:firstLineChars="2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color w:val="auto"/>
          <w:sz w:val="24"/>
          <w:szCs w:val="24"/>
          <w:highlight w:val="none"/>
          <w:u w:val="single"/>
          <w:lang w:eastAsia="zh-CN"/>
        </w:rPr>
        <w:t>博罗县文化广电旅游体育局</w:t>
      </w:r>
      <w:r>
        <w:rPr>
          <w:rFonts w:hint="eastAsia" w:ascii="仿宋" w:hAnsi="仿宋" w:eastAsia="仿宋" w:cs="仿宋"/>
          <w:color w:val="auto"/>
          <w:sz w:val="24"/>
          <w:szCs w:val="24"/>
          <w:highlight w:val="none"/>
        </w:rPr>
        <w:t>对</w:t>
      </w:r>
      <w:r>
        <w:rPr>
          <w:rFonts w:hint="eastAsia" w:ascii="仿宋" w:hAnsi="仿宋" w:eastAsia="仿宋" w:cs="仿宋"/>
          <w:b w:val="0"/>
          <w:bCs w:val="0"/>
          <w:sz w:val="24"/>
          <w:szCs w:val="24"/>
          <w:lang w:val="en-US" w:eastAsia="zh-CN"/>
        </w:rPr>
        <w:t>2025年村（社区）</w:t>
      </w:r>
      <w:r>
        <w:rPr>
          <w:rFonts w:hint="eastAsia" w:ascii="仿宋" w:hAnsi="仿宋" w:eastAsia="仿宋" w:cs="仿宋"/>
          <w:b w:val="0"/>
          <w:bCs w:val="0"/>
          <w:color w:val="000000"/>
          <w:sz w:val="24"/>
          <w:szCs w:val="24"/>
          <w:shd w:val="clear" w:color="auto" w:fill="FFFFFF"/>
          <w:lang w:val="en-US" w:eastAsia="zh-CN"/>
        </w:rPr>
        <w:t>体育健身器材采购项目</w:t>
      </w:r>
      <w:r>
        <w:rPr>
          <w:rFonts w:hint="eastAsia" w:ascii="仿宋" w:hAnsi="仿宋" w:eastAsia="仿宋" w:cs="仿宋"/>
          <w:b w:val="0"/>
          <w:bCs w:val="0"/>
          <w:color w:val="auto"/>
          <w:sz w:val="24"/>
          <w:szCs w:val="24"/>
          <w:highlight w:val="none"/>
        </w:rPr>
        <w:t>进行</w:t>
      </w:r>
      <w:r>
        <w:rPr>
          <w:rFonts w:hint="eastAsia" w:ascii="仿宋" w:hAnsi="仿宋" w:eastAsia="仿宋" w:cs="仿宋"/>
          <w:b w:val="0"/>
          <w:bCs w:val="0"/>
          <w:color w:val="auto"/>
          <w:sz w:val="24"/>
          <w:szCs w:val="24"/>
          <w:highlight w:val="none"/>
          <w:lang w:eastAsia="zh-CN"/>
        </w:rPr>
        <w:t>竞争性磋商</w:t>
      </w:r>
      <w:r>
        <w:rPr>
          <w:rFonts w:hint="eastAsia" w:ascii="仿宋" w:hAnsi="仿宋" w:eastAsia="仿宋" w:cs="仿宋"/>
          <w:b w:val="0"/>
          <w:bCs w:val="0"/>
          <w:color w:val="auto"/>
          <w:sz w:val="24"/>
          <w:szCs w:val="24"/>
          <w:highlight w:val="none"/>
        </w:rPr>
        <w:t>采购，</w:t>
      </w:r>
      <w:r>
        <w:rPr>
          <w:rFonts w:hint="eastAsia" w:ascii="仿宋" w:hAnsi="仿宋" w:eastAsia="仿宋" w:cs="仿宋"/>
          <w:b w:val="0"/>
          <w:bCs w:val="0"/>
          <w:color w:val="auto"/>
          <w:sz w:val="24"/>
          <w:szCs w:val="24"/>
          <w:highlight w:val="none"/>
          <w:lang w:val="zh-CN"/>
        </w:rPr>
        <w:t>欢迎符合资格条件</w:t>
      </w:r>
      <w:r>
        <w:rPr>
          <w:rFonts w:hint="eastAsia" w:ascii="仿宋" w:hAnsi="仿宋" w:eastAsia="仿宋" w:cs="仿宋"/>
          <w:b w:val="0"/>
          <w:bCs w:val="0"/>
          <w:color w:val="auto"/>
          <w:sz w:val="24"/>
          <w:szCs w:val="24"/>
          <w:highlight w:val="none"/>
        </w:rPr>
        <w:t>的供应商投标。</w:t>
      </w:r>
    </w:p>
    <w:p>
      <w:pPr>
        <w:pageBreakBefore w:val="0"/>
        <w:widowControl w:val="0"/>
        <w:numPr>
          <w:ilvl w:val="0"/>
          <w:numId w:val="1"/>
        </w:numPr>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val="0"/>
          <w:bCs w:val="0"/>
          <w:color w:val="000000"/>
          <w:sz w:val="24"/>
          <w:szCs w:val="24"/>
          <w:shd w:val="clear" w:color="auto" w:fill="FFFFFF"/>
          <w:lang w:val="en-US" w:eastAsia="zh-CN"/>
        </w:rPr>
      </w:pP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none"/>
          <w:lang w:eastAsia="zh-CN"/>
        </w:rPr>
        <w:t>博罗县</w:t>
      </w:r>
      <w:r>
        <w:rPr>
          <w:rFonts w:hint="eastAsia" w:ascii="仿宋" w:hAnsi="仿宋" w:eastAsia="仿宋" w:cs="仿宋"/>
          <w:b w:val="0"/>
          <w:bCs w:val="0"/>
          <w:sz w:val="24"/>
          <w:szCs w:val="24"/>
          <w:lang w:val="en-US" w:eastAsia="zh-CN"/>
        </w:rPr>
        <w:t>2025年村（社区）</w:t>
      </w:r>
      <w:r>
        <w:rPr>
          <w:rFonts w:hint="eastAsia" w:ascii="仿宋" w:hAnsi="仿宋" w:eastAsia="仿宋" w:cs="仿宋"/>
          <w:b w:val="0"/>
          <w:bCs w:val="0"/>
          <w:color w:val="000000"/>
          <w:sz w:val="24"/>
          <w:szCs w:val="24"/>
          <w:shd w:val="clear" w:color="auto" w:fill="FFFFFF"/>
          <w:lang w:val="en-US" w:eastAsia="zh-CN"/>
        </w:rPr>
        <w:t>体育健身器材</w:t>
      </w:r>
      <w:r>
        <w:rPr>
          <w:rFonts w:hint="eastAsia" w:ascii="仿宋" w:hAnsi="仿宋" w:eastAsia="仿宋" w:cs="仿宋"/>
          <w:b w:val="0"/>
          <w:bCs w:val="0"/>
          <w:color w:val="auto"/>
          <w:sz w:val="24"/>
          <w:szCs w:val="24"/>
          <w:highlight w:val="none"/>
          <w:lang w:eastAsia="zh-CN"/>
        </w:rPr>
        <w:t>竞争性磋商</w:t>
      </w:r>
      <w:r>
        <w:rPr>
          <w:rFonts w:hint="eastAsia" w:ascii="仿宋" w:hAnsi="仿宋" w:eastAsia="仿宋" w:cs="仿宋"/>
          <w:b w:val="0"/>
          <w:bCs w:val="0"/>
          <w:color w:val="000000"/>
          <w:sz w:val="24"/>
          <w:szCs w:val="24"/>
          <w:shd w:val="clear" w:color="auto" w:fill="FFFFFF"/>
          <w:lang w:val="en-US" w:eastAsia="zh-CN"/>
        </w:rPr>
        <w:t>采购项目</w:t>
      </w:r>
    </w:p>
    <w:p>
      <w:pPr>
        <w:pageBreakBefore w:val="0"/>
        <w:widowControl w:val="0"/>
        <w:numPr>
          <w:ilvl w:val="0"/>
          <w:numId w:val="1"/>
        </w:numPr>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采购项目预算金额：</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293950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b/>
          <w:bCs/>
          <w:color w:val="auto"/>
          <w:sz w:val="24"/>
          <w:szCs w:val="24"/>
          <w:highlight w:val="none"/>
          <w:lang w:val="zh-CN"/>
        </w:rPr>
        <w:t>三、采购数量：</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批</w:t>
      </w:r>
    </w:p>
    <w:p>
      <w:pPr>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四、采购项目内容及需求 (采购项目技术规格、参数及要求，需要落实的政府采购政策) ：</w:t>
      </w:r>
    </w:p>
    <w:p>
      <w:pPr>
        <w:pageBreakBefore w:val="0"/>
        <w:widowControl w:val="0"/>
        <w:kinsoku/>
        <w:wordWrap/>
        <w:overflowPunct/>
        <w:topLinePunct w:val="0"/>
        <w:autoSpaceDE w:val="0"/>
        <w:autoSpaceDN w:val="0"/>
        <w:bidi w:val="0"/>
        <w:spacing w:before="156" w:beforeLines="5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1.采购项目内容：</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883"/>
        <w:gridCol w:w="1030"/>
        <w:gridCol w:w="219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3"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序号</w:t>
            </w:r>
          </w:p>
        </w:tc>
        <w:tc>
          <w:tcPr>
            <w:tcW w:w="1455"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518" w:type="pct"/>
            <w:noWrap w:val="0"/>
            <w:vAlign w:val="top"/>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06"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p>
        </w:tc>
        <w:tc>
          <w:tcPr>
            <w:tcW w:w="1434"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3"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455" w:type="pct"/>
            <w:noWrap w:val="0"/>
            <w:vAlign w:val="center"/>
          </w:tcPr>
          <w:p>
            <w:pPr>
              <w:pageBreakBefore w:val="0"/>
              <w:widowControl w:val="0"/>
              <w:tabs>
                <w:tab w:val="left" w:pos="0"/>
                <w:tab w:val="left" w:pos="34"/>
              </w:tabs>
              <w:kinsoku/>
              <w:wordWrap/>
              <w:overflowPunct/>
              <w:topLinePunct w:val="0"/>
              <w:bidi w:val="0"/>
              <w:spacing w:line="440" w:lineRule="exact"/>
              <w:ind w:left="34" w:hanging="34"/>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sz w:val="24"/>
                <w:szCs w:val="24"/>
                <w:lang w:val="en-US" w:eastAsia="zh-CN"/>
              </w:rPr>
              <w:t>2025年村（社区）</w:t>
            </w:r>
            <w:r>
              <w:rPr>
                <w:rFonts w:hint="eastAsia" w:ascii="仿宋" w:hAnsi="仿宋" w:eastAsia="仿宋" w:cs="仿宋"/>
                <w:b w:val="0"/>
                <w:bCs w:val="0"/>
                <w:color w:val="000000"/>
                <w:sz w:val="24"/>
                <w:szCs w:val="24"/>
                <w:shd w:val="clear" w:color="auto" w:fill="FFFFFF"/>
                <w:lang w:val="en-US" w:eastAsia="zh-CN"/>
              </w:rPr>
              <w:t>体育健身器材</w:t>
            </w:r>
          </w:p>
        </w:tc>
        <w:tc>
          <w:tcPr>
            <w:tcW w:w="518" w:type="pct"/>
            <w:noWrap w:val="0"/>
            <w:vAlign w:val="center"/>
          </w:tcPr>
          <w:p>
            <w:pPr>
              <w:pageBreakBefore w:val="0"/>
              <w:widowControl w:val="0"/>
              <w:tabs>
                <w:tab w:val="left" w:pos="0"/>
                <w:tab w:val="left" w:pos="425"/>
              </w:tabs>
              <w:kinsoku/>
              <w:wordWrap/>
              <w:overflowPunct/>
              <w:topLinePunct w:val="0"/>
              <w:bidi w:val="0"/>
              <w:spacing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批</w:t>
            </w:r>
          </w:p>
        </w:tc>
        <w:tc>
          <w:tcPr>
            <w:tcW w:w="1106"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293950</w:t>
            </w:r>
            <w:r>
              <w:rPr>
                <w:rFonts w:hint="default" w:ascii="仿宋" w:hAnsi="仿宋" w:eastAsia="仿宋" w:cs="仿宋"/>
                <w:color w:val="auto"/>
                <w:sz w:val="24"/>
                <w:szCs w:val="24"/>
                <w:highlight w:val="none"/>
                <w:lang w:val="en-US" w:eastAsia="zh-CN"/>
              </w:rPr>
              <w:t>.00</w:t>
            </w:r>
          </w:p>
        </w:tc>
        <w:tc>
          <w:tcPr>
            <w:tcW w:w="1434"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06" w:type="pct"/>
            <w:noWrap w:val="0"/>
            <w:vAlign w:val="top"/>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293950</w:t>
            </w:r>
            <w:r>
              <w:rPr>
                <w:rFonts w:hint="default" w:ascii="仿宋" w:hAnsi="仿宋" w:eastAsia="仿宋" w:cs="仿宋"/>
                <w:color w:val="auto"/>
                <w:sz w:val="24"/>
                <w:szCs w:val="24"/>
                <w:highlight w:val="none"/>
                <w:lang w:val="en-US" w:eastAsia="zh-CN"/>
              </w:rPr>
              <w:t>.00</w:t>
            </w:r>
          </w:p>
        </w:tc>
        <w:tc>
          <w:tcPr>
            <w:tcW w:w="1434" w:type="pct"/>
            <w:noWrap w:val="0"/>
            <w:vAlign w:val="top"/>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p>
        </w:tc>
      </w:tr>
    </w:tbl>
    <w:p>
      <w:pPr>
        <w:pageBreakBefore w:val="0"/>
        <w:widowControl w:val="0"/>
        <w:numPr>
          <w:ilvl w:val="0"/>
          <w:numId w:val="2"/>
        </w:numPr>
        <w:kinsoku/>
        <w:wordWrap/>
        <w:overflowPunct/>
        <w:topLinePunct w:val="0"/>
        <w:autoSpaceDE w:val="0"/>
        <w:autoSpaceDN w:val="0"/>
        <w:bidi w:val="0"/>
        <w:spacing w:line="44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采购项目技术规格、参数及要求：详见</w:t>
      </w:r>
      <w:r>
        <w:rPr>
          <w:rFonts w:hint="eastAsia" w:ascii="仿宋" w:hAnsi="仿宋" w:eastAsia="仿宋" w:cs="仿宋"/>
          <w:b w:val="0"/>
          <w:bCs w:val="0"/>
          <w:color w:val="auto"/>
          <w:sz w:val="24"/>
          <w:szCs w:val="24"/>
          <w:highlight w:val="none"/>
          <w:lang w:eastAsia="zh-CN"/>
        </w:rPr>
        <w:t>竞争性磋商</w:t>
      </w:r>
      <w:r>
        <w:rPr>
          <w:rFonts w:hint="eastAsia" w:ascii="仿宋" w:hAnsi="仿宋" w:eastAsia="仿宋" w:cs="仿宋"/>
          <w:color w:val="auto"/>
          <w:kern w:val="0"/>
          <w:sz w:val="24"/>
          <w:szCs w:val="24"/>
          <w:highlight w:val="none"/>
        </w:rPr>
        <w:t>文件第二部分。</w:t>
      </w:r>
    </w:p>
    <w:p>
      <w:pPr>
        <w:pageBreakBefore w:val="0"/>
        <w:widowControl w:val="0"/>
        <w:numPr>
          <w:ilvl w:val="0"/>
          <w:numId w:val="2"/>
        </w:numPr>
        <w:kinsoku/>
        <w:wordWrap/>
        <w:overflowPunct/>
        <w:topLinePunct w:val="0"/>
        <w:autoSpaceDE w:val="0"/>
        <w:autoSpaceDN w:val="0"/>
        <w:bidi w:val="0"/>
        <w:spacing w:line="44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需要落实的政府采购政策</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政府采购促进中小企业发展暂行办法》（财库〔2011〕181号）、《关于政府采购支持监狱企业发展有关问题的通知》(财库〔2014〕68号)、《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color w:val="auto"/>
          <w:sz w:val="24"/>
          <w:szCs w:val="24"/>
          <w:highlight w:val="none"/>
        </w:rPr>
        <w:t>《关于调整优化节能产品、环境标志产品政府采购执行机制的通知》（财库〔2019〕9号）、</w:t>
      </w:r>
      <w:r>
        <w:rPr>
          <w:rFonts w:hint="eastAsia" w:ascii="仿宋" w:hAnsi="仿宋" w:eastAsia="仿宋" w:cs="仿宋"/>
          <w:color w:val="auto"/>
          <w:kern w:val="0"/>
          <w:sz w:val="24"/>
          <w:szCs w:val="24"/>
          <w:highlight w:val="none"/>
        </w:rPr>
        <w:t>《关于政府采购进口产品管理有关问题的通知》</w:t>
      </w:r>
      <w:r>
        <w:rPr>
          <w:rFonts w:hint="eastAsia" w:ascii="仿宋" w:hAnsi="仿宋" w:eastAsia="仿宋" w:cs="仿宋"/>
          <w:color w:val="auto"/>
          <w:sz w:val="24"/>
          <w:szCs w:val="24"/>
          <w:highlight w:val="none"/>
        </w:rPr>
        <w:t>（财</w:t>
      </w:r>
      <w:r>
        <w:rPr>
          <w:rFonts w:hint="eastAsia" w:ascii="仿宋" w:hAnsi="仿宋" w:eastAsia="仿宋" w:cs="仿宋"/>
          <w:color w:val="auto"/>
          <w:kern w:val="0"/>
          <w:sz w:val="24"/>
          <w:szCs w:val="24"/>
          <w:highlight w:val="none"/>
        </w:rPr>
        <w:t>办库 2008[248]号文）。</w:t>
      </w:r>
    </w:p>
    <w:p>
      <w:pPr>
        <w:pageBreakBefore w:val="0"/>
        <w:widowControl w:val="0"/>
        <w:kinsoku/>
        <w:wordWrap/>
        <w:overflowPunct/>
        <w:topLinePunct w:val="0"/>
        <w:autoSpaceDE w:val="0"/>
        <w:autoSpaceDN w:val="0"/>
        <w:bidi w:val="0"/>
        <w:spacing w:line="44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4．供应商应对包内所有的</w:t>
      </w:r>
      <w:r>
        <w:rPr>
          <w:rFonts w:hint="eastAsia" w:ascii="仿宋" w:hAnsi="仿宋" w:eastAsia="仿宋" w:cs="仿宋"/>
          <w:b w:val="0"/>
          <w:bCs w:val="0"/>
          <w:color w:val="auto"/>
          <w:sz w:val="24"/>
          <w:szCs w:val="24"/>
          <w:highlight w:val="none"/>
          <w:lang w:eastAsia="zh-CN"/>
        </w:rPr>
        <w:t>竞争性磋商</w:t>
      </w:r>
      <w:r>
        <w:rPr>
          <w:rFonts w:hint="eastAsia" w:ascii="仿宋" w:hAnsi="仿宋" w:eastAsia="仿宋" w:cs="仿宋"/>
          <w:color w:val="auto"/>
          <w:kern w:val="0"/>
          <w:sz w:val="24"/>
          <w:szCs w:val="24"/>
          <w:highlight w:val="none"/>
        </w:rPr>
        <w:t>内容进行投标，不允许只对其中部分内容进行投标。</w:t>
      </w:r>
    </w:p>
    <w:p>
      <w:pPr>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五、供应商资格：</w:t>
      </w:r>
    </w:p>
    <w:p>
      <w:pPr>
        <w:pageBreakBefore w:val="0"/>
        <w:widowControl w:val="0"/>
        <w:numPr>
          <w:ilvl w:val="0"/>
          <w:numId w:val="3"/>
        </w:numPr>
        <w:kinsoku/>
        <w:wordWrap/>
        <w:overflowPunct/>
        <w:topLinePunct w:val="0"/>
        <w:bidi w:val="0"/>
        <w:adjustRightInd w:val="0"/>
        <w:snapToGrid w:val="0"/>
        <w:spacing w:line="440" w:lineRule="exact"/>
        <w:ind w:left="0" w:firstLine="56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投标人应具备《政府采购法》第二十二条规定的条件，提供下列材料：</w:t>
      </w:r>
    </w:p>
    <w:p>
      <w:pPr>
        <w:pageBreakBefore w:val="0"/>
        <w:widowControl w:val="0"/>
        <w:kinsoku/>
        <w:wordWrap/>
        <w:overflowPunct/>
        <w:topLinePunct w:val="0"/>
        <w:bidi w:val="0"/>
        <w:adjustRightInd w:val="0"/>
        <w:snapToGrid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1）供应商必须是具有独立承担民事责任能力的在中华人民共和国境内注册的法人或其他组织或自然人，投标时提交有效的营业执照（或事业法人登记证或身份证等相关证明）副本复印件。</w:t>
      </w:r>
    </w:p>
    <w:p>
      <w:pPr>
        <w:pageBreakBefore w:val="0"/>
        <w:widowControl w:val="0"/>
        <w:kinsoku/>
        <w:wordWrap/>
        <w:overflowPunct/>
        <w:topLinePunct w:val="0"/>
        <w:bidi w:val="0"/>
        <w:adjustRightInd w:val="0"/>
        <w:snapToGrid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2）供应商必须具有良好的商业信誉和健全的财务会计制度（提供</w:t>
      </w:r>
      <w:r>
        <w:rPr>
          <w:rFonts w:hint="eastAsia" w:ascii="仿宋" w:hAnsi="仿宋" w:eastAsia="仿宋" w:cs="仿宋"/>
          <w:color w:val="auto"/>
          <w:sz w:val="24"/>
          <w:szCs w:val="24"/>
          <w:highlight w:val="none"/>
          <w:lang w:eastAsia="zh-CN"/>
        </w:rPr>
        <w:t>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年度或20</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年度</w:t>
      </w:r>
      <w:r>
        <w:rPr>
          <w:rFonts w:hint="eastAsia" w:ascii="仿宋" w:hAnsi="仿宋" w:eastAsia="仿宋" w:cs="仿宋"/>
          <w:color w:val="auto"/>
          <w:sz w:val="24"/>
          <w:szCs w:val="24"/>
          <w:highlight w:val="none"/>
        </w:rPr>
        <w:t>财务状况报告或基本开户行出具的资信证明）。</w:t>
      </w:r>
    </w:p>
    <w:p>
      <w:pPr>
        <w:pageBreakBefore w:val="0"/>
        <w:widowControl w:val="0"/>
        <w:kinsoku/>
        <w:wordWrap/>
        <w:overflowPunct/>
        <w:topLinePunct w:val="0"/>
        <w:bidi w:val="0"/>
        <w:adjustRightInd w:val="0"/>
        <w:snapToGrid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3）有依法缴纳税收和社会保障资金的良好记录（提供投标截止日前6个月内任意1个月依法缴纳税收和社会保障资金的相关材料。如依法免税或不需要缴纳社会保障资金的，提供相应证明材料）。</w:t>
      </w:r>
    </w:p>
    <w:p>
      <w:pPr>
        <w:pageBreakBefore w:val="0"/>
        <w:widowControl w:val="0"/>
        <w:kinsoku/>
        <w:wordWrap/>
        <w:overflowPunct/>
        <w:topLinePunct w:val="0"/>
        <w:bidi w:val="0"/>
        <w:adjustRightInd w:val="0"/>
        <w:snapToGrid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4）具备履行合同所必需的设备和专业技术能力（按投标文件格式填报设备及专业技术能力情况表）。</w:t>
      </w:r>
    </w:p>
    <w:p>
      <w:pPr>
        <w:pageBreakBefore w:val="0"/>
        <w:widowControl w:val="0"/>
        <w:kinsoku/>
        <w:wordWrap/>
        <w:overflowPunct/>
        <w:topLinePunct w:val="0"/>
        <w:bidi w:val="0"/>
        <w:adjustRightInd w:val="0"/>
        <w:snapToGrid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5）供应商参加政府采购活动前三年内，在经营活动中没有重大违法记录（可参照投标文件格式内容）。</w:t>
      </w:r>
    </w:p>
    <w:p>
      <w:pPr>
        <w:pageBreakBefore w:val="0"/>
        <w:widowControl w:val="0"/>
        <w:kinsoku/>
        <w:wordWrap/>
        <w:overflowPunct/>
        <w:topLinePunct w:val="0"/>
        <w:bidi w:val="0"/>
        <w:adjustRightInd w:val="0"/>
        <w:snapToGrid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6）供应商必须符合法律、行政法规规定的其他条件（提供承诺函，格式自拟）。</w:t>
      </w:r>
    </w:p>
    <w:p>
      <w:pPr>
        <w:pageBreakBefore w:val="0"/>
        <w:widowControl w:val="0"/>
        <w:numPr>
          <w:ilvl w:val="0"/>
          <w:numId w:val="3"/>
        </w:numPr>
        <w:kinsoku/>
        <w:wordWrap/>
        <w:overflowPunct/>
        <w:topLinePunct w:val="0"/>
        <w:bidi w:val="0"/>
        <w:adjustRightInd w:val="0"/>
        <w:snapToGrid w:val="0"/>
        <w:spacing w:line="440" w:lineRule="exact"/>
        <w:ind w:left="0" w:firstLine="56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政府采购代理机构于报价截止日当天在“信用中国”网站（www.creditchina.gov.cn）及中国政府采购网(www.ccgp.gov.cn)查询结果为准，如相关失信记录已失效，供应商需提供相关证明资料）。</w:t>
      </w:r>
    </w:p>
    <w:p>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接受进口产品投标，进口产品是指通过中国海关报关验放进入中国境内且产自关境外的产品。</w:t>
      </w:r>
    </w:p>
    <w:p>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.单位负责人为同一人或者存在直接控股、管理关系的不同供应商，不得同时参加本采购项目（包组）投标。</w:t>
      </w:r>
    </w:p>
    <w:p>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.本项目不接受联合体投标。</w:t>
      </w:r>
    </w:p>
    <w:p>
      <w:pPr>
        <w:pageBreakBefore w:val="0"/>
        <w:widowControl w:val="0"/>
        <w:kinsoku/>
        <w:wordWrap/>
        <w:overflowPunct/>
        <w:topLinePunct w:val="0"/>
        <w:bidi w:val="0"/>
        <w:spacing w:line="440" w:lineRule="exact"/>
        <w:ind w:firstLine="504" w:firstLineChars="21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color w:val="auto"/>
          <w:sz w:val="24"/>
          <w:szCs w:val="24"/>
          <w:highlight w:val="none"/>
        </w:rPr>
        <w:t>、符合资格的供应商应当在</w:t>
      </w:r>
      <w:r>
        <w:rPr>
          <w:rFonts w:hint="eastAsia" w:ascii="仿宋" w:hAnsi="仿宋" w:eastAsia="仿宋" w:cs="仿宋"/>
          <w:color w:val="auto"/>
          <w:sz w:val="24"/>
          <w:szCs w:val="24"/>
          <w:highlight w:val="none"/>
          <w:lang w:val="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zh-CN"/>
        </w:rPr>
        <w:t>日至20</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val="zh-CN"/>
        </w:rPr>
        <w:t>日期间（上午09:</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zh-CN"/>
        </w:rPr>
        <w:t>0至1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zh-CN"/>
        </w:rPr>
        <w:t>0,下午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:30至</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0，法定节假日除外,不少于5个工作日）到博罗县文化广电旅游体育局体育股（地址：惠州市博罗县罗阳街道体育大道博罗县体育中心游泳馆旁）递交报价资料。</w:t>
      </w:r>
    </w:p>
    <w:p>
      <w:pPr>
        <w:pStyle w:val="7"/>
        <w:pageBreakBefore w:val="0"/>
        <w:widowControl w:val="0"/>
        <w:numPr>
          <w:ilvl w:val="0"/>
          <w:numId w:val="0"/>
        </w:numPr>
        <w:kinsoku/>
        <w:wordWrap/>
        <w:overflowPunct/>
        <w:topLinePunct w:val="0"/>
        <w:bidi w:val="0"/>
        <w:spacing w:line="440" w:lineRule="exact"/>
        <w:ind w:firstLine="720"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、联系事项</w:t>
      </w:r>
    </w:p>
    <w:p>
      <w:pPr>
        <w:pStyle w:val="7"/>
        <w:pageBreakBefore w:val="0"/>
        <w:widowControl w:val="0"/>
        <w:numPr>
          <w:ilvl w:val="0"/>
          <w:numId w:val="0"/>
        </w:numPr>
        <w:kinsoku/>
        <w:wordWrap/>
        <w:overflowPunct/>
        <w:topLinePunct w:val="0"/>
        <w:bidi w:val="0"/>
        <w:spacing w:line="44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none"/>
          <w:lang w:eastAsia="zh-CN"/>
        </w:rPr>
        <w:t>博罗县文化广电旅游体育局</w:t>
      </w:r>
    </w:p>
    <w:p>
      <w:pPr>
        <w:pStyle w:val="7"/>
        <w:pageBreakBefore w:val="0"/>
        <w:widowControl w:val="0"/>
        <w:kinsoku/>
        <w:wordWrap/>
        <w:overflowPunct/>
        <w:topLinePunct w:val="0"/>
        <w:bidi w:val="0"/>
        <w:spacing w:line="440" w:lineRule="exact"/>
        <w:ind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地址：广东省惠州市博罗县体育大道</w:t>
      </w:r>
      <w:r>
        <w:rPr>
          <w:rFonts w:hint="eastAsia" w:ascii="仿宋" w:hAnsi="仿宋" w:eastAsia="仿宋" w:cs="仿宋"/>
          <w:color w:val="auto"/>
          <w:sz w:val="24"/>
          <w:szCs w:val="24"/>
          <w:highlight w:val="none"/>
          <w:lang w:eastAsia="zh-CN"/>
        </w:rPr>
        <w:t>体育中心体育股</w:t>
      </w:r>
    </w:p>
    <w:p>
      <w:pPr>
        <w:pStyle w:val="7"/>
        <w:pageBreakBefore w:val="0"/>
        <w:widowControl w:val="0"/>
        <w:kinsoku/>
        <w:wordWrap/>
        <w:overflowPunct/>
        <w:topLinePunct w:val="0"/>
        <w:bidi w:val="0"/>
        <w:spacing w:line="440" w:lineRule="exact"/>
        <w:ind w:firstLine="720" w:firstLineChars="3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周先生</w:t>
      </w:r>
    </w:p>
    <w:p>
      <w:pPr>
        <w:pStyle w:val="7"/>
        <w:pageBreakBefore w:val="0"/>
        <w:widowControl w:val="0"/>
        <w:kinsoku/>
        <w:wordWrap/>
        <w:overflowPunct/>
        <w:topLinePunct w:val="0"/>
        <w:bidi w:val="0"/>
        <w:spacing w:line="440" w:lineRule="exact"/>
        <w:ind w:firstLine="720" w:firstLineChars="3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0752-6626833</w:t>
      </w:r>
    </w:p>
    <w:p>
      <w:pPr>
        <w:pageBreakBefore w:val="0"/>
        <w:widowControl w:val="0"/>
        <w:kinsoku/>
        <w:wordWrap/>
        <w:overflowPunct/>
        <w:topLinePunct w:val="0"/>
        <w:bidi w:val="0"/>
        <w:spacing w:line="440" w:lineRule="exact"/>
        <w:ind w:firstLine="741" w:firstLineChars="309"/>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邮编：516</w:t>
      </w:r>
      <w:r>
        <w:rPr>
          <w:rFonts w:hint="eastAsia" w:ascii="仿宋" w:hAnsi="仿宋" w:eastAsia="仿宋" w:cs="仿宋"/>
          <w:color w:val="auto"/>
          <w:sz w:val="24"/>
          <w:szCs w:val="24"/>
          <w:highlight w:val="none"/>
          <w:lang w:val="en-US" w:eastAsia="zh-CN"/>
        </w:rPr>
        <w:t>000</w:t>
      </w:r>
    </w:p>
    <w:p>
      <w:pPr>
        <w:pageBreakBefore w:val="0"/>
        <w:widowControl w:val="0"/>
        <w:kinsoku/>
        <w:wordWrap/>
        <w:overflowPunct/>
        <w:topLinePunct w:val="0"/>
        <w:bidi w:val="0"/>
        <w:spacing w:line="440" w:lineRule="exact"/>
        <w:ind w:left="529" w:leftChars="252" w:firstLine="5280" w:firstLineChars="2200"/>
        <w:textAlignment w:val="auto"/>
        <w:rPr>
          <w:rFonts w:hint="eastAsia" w:ascii="仿宋" w:hAnsi="仿宋" w:eastAsia="仿宋" w:cs="仿宋"/>
          <w:color w:val="auto"/>
          <w:sz w:val="24"/>
          <w:szCs w:val="24"/>
          <w:highlight w:val="none"/>
          <w:lang w:eastAsia="zh-CN"/>
        </w:rPr>
      </w:pPr>
    </w:p>
    <w:p>
      <w:pPr>
        <w:pageBreakBefore w:val="0"/>
        <w:widowControl w:val="0"/>
        <w:kinsoku/>
        <w:wordWrap/>
        <w:overflowPunct/>
        <w:topLinePunct w:val="0"/>
        <w:bidi w:val="0"/>
        <w:spacing w:line="440" w:lineRule="exact"/>
        <w:ind w:left="529" w:leftChars="252" w:firstLine="5280" w:firstLineChars="2200"/>
        <w:textAlignment w:val="auto"/>
        <w:rPr>
          <w:rFonts w:hint="eastAsia" w:ascii="仿宋" w:hAnsi="仿宋" w:eastAsia="仿宋" w:cs="仿宋"/>
          <w:color w:val="auto"/>
          <w:sz w:val="24"/>
          <w:szCs w:val="24"/>
          <w:highlight w:val="none"/>
          <w:lang w:eastAsia="zh-CN"/>
        </w:rPr>
      </w:pPr>
    </w:p>
    <w:p>
      <w:pPr>
        <w:pageBreakBefore w:val="0"/>
        <w:widowControl w:val="0"/>
        <w:kinsoku/>
        <w:wordWrap/>
        <w:overflowPunct/>
        <w:topLinePunct w:val="0"/>
        <w:bidi w:val="0"/>
        <w:spacing w:line="440" w:lineRule="exact"/>
        <w:ind w:left="529" w:leftChars="252" w:firstLine="5280" w:firstLineChars="2200"/>
        <w:textAlignment w:val="auto"/>
        <w:rPr>
          <w:rFonts w:hint="eastAsia" w:ascii="仿宋" w:hAnsi="仿宋" w:eastAsia="仿宋" w:cs="仿宋"/>
          <w:color w:val="auto"/>
          <w:sz w:val="24"/>
          <w:szCs w:val="24"/>
          <w:highlight w:val="none"/>
          <w:lang w:eastAsia="zh-CN"/>
        </w:rPr>
      </w:pPr>
      <w:bookmarkStart w:id="10" w:name="_GoBack"/>
      <w:bookmarkEnd w:id="10"/>
      <w:r>
        <w:rPr>
          <w:rFonts w:hint="eastAsia" w:ascii="仿宋" w:hAnsi="仿宋" w:eastAsia="仿宋" w:cs="仿宋"/>
          <w:color w:val="auto"/>
          <w:sz w:val="24"/>
          <w:szCs w:val="24"/>
          <w:highlight w:val="none"/>
          <w:lang w:eastAsia="zh-CN"/>
        </w:rPr>
        <w:t>博罗县文化广电旅游体育局</w:t>
      </w:r>
    </w:p>
    <w:p>
      <w:pPr>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w:t>
      </w:r>
    </w:p>
    <w:p>
      <w:pPr>
        <w:pageBreakBefore w:val="0"/>
        <w:widowControl w:val="0"/>
        <w:kinsoku/>
        <w:wordWrap/>
        <w:overflowPunct/>
        <w:topLinePunct w:val="0"/>
        <w:bidi w:val="0"/>
        <w:spacing w:line="440" w:lineRule="exact"/>
        <w:ind w:left="7260" w:leftChars="3000" w:hanging="960" w:hangingChars="400"/>
        <w:jc w:val="both"/>
        <w:textAlignment w:val="auto"/>
        <w:rPr>
          <w:rFonts w:hint="eastAsia" w:ascii="仿宋" w:hAnsi="仿宋" w:eastAsia="仿宋" w:cs="仿宋"/>
          <w:color w:val="auto"/>
          <w:kern w:val="0"/>
          <w:sz w:val="24"/>
          <w:szCs w:val="24"/>
          <w:highlight w:val="none"/>
        </w:rPr>
      </w:pPr>
      <w:bookmarkStart w:id="1" w:name="_Toc264883654"/>
      <w:r>
        <w:rPr>
          <w:rFonts w:hint="eastAsia" w:ascii="仿宋" w:hAnsi="仿宋" w:eastAsia="仿宋" w:cs="仿宋"/>
          <w:color w:val="auto"/>
          <w:kern w:val="0"/>
          <w:sz w:val="24"/>
          <w:szCs w:val="24"/>
          <w:highlight w:val="none"/>
        </w:rPr>
        <w:br w:type="page"/>
      </w:r>
      <w:bookmarkStart w:id="2" w:name="_Toc29329"/>
    </w:p>
    <w:p>
      <w:pPr>
        <w:pStyle w:val="3"/>
        <w:pageBreakBefore w:val="0"/>
        <w:widowControl w:val="0"/>
        <w:kinsoku/>
        <w:wordWrap/>
        <w:overflowPunct/>
        <w:topLinePunct w:val="0"/>
        <w:bidi w:val="0"/>
        <w:spacing w:line="44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w:t>
      </w:r>
      <w:r>
        <w:rPr>
          <w:rFonts w:hint="eastAsia" w:ascii="仿宋" w:hAnsi="仿宋" w:eastAsia="仿宋" w:cs="仿宋"/>
          <w:b/>
          <w:bCs/>
          <w:color w:val="auto"/>
          <w:kern w:val="0"/>
          <w:sz w:val="24"/>
          <w:szCs w:val="24"/>
          <w:highlight w:val="none"/>
          <w:lang w:eastAsia="zh-CN"/>
        </w:rPr>
        <w:t>二</w:t>
      </w:r>
      <w:r>
        <w:rPr>
          <w:rFonts w:hint="eastAsia" w:ascii="仿宋" w:hAnsi="仿宋" w:eastAsia="仿宋" w:cs="仿宋"/>
          <w:b/>
          <w:bCs/>
          <w:color w:val="auto"/>
          <w:kern w:val="0"/>
          <w:sz w:val="24"/>
          <w:szCs w:val="24"/>
          <w:highlight w:val="none"/>
        </w:rPr>
        <w:t>部分　采购项目内容</w:t>
      </w:r>
      <w:bookmarkEnd w:id="1"/>
      <w:bookmarkEnd w:id="2"/>
    </w:p>
    <w:p>
      <w:pPr>
        <w:pStyle w:val="2"/>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lang w:eastAsia="zh-CN"/>
        </w:rPr>
      </w:pPr>
      <w:bookmarkStart w:id="3" w:name="_Toc15652"/>
      <w:r>
        <w:rPr>
          <w:rFonts w:hint="eastAsia" w:ascii="仿宋" w:hAnsi="仿宋" w:eastAsia="仿宋" w:cs="仿宋"/>
          <w:color w:val="auto"/>
          <w:sz w:val="24"/>
          <w:szCs w:val="24"/>
          <w:highlight w:val="none"/>
        </w:rPr>
        <w:t>采购需求一览表</w:t>
      </w:r>
      <w:bookmarkEnd w:id="3"/>
      <w:r>
        <w:rPr>
          <w:rFonts w:hint="eastAsia" w:ascii="仿宋" w:hAnsi="仿宋" w:eastAsia="仿宋" w:cs="仿宋"/>
          <w:color w:val="auto"/>
          <w:sz w:val="24"/>
          <w:szCs w:val="24"/>
          <w:highlight w:val="none"/>
          <w:lang w:eastAsia="zh-CN"/>
        </w:rPr>
        <w:t>：</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881"/>
        <w:gridCol w:w="1032"/>
        <w:gridCol w:w="219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序号</w:t>
            </w:r>
          </w:p>
        </w:tc>
        <w:tc>
          <w:tcPr>
            <w:tcW w:w="1455"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520" w:type="pct"/>
            <w:noWrap w:val="0"/>
            <w:vAlign w:val="top"/>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06"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p>
        </w:tc>
        <w:tc>
          <w:tcPr>
            <w:tcW w:w="1434"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jc w:val="center"/>
        </w:trPr>
        <w:tc>
          <w:tcPr>
            <w:tcW w:w="483"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55"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篮球架</w:t>
            </w:r>
          </w:p>
        </w:tc>
        <w:tc>
          <w:tcPr>
            <w:tcW w:w="520"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10副</w:t>
            </w:r>
          </w:p>
        </w:tc>
        <w:tc>
          <w:tcPr>
            <w:tcW w:w="1106" w:type="pct"/>
            <w:vMerge w:val="restar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293950</w:t>
            </w:r>
            <w:r>
              <w:rPr>
                <w:rFonts w:hint="default" w:ascii="仿宋" w:hAnsi="仿宋" w:eastAsia="仿宋" w:cs="仿宋"/>
                <w:color w:val="auto"/>
                <w:sz w:val="24"/>
                <w:szCs w:val="24"/>
                <w:highlight w:val="none"/>
                <w:lang w:val="en-US" w:eastAsia="zh-CN"/>
              </w:rPr>
              <w:t>.00</w:t>
            </w:r>
          </w:p>
        </w:tc>
        <w:tc>
          <w:tcPr>
            <w:tcW w:w="1434" w:type="pct"/>
            <w:vMerge w:val="restar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3"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55"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室外乒乓球台</w:t>
            </w:r>
          </w:p>
        </w:tc>
        <w:tc>
          <w:tcPr>
            <w:tcW w:w="520"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25张</w:t>
            </w:r>
          </w:p>
        </w:tc>
        <w:tc>
          <w:tcPr>
            <w:tcW w:w="1106" w:type="pct"/>
            <w:vMerge w:val="continue"/>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p>
        </w:tc>
        <w:tc>
          <w:tcPr>
            <w:tcW w:w="1434" w:type="pct"/>
            <w:vMerge w:val="continue"/>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3"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55"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八件套健身路径</w:t>
            </w:r>
          </w:p>
        </w:tc>
        <w:tc>
          <w:tcPr>
            <w:tcW w:w="520" w:type="pct"/>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10套</w:t>
            </w:r>
          </w:p>
        </w:tc>
        <w:tc>
          <w:tcPr>
            <w:tcW w:w="1106" w:type="pct"/>
            <w:vMerge w:val="continue"/>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p>
        </w:tc>
        <w:tc>
          <w:tcPr>
            <w:tcW w:w="1434" w:type="pct"/>
            <w:vMerge w:val="continue"/>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pct"/>
            <w:gridSpan w:val="3"/>
            <w:noWrap w:val="0"/>
            <w:vAlign w:val="center"/>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06" w:type="pct"/>
            <w:noWrap w:val="0"/>
            <w:vAlign w:val="top"/>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293950</w:t>
            </w:r>
            <w:r>
              <w:rPr>
                <w:rFonts w:hint="default" w:ascii="仿宋" w:hAnsi="仿宋" w:eastAsia="仿宋" w:cs="仿宋"/>
                <w:color w:val="auto"/>
                <w:sz w:val="24"/>
                <w:szCs w:val="24"/>
                <w:highlight w:val="none"/>
                <w:lang w:val="en-US" w:eastAsia="zh-CN"/>
              </w:rPr>
              <w:t>.00</w:t>
            </w:r>
          </w:p>
        </w:tc>
        <w:tc>
          <w:tcPr>
            <w:tcW w:w="1434" w:type="pct"/>
            <w:noWrap w:val="0"/>
            <w:vAlign w:val="top"/>
          </w:tcPr>
          <w:p>
            <w:pPr>
              <w:pageBreakBefore w:val="0"/>
              <w:widowControl w:val="0"/>
              <w:tabs>
                <w:tab w:val="left" w:pos="0"/>
                <w:tab w:val="left" w:pos="425"/>
              </w:tabs>
              <w:kinsoku/>
              <w:wordWrap/>
              <w:overflowPunct/>
              <w:topLinePunct w:val="0"/>
              <w:bidi w:val="0"/>
              <w:spacing w:line="440" w:lineRule="exact"/>
              <w:ind w:left="425" w:hanging="425"/>
              <w:jc w:val="center"/>
              <w:textAlignment w:val="auto"/>
              <w:rPr>
                <w:rFonts w:hint="eastAsia" w:ascii="仿宋" w:hAnsi="仿宋" w:eastAsia="仿宋" w:cs="仿宋"/>
                <w:color w:val="auto"/>
                <w:sz w:val="24"/>
                <w:szCs w:val="24"/>
                <w:highlight w:val="none"/>
              </w:rPr>
            </w:pPr>
          </w:p>
        </w:tc>
      </w:tr>
    </w:tbl>
    <w:p>
      <w:pPr>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p>
    <w:p>
      <w:pPr>
        <w:pageBreakBefore w:val="0"/>
        <w:widowControl w:val="0"/>
        <w:kinsoku/>
        <w:wordWrap/>
        <w:overflowPunct/>
        <w:topLinePunct w:val="0"/>
        <w:bidi w:val="0"/>
        <w:spacing w:line="440" w:lineRule="exact"/>
        <w:textAlignment w:val="auto"/>
        <w:rPr>
          <w:rFonts w:hint="eastAsia" w:ascii="仿宋" w:hAnsi="仿宋" w:eastAsia="仿宋" w:cs="仿宋"/>
          <w:b/>
          <w:bCs/>
          <w:color w:val="auto"/>
          <w:sz w:val="24"/>
          <w:szCs w:val="24"/>
          <w:highlight w:val="none"/>
        </w:rPr>
      </w:pPr>
    </w:p>
    <w:p>
      <w:pPr>
        <w:pageBreakBefore w:val="0"/>
        <w:widowControl w:val="0"/>
        <w:tabs>
          <w:tab w:val="left" w:pos="0"/>
          <w:tab w:val="left" w:pos="34"/>
        </w:tabs>
        <w:kinsoku/>
        <w:wordWrap/>
        <w:overflowPunct/>
        <w:topLinePunct w:val="0"/>
        <w:bidi w:val="0"/>
        <w:spacing w:line="440" w:lineRule="exact"/>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供应商须提供独立的“唱标信封”、“ 投标/响应文件”，并独立密封提交，否则其应答将被拒绝。</w:t>
      </w:r>
    </w:p>
    <w:p>
      <w:pPr>
        <w:pStyle w:val="6"/>
        <w:pageBreakBefore w:val="0"/>
        <w:widowControl w:val="0"/>
        <w:kinsoku/>
        <w:wordWrap/>
        <w:overflowPunct/>
        <w:topLinePunct w:val="0"/>
        <w:bidi w:val="0"/>
        <w:adjustRightInd w:val="0"/>
        <w:snapToGrid w:val="0"/>
        <w:spacing w:line="440" w:lineRule="exact"/>
        <w:ind w:firstLine="56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号条款：《采购项目内容》中凡标有“★”的地方为关键的商务、技术指标要求，必须完全满足这些要求，未达到这些指标要求的将导致投标无效。标“▲”号的为比较重要的商务、技术指标，未达到这些指标要求的将被严重扣分，但不会导致废标。</w:t>
      </w:r>
    </w:p>
    <w:p>
      <w:pPr>
        <w:pageBreakBefore w:val="0"/>
        <w:widowControl w:val="0"/>
        <w:kinsoku/>
        <w:wordWrap/>
        <w:overflowPunct/>
        <w:topLinePunct w:val="0"/>
        <w:bidi w:val="0"/>
        <w:spacing w:line="440" w:lineRule="exact"/>
        <w:ind w:firstLine="480"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采购项目技术规格、参数及要求”中“▲”号特殊技术指标，投标人所投产品应当提供厂商说明材料，否则评委会无法判断所投产品能否响应询价采购的要求，负偏离▲号条款的投标人将影响得分。厂商说明材料包括但不限于下列文件：</w:t>
      </w:r>
    </w:p>
    <w:p>
      <w:pPr>
        <w:pageBreakBefore w:val="0"/>
        <w:widowControl w:val="0"/>
        <w:kinsoku/>
        <w:wordWrap/>
        <w:overflowPunct/>
        <w:topLinePunct w:val="0"/>
        <w:bidi w:val="0"/>
        <w:spacing w:line="440" w:lineRule="exact"/>
        <w:ind w:firstLine="480"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1）投标产品的品牌、型号、详细配置参数；</w:t>
      </w:r>
    </w:p>
    <w:p>
      <w:pPr>
        <w:pageBreakBefore w:val="0"/>
        <w:widowControl w:val="0"/>
        <w:kinsoku/>
        <w:wordWrap/>
        <w:overflowPunct/>
        <w:topLinePunct w:val="0"/>
        <w:bidi w:val="0"/>
        <w:spacing w:line="440" w:lineRule="exact"/>
        <w:ind w:firstLine="480" w:firstLineChars="20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能证实产品技术、配置参数的证明材料（包括：①厂商的中文说明书或彩页，同时加盖厂商或投标人公章确认；或②厂商针对本项目盖章确认的产品详细配置响应表；或③厂商官方网站的技术白皮书打印稿加盖厂商或投标人公章确认，同时注明材料来源于官方网站的网址）。</w:t>
      </w:r>
    </w:p>
    <w:p>
      <w:pPr>
        <w:pStyle w:val="2"/>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lang w:val="zh-CN"/>
        </w:rPr>
      </w:pPr>
      <w:bookmarkStart w:id="4" w:name="_Toc32370"/>
      <w:r>
        <w:rPr>
          <w:rFonts w:hint="eastAsia" w:ascii="仿宋" w:hAnsi="仿宋" w:eastAsia="仿宋" w:cs="仿宋"/>
          <w:color w:val="auto"/>
          <w:sz w:val="24"/>
          <w:szCs w:val="24"/>
          <w:highlight w:val="none"/>
          <w:lang w:val="zh-CN"/>
        </w:rPr>
        <w:t>技术规格、参数及要求</w:t>
      </w:r>
      <w:bookmarkEnd w:id="4"/>
      <w:r>
        <w:rPr>
          <w:rFonts w:hint="eastAsia" w:ascii="仿宋" w:hAnsi="仿宋" w:eastAsia="仿宋" w:cs="仿宋"/>
          <w:color w:val="auto"/>
          <w:sz w:val="24"/>
          <w:szCs w:val="24"/>
          <w:highlight w:val="none"/>
          <w:lang w:val="zh-CN"/>
        </w:rPr>
        <w:t>：</w:t>
      </w:r>
    </w:p>
    <w:tbl>
      <w:tblPr>
        <w:tblStyle w:val="11"/>
        <w:tblW w:w="10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110"/>
        <w:gridCol w:w="885"/>
        <w:gridCol w:w="810"/>
        <w:gridCol w:w="1485"/>
        <w:gridCol w:w="4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bookmarkStart w:id="5" w:name="_Toc2054"/>
            <w:bookmarkStart w:id="6" w:name="_Toc208"/>
            <w:bookmarkStart w:id="7" w:name="_Toc369777598"/>
            <w:r>
              <w:rPr>
                <w:rFonts w:hint="eastAsia" w:ascii="仿宋" w:hAnsi="仿宋" w:eastAsia="仿宋" w:cs="仿宋"/>
                <w:b/>
                <w:bCs/>
                <w:i w:val="0"/>
                <w:iCs w:val="0"/>
                <w:color w:val="000000"/>
                <w:kern w:val="0"/>
                <w:sz w:val="22"/>
                <w:szCs w:val="22"/>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图片</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四级压腿按摩器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304800</wp:posOffset>
                  </wp:positionV>
                  <wp:extent cx="795655" cy="694690"/>
                  <wp:effectExtent l="0" t="0" r="4445" b="10160"/>
                  <wp:wrapNone/>
                  <wp:docPr id="49" name="ID_BC60BD773A9B42CAB8EC8858A99D0E51"/>
                  <wp:cNvGraphicFramePr/>
                  <a:graphic xmlns:a="http://schemas.openxmlformats.org/drawingml/2006/main">
                    <a:graphicData uri="http://schemas.openxmlformats.org/drawingml/2006/picture">
                      <pic:pic xmlns:pic="http://schemas.openxmlformats.org/drawingml/2006/picture">
                        <pic:nvPicPr>
                          <pic:cNvPr id="49" name="ID_BC60BD773A9B42CAB8EC8858A99D0E51"/>
                          <pic:cNvPicPr/>
                        </pic:nvPicPr>
                        <pic:blipFill>
                          <a:blip r:embed="rId5"/>
                          <a:stretch>
                            <a:fillRect/>
                          </a:stretch>
                        </pic:blipFill>
                        <pic:spPr>
                          <a:xfrm>
                            <a:off x="0" y="0"/>
                            <a:ext cx="795655" cy="694690"/>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1.规格：不小于1060×1380×1050mm；主立柱采用不小于ф114mm×3.0mm优质钢管，钢制盖帽；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2.横梁采用不小于ф38×3.0mm优质钢管；压腿端头部位用分体按摩轮，以按摩小腿，增强锻炼效果和锻炼的舒适度；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3.连接件选用不锈钢螺母内连接止退加防盗盖设计，可防锈防盗、防松动；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6.拉伸腿部肌肉韧带，按摩腿部肌肉。                        ▲7.器材符合《室外健身器材的安全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骑马器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-288925</wp:posOffset>
                  </wp:positionV>
                  <wp:extent cx="704215" cy="796290"/>
                  <wp:effectExtent l="0" t="0" r="635" b="3810"/>
                  <wp:wrapNone/>
                  <wp:docPr id="51" name="ID_F4D60C8F97064382805E181F52981D5D"/>
                  <wp:cNvGraphicFramePr/>
                  <a:graphic xmlns:a="http://schemas.openxmlformats.org/drawingml/2006/main">
                    <a:graphicData uri="http://schemas.openxmlformats.org/drawingml/2006/picture">
                      <pic:pic xmlns:pic="http://schemas.openxmlformats.org/drawingml/2006/picture">
                        <pic:nvPicPr>
                          <pic:cNvPr id="51" name="ID_F4D60C8F97064382805E181F52981D5D"/>
                          <pic:cNvPicPr/>
                        </pic:nvPicPr>
                        <pic:blipFill>
                          <a:blip r:embed="rId6"/>
                          <a:stretch>
                            <a:fillRect/>
                          </a:stretch>
                        </pic:blipFill>
                        <pic:spPr>
                          <a:xfrm>
                            <a:off x="0" y="0"/>
                            <a:ext cx="704215" cy="796290"/>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1.规格：不小于1400×400×1100mm；主立柱采用ф114mm×3.0mm优质钢管，钢制盖帽；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2.主支撑横梁采用不小于ф60mm×3.0mm优质钢管，扶手采用不小于ф38mm×3.0mm优质钢管，座椅采用优质钢板冲制而成；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3.连接件采用产品防盗盖连接装置，转动装置采用双轴承结构，并作防水、防尘密封，对轴承形成良好保护，防止雨水的浸透而造成轴承的生锈坏死；具有限位装置；防盗防松不锈钢螺丝；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6.增强心肺功能、提高上肢、腰部、腹部、腿部、背部肌肉力量和四肢协调能力。对腕、肘、髋关节屈伸功能性障碍，四肢及腰背酸痛等有康复作用。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太极揉推器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342900</wp:posOffset>
                  </wp:positionV>
                  <wp:extent cx="634365" cy="623570"/>
                  <wp:effectExtent l="0" t="0" r="13335" b="5080"/>
                  <wp:wrapNone/>
                  <wp:docPr id="47" name="ID_78D37F8590A641638D333D7E6E5C66BF"/>
                  <wp:cNvGraphicFramePr/>
                  <a:graphic xmlns:a="http://schemas.openxmlformats.org/drawingml/2006/main">
                    <a:graphicData uri="http://schemas.openxmlformats.org/drawingml/2006/picture">
                      <pic:pic xmlns:pic="http://schemas.openxmlformats.org/drawingml/2006/picture">
                        <pic:nvPicPr>
                          <pic:cNvPr id="47" name="ID_78D37F8590A641638D333D7E6E5C66BF"/>
                          <pic:cNvPicPr/>
                        </pic:nvPicPr>
                        <pic:blipFill>
                          <a:blip r:embed="rId7"/>
                          <a:stretch>
                            <a:fillRect/>
                          </a:stretch>
                        </pic:blipFill>
                        <pic:spPr>
                          <a:xfrm>
                            <a:off x="0" y="0"/>
                            <a:ext cx="634365" cy="623570"/>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1.规格：不小于1180×1110×1350mm；主立柱采用不小于ф114mm×3.0mm优质钢管，钢制盖帽；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2.斜支撑采用不小于ф48×3.0mm优质钢管，转盘采用ф450mm钢板冲制而成，凹凸设计，结构加强；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3.器材之活动连接处用双轴承防水、防尘密封加阻力装置连接设计，转轮全金属结构，且外沿设置手柄，以保证最大幅度活动肩关节；连接件选用不锈钢螺母内固定止退加防盗盖设计，可防锈防盗、防松动；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6.增强上肢关节的灵活性和柔韧性，增益消化及心脑系统功能，对肩肘有保健和康复作用。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单位太空漫步机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74295</wp:posOffset>
                  </wp:positionH>
                  <wp:positionV relativeFrom="paragraph">
                    <wp:posOffset>257175</wp:posOffset>
                  </wp:positionV>
                  <wp:extent cx="652145" cy="583565"/>
                  <wp:effectExtent l="0" t="0" r="0" b="6350"/>
                  <wp:wrapNone/>
                  <wp:docPr id="48" name="ID_67C744E2AFDD4966A87F961231DE7857"/>
                  <wp:cNvGraphicFramePr/>
                  <a:graphic xmlns:a="http://schemas.openxmlformats.org/drawingml/2006/main">
                    <a:graphicData uri="http://schemas.openxmlformats.org/drawingml/2006/picture">
                      <pic:pic xmlns:pic="http://schemas.openxmlformats.org/drawingml/2006/picture">
                        <pic:nvPicPr>
                          <pic:cNvPr id="48" name="ID_67C744E2AFDD4966A87F961231DE7857"/>
                          <pic:cNvPicPr/>
                        </pic:nvPicPr>
                        <pic:blipFill>
                          <a:blip r:embed="rId8"/>
                          <a:stretch>
                            <a:fillRect/>
                          </a:stretch>
                        </pic:blipFill>
                        <pic:spPr>
                          <a:xfrm>
                            <a:off x="0" y="0"/>
                            <a:ext cx="652145" cy="583565"/>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1.规格：不小于1100×500×1300mm；主立柱采用不小于ф114mm×3.0mm优质钢管，钢制盖帽；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内限位装置，摆杆采用不小于ф60×3.0mm优质钢管，扶手采用不小于ф42mm×3.0mm优质钢管，器材之活动连接处采用对称轴径ф30mm双轴承连接转动装置，并作防水、防尘密封，对轴承形成良好保护，防止雨水的浸透而造成轴承的生锈坏死；摆臂采用不大于62°限位、防刚性碰撞，止退装置设计；摆杆与立柱内空65mm,与地面内空120mm尺寸设计；脚踏采用防滑、四周设有30mm高的防护挡板，踏板前后两端装有防撞装置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3.连接件采用自己设计开发专利产品防盗盖连接装置，不锈钢螺丝、螺母连接，螺丝、螺母藏于轴承座内部，可防锈防盗、防松动；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4.器材表面采用户外环保聚酯静电粉末喷涂处理，采用计算机控制进口静电粉末喷涂设备，粉末回收采用小旋风和进口滤心，高效率回收，不污染环境；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6.锻炼下肢运动，能增进心肺功能，锻炼身体协调能力。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三人扭腰器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602615</wp:posOffset>
                  </wp:positionV>
                  <wp:extent cx="709295" cy="817245"/>
                  <wp:effectExtent l="0" t="0" r="0" b="1905"/>
                  <wp:wrapNone/>
                  <wp:docPr id="50" name="ID_094A2806B5344CAEAEFC9DB48F8E94BB"/>
                  <wp:cNvGraphicFramePr/>
                  <a:graphic xmlns:a="http://schemas.openxmlformats.org/drawingml/2006/main">
                    <a:graphicData uri="http://schemas.openxmlformats.org/drawingml/2006/picture">
                      <pic:pic xmlns:pic="http://schemas.openxmlformats.org/drawingml/2006/picture">
                        <pic:nvPicPr>
                          <pic:cNvPr id="50" name="ID_094A2806B5344CAEAEFC9DB48F8E94BB"/>
                          <pic:cNvPicPr/>
                        </pic:nvPicPr>
                        <pic:blipFill>
                          <a:blip r:embed="rId9"/>
                          <a:stretch>
                            <a:fillRect/>
                          </a:stretch>
                        </pic:blipFill>
                        <pic:spPr>
                          <a:xfrm>
                            <a:off x="0" y="0"/>
                            <a:ext cx="709295" cy="817245"/>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1.规格：不小于1700×1700×1500mm；立柱采用直径不小于ф114mm×3.0mm优质钢管，钢制盖帽；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2.扶手采用不小于ф32×3.0mm优质钢管；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3.扭腰盘设有防止超速运转的阻尼装置，结构为分体式、扭腰盘连接小立柱采用不小于ф76×3mm优质钢管；扭腰盘ф320mm，厚钢板制作，且表面有防滑凸纹；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4.扭腰盘采用双轴承结构加推力轴承设计，防水、防尘密封加阻力结构设计，对轴承形成良好保护，防止地面有积水或沙尘破坏轴承；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5.连接件选用防盗盖连接装置、不锈钢螺母内固定止退设计，可防锈防盗、防松动；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8.主要锻炼腰部、髋部，增强腰部的灵活和柔韧性。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腿部按摩器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139065</wp:posOffset>
                  </wp:positionH>
                  <wp:positionV relativeFrom="paragraph">
                    <wp:posOffset>36195</wp:posOffset>
                  </wp:positionV>
                  <wp:extent cx="461010" cy="827405"/>
                  <wp:effectExtent l="0" t="0" r="15240" b="10795"/>
                  <wp:wrapNone/>
                  <wp:docPr id="2" name="ID_2E3DD7C9FD6E43B689BC9D6F8792E08C"/>
                  <wp:cNvGraphicFramePr/>
                  <a:graphic xmlns:a="http://schemas.openxmlformats.org/drawingml/2006/main">
                    <a:graphicData uri="http://schemas.openxmlformats.org/drawingml/2006/picture">
                      <pic:pic xmlns:pic="http://schemas.openxmlformats.org/drawingml/2006/picture">
                        <pic:nvPicPr>
                          <pic:cNvPr id="2" name="ID_2E3DD7C9FD6E43B689BC9D6F8792E08C"/>
                          <pic:cNvPicPr/>
                        </pic:nvPicPr>
                        <pic:blipFill>
                          <a:blip r:embed="rId10"/>
                          <a:stretch>
                            <a:fillRect/>
                          </a:stretch>
                        </pic:blipFill>
                        <pic:spPr>
                          <a:xfrm>
                            <a:off x="0" y="0"/>
                            <a:ext cx="461010" cy="827405"/>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1.规格：不小于650×110×1500mm；主立柱选用不小于ф114mm×3.0mm优质钢管，钢制盖帽；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2.按摩轮承载横梁不小于ф60×3.0mm优质钢管，压腿端头部位用分体按摩轮，以按摩小腿，增强锻炼效果和锻炼的舒适度；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3.扶手选用不小于ф32×3.0mm优质钢管；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4.连接件选用不锈钢螺母内连接止退加防盗盖设计，可防锈防盗、防松动；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7.可有效的按摩腿部肌肉，使腿部肌肉得以很好的放松。           ▲8.器材符合《室外健身器材的安全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单位腹肌板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107950</wp:posOffset>
                  </wp:positionH>
                  <wp:positionV relativeFrom="paragraph">
                    <wp:posOffset>552450</wp:posOffset>
                  </wp:positionV>
                  <wp:extent cx="661035" cy="568325"/>
                  <wp:effectExtent l="0" t="0" r="5715" b="3175"/>
                  <wp:wrapNone/>
                  <wp:docPr id="53" name="ID_6E0D1C62D4E147159EAF47123959B451"/>
                  <wp:cNvGraphicFramePr/>
                  <a:graphic xmlns:a="http://schemas.openxmlformats.org/drawingml/2006/main">
                    <a:graphicData uri="http://schemas.openxmlformats.org/drawingml/2006/picture">
                      <pic:pic xmlns:pic="http://schemas.openxmlformats.org/drawingml/2006/picture">
                        <pic:nvPicPr>
                          <pic:cNvPr id="53" name="ID_6E0D1C62D4E147159EAF47123959B451"/>
                          <pic:cNvPicPr/>
                        </pic:nvPicPr>
                        <pic:blipFill>
                          <a:blip r:embed="rId11"/>
                          <a:stretch>
                            <a:fillRect/>
                          </a:stretch>
                        </pic:blipFill>
                        <pic:spPr>
                          <a:xfrm>
                            <a:off x="0" y="0"/>
                            <a:ext cx="661035" cy="568325"/>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1.规格：不小于1390×530×560mm；主立柱采用不小于ф60×3.0mm优质钢管；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2.板面支撑横管采用不小于ф42×3.0mm优质钢管，板面采用t2.0×400×1117mm自制防滑板，以保证使用的舒适度，符合人体工学；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3.连接件选用防盗盖连接装置、不锈钢螺丝内连接止退设计，可防锈防盗、防松动；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6.对腹部肌肉群，通过动作上的细微变化，使腹部不同部位的肌肉得到锻炼，最终达到塑型效果。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拳击训练器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-45720</wp:posOffset>
                  </wp:positionV>
                  <wp:extent cx="898525" cy="454660"/>
                  <wp:effectExtent l="0" t="0" r="0" b="0"/>
                  <wp:wrapNone/>
                  <wp:docPr id="54" name="ID_8B59EA356F6747CFAC36781957D9DAE5"/>
                  <wp:cNvGraphicFramePr/>
                  <a:graphic xmlns:a="http://schemas.openxmlformats.org/drawingml/2006/main">
                    <a:graphicData uri="http://schemas.openxmlformats.org/drawingml/2006/picture">
                      <pic:pic xmlns:pic="http://schemas.openxmlformats.org/drawingml/2006/picture">
                        <pic:nvPicPr>
                          <pic:cNvPr id="54" name="ID_8B59EA356F6747CFAC36781957D9DAE5"/>
                          <pic:cNvPicPr/>
                        </pic:nvPicPr>
                        <pic:blipFill>
                          <a:blip r:embed="rId12"/>
                          <a:stretch>
                            <a:fillRect/>
                          </a:stretch>
                        </pic:blipFill>
                        <pic:spPr>
                          <a:xfrm>
                            <a:off x="0" y="0"/>
                            <a:ext cx="898525" cy="454660"/>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 外型尺寸（长×宽×高）不小于：900×400×1500mm。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主要承载立柱不小于：ф110mm×3.0mm。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主要承载横梁不小于：ф76mm×2.5mm。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功能应用：击打能力训练，涵盖上肢及下肢的拳击与散打练习，满足用户多样化的体能训练需求。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 主立柱明显位置铆接0.7mm厚、大小为260mm×90mm的不锈钢警告说明牌0.7mm厚，字体采用照相腐蚀，环保耐用。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安装方式：直埋式。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地埋深度：500mm。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地基尺寸（长×宽×高）：500×500×600mm。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室外乒乓球台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228600</wp:posOffset>
                  </wp:positionV>
                  <wp:extent cx="878205" cy="434340"/>
                  <wp:effectExtent l="0" t="0" r="17145" b="3175"/>
                  <wp:wrapNone/>
                  <wp:docPr id="55" name="图片_7"/>
                  <wp:cNvGraphicFramePr/>
                  <a:graphic xmlns:a="http://schemas.openxmlformats.org/drawingml/2006/main">
                    <a:graphicData uri="http://schemas.openxmlformats.org/drawingml/2006/picture">
                      <pic:pic xmlns:pic="http://schemas.openxmlformats.org/drawingml/2006/picture">
                        <pic:nvPicPr>
                          <pic:cNvPr id="55" name="图片_7"/>
                          <pic:cNvPicPr/>
                        </pic:nvPicPr>
                        <pic:blipFill>
                          <a:blip r:embed="rId13"/>
                          <a:stretch>
                            <a:fillRect/>
                          </a:stretch>
                        </pic:blipFill>
                        <pic:spPr>
                          <a:xfrm>
                            <a:off x="0" y="0"/>
                            <a:ext cx="878205" cy="434340"/>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1.规格：不小于2740*1525*760mm；主要承载主柱不小于ф60×3.0mm，主要承载横梁不小于ф40×20×2.5mm，优质钢管。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台面采用高端SMC材料；采用全SMC模压一次成型，台面底部采用网格加强筋结构，且加强筋网格均不大于160mm×160mm；台板边框总厚度为50mm；且台板材料厚度5mm；台板具有密度大、弹性好、耐酸碱、耐热、防潮等；能长期保持不翘曲、不变形、不开裂、不起皮等性能。台面表面无光泽；端、边线和中线为白色，油漆牢固，漆色均匀一致，无脱漆、无明显的斑点，厚度无手感凸起感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3.台面背部采用钢管支撑架连接，支撑框架管壁厚度2.5mm，每半块板面支撑框架4横4纵支撑管连接，连接孔位符合GB19272-2011中5.12.1.4.2条的规定；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4.球腿采用不小于Ф60×3.0mm优质管材，球腿采用弧形彩虹对称结构设计；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5.球网采用1.5mm厚冷轧冲孔网板，周边用Ф20×2.0优质管材包边；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6.球台所有连接件均采用内六角不锈钢螺丝、螺母，具有防盗、防锈、防松功能；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8、主立柱明显位置铆接0.7mm厚，大小为180mm×70mm的不锈钢警告说明牌；方形设计，防止划伤；字体采用照相腐蚀，环保耐用。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▲9.器材符合《室外健身器材的安全 通用要求》（GB19272-2011）中的相关技术标准，需提供CMA或CNAS资质的检测机构出具的检验报告和国家认监委认可的第三方认证机构出具的认证证书和年度确认函。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525780</wp:posOffset>
                  </wp:positionV>
                  <wp:extent cx="713740" cy="902970"/>
                  <wp:effectExtent l="0" t="0" r="10160" b="11430"/>
                  <wp:wrapNone/>
                  <wp:docPr id="56" name="图片_8"/>
                  <wp:cNvGraphicFramePr/>
                  <a:graphic xmlns:a="http://schemas.openxmlformats.org/drawingml/2006/main">
                    <a:graphicData uri="http://schemas.openxmlformats.org/drawingml/2006/picture">
                      <pic:pic xmlns:pic="http://schemas.openxmlformats.org/drawingml/2006/picture">
                        <pic:nvPicPr>
                          <pic:cNvPr id="56" name="图片_8"/>
                          <pic:cNvPicPr/>
                        </pic:nvPicPr>
                        <pic:blipFill>
                          <a:blip r:embed="rId14"/>
                          <a:stretch>
                            <a:fillRect/>
                          </a:stretch>
                        </pic:blipFill>
                        <pic:spPr>
                          <a:xfrm>
                            <a:off x="0" y="0"/>
                            <a:ext cx="713740" cy="902970"/>
                          </a:xfrm>
                          <a:prstGeom prst="rect">
                            <a:avLst/>
                          </a:prstGeom>
                          <a:noFill/>
                          <a:ln>
                            <a:noFill/>
                          </a:ln>
                        </pic:spPr>
                      </pic:pic>
                    </a:graphicData>
                  </a:graphic>
                </wp:anchor>
              </w:drawing>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1.规格：不小于2680×1800×3950mm；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2.篮板采用普通SMC材料，篮板一次模压成型；篮板背部密实网格加强筋结构；长期保持在户外使用不翘曲、不变形、不开裂、不起皮等性能；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3.篮球架立柱采用不小于Ф219×4.0mm优质电焊圆钢管，伸臂长规格1850mm；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4.立柱和伸臂间采用外径不小于Ф60×3.0mm的优质钢管做斜撑加固；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5.拉杆:伸臂与篮板连接拉杆采用不小于Ф48×3.0mm圆钢管；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6.篮框采用弹性篮框（含尼龙篮网），篮框离地面高度3050mm；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7.直埋式安装，埋地深度800mm，立柱地坑水平尺寸800mm×800mm×900mm；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8.各连接部位坚固，螺栓、螺钉防锈、防松、防盗；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9.器材表面采用户外环保聚酯静电粉末喷涂处理，采用计算机控制静电粉末喷涂设备，粉末回收采用小旋风滤心，高效率回收，不污染环境；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10.主立柱明显位置铆接0.7mm厚，大小为260mm×90mm的不锈钢警告说明牌；方形设计，防止划伤；字体采用照相腐蚀，环保耐用。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▲11.器材符合《室外健身器材的安全 通用要求》（GB19272-2011）中的相关技术标准，需提供CMA或CNAS资质的检测机构出具的检验报告和国家认监委认可的第三方认证机构出具的认证证书和年度确认函。</w:t>
            </w:r>
          </w:p>
        </w:tc>
      </w:tr>
    </w:tbl>
    <w:p>
      <w:pPr>
        <w:pStyle w:val="7"/>
        <w:jc w:val="center"/>
        <w:rPr>
          <w:rFonts w:hint="eastAsia" w:ascii="仿宋" w:hAnsi="仿宋" w:eastAsia="仿宋" w:cs="仿宋"/>
          <w:highlight w:val="none"/>
          <w:lang w:eastAsia="zh-CN"/>
        </w:rPr>
      </w:pPr>
    </w:p>
    <w:bookmarkEnd w:id="5"/>
    <w:bookmarkEnd w:id="6"/>
    <w:bookmarkEnd w:id="7"/>
    <w:p>
      <w:pPr>
        <w:pageBreakBefore w:val="0"/>
        <w:wordWrap/>
        <w:topLinePunct w:val="0"/>
        <w:bidi w:val="0"/>
        <w:spacing w:line="440" w:lineRule="exact"/>
        <w:rPr>
          <w:rFonts w:hint="eastAsia" w:ascii="仿宋" w:hAnsi="仿宋" w:eastAsia="仿宋" w:cs="仿宋"/>
          <w:sz w:val="24"/>
          <w:szCs w:val="24"/>
          <w:highlight w:val="none"/>
          <w:lang w:val="zh-CN"/>
        </w:rPr>
      </w:pPr>
    </w:p>
    <w:p>
      <w:pPr>
        <w:pStyle w:val="4"/>
        <w:pageBreakBefore w:val="0"/>
        <w:wordWrap/>
        <w:topLinePunct w:val="0"/>
        <w:bidi w:val="0"/>
        <w:spacing w:before="0" w:after="0" w:line="440" w:lineRule="exact"/>
        <w:rPr>
          <w:rFonts w:hint="eastAsia" w:ascii="仿宋" w:hAnsi="仿宋" w:eastAsia="仿宋" w:cs="仿宋"/>
          <w:bCs w:val="0"/>
          <w:color w:val="auto"/>
          <w:sz w:val="24"/>
          <w:szCs w:val="24"/>
          <w:highlight w:val="none"/>
          <w:lang w:val="zh-CN"/>
        </w:rPr>
      </w:pPr>
      <w:bookmarkStart w:id="8" w:name="_Toc23785"/>
      <w:r>
        <w:rPr>
          <w:rFonts w:hint="eastAsia" w:ascii="仿宋" w:hAnsi="仿宋" w:eastAsia="仿宋" w:cs="仿宋"/>
          <w:bCs w:val="0"/>
          <w:color w:val="auto"/>
          <w:sz w:val="24"/>
          <w:szCs w:val="24"/>
          <w:highlight w:val="none"/>
          <w:lang w:val="en-US" w:eastAsia="zh-CN"/>
        </w:rPr>
        <w:t xml:space="preserve">   </w:t>
      </w:r>
      <w:r>
        <w:rPr>
          <w:rFonts w:hint="eastAsia" w:ascii="仿宋" w:hAnsi="仿宋" w:eastAsia="仿宋" w:cs="仿宋"/>
          <w:bCs w:val="0"/>
          <w:color w:val="auto"/>
          <w:sz w:val="24"/>
          <w:szCs w:val="24"/>
          <w:highlight w:val="none"/>
          <w:lang w:val="zh-CN"/>
        </w:rPr>
        <w:t>采购项目商务要求：</w:t>
      </w:r>
      <w:bookmarkEnd w:id="8"/>
    </w:p>
    <w:p>
      <w:pPr>
        <w:pageBreakBefore w:val="0"/>
        <w:wordWrap/>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1、交货时间和地点</w:t>
      </w:r>
    </w:p>
    <w:p>
      <w:pPr>
        <w:pStyle w:val="7"/>
        <w:pageBreakBefore w:val="0"/>
        <w:tabs>
          <w:tab w:val="left" w:pos="400"/>
        </w:tabs>
        <w:kinsoku w:val="0"/>
        <w:wordWrap/>
        <w:overflowPunct w:val="0"/>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（1）供货要求：合同签订之日起</w:t>
      </w:r>
      <w:r>
        <w:rPr>
          <w:rFonts w:hint="eastAsia" w:ascii="仿宋" w:hAnsi="仿宋" w:eastAsia="仿宋" w:cs="仿宋"/>
          <w:color w:val="auto"/>
          <w:sz w:val="24"/>
          <w:szCs w:val="24"/>
          <w:highlight w:val="none"/>
          <w:u w:val="single"/>
          <w:shd w:val="clear" w:color="auto" w:fill="auto"/>
          <w:lang w:val="en-US" w:eastAsia="zh-CN"/>
        </w:rPr>
        <w:t>5</w:t>
      </w:r>
      <w:r>
        <w:rPr>
          <w:rFonts w:hint="default" w:ascii="仿宋" w:hAnsi="仿宋" w:eastAsia="仿宋" w:cs="仿宋"/>
          <w:color w:val="auto"/>
          <w:sz w:val="24"/>
          <w:szCs w:val="24"/>
          <w:highlight w:val="none"/>
          <w:u w:val="single"/>
          <w:shd w:val="clear" w:color="auto" w:fill="auto"/>
          <w:lang w:val="en-US" w:eastAsia="zh-CN"/>
        </w:rPr>
        <w:t>0</w:t>
      </w:r>
      <w:r>
        <w:rPr>
          <w:rFonts w:hint="eastAsia" w:ascii="仿宋" w:hAnsi="仿宋" w:eastAsia="仿宋" w:cs="仿宋"/>
          <w:color w:val="auto"/>
          <w:sz w:val="24"/>
          <w:szCs w:val="24"/>
          <w:highlight w:val="none"/>
          <w:u w:val="single"/>
          <w:shd w:val="clear" w:color="auto" w:fill="auto"/>
        </w:rPr>
        <w:t>天</w:t>
      </w:r>
      <w:r>
        <w:rPr>
          <w:rFonts w:hint="eastAsia" w:ascii="仿宋" w:hAnsi="仿宋" w:eastAsia="仿宋" w:cs="仿宋"/>
          <w:color w:val="auto"/>
          <w:sz w:val="24"/>
          <w:szCs w:val="24"/>
          <w:highlight w:val="none"/>
          <w:shd w:val="clear" w:color="auto" w:fill="auto"/>
        </w:rPr>
        <w:t>内完成设备的供货、安装与调试，并完成对使用单位相关人员的操作与使用培训，并承担由此产生的全部等费用。</w:t>
      </w:r>
    </w:p>
    <w:p>
      <w:pPr>
        <w:pStyle w:val="7"/>
        <w:pageBreakBefore w:val="0"/>
        <w:tabs>
          <w:tab w:val="left" w:pos="400"/>
        </w:tabs>
        <w:kinsoku w:val="0"/>
        <w:wordWrap/>
        <w:overflowPunct w:val="0"/>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（2）交货地点：采购人指定地点。</w:t>
      </w:r>
    </w:p>
    <w:p>
      <w:pPr>
        <w:pageBreakBefore w:val="0"/>
        <w:wordWrap/>
        <w:topLinePunct w:val="0"/>
        <w:bidi w:val="0"/>
        <w:spacing w:line="440" w:lineRule="exact"/>
        <w:ind w:firstLine="480" w:firstLineChars="200"/>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2、★报价要求</w:t>
      </w:r>
    </w:p>
    <w:p>
      <w:pPr>
        <w:pStyle w:val="7"/>
        <w:pageBreakBefore w:val="0"/>
        <w:wordWrap/>
        <w:topLinePunct w:val="0"/>
        <w:bidi w:val="0"/>
        <w:spacing w:line="440" w:lineRule="exact"/>
        <w:ind w:firstLine="480" w:firstLineChars="200"/>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本项目为总价报价。投标报价应包括：本项目采购货物运至合同指定地点的包装费、仓储费、运输费、保险费、装卸费、随机零配件、标配工具、安装调试费、培训费、质保期服务费、商检费、税费等完成</w:t>
      </w:r>
      <w:r>
        <w:rPr>
          <w:rFonts w:hint="eastAsia" w:ascii="仿宋" w:hAnsi="仿宋" w:eastAsia="仿宋" w:cs="仿宋"/>
          <w:bCs/>
          <w:color w:val="auto"/>
          <w:sz w:val="24"/>
          <w:szCs w:val="24"/>
          <w:highlight w:val="none"/>
          <w:shd w:val="clear" w:color="auto" w:fill="auto"/>
          <w:lang w:eastAsia="zh-CN"/>
        </w:rPr>
        <w:t>竞争性磋商</w:t>
      </w:r>
      <w:r>
        <w:rPr>
          <w:rFonts w:hint="eastAsia" w:ascii="仿宋" w:hAnsi="仿宋" w:eastAsia="仿宋" w:cs="仿宋"/>
          <w:bCs/>
          <w:color w:val="auto"/>
          <w:sz w:val="24"/>
          <w:szCs w:val="24"/>
          <w:highlight w:val="none"/>
          <w:shd w:val="clear" w:color="auto" w:fill="auto"/>
        </w:rPr>
        <w:t>内容所需的一切费用。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质量标准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1)中标人所投货物必须是厂商原装的、全新的、型号、性能及指标符合或优于国家及</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文件提出的有关技术、质量、安全标准、要求的货物。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2)所投货物必须符合国家质量检测标准和专业设备检测标准。油漆、基材等材质必须符合环保要求,达到国家、行业检测标准。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color w:val="auto"/>
          <w:sz w:val="24"/>
          <w:szCs w:val="24"/>
          <w:highlight w:val="none"/>
        </w:rPr>
        <w:t>3)设备包装均应有良好的防湿、防锈、防潮、防雨、防腐及防碰撞的措施。凡由于包装不良造成的损失和由此产生的费用均由中标人承担。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lang w:val="en-US" w:eastAsia="zh-CN"/>
        </w:rPr>
        <w:t>4、</w:t>
      </w:r>
      <w:r>
        <w:rPr>
          <w:rFonts w:hint="eastAsia" w:ascii="仿宋" w:hAnsi="仿宋" w:eastAsia="仿宋" w:cs="仿宋"/>
          <w:b/>
          <w:bCs/>
          <w:color w:val="auto"/>
          <w:sz w:val="24"/>
          <w:szCs w:val="24"/>
          <w:highlight w:val="none"/>
          <w:shd w:val="clear" w:color="auto" w:fill="auto"/>
        </w:rPr>
        <w:t>验收时间</w:t>
      </w:r>
    </w:p>
    <w:p>
      <w:pPr>
        <w:pageBreakBefore w:val="0"/>
        <w:wordWrap/>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产品</w:t>
      </w:r>
      <w:r>
        <w:rPr>
          <w:rFonts w:hint="eastAsia" w:ascii="仿宋" w:hAnsi="仿宋" w:eastAsia="仿宋" w:cs="仿宋"/>
          <w:color w:val="auto"/>
          <w:kern w:val="0"/>
          <w:sz w:val="24"/>
          <w:szCs w:val="24"/>
          <w:highlight w:val="none"/>
          <w:shd w:val="clear" w:color="auto" w:fill="auto"/>
        </w:rPr>
        <w:t>安装、调试完毕，</w:t>
      </w:r>
      <w:r>
        <w:rPr>
          <w:rFonts w:hint="eastAsia" w:ascii="仿宋" w:hAnsi="仿宋" w:eastAsia="仿宋" w:cs="仿宋"/>
          <w:color w:val="auto"/>
          <w:sz w:val="24"/>
          <w:szCs w:val="24"/>
          <w:highlight w:val="none"/>
          <w:shd w:val="clear" w:color="auto" w:fill="auto"/>
        </w:rPr>
        <w:t>产品试用</w:t>
      </w:r>
      <w:r>
        <w:rPr>
          <w:rFonts w:hint="eastAsia" w:ascii="仿宋" w:hAnsi="仿宋" w:eastAsia="仿宋" w:cs="仿宋"/>
          <w:color w:val="auto"/>
          <w:sz w:val="24"/>
          <w:szCs w:val="24"/>
          <w:highlight w:val="none"/>
          <w:u w:val="single"/>
          <w:shd w:val="clear" w:color="auto" w:fill="auto"/>
          <w:lang w:val="en-US" w:eastAsia="zh-CN"/>
        </w:rPr>
        <w:t xml:space="preserve"> 1 </w:t>
      </w:r>
      <w:r>
        <w:rPr>
          <w:rFonts w:hint="eastAsia" w:ascii="仿宋" w:hAnsi="仿宋" w:eastAsia="仿宋" w:cs="仿宋"/>
          <w:color w:val="auto"/>
          <w:sz w:val="24"/>
          <w:szCs w:val="24"/>
          <w:highlight w:val="none"/>
          <w:shd w:val="clear" w:color="auto" w:fill="auto"/>
        </w:rPr>
        <w:t>个月后，由中标人提出验收申请，采购人应于中标人提出验收申请后</w:t>
      </w:r>
      <w:r>
        <w:rPr>
          <w:rFonts w:hint="eastAsia" w:ascii="仿宋" w:hAnsi="仿宋" w:eastAsia="仿宋" w:cs="仿宋"/>
          <w:color w:val="auto"/>
          <w:sz w:val="24"/>
          <w:szCs w:val="24"/>
          <w:highlight w:val="none"/>
          <w:u w:val="single"/>
          <w:shd w:val="clear" w:color="auto" w:fill="auto"/>
        </w:rPr>
        <w:t xml:space="preserve"> </w:t>
      </w:r>
      <w:r>
        <w:rPr>
          <w:rFonts w:hint="default" w:ascii="仿宋" w:hAnsi="仿宋" w:eastAsia="仿宋" w:cs="仿宋"/>
          <w:color w:val="auto"/>
          <w:sz w:val="24"/>
          <w:szCs w:val="24"/>
          <w:highlight w:val="none"/>
          <w:u w:val="single"/>
          <w:shd w:val="clear" w:color="auto" w:fill="auto"/>
          <w:lang w:val="en-US" w:eastAsia="zh-CN"/>
        </w:rPr>
        <w:t>15</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个工作日内组织验收。采购人验收合格后应当出具验收报告，需要其他管理机构验收的由验收机构出具验收报告。如采购人不组织验收，又未向中标人提出数量、质量异议的，视为中标人交付的产品符合本合同约定。</w:t>
      </w:r>
    </w:p>
    <w:p>
      <w:pPr>
        <w:pageBreakBefore w:val="0"/>
        <w:wordWrap/>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lang w:val="en-US" w:eastAsia="zh-CN"/>
        </w:rPr>
        <w:t>5</w:t>
      </w:r>
      <w:r>
        <w:rPr>
          <w:rFonts w:hint="eastAsia" w:ascii="仿宋" w:hAnsi="仿宋" w:eastAsia="仿宋" w:cs="仿宋"/>
          <w:b/>
          <w:bCs/>
          <w:color w:val="auto"/>
          <w:sz w:val="24"/>
          <w:szCs w:val="24"/>
          <w:highlight w:val="none"/>
          <w:shd w:val="clear" w:color="auto" w:fill="auto"/>
        </w:rPr>
        <w:t>、验收标准：</w:t>
      </w:r>
    </w:p>
    <w:p>
      <w:pPr>
        <w:pageBreakBefore w:val="0"/>
        <w:wordWrap/>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（1）单证齐全：应有产品合格证（或质量证明）、使用说明、保修证明、发票和其它应具有的单证；</w:t>
      </w:r>
    </w:p>
    <w:p>
      <w:pPr>
        <w:pageBreakBefore w:val="0"/>
        <w:wordWrap/>
        <w:topLinePunct w:val="0"/>
        <w:bidi w:val="0"/>
        <w:spacing w:line="44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（2）质量符合国家</w:t>
      </w:r>
      <w:r>
        <w:rPr>
          <w:rFonts w:hint="eastAsia" w:ascii="仿宋" w:hAnsi="仿宋" w:eastAsia="仿宋" w:cs="仿宋"/>
          <w:bCs/>
          <w:color w:val="auto"/>
          <w:sz w:val="24"/>
          <w:szCs w:val="24"/>
          <w:highlight w:val="none"/>
          <w:shd w:val="clear" w:color="auto" w:fill="auto"/>
        </w:rPr>
        <w:t>、行业等有关标准，符合</w:t>
      </w:r>
      <w:r>
        <w:rPr>
          <w:rFonts w:hint="eastAsia" w:ascii="仿宋" w:hAnsi="仿宋" w:eastAsia="仿宋" w:cs="仿宋"/>
          <w:color w:val="auto"/>
          <w:sz w:val="24"/>
          <w:szCs w:val="24"/>
          <w:highlight w:val="none"/>
          <w:shd w:val="clear" w:color="auto" w:fill="auto"/>
          <w:lang w:eastAsia="zh-CN"/>
        </w:rPr>
        <w:t>询价</w:t>
      </w:r>
      <w:r>
        <w:rPr>
          <w:rFonts w:hint="eastAsia" w:ascii="仿宋" w:hAnsi="仿宋" w:eastAsia="仿宋" w:cs="仿宋"/>
          <w:color w:val="auto"/>
          <w:sz w:val="24"/>
          <w:szCs w:val="24"/>
          <w:highlight w:val="none"/>
          <w:shd w:val="clear" w:color="auto" w:fill="auto"/>
        </w:rPr>
        <w:t>文件、投标文件及</w:t>
      </w:r>
      <w:r>
        <w:rPr>
          <w:rFonts w:hint="eastAsia" w:ascii="仿宋" w:hAnsi="仿宋" w:eastAsia="仿宋" w:cs="仿宋"/>
          <w:color w:val="auto"/>
          <w:kern w:val="0"/>
          <w:sz w:val="24"/>
          <w:szCs w:val="24"/>
          <w:highlight w:val="none"/>
          <w:shd w:val="clear" w:color="auto" w:fill="auto"/>
        </w:rPr>
        <w:t>生产厂商公开的宣传资料和生产厂商官方网站宣传内容的标准</w:t>
      </w:r>
      <w:r>
        <w:rPr>
          <w:rFonts w:hint="eastAsia" w:ascii="仿宋" w:hAnsi="仿宋" w:eastAsia="仿宋" w:cs="仿宋"/>
          <w:color w:val="auto"/>
          <w:sz w:val="24"/>
          <w:szCs w:val="24"/>
          <w:highlight w:val="none"/>
          <w:shd w:val="clear" w:color="auto" w:fill="auto"/>
        </w:rPr>
        <w:t>的要求。</w:t>
      </w:r>
    </w:p>
    <w:p>
      <w:pPr>
        <w:pageBreakBefore w:val="0"/>
        <w:wordWrap/>
        <w:topLinePunct w:val="0"/>
        <w:bidi w:val="0"/>
        <w:spacing w:line="440" w:lineRule="exact"/>
        <w:ind w:firstLine="480" w:firstLineChars="200"/>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6</w:t>
      </w:r>
      <w:r>
        <w:rPr>
          <w:rFonts w:hint="eastAsia" w:ascii="仿宋" w:hAnsi="仿宋" w:eastAsia="仿宋" w:cs="仿宋"/>
          <w:b/>
          <w:color w:val="auto"/>
          <w:sz w:val="24"/>
          <w:szCs w:val="24"/>
          <w:highlight w:val="none"/>
          <w:shd w:val="clear" w:color="auto" w:fill="auto"/>
        </w:rPr>
        <w:t>、技术培训</w:t>
      </w:r>
    </w:p>
    <w:p>
      <w:pPr>
        <w:pageBreakBefore w:val="0"/>
        <w:wordWrap/>
        <w:topLinePunct w:val="0"/>
        <w:bidi w:val="0"/>
        <w:spacing w:line="440" w:lineRule="exact"/>
        <w:ind w:firstLine="480" w:firstLineChars="200"/>
        <w:rPr>
          <w:rFonts w:hint="eastAsia" w:ascii="仿宋" w:hAnsi="仿宋" w:eastAsia="仿宋" w:cs="仿宋"/>
          <w:b/>
          <w:bCs/>
          <w:color w:val="auto"/>
          <w:sz w:val="24"/>
          <w:szCs w:val="24"/>
          <w:highlight w:val="none"/>
          <w:shd w:val="clear" w:color="FFFFFF" w:fill="D9D9D9"/>
        </w:rPr>
      </w:pPr>
      <w:r>
        <w:rPr>
          <w:rFonts w:hint="eastAsia" w:ascii="仿宋" w:hAnsi="仿宋" w:eastAsia="仿宋" w:cs="仿宋"/>
          <w:color w:val="auto"/>
          <w:sz w:val="24"/>
          <w:szCs w:val="24"/>
          <w:highlight w:val="none"/>
        </w:rPr>
        <w:t>为了使得用户指定的员工熟练操作设备系统，保证设备系统良好运作，中标人应提供免费培训服务计划，中标人</w:t>
      </w:r>
      <w:r>
        <w:rPr>
          <w:rFonts w:hint="eastAsia" w:ascii="仿宋" w:hAnsi="仿宋" w:eastAsia="仿宋" w:cs="仿宋"/>
          <w:color w:val="auto"/>
          <w:sz w:val="24"/>
          <w:szCs w:val="24"/>
          <w:highlight w:val="none"/>
          <w:lang w:eastAsia="zh-CN"/>
        </w:rPr>
        <w:t>应在每个安装地点（村</w:t>
      </w:r>
      <w:r>
        <w:rPr>
          <w:rFonts w:hint="eastAsia" w:ascii="仿宋" w:hAnsi="仿宋" w:eastAsia="仿宋" w:cs="仿宋"/>
          <w:color w:val="auto"/>
          <w:sz w:val="24"/>
          <w:szCs w:val="24"/>
          <w:highlight w:val="none"/>
          <w:lang w:val="en-US" w:eastAsia="zh-CN"/>
        </w:rPr>
        <w:t>/社区）</w:t>
      </w:r>
      <w:r>
        <w:rPr>
          <w:rFonts w:hint="eastAsia" w:ascii="仿宋" w:hAnsi="仿宋" w:eastAsia="仿宋" w:cs="仿宋"/>
          <w:color w:val="auto"/>
          <w:sz w:val="24"/>
          <w:szCs w:val="24"/>
          <w:highlight w:val="none"/>
        </w:rPr>
        <w:t>负责培训</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名操作管理及维护人员，达到熟练掌握产品性能，能及时排除一般故障的程度。</w:t>
      </w:r>
    </w:p>
    <w:p>
      <w:pPr>
        <w:pageBreakBefore w:val="0"/>
        <w:wordWrap/>
        <w:topLinePunct w:val="0"/>
        <w:bidi w:val="0"/>
        <w:spacing w:line="440" w:lineRule="exact"/>
        <w:ind w:firstLine="480" w:firstLineChars="200"/>
        <w:rPr>
          <w:rFonts w:hint="eastAsia" w:ascii="仿宋" w:hAnsi="仿宋" w:eastAsia="仿宋" w:cs="仿宋"/>
          <w:b/>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lang w:val="en-US" w:eastAsia="zh-CN"/>
        </w:rPr>
        <w:t>7</w:t>
      </w:r>
      <w:r>
        <w:rPr>
          <w:rFonts w:hint="eastAsia" w:ascii="仿宋" w:hAnsi="仿宋" w:eastAsia="仿宋" w:cs="仿宋"/>
          <w:b/>
          <w:color w:val="auto"/>
          <w:sz w:val="24"/>
          <w:szCs w:val="24"/>
          <w:highlight w:val="none"/>
          <w:shd w:val="clear" w:color="auto" w:fill="auto"/>
        </w:rPr>
        <w:t>、</w:t>
      </w:r>
      <w:r>
        <w:rPr>
          <w:rFonts w:hint="eastAsia" w:ascii="仿宋" w:hAnsi="仿宋" w:eastAsia="仿宋" w:cs="仿宋"/>
          <w:b/>
          <w:bCs/>
          <w:color w:val="auto"/>
          <w:sz w:val="24"/>
          <w:szCs w:val="24"/>
          <w:highlight w:val="none"/>
          <w:shd w:val="clear" w:color="auto" w:fill="auto"/>
        </w:rPr>
        <w:t>售后服务要求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rPr>
        <w:t>1)保修期：供应商所</w:t>
      </w:r>
      <w:r>
        <w:rPr>
          <w:rFonts w:hint="eastAsia" w:ascii="仿宋" w:hAnsi="仿宋" w:eastAsia="仿宋" w:cs="仿宋"/>
          <w:color w:val="auto"/>
          <w:sz w:val="24"/>
          <w:szCs w:val="24"/>
          <w:highlight w:val="none"/>
        </w:rPr>
        <w:t>投设备必须满足采购人需求中提出的质保期要求；未具体要求的，按厂家标准，但不能少于一年。按验收之日起计，若用户有特殊要求的，按用户要求执行。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2)保修期内，中标人负责对其提供的设备整体进行维修和系统维护，不再收取任何费用，但人为因素，自然因素（如火灾、地震等）造成的故障除外。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3)保修期间内同一硬件六个月内连续 3次出现同一故障，供货商须无偿更换同一档次设备；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4)保修期内技术支持：提供7×24小时的技术咨询服务；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5)保修期内故障响应：提供7×24小时的故障服务受理</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小时的现场支援；备件服务：遇到重大故障，提供系统所需更换的任何备件。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6)保修期内</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所有设备保修服务方式均为中标人上门保修，即中标人派人员到设备使用现场维修，由此产生的一切费用均由中标人承担。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7)★保修期内</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用户报修后供应商应在接到系统故障保修响应时间为：周一至周日8：30―18：</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0期间30分钟内电话响应，</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rPr>
        <w:t>小时内到现场响应。用户报修后须在上述规定的时间内派人员上门现场维护，并在24小时内解决问题。在24小时内不能解决问题的设备，应提供不低于故障产品档次的设备给用户使用，直至故障设备修复，投标人须在响应文件中提供承诺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shd w:val="clear" w:color="FFFFFF" w:fill="D9D9D9"/>
        </w:rPr>
      </w:pPr>
      <w:r>
        <w:rPr>
          <w:rFonts w:hint="eastAsia" w:ascii="仿宋" w:hAnsi="仿宋" w:eastAsia="仿宋" w:cs="仿宋"/>
          <w:color w:val="auto"/>
          <w:sz w:val="24"/>
          <w:szCs w:val="24"/>
          <w:highlight w:val="none"/>
        </w:rPr>
        <w:t>8)保修期外的服务要求：免费保修期满后，提供</w:t>
      </w:r>
      <w:r>
        <w:rPr>
          <w:rFonts w:hint="eastAsia" w:ascii="仿宋" w:hAnsi="仿宋" w:eastAsia="仿宋" w:cs="仿宋"/>
          <w:color w:val="auto"/>
          <w:sz w:val="24"/>
          <w:szCs w:val="24"/>
          <w:highlight w:val="none"/>
          <w:lang w:eastAsia="zh-CN"/>
        </w:rPr>
        <w:t>技术支持</w:t>
      </w:r>
      <w:r>
        <w:rPr>
          <w:rFonts w:hint="eastAsia" w:ascii="仿宋" w:hAnsi="仿宋" w:eastAsia="仿宋" w:cs="仿宋"/>
          <w:color w:val="auto"/>
          <w:sz w:val="24"/>
          <w:szCs w:val="24"/>
          <w:highlight w:val="none"/>
        </w:rPr>
        <w:t>服务。</w:t>
      </w:r>
    </w:p>
    <w:p>
      <w:pPr>
        <w:pageBreakBefore w:val="0"/>
        <w:wordWrap/>
        <w:topLinePunct w:val="0"/>
        <w:bidi w:val="0"/>
        <w:spacing w:line="440" w:lineRule="exact"/>
        <w:ind w:firstLine="480" w:firstLineChars="200"/>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lang w:val="en-US" w:eastAsia="zh-CN"/>
        </w:rPr>
        <w:t>8</w:t>
      </w:r>
      <w:r>
        <w:rPr>
          <w:rFonts w:hint="eastAsia" w:ascii="仿宋" w:hAnsi="仿宋" w:eastAsia="仿宋" w:cs="仿宋"/>
          <w:b/>
          <w:color w:val="auto"/>
          <w:sz w:val="24"/>
          <w:szCs w:val="24"/>
          <w:highlight w:val="none"/>
          <w:shd w:val="clear" w:color="auto" w:fill="auto"/>
        </w:rPr>
        <w:t xml:space="preserve">、付款期限和方式 </w:t>
      </w:r>
    </w:p>
    <w:p>
      <w:pPr>
        <w:pageBreakBefore w:val="0"/>
        <w:wordWrap/>
        <w:topLinePunct w:val="0"/>
        <w:bidi w:val="0"/>
        <w:spacing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auto"/>
        </w:rPr>
        <w:t>合同签订后，采购人在收到中标人的发票后十个工作日内支付本合同价款的</w:t>
      </w:r>
      <w:r>
        <w:rPr>
          <w:rFonts w:hint="eastAsia" w:ascii="仿宋" w:hAnsi="仿宋" w:eastAsia="仿宋" w:cs="仿宋"/>
          <w:color w:val="auto"/>
          <w:sz w:val="24"/>
          <w:szCs w:val="24"/>
          <w:highlight w:val="none"/>
          <w:u w:val="single"/>
          <w:shd w:val="clear" w:color="auto" w:fill="auto"/>
        </w:rPr>
        <w:t>30%</w:t>
      </w:r>
      <w:r>
        <w:rPr>
          <w:rFonts w:hint="eastAsia" w:ascii="仿宋" w:hAnsi="仿宋" w:eastAsia="仿宋" w:cs="仿宋"/>
          <w:color w:val="auto"/>
          <w:sz w:val="24"/>
          <w:szCs w:val="24"/>
          <w:highlight w:val="none"/>
          <w:shd w:val="clear" w:color="auto" w:fill="auto"/>
        </w:rPr>
        <w:t>给中标人，所有货物经验收合格后，采购人在收到中标人发</w:t>
      </w:r>
      <w:r>
        <w:rPr>
          <w:rFonts w:hint="eastAsia" w:ascii="仿宋" w:hAnsi="仿宋" w:eastAsia="仿宋" w:cs="仿宋"/>
          <w:color w:val="auto"/>
          <w:sz w:val="24"/>
          <w:szCs w:val="24"/>
          <w:highlight w:val="none"/>
        </w:rPr>
        <w:t>票后十个工作日内支付本合同价款的</w:t>
      </w:r>
      <w:r>
        <w:rPr>
          <w:rFonts w:hint="eastAsia" w:ascii="仿宋" w:hAnsi="仿宋" w:eastAsia="仿宋" w:cs="仿宋"/>
          <w:color w:val="auto"/>
          <w:sz w:val="24"/>
          <w:szCs w:val="24"/>
          <w:highlight w:val="none"/>
          <w:u w:val="single"/>
          <w:lang w:val="en-US" w:eastAsia="zh-CN"/>
        </w:rPr>
        <w:t>70</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给中标人</w:t>
      </w:r>
      <w:r>
        <w:rPr>
          <w:rFonts w:hint="eastAsia" w:ascii="仿宋" w:hAnsi="仿宋" w:eastAsia="仿宋" w:cs="仿宋"/>
          <w:color w:val="auto"/>
          <w:sz w:val="24"/>
          <w:szCs w:val="24"/>
          <w:highlight w:val="none"/>
          <w:lang w:eastAsia="zh-CN"/>
        </w:rPr>
        <w:t>。</w:t>
      </w:r>
    </w:p>
    <w:p>
      <w:pPr>
        <w:pageBreakBefore w:val="0"/>
        <w:wordWrap/>
        <w:topLinePunct w:val="0"/>
        <w:bidi w:val="0"/>
        <w:spacing w:line="440" w:lineRule="exact"/>
        <w:rPr>
          <w:rFonts w:hint="eastAsia" w:ascii="仿宋" w:hAnsi="仿宋" w:eastAsia="仿宋" w:cs="仿宋"/>
          <w:b/>
          <w:bCs/>
          <w:color w:val="auto"/>
          <w:sz w:val="24"/>
          <w:szCs w:val="24"/>
          <w:highlight w:val="none"/>
        </w:rPr>
      </w:pPr>
      <w:r>
        <w:rPr>
          <w:rFonts w:hint="eastAsia" w:ascii="仿宋" w:hAnsi="仿宋" w:eastAsia="仿宋"/>
          <w:b/>
          <w:color w:val="auto"/>
          <w:sz w:val="24"/>
          <w:szCs w:val="24"/>
          <w:highlight w:val="none"/>
        </w:rPr>
        <w:t>打“</w:t>
      </w:r>
      <w:r>
        <w:rPr>
          <w:rFonts w:hint="eastAsia" w:ascii="仿宋" w:hAnsi="仿宋" w:eastAsia="仿宋"/>
          <w:color w:val="auto"/>
          <w:sz w:val="24"/>
          <w:szCs w:val="24"/>
          <w:highlight w:val="none"/>
          <w:lang w:val="hr-HR"/>
        </w:rPr>
        <w:t>★</w:t>
      </w:r>
      <w:r>
        <w:rPr>
          <w:rFonts w:hint="eastAsia" w:ascii="仿宋" w:hAnsi="仿宋" w:eastAsia="仿宋"/>
          <w:b/>
          <w:color w:val="auto"/>
          <w:sz w:val="24"/>
          <w:szCs w:val="24"/>
          <w:highlight w:val="none"/>
        </w:rPr>
        <w:t>”为不可偏离条款，如出现对任意一条的不满足，将导致投标无效。</w:t>
      </w:r>
    </w:p>
    <w:p>
      <w:pPr>
        <w:pageBreakBefore w:val="0"/>
        <w:wordWrap/>
        <w:topLinePunct w:val="0"/>
        <w:bidi w:val="0"/>
        <w:spacing w:line="440" w:lineRule="exact"/>
        <w:rPr>
          <w:rFonts w:hint="eastAsia"/>
          <w:sz w:val="24"/>
          <w:szCs w:val="24"/>
          <w:highlight w:val="none"/>
        </w:rPr>
      </w:pPr>
    </w:p>
    <w:p>
      <w:pPr>
        <w:pageBreakBefore w:val="0"/>
        <w:wordWrap/>
        <w:topLinePunct w:val="0"/>
        <w:bidi w:val="0"/>
        <w:spacing w:line="440" w:lineRule="exact"/>
        <w:ind w:firstLine="504" w:firstLineChars="210"/>
        <w:rPr>
          <w:rFonts w:hint="eastAsia" w:ascii="仿宋" w:hAnsi="仿宋" w:eastAsia="仿宋" w:cs="仿宋"/>
          <w:color w:val="auto"/>
          <w:sz w:val="24"/>
          <w:szCs w:val="24"/>
          <w:highlight w:val="none"/>
        </w:rPr>
        <w:sectPr>
          <w:footerReference r:id="rId3" w:type="default"/>
          <w:pgSz w:w="11906" w:h="16838"/>
          <w:pgMar w:top="1134" w:right="1134" w:bottom="1134" w:left="1080" w:header="851" w:footer="992" w:gutter="0"/>
          <w:pgBorders w:offsetFrom="page">
            <w:top w:val="none" w:sz="0" w:space="0"/>
            <w:left w:val="none" w:sz="0" w:space="0"/>
            <w:bottom w:val="none" w:sz="0" w:space="0"/>
            <w:right w:val="none" w:sz="0" w:space="0"/>
          </w:pgBorders>
          <w:cols w:space="720" w:num="1"/>
          <w:docGrid w:type="linesAndChars" w:linePitch="312" w:charSpace="0"/>
        </w:sectPr>
      </w:pPr>
    </w:p>
    <w:p>
      <w:pPr>
        <w:pStyle w:val="4"/>
        <w:pageBreakBefore w:val="0"/>
        <w:wordWrap/>
        <w:topLinePunct w:val="0"/>
        <w:bidi w:val="0"/>
        <w:spacing w:line="440" w:lineRule="exact"/>
        <w:jc w:val="center"/>
        <w:rPr>
          <w:rFonts w:hint="eastAsia" w:ascii="仿宋" w:hAnsi="仿宋" w:eastAsia="仿宋" w:cs="仿宋"/>
          <w:color w:val="auto"/>
          <w:sz w:val="24"/>
          <w:szCs w:val="24"/>
          <w:highlight w:val="none"/>
          <w:lang w:val="zh-CN" w:eastAsia="zh-CN"/>
        </w:rPr>
      </w:pPr>
      <w:bookmarkStart w:id="9" w:name="_Toc1390"/>
      <w:r>
        <w:rPr>
          <w:rFonts w:hint="eastAsia" w:ascii="仿宋" w:hAnsi="仿宋" w:eastAsia="仿宋" w:cs="仿宋"/>
          <w:color w:val="auto"/>
          <w:kern w:val="0"/>
          <w:sz w:val="24"/>
          <w:szCs w:val="24"/>
          <w:highlight w:val="none"/>
        </w:rPr>
        <w:t>第</w:t>
      </w: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部分　</w:t>
      </w:r>
      <w:r>
        <w:rPr>
          <w:rFonts w:hint="eastAsia" w:ascii="仿宋" w:hAnsi="仿宋" w:eastAsia="仿宋" w:cs="仿宋"/>
          <w:color w:val="auto"/>
          <w:kern w:val="0"/>
          <w:sz w:val="24"/>
          <w:szCs w:val="24"/>
          <w:highlight w:val="none"/>
          <w:lang w:eastAsia="zh-CN"/>
        </w:rPr>
        <w:t>报价人须知</w:t>
      </w:r>
    </w:p>
    <w:bookmarkEnd w:id="9"/>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根据《政府采购法》的相关规定确定以下评标方法、步骤及标准：</w:t>
      </w:r>
    </w:p>
    <w:p>
      <w:pPr>
        <w:pageBreakBefore w:val="0"/>
        <w:wordWrap/>
        <w:topLinePunct w:val="0"/>
        <w:bidi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p>
    <w:p>
      <w:pPr>
        <w:pStyle w:val="6"/>
        <w:pageBreakBefore w:val="0"/>
        <w:wordWrap/>
        <w:topLinePunct w:val="0"/>
        <w:bidi w:val="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本次评标采用综合评分法，对通过初审的各投标人的技术、商务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价格</w:t>
      </w:r>
      <w:r>
        <w:rPr>
          <w:rFonts w:hint="eastAsia" w:ascii="仿宋" w:hAnsi="仿宋" w:eastAsia="仿宋" w:cs="仿宋"/>
          <w:color w:val="auto"/>
          <w:sz w:val="24"/>
          <w:szCs w:val="24"/>
          <w:highlight w:val="none"/>
        </w:rPr>
        <w:t>进行评审比较，并量化打分，最后根据各项得分之和（其中技术评分</w:t>
      </w:r>
      <w:r>
        <w:rPr>
          <w:rFonts w:hint="eastAsia" w:ascii="仿宋" w:hAnsi="仿宋" w:eastAsia="仿宋" w:cs="仿宋"/>
          <w:color w:val="auto"/>
          <w:sz w:val="24"/>
          <w:szCs w:val="24"/>
          <w:highlight w:val="none"/>
          <w:lang w:val="zh-CN"/>
        </w:rPr>
        <w:t>占</w:t>
      </w:r>
      <w:r>
        <w:rPr>
          <w:rFonts w:hint="eastAsia" w:ascii="仿宋" w:hAnsi="仿宋" w:eastAsia="仿宋" w:cs="仿宋"/>
          <w:color w:val="auto"/>
          <w:sz w:val="24"/>
          <w:szCs w:val="24"/>
          <w:highlight w:val="none"/>
          <w:lang w:val="en-US" w:eastAsia="zh-CN"/>
        </w:rPr>
        <w:t>50分、</w:t>
      </w:r>
      <w:r>
        <w:rPr>
          <w:rFonts w:hint="eastAsia" w:ascii="仿宋" w:hAnsi="仿宋" w:eastAsia="仿宋" w:cs="仿宋"/>
          <w:color w:val="auto"/>
          <w:sz w:val="24"/>
          <w:szCs w:val="24"/>
          <w:highlight w:val="none"/>
        </w:rPr>
        <w:t>商务评分</w:t>
      </w:r>
      <w:r>
        <w:rPr>
          <w:rFonts w:hint="eastAsia" w:ascii="仿宋" w:hAnsi="仿宋" w:eastAsia="仿宋" w:cs="仿宋"/>
          <w:color w:val="auto"/>
          <w:sz w:val="24"/>
          <w:szCs w:val="24"/>
          <w:highlight w:val="none"/>
          <w:lang w:val="zh-CN"/>
        </w:rPr>
        <w:t>占</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zh-CN"/>
        </w:rPr>
        <w:t>分、价格评分占</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分）计算出通过初审投标人的综合评价得分。评标委员会将按各投标人综合评价得分由高到低的原则对所有通过初审的投标人进行排序</w:t>
      </w:r>
      <w:r>
        <w:rPr>
          <w:rFonts w:hint="eastAsia" w:ascii="仿宋" w:hAnsi="仿宋" w:eastAsia="仿宋" w:cs="仿宋"/>
          <w:color w:val="auto"/>
          <w:sz w:val="24"/>
          <w:szCs w:val="24"/>
          <w:highlight w:val="none"/>
          <w:lang w:eastAsia="zh-CN"/>
        </w:rPr>
        <w:t>。</w:t>
      </w:r>
    </w:p>
    <w:p>
      <w:pPr>
        <w:pStyle w:val="6"/>
        <w:pageBreakBefore w:val="0"/>
        <w:wordWrap/>
        <w:topLinePunct w:val="0"/>
        <w:bidi w:val="0"/>
        <w:spacing w:line="440" w:lineRule="exact"/>
        <w:ind w:firstLine="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评标步骤</w:t>
      </w:r>
    </w:p>
    <w:p>
      <w:pPr>
        <w:pStyle w:val="6"/>
        <w:pageBreakBefore w:val="0"/>
        <w:wordWrap/>
        <w:topLinePunct w:val="0"/>
        <w:bidi w:val="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评标委员会对投标文件的评审分为初审、比较与评价： </w:t>
      </w:r>
    </w:p>
    <w:p>
      <w:pPr>
        <w:pStyle w:val="6"/>
        <w:pageBreakBefore w:val="0"/>
        <w:wordWrap/>
        <w:topLinePunct w:val="0"/>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（一）初审</w:t>
      </w:r>
    </w:p>
    <w:p>
      <w:pPr>
        <w:pStyle w:val="6"/>
        <w:pageBreakBefore w:val="0"/>
        <w:wordWrap/>
        <w:topLinePunct w:val="0"/>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1.资格性</w:t>
      </w:r>
      <w:r>
        <w:rPr>
          <w:rFonts w:hint="eastAsia" w:ascii="仿宋" w:hAnsi="仿宋" w:eastAsia="仿宋" w:cs="仿宋"/>
          <w:color w:val="auto"/>
          <w:sz w:val="24"/>
          <w:szCs w:val="24"/>
          <w:highlight w:val="none"/>
          <w:lang w:eastAsia="zh-CN"/>
        </w:rPr>
        <w:t>审查</w:t>
      </w:r>
      <w:r>
        <w:rPr>
          <w:rFonts w:hint="eastAsia" w:ascii="仿宋" w:hAnsi="仿宋" w:eastAsia="仿宋" w:cs="仿宋"/>
          <w:color w:val="auto"/>
          <w:sz w:val="24"/>
          <w:szCs w:val="24"/>
          <w:highlight w:val="none"/>
        </w:rPr>
        <w:t>：采购人或者采购代理机构对投标人的资格进行审查。合格投标人不足3家的，不得评标。</w:t>
      </w:r>
    </w:p>
    <w:p>
      <w:pPr>
        <w:pStyle w:val="6"/>
        <w:pageBreakBefore w:val="0"/>
        <w:wordWrap/>
        <w:topLinePunct w:val="0"/>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2.符合性</w:t>
      </w:r>
      <w:r>
        <w:rPr>
          <w:rFonts w:hint="eastAsia" w:ascii="仿宋" w:hAnsi="仿宋" w:eastAsia="仿宋" w:cs="仿宋"/>
          <w:color w:val="auto"/>
          <w:sz w:val="24"/>
          <w:szCs w:val="24"/>
          <w:highlight w:val="none"/>
          <w:lang w:eastAsia="zh-CN"/>
        </w:rPr>
        <w:t>审查</w:t>
      </w:r>
      <w:r>
        <w:rPr>
          <w:rFonts w:hint="eastAsia" w:ascii="仿宋" w:hAnsi="仿宋" w:eastAsia="仿宋" w:cs="仿宋"/>
          <w:color w:val="auto"/>
          <w:sz w:val="24"/>
          <w:szCs w:val="24"/>
          <w:highlight w:val="none"/>
        </w:rPr>
        <w:t>：评标委员会对合格投标人的投标文件进行符合性审查、评价投标文件是否符合</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 xml:space="preserve">文件的商务、技术等实质性要求；必要时要求投标人对投标文件有关事项作出澄清或者说明。 </w:t>
      </w:r>
    </w:p>
    <w:p>
      <w:pPr>
        <w:pageBreakBefore w:val="0"/>
        <w:wordWrap/>
        <w:topLinePunct w:val="0"/>
        <w:bidi w:val="0"/>
        <w:adjustRightInd w:val="0"/>
        <w:snapToGrid w:val="0"/>
        <w:spacing w:before="156" w:beforeLines="50" w:line="440" w:lineRule="exact"/>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1.资格性审查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349"/>
        <w:gridCol w:w="835"/>
        <w:gridCol w:w="83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1"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序号</w:t>
            </w:r>
          </w:p>
        </w:tc>
        <w:tc>
          <w:tcPr>
            <w:tcW w:w="313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供应商A</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供应商B</w:t>
            </w: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1"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138" w:type="pct"/>
            <w:noWrap w:val="0"/>
            <w:vAlign w:val="center"/>
          </w:tcPr>
          <w:p>
            <w:pPr>
              <w:pageBreakBefore w:val="0"/>
              <w:wordWrap/>
              <w:topLinePunct w:val="0"/>
              <w:bidi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投标人的投标文件或资格证明文件均已提供且符合</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文件要求</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91"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3138" w:type="pct"/>
            <w:noWrap w:val="0"/>
            <w:vAlign w:val="center"/>
          </w:tcPr>
          <w:p>
            <w:pPr>
              <w:pageBreakBefore w:val="0"/>
              <w:wordWrap/>
              <w:topLinePunct w:val="0"/>
              <w:bidi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投标人资质是否具备</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文件中规定资格要求</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1"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3138" w:type="pct"/>
            <w:noWrap w:val="0"/>
            <w:vAlign w:val="center"/>
          </w:tcPr>
          <w:p>
            <w:pPr>
              <w:pageBreakBefore w:val="0"/>
              <w:wordWrap/>
              <w:topLinePunct w:val="0"/>
              <w:bidi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参加政府采购活动前三年内，在经营活动中无重大违法记录</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1" w:type="pct"/>
            <w:noWrap w:val="0"/>
            <w:vAlign w:val="center"/>
          </w:tcPr>
          <w:p>
            <w:pPr>
              <w:pageBreakBefore w:val="0"/>
              <w:wordWrap/>
              <w:topLine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138" w:type="pct"/>
            <w:noWrap w:val="0"/>
            <w:vAlign w:val="center"/>
          </w:tcPr>
          <w:p>
            <w:pPr>
              <w:pageBreakBefore w:val="0"/>
              <w:wordWrap/>
              <w:topLinePunct w:val="0"/>
              <w:bidi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未被列入“信用中国”网站(www.creditchina.gov.cn)“记录失信被执行人或重大税收违法案件当事人名单或政府采购严重违法失信名单”记录名单；投标人不处于中国政府采购网(www.ccgp.gov.cn)禁止参加政府采购活动期间的“严重违法失信行为信息记录”名单（以政府采购代理机构于投标截止日当天在“信用中国”网站（www.creditchina.gov.cn）及中国政府采购网(www.ccgp.gov.cn)查询结果为准，如相关失信记录已失效，投标人需提供相关证明资料）</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0" w:type="pct"/>
            <w:gridSpan w:val="2"/>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0" w:type="pct"/>
            <w:gridSpan w:val="2"/>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不通过原因</w:t>
            </w: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9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89"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bl>
    <w:p>
      <w:pPr>
        <w:pageBreakBefore w:val="0"/>
        <w:wordWrap/>
        <w:topLinePunct w:val="0"/>
        <w:bidi w:val="0"/>
        <w:adjustRightInd w:val="0"/>
        <w:snapToGrid w:val="0"/>
        <w:spacing w:before="156" w:beforeLines="50" w:line="440" w:lineRule="exact"/>
        <w:rPr>
          <w:rFonts w:hint="eastAsia" w:ascii="仿宋" w:hAnsi="仿宋" w:eastAsia="仿宋" w:cs="仿宋"/>
          <w:snapToGrid w:val="0"/>
          <w:color w:val="auto"/>
          <w:kern w:val="0"/>
          <w:sz w:val="24"/>
          <w:szCs w:val="24"/>
          <w:highlight w:val="none"/>
        </w:rPr>
      </w:pPr>
    </w:p>
    <w:p>
      <w:pPr>
        <w:pageBreakBefore w:val="0"/>
        <w:wordWrap/>
        <w:topLinePunct w:val="0"/>
        <w:bidi w:val="0"/>
        <w:adjustRightInd w:val="0"/>
        <w:snapToGrid w:val="0"/>
        <w:spacing w:before="156" w:beforeLines="50" w:line="440" w:lineRule="exac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 xml:space="preserve">说明：⑴ </w:t>
      </w:r>
      <w:r>
        <w:rPr>
          <w:rFonts w:hint="eastAsia" w:ascii="仿宋" w:hAnsi="仿宋" w:eastAsia="仿宋" w:cs="仿宋"/>
          <w:color w:val="auto"/>
          <w:sz w:val="24"/>
          <w:szCs w:val="24"/>
          <w:highlight w:val="none"/>
        </w:rPr>
        <w:t>本表由采购</w:t>
      </w:r>
      <w:r>
        <w:rPr>
          <w:rFonts w:hint="eastAsia" w:ascii="仿宋" w:hAnsi="仿宋" w:eastAsia="仿宋" w:cs="仿宋"/>
          <w:color w:val="auto"/>
          <w:sz w:val="24"/>
          <w:szCs w:val="24"/>
          <w:highlight w:val="none"/>
          <w:lang w:eastAsia="zh-CN"/>
        </w:rPr>
        <w:t>单位代表</w:t>
      </w:r>
      <w:r>
        <w:rPr>
          <w:rFonts w:hint="eastAsia" w:ascii="仿宋" w:hAnsi="仿宋" w:eastAsia="仿宋" w:cs="仿宋"/>
          <w:color w:val="auto"/>
          <w:sz w:val="24"/>
          <w:szCs w:val="24"/>
          <w:highlight w:val="none"/>
        </w:rPr>
        <w:t>填写。</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每一项审查内容，符合的打“√”、不符合的打“×”。</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结论栏填写“通过”或“不通过”,即有一项审查内容不符合的即为不通过。</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⑷ 采购人对供应商的结论为“不通过”的，则该投标人为不合格投标人，不得进入下一步符合性审查，对结论为“不通过”的投标，要说明原因。</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⑸ 投标人的投标文件须包含本项目</w:t>
      </w:r>
      <w:r>
        <w:rPr>
          <w:rFonts w:hint="eastAsia" w:ascii="仿宋" w:hAnsi="仿宋" w:eastAsia="仿宋" w:cs="仿宋"/>
          <w:snapToGrid w:val="0"/>
          <w:color w:val="auto"/>
          <w:kern w:val="0"/>
          <w:sz w:val="24"/>
          <w:szCs w:val="24"/>
          <w:highlight w:val="none"/>
          <w:lang w:eastAsia="zh-CN"/>
        </w:rPr>
        <w:t>竞争性磋商</w:t>
      </w:r>
      <w:r>
        <w:rPr>
          <w:rFonts w:hint="eastAsia" w:ascii="仿宋" w:hAnsi="仿宋" w:eastAsia="仿宋" w:cs="仿宋"/>
          <w:snapToGrid w:val="0"/>
          <w:color w:val="auto"/>
          <w:kern w:val="0"/>
          <w:sz w:val="24"/>
          <w:szCs w:val="24"/>
          <w:highlight w:val="none"/>
        </w:rPr>
        <w:t>公告及</w:t>
      </w:r>
      <w:r>
        <w:rPr>
          <w:rFonts w:hint="eastAsia" w:ascii="仿宋" w:hAnsi="仿宋" w:eastAsia="仿宋" w:cs="仿宋"/>
          <w:snapToGrid w:val="0"/>
          <w:color w:val="auto"/>
          <w:kern w:val="0"/>
          <w:sz w:val="24"/>
          <w:szCs w:val="24"/>
          <w:highlight w:val="none"/>
          <w:lang w:eastAsia="zh-CN"/>
        </w:rPr>
        <w:t>竞争性磋商</w:t>
      </w:r>
      <w:r>
        <w:rPr>
          <w:rFonts w:hint="eastAsia" w:ascii="仿宋" w:hAnsi="仿宋" w:eastAsia="仿宋" w:cs="仿宋"/>
          <w:snapToGrid w:val="0"/>
          <w:color w:val="auto"/>
          <w:kern w:val="0"/>
          <w:sz w:val="24"/>
          <w:szCs w:val="24"/>
          <w:highlight w:val="none"/>
        </w:rPr>
        <w:t>文件关于资格要求的相关资料。</w:t>
      </w:r>
    </w:p>
    <w:p>
      <w:pPr>
        <w:pageBreakBefore w:val="0"/>
        <w:wordWrap/>
        <w:topLinePunct w:val="0"/>
        <w:bidi w:val="0"/>
        <w:adjustRightInd w:val="0"/>
        <w:snapToGrid w:val="0"/>
        <w:spacing w:before="156" w:beforeLines="50" w:line="440" w:lineRule="exact"/>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2.符合性审查</w:t>
      </w:r>
    </w:p>
    <w:tbl>
      <w:tblPr>
        <w:tblStyle w:val="11"/>
        <w:tblW w:w="5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5985"/>
        <w:gridCol w:w="816"/>
        <w:gridCol w:w="73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序号</w:t>
            </w:r>
          </w:p>
        </w:tc>
        <w:tc>
          <w:tcPr>
            <w:tcW w:w="3387"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供应商A</w:t>
            </w: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供应商B</w:t>
            </w: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387" w:type="pct"/>
            <w:noWrap w:val="0"/>
            <w:vAlign w:val="center"/>
          </w:tcPr>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投标报价是否按</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文件要求或投标报价是否未超出采购预算的；报价方案是唯一确定的</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2</w:t>
            </w:r>
          </w:p>
        </w:tc>
        <w:tc>
          <w:tcPr>
            <w:tcW w:w="3387" w:type="pct"/>
            <w:noWrap w:val="0"/>
            <w:vAlign w:val="center"/>
          </w:tcPr>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投标文件是否有法定代表人签字或签字人是否有法定代表人的有效授权</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3</w:t>
            </w:r>
          </w:p>
        </w:tc>
        <w:tc>
          <w:tcPr>
            <w:tcW w:w="3387" w:type="pct"/>
            <w:noWrap w:val="0"/>
            <w:vAlign w:val="center"/>
          </w:tcPr>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投标文件对</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文件的实质性技术商务条款（即标注★号条款）未产生偏离</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4</w:t>
            </w:r>
          </w:p>
        </w:tc>
        <w:tc>
          <w:tcPr>
            <w:tcW w:w="3387" w:type="pct"/>
            <w:noWrap w:val="0"/>
            <w:vAlign w:val="center"/>
          </w:tcPr>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投标文件不存在采购人不能接受的附加条件</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5</w:t>
            </w:r>
          </w:p>
        </w:tc>
        <w:tc>
          <w:tcPr>
            <w:tcW w:w="3387" w:type="pct"/>
            <w:noWrap w:val="0"/>
            <w:vAlign w:val="center"/>
          </w:tcPr>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无符合</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文件中规定的被视为无效投标的其它条款的</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6</w:t>
            </w:r>
          </w:p>
        </w:tc>
        <w:tc>
          <w:tcPr>
            <w:tcW w:w="3387" w:type="pct"/>
            <w:noWrap w:val="0"/>
            <w:vAlign w:val="center"/>
          </w:tcPr>
          <w:p>
            <w:pPr>
              <w:pageBreakBefore w:val="0"/>
              <w:wordWrap/>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无不符合法律、法规规定的其他实质性要求</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7" w:type="pct"/>
            <w:gridSpan w:val="2"/>
            <w:noWrap w:val="0"/>
            <w:vAlign w:val="center"/>
          </w:tcPr>
          <w:p>
            <w:pPr>
              <w:pageBreakBefore w:val="0"/>
              <w:wordWrap/>
              <w:topLine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7" w:type="pct"/>
            <w:gridSpan w:val="2"/>
            <w:noWrap w:val="0"/>
            <w:vAlign w:val="center"/>
          </w:tcPr>
          <w:p>
            <w:pPr>
              <w:pageBreakBefore w:val="0"/>
              <w:wordWrap/>
              <w:topLine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不通过原因</w:t>
            </w:r>
          </w:p>
        </w:tc>
        <w:tc>
          <w:tcPr>
            <w:tcW w:w="465"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41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c>
          <w:tcPr>
            <w:tcW w:w="378" w:type="pct"/>
            <w:noWrap w:val="0"/>
            <w:vAlign w:val="center"/>
          </w:tcPr>
          <w:p>
            <w:pPr>
              <w:pageBreakBefore w:val="0"/>
              <w:wordWrap/>
              <w:topLinePunct w:val="0"/>
              <w:bidi w:val="0"/>
              <w:adjustRightInd w:val="0"/>
              <w:snapToGrid w:val="0"/>
              <w:spacing w:before="156" w:beforeLines="50" w:line="440" w:lineRule="exact"/>
              <w:jc w:val="center"/>
              <w:rPr>
                <w:rFonts w:hint="eastAsia" w:ascii="仿宋" w:hAnsi="仿宋" w:eastAsia="仿宋" w:cs="仿宋"/>
                <w:snapToGrid w:val="0"/>
                <w:color w:val="auto"/>
                <w:kern w:val="0"/>
                <w:sz w:val="24"/>
                <w:szCs w:val="24"/>
                <w:highlight w:val="none"/>
              </w:rPr>
            </w:pPr>
          </w:p>
        </w:tc>
      </w:tr>
    </w:tbl>
    <w:p>
      <w:pPr>
        <w:pageBreakBefore w:val="0"/>
        <w:wordWrap/>
        <w:topLinePunct w:val="0"/>
        <w:bidi w:val="0"/>
        <w:adjustRightInd w:val="0"/>
        <w:snapToGrid w:val="0"/>
        <w:spacing w:before="156" w:beforeLines="50" w:line="440" w:lineRule="exac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 xml:space="preserve">说明：⑴ </w:t>
      </w:r>
      <w:r>
        <w:rPr>
          <w:rFonts w:hint="eastAsia" w:ascii="仿宋" w:hAnsi="仿宋" w:eastAsia="仿宋" w:cs="仿宋"/>
          <w:color w:val="auto"/>
          <w:sz w:val="24"/>
          <w:szCs w:val="24"/>
          <w:highlight w:val="none"/>
        </w:rPr>
        <w:t>本表由评标委员会的每位评委分别填写。</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 xml:space="preserve">⑵ </w:t>
      </w:r>
      <w:r>
        <w:rPr>
          <w:rFonts w:hint="eastAsia" w:ascii="仿宋" w:hAnsi="仿宋" w:eastAsia="仿宋" w:cs="仿宋"/>
          <w:color w:val="auto"/>
          <w:sz w:val="24"/>
          <w:szCs w:val="24"/>
          <w:highlight w:val="none"/>
        </w:rPr>
        <w:t>每一项</w:t>
      </w:r>
      <w:r>
        <w:rPr>
          <w:rFonts w:hint="eastAsia" w:ascii="仿宋" w:hAnsi="仿宋" w:eastAsia="仿宋" w:cs="仿宋"/>
          <w:snapToGrid w:val="0"/>
          <w:color w:val="auto"/>
          <w:kern w:val="0"/>
          <w:sz w:val="24"/>
          <w:szCs w:val="24"/>
          <w:highlight w:val="none"/>
        </w:rPr>
        <w:t>审查内容，符合的打“√”、不符合的打“</w:t>
      </w:r>
      <w:r>
        <w:rPr>
          <w:rFonts w:hint="eastAsia" w:ascii="仿宋" w:hAnsi="仿宋" w:eastAsia="仿宋" w:cs="仿宋"/>
          <w:color w:val="auto"/>
          <w:sz w:val="24"/>
          <w:szCs w:val="24"/>
          <w:highlight w:val="none"/>
        </w:rPr>
        <w:t>×</w:t>
      </w:r>
      <w:r>
        <w:rPr>
          <w:rFonts w:hint="eastAsia" w:ascii="仿宋" w:hAnsi="仿宋" w:eastAsia="仿宋" w:cs="仿宋"/>
          <w:snapToGrid w:val="0"/>
          <w:color w:val="auto"/>
          <w:kern w:val="0"/>
          <w:sz w:val="24"/>
          <w:szCs w:val="24"/>
          <w:highlight w:val="none"/>
        </w:rPr>
        <w:t>”。</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结论栏按“一票否决”的原则填写“通过”或“不通过”,即有一项审查内容不符合的即为不通过。</w:t>
      </w:r>
    </w:p>
    <w:p>
      <w:pPr>
        <w:pageBreakBefore w:val="0"/>
        <w:wordWrap/>
        <w:topLinePunct w:val="0"/>
        <w:bidi w:val="0"/>
        <w:adjustRightInd w:val="0"/>
        <w:snapToGrid w:val="0"/>
        <w:spacing w:before="156" w:beforeLines="50" w:line="440" w:lineRule="exact"/>
        <w:ind w:firstLine="720" w:firstLineChars="3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⑷ 有半数以上的评委对供应商的结论为“不通过”的，则该投标人为不合格投标人，不得进入下一步详细评审，且须对结论为“不通过”的投标，要说明原因。</w:t>
      </w:r>
    </w:p>
    <w:p>
      <w:pPr>
        <w:pageBreakBefore w:val="0"/>
        <w:wordWrap/>
        <w:topLinePunct w:val="0"/>
        <w:bidi w:val="0"/>
        <w:adjustRightInd w:val="0"/>
        <w:snapToGrid w:val="0"/>
        <w:spacing w:line="440" w:lineRule="exact"/>
        <w:ind w:firstLine="480" w:firstLineChars="200"/>
        <w:rPr>
          <w:rFonts w:hint="eastAsia" w:ascii="仿宋" w:hAnsi="仿宋" w:eastAsia="仿宋" w:cs="仿宋"/>
          <w:color w:val="auto"/>
          <w:sz w:val="24"/>
          <w:szCs w:val="24"/>
          <w:highlight w:val="none"/>
        </w:rPr>
      </w:pPr>
    </w:p>
    <w:p>
      <w:pPr>
        <w:pStyle w:val="6"/>
        <w:pageBreakBefore w:val="0"/>
        <w:wordWrap/>
        <w:topLinePunct w:val="0"/>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（二）比较与评价</w:t>
      </w:r>
    </w:p>
    <w:p>
      <w:pPr>
        <w:pStyle w:val="6"/>
        <w:pageBreakBefore w:val="0"/>
        <w:wordWrap/>
        <w:topLinePunct w:val="0"/>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评标委员会将依据</w:t>
      </w:r>
      <w:r>
        <w:rPr>
          <w:rFonts w:hint="eastAsia" w:ascii="仿宋" w:hAnsi="仿宋" w:eastAsia="仿宋" w:cs="仿宋"/>
          <w:snapToGrid w:val="0"/>
          <w:color w:val="auto"/>
          <w:kern w:val="0"/>
          <w:sz w:val="24"/>
          <w:szCs w:val="24"/>
          <w:highlight w:val="none"/>
          <w:lang w:eastAsia="zh-CN"/>
        </w:rPr>
        <w:t>竞争性磋商</w:t>
      </w:r>
      <w:r>
        <w:rPr>
          <w:rFonts w:hint="eastAsia" w:ascii="仿宋" w:hAnsi="仿宋" w:eastAsia="仿宋" w:cs="仿宋"/>
          <w:color w:val="auto"/>
          <w:sz w:val="24"/>
          <w:szCs w:val="24"/>
          <w:highlight w:val="none"/>
        </w:rPr>
        <w:t>文件对通过初步审查的投标逐条进行评审。</w:t>
      </w:r>
    </w:p>
    <w:p>
      <w:pPr>
        <w:pageBreakBefore w:val="0"/>
        <w:numPr>
          <w:ilvl w:val="0"/>
          <w:numId w:val="4"/>
        </w:numPr>
        <w:wordWrap/>
        <w:topLinePunct w:val="0"/>
        <w:bidi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p>
      <w:pPr>
        <w:pageBreakBefore w:val="0"/>
        <w:numPr>
          <w:ilvl w:val="0"/>
          <w:numId w:val="0"/>
        </w:numPr>
        <w:wordWrap/>
        <w:topLinePunct w:val="0"/>
        <w:bidi w:val="0"/>
        <w:adjustRightInd w:val="0"/>
        <w:snapToGrid w:val="0"/>
        <w:spacing w:line="440" w:lineRule="exact"/>
        <w:rPr>
          <w:rFonts w:hint="eastAsia" w:ascii="仿宋" w:hAnsi="仿宋" w:eastAsia="仿宋" w:cs="仿宋"/>
          <w:b/>
          <w:bCs/>
          <w:color w:val="auto"/>
          <w:sz w:val="24"/>
          <w:szCs w:val="24"/>
          <w:highlight w:val="none"/>
        </w:rPr>
      </w:pPr>
    </w:p>
    <w:tbl>
      <w:tblPr>
        <w:tblStyle w:val="11"/>
        <w:tblW w:w="5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05"/>
        <w:gridCol w:w="994"/>
        <w:gridCol w:w="623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jc w:val="center"/>
        </w:trPr>
        <w:tc>
          <w:tcPr>
            <w:tcW w:w="1205" w:type="dxa"/>
            <w:noWrap w:val="0"/>
            <w:vAlign w:val="center"/>
          </w:tcPr>
          <w:p>
            <w:pPr>
              <w:spacing w:before="62" w:line="319" w:lineRule="auto"/>
              <w:jc w:val="center"/>
              <w:rPr>
                <w:rFonts w:hint="eastAsia" w:ascii="仿宋" w:hAnsi="仿宋" w:eastAsia="仿宋" w:cs="仿宋"/>
                <w:sz w:val="24"/>
                <w:szCs w:val="24"/>
                <w:highlight w:val="none"/>
              </w:rPr>
            </w:pPr>
            <w:r>
              <w:rPr>
                <w:rFonts w:hint="eastAsia" w:ascii="仿宋" w:hAnsi="仿宋" w:eastAsia="仿宋" w:cs="仿宋"/>
                <w:b/>
                <w:kern w:val="0"/>
                <w:sz w:val="24"/>
                <w:szCs w:val="24"/>
              </w:rPr>
              <w:t>评审因素</w:t>
            </w:r>
          </w:p>
        </w:tc>
        <w:tc>
          <w:tcPr>
            <w:tcW w:w="994" w:type="dxa"/>
            <w:noWrap w:val="0"/>
            <w:vAlign w:val="center"/>
          </w:tcPr>
          <w:p>
            <w:pPr>
              <w:spacing w:before="62" w:line="319" w:lineRule="auto"/>
              <w:jc w:val="center"/>
              <w:rPr>
                <w:rFonts w:hint="eastAsia" w:ascii="仿宋" w:hAnsi="仿宋" w:eastAsia="仿宋" w:cs="仿宋"/>
                <w:sz w:val="24"/>
                <w:szCs w:val="24"/>
                <w:highlight w:val="none"/>
              </w:rPr>
            </w:pPr>
            <w:r>
              <w:rPr>
                <w:rFonts w:hint="eastAsia" w:ascii="仿宋" w:hAnsi="仿宋" w:eastAsia="仿宋" w:cs="仿宋"/>
                <w:b/>
                <w:kern w:val="0"/>
                <w:sz w:val="24"/>
                <w:szCs w:val="24"/>
              </w:rPr>
              <w:t>计分因素</w:t>
            </w:r>
          </w:p>
        </w:tc>
        <w:tc>
          <w:tcPr>
            <w:tcW w:w="6232" w:type="dxa"/>
            <w:noWrap w:val="0"/>
            <w:vAlign w:val="center"/>
          </w:tcPr>
          <w:p>
            <w:pPr>
              <w:spacing w:before="62" w:line="319" w:lineRule="auto"/>
              <w:jc w:val="center"/>
              <w:rPr>
                <w:rFonts w:hint="eastAsia" w:ascii="仿宋" w:hAnsi="仿宋" w:eastAsia="仿宋" w:cs="仿宋"/>
                <w:sz w:val="24"/>
                <w:szCs w:val="24"/>
                <w:highlight w:val="none"/>
                <w:lang w:eastAsia="zh-CN"/>
              </w:rPr>
            </w:pPr>
            <w:r>
              <w:rPr>
                <w:rFonts w:hint="eastAsia" w:ascii="仿宋" w:hAnsi="仿宋" w:eastAsia="仿宋" w:cs="仿宋"/>
                <w:b/>
                <w:kern w:val="0"/>
                <w:sz w:val="24"/>
                <w:szCs w:val="24"/>
              </w:rPr>
              <w:t>计分标准</w:t>
            </w:r>
          </w:p>
        </w:tc>
        <w:tc>
          <w:tcPr>
            <w:tcW w:w="767" w:type="dxa"/>
            <w:noWrap w:val="0"/>
            <w:vAlign w:val="center"/>
          </w:tcPr>
          <w:p>
            <w:pPr>
              <w:spacing w:before="62" w:line="319" w:lineRule="auto"/>
              <w:jc w:val="center"/>
              <w:rPr>
                <w:rFonts w:hint="eastAsia" w:ascii="仿宋" w:hAnsi="仿宋" w:eastAsia="仿宋" w:cs="仿宋"/>
                <w:sz w:val="24"/>
                <w:szCs w:val="24"/>
                <w:highlight w:val="none"/>
              </w:rPr>
            </w:pPr>
            <w:r>
              <w:rPr>
                <w:rFonts w:hint="eastAsia" w:ascii="仿宋" w:hAnsi="仿宋" w:eastAsia="仿宋" w:cs="仿宋"/>
                <w:b/>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4" w:hRule="atLeast"/>
          <w:jc w:val="center"/>
        </w:trPr>
        <w:tc>
          <w:tcPr>
            <w:tcW w:w="1205" w:type="dxa"/>
            <w:vMerge w:val="restart"/>
            <w:noWrap w:val="0"/>
            <w:vAlign w:val="center"/>
          </w:tcPr>
          <w:p>
            <w:pPr>
              <w:spacing w:before="62" w:line="319"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技术部</w:t>
            </w:r>
          </w:p>
          <w:p>
            <w:pPr>
              <w:spacing w:before="62" w:line="319" w:lineRule="auto"/>
              <w:jc w:val="center"/>
              <w:rPr>
                <w:rFonts w:hint="eastAsia" w:ascii="仿宋" w:hAnsi="仿宋" w:eastAsia="仿宋" w:cs="仿宋"/>
                <w:sz w:val="24"/>
                <w:szCs w:val="24"/>
                <w:highlight w:val="none"/>
              </w:rPr>
            </w:pPr>
            <w:r>
              <w:rPr>
                <w:rFonts w:hint="eastAsia" w:ascii="仿宋" w:hAnsi="仿宋" w:eastAsia="仿宋" w:cs="仿宋"/>
                <w:b/>
                <w:kern w:val="0"/>
                <w:sz w:val="24"/>
                <w:szCs w:val="24"/>
              </w:rPr>
              <w:t>分(50)</w:t>
            </w:r>
          </w:p>
        </w:tc>
        <w:tc>
          <w:tcPr>
            <w:tcW w:w="994" w:type="dxa"/>
            <w:noWrap w:val="0"/>
            <w:vAlign w:val="center"/>
          </w:tcPr>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响应程度</w:t>
            </w:r>
          </w:p>
        </w:tc>
        <w:tc>
          <w:tcPr>
            <w:tcW w:w="6232" w:type="dxa"/>
            <w:noWrap w:val="0"/>
            <w:vAlign w:val="top"/>
          </w:tcPr>
          <w:p>
            <w:pPr>
              <w:wordWrap w:val="0"/>
              <w:spacing w:before="62"/>
              <w:rPr>
                <w:rFonts w:hint="eastAsia" w:ascii="仿宋" w:hAnsi="仿宋" w:eastAsia="仿宋" w:cs="仿宋"/>
                <w:b/>
                <w:bCs/>
                <w:kern w:val="0"/>
                <w:sz w:val="24"/>
                <w:szCs w:val="24"/>
              </w:rPr>
            </w:pPr>
            <w:r>
              <w:rPr>
                <w:rFonts w:hint="eastAsia" w:ascii="仿宋" w:hAnsi="仿宋" w:eastAsia="仿宋" w:cs="仿宋"/>
                <w:b/>
                <w:bCs/>
                <w:kern w:val="0"/>
                <w:sz w:val="24"/>
                <w:szCs w:val="24"/>
              </w:rPr>
              <w:t>（一）评分内容：</w:t>
            </w:r>
          </w:p>
          <w:p>
            <w:pPr>
              <w:tabs>
                <w:tab w:val="left" w:pos="1988"/>
              </w:tabs>
              <w:spacing w:before="62"/>
              <w:rPr>
                <w:rFonts w:hint="eastAsia" w:ascii="仿宋" w:hAnsi="仿宋" w:eastAsia="仿宋" w:cs="仿宋"/>
                <w:kern w:val="0"/>
                <w:sz w:val="24"/>
                <w:szCs w:val="24"/>
              </w:rPr>
            </w:pPr>
            <w:r>
              <w:rPr>
                <w:rFonts w:hint="eastAsia" w:ascii="仿宋" w:hAnsi="仿宋" w:eastAsia="仿宋" w:cs="仿宋"/>
                <w:kern w:val="0"/>
                <w:sz w:val="24"/>
                <w:szCs w:val="24"/>
              </w:rPr>
              <w:t>投标人应如实填写《技术规格偏离表》，评审委员会根据技术需求参数响应情况进行打分,各项技术参数指标及要求全部满足的得45分，“▲”所标参数为重点参数，每负偏离一项扣1.5分；未标注“▲”为一般参数，每负偏离一项扣1分，扣完为止。</w:t>
            </w:r>
          </w:p>
          <w:p>
            <w:pPr>
              <w:wordWrap w:val="0"/>
              <w:spacing w:before="62"/>
              <w:rPr>
                <w:rFonts w:hint="eastAsia" w:ascii="仿宋" w:hAnsi="仿宋" w:eastAsia="仿宋" w:cs="仿宋"/>
                <w:b/>
                <w:bCs/>
                <w:kern w:val="0"/>
                <w:sz w:val="24"/>
                <w:szCs w:val="24"/>
              </w:rPr>
            </w:pPr>
            <w:r>
              <w:rPr>
                <w:rFonts w:hint="eastAsia" w:ascii="仿宋" w:hAnsi="仿宋" w:eastAsia="仿宋" w:cs="仿宋"/>
                <w:b/>
                <w:bCs/>
                <w:kern w:val="0"/>
                <w:sz w:val="24"/>
                <w:szCs w:val="24"/>
              </w:rPr>
              <w:t>（二）评分依据：</w:t>
            </w:r>
          </w:p>
          <w:p>
            <w:pPr>
              <w:tabs>
                <w:tab w:val="left" w:pos="1988"/>
              </w:tabs>
              <w:spacing w:before="62"/>
              <w:rPr>
                <w:rFonts w:hint="eastAsia" w:ascii="仿宋" w:hAnsi="仿宋" w:eastAsia="仿宋" w:cs="仿宋"/>
                <w:kern w:val="0"/>
                <w:sz w:val="24"/>
                <w:szCs w:val="24"/>
              </w:rPr>
            </w:pPr>
            <w:r>
              <w:rPr>
                <w:rFonts w:hint="eastAsia" w:ascii="仿宋" w:hAnsi="仿宋" w:eastAsia="仿宋" w:cs="仿宋"/>
                <w:kern w:val="0"/>
                <w:sz w:val="24"/>
                <w:szCs w:val="24"/>
              </w:rPr>
              <w:t>1.技术参数中如有参数写明需要提供检测报告、证书、截图等相关证明材料的，须提供相关证明材料并在投标文件中注明证明材料在投标文件中的具体位置，未按要求提供或提供不清晰导致专家无法判断的视为负偏离。</w:t>
            </w:r>
          </w:p>
          <w:p>
            <w:pPr>
              <w:tabs>
                <w:tab w:val="left" w:pos="1988"/>
              </w:tabs>
              <w:spacing w:before="62"/>
              <w:rPr>
                <w:rFonts w:hint="eastAsia" w:ascii="仿宋" w:hAnsi="仿宋" w:eastAsia="仿宋" w:cs="仿宋"/>
                <w:sz w:val="24"/>
                <w:szCs w:val="24"/>
                <w:highlight w:val="none"/>
              </w:rPr>
            </w:pPr>
            <w:r>
              <w:rPr>
                <w:rFonts w:hint="eastAsia" w:ascii="仿宋" w:hAnsi="仿宋" w:eastAsia="仿宋" w:cs="仿宋"/>
                <w:kern w:val="0"/>
                <w:sz w:val="24"/>
                <w:szCs w:val="24"/>
              </w:rPr>
              <w:t>2.投标人提供的《技术规格偏离表》必须与客观实际保持一致，响应不实且情节严重的，经查实，将依法记入供应商诚信档案或受到行政处罚。</w:t>
            </w:r>
          </w:p>
        </w:tc>
        <w:tc>
          <w:tcPr>
            <w:tcW w:w="767" w:type="dxa"/>
            <w:noWrap w:val="0"/>
            <w:vAlign w:val="center"/>
          </w:tcPr>
          <w:p>
            <w:pPr>
              <w:spacing w:before="62" w:line="319"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4" w:hRule="atLeast"/>
          <w:jc w:val="center"/>
        </w:trPr>
        <w:tc>
          <w:tcPr>
            <w:tcW w:w="1205" w:type="dxa"/>
            <w:vMerge w:val="continue"/>
            <w:noWrap w:val="0"/>
            <w:vAlign w:val="center"/>
          </w:tcPr>
          <w:p>
            <w:pPr>
              <w:spacing w:before="62" w:line="319" w:lineRule="auto"/>
              <w:jc w:val="center"/>
              <w:rPr>
                <w:rFonts w:hint="eastAsia" w:ascii="仿宋" w:hAnsi="仿宋" w:eastAsia="仿宋" w:cs="仿宋"/>
                <w:sz w:val="24"/>
                <w:szCs w:val="24"/>
                <w:highlight w:val="none"/>
              </w:rPr>
            </w:pPr>
          </w:p>
        </w:tc>
        <w:tc>
          <w:tcPr>
            <w:tcW w:w="994" w:type="dxa"/>
            <w:noWrap w:val="0"/>
            <w:vAlign w:val="center"/>
          </w:tcPr>
          <w:p>
            <w:pPr>
              <w:spacing w:before="62" w:line="319" w:lineRule="auto"/>
              <w:rPr>
                <w:rFonts w:hint="eastAsia" w:ascii="仿宋" w:hAnsi="仿宋" w:eastAsia="仿宋" w:cs="仿宋"/>
                <w:sz w:val="24"/>
                <w:szCs w:val="24"/>
                <w:highlight w:val="none"/>
                <w:lang w:eastAsia="zh-CN"/>
              </w:rPr>
            </w:pPr>
            <w:r>
              <w:rPr>
                <w:rFonts w:hint="eastAsia" w:ascii="仿宋" w:hAnsi="仿宋" w:eastAsia="仿宋" w:cs="仿宋"/>
                <w:kern w:val="0"/>
                <w:sz w:val="24"/>
                <w:szCs w:val="24"/>
              </w:rPr>
              <w:t>功能性服务能力</w:t>
            </w:r>
          </w:p>
        </w:tc>
        <w:tc>
          <w:tcPr>
            <w:tcW w:w="6232" w:type="dxa"/>
            <w:noWrap w:val="0"/>
            <w:vAlign w:val="center"/>
          </w:tcPr>
          <w:p>
            <w:pPr>
              <w:spacing w:before="62" w:line="319" w:lineRule="auto"/>
              <w:rPr>
                <w:rFonts w:hint="eastAsia" w:ascii="仿宋" w:hAnsi="仿宋" w:eastAsia="仿宋" w:cs="仿宋"/>
                <w:sz w:val="24"/>
                <w:szCs w:val="24"/>
              </w:rPr>
            </w:pPr>
            <w:r>
              <w:rPr>
                <w:rFonts w:hint="eastAsia" w:ascii="仿宋" w:hAnsi="仿宋" w:eastAsia="仿宋" w:cs="仿宋"/>
                <w:kern w:val="0"/>
                <w:sz w:val="24"/>
                <w:szCs w:val="24"/>
              </w:rPr>
              <w:t>投标人获得“功能性服务能力”三星级以上的得1分</w:t>
            </w:r>
          </w:p>
        </w:tc>
        <w:tc>
          <w:tcPr>
            <w:tcW w:w="767" w:type="dxa"/>
            <w:noWrap w:val="0"/>
            <w:vAlign w:val="center"/>
          </w:tcPr>
          <w:p>
            <w:pPr>
              <w:spacing w:before="62" w:line="319"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9" w:hRule="atLeast"/>
          <w:jc w:val="center"/>
        </w:trPr>
        <w:tc>
          <w:tcPr>
            <w:tcW w:w="1205" w:type="dxa"/>
            <w:vMerge w:val="continue"/>
            <w:noWrap w:val="0"/>
            <w:vAlign w:val="center"/>
          </w:tcPr>
          <w:p>
            <w:pPr>
              <w:spacing w:before="62" w:line="319" w:lineRule="auto"/>
              <w:jc w:val="center"/>
              <w:rPr>
                <w:rFonts w:hint="eastAsia" w:ascii="仿宋" w:hAnsi="仿宋" w:eastAsia="仿宋" w:cs="仿宋"/>
                <w:sz w:val="24"/>
                <w:szCs w:val="24"/>
                <w:highlight w:val="none"/>
              </w:rPr>
            </w:pPr>
          </w:p>
        </w:tc>
        <w:tc>
          <w:tcPr>
            <w:tcW w:w="994" w:type="dxa"/>
            <w:noWrap w:val="0"/>
            <w:vAlign w:val="center"/>
          </w:tcPr>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人机工效服务能力</w:t>
            </w:r>
          </w:p>
        </w:tc>
        <w:tc>
          <w:tcPr>
            <w:tcW w:w="6232" w:type="dxa"/>
            <w:noWrap w:val="0"/>
            <w:vAlign w:val="center"/>
          </w:tcPr>
          <w:p>
            <w:pPr>
              <w:spacing w:before="62" w:line="319" w:lineRule="auto"/>
              <w:rPr>
                <w:rFonts w:hint="eastAsia" w:ascii="仿宋" w:hAnsi="仿宋" w:eastAsia="仿宋" w:cs="仿宋"/>
                <w:sz w:val="24"/>
                <w:szCs w:val="24"/>
              </w:rPr>
            </w:pPr>
            <w:r>
              <w:rPr>
                <w:rFonts w:hint="eastAsia" w:ascii="仿宋" w:hAnsi="仿宋" w:eastAsia="仿宋" w:cs="仿宋"/>
                <w:kern w:val="0"/>
                <w:sz w:val="24"/>
                <w:szCs w:val="24"/>
              </w:rPr>
              <w:t>投标人获得“人机工效服务能力”三星级以上的得1分</w:t>
            </w:r>
          </w:p>
        </w:tc>
        <w:tc>
          <w:tcPr>
            <w:tcW w:w="767" w:type="dxa"/>
            <w:noWrap w:val="0"/>
            <w:vAlign w:val="center"/>
          </w:tcPr>
          <w:p>
            <w:pPr>
              <w:spacing w:before="62" w:line="319" w:lineRule="auto"/>
              <w:jc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05" w:type="dxa"/>
            <w:vMerge w:val="continue"/>
            <w:noWrap w:val="0"/>
            <w:vAlign w:val="center"/>
          </w:tcPr>
          <w:p>
            <w:pPr>
              <w:spacing w:before="62" w:line="319" w:lineRule="auto"/>
              <w:jc w:val="center"/>
              <w:rPr>
                <w:rFonts w:hint="eastAsia" w:ascii="仿宋" w:hAnsi="仿宋" w:eastAsia="仿宋" w:cs="仿宋"/>
                <w:sz w:val="24"/>
                <w:szCs w:val="24"/>
                <w:highlight w:val="none"/>
              </w:rPr>
            </w:pPr>
          </w:p>
        </w:tc>
        <w:tc>
          <w:tcPr>
            <w:tcW w:w="994" w:type="dxa"/>
            <w:noWrap w:val="0"/>
            <w:vAlign w:val="center"/>
          </w:tcPr>
          <w:p>
            <w:pPr>
              <w:spacing w:before="62" w:line="319" w:lineRule="auto"/>
              <w:rPr>
                <w:rFonts w:hint="eastAsia" w:ascii="仿宋" w:hAnsi="仿宋" w:eastAsia="仿宋" w:cs="仿宋"/>
                <w:color w:val="0000FF"/>
                <w:sz w:val="24"/>
                <w:szCs w:val="24"/>
                <w:highlight w:val="none"/>
              </w:rPr>
            </w:pPr>
            <w:r>
              <w:rPr>
                <w:rFonts w:hint="eastAsia" w:ascii="仿宋" w:hAnsi="仿宋" w:eastAsia="仿宋" w:cs="仿宋"/>
                <w:kern w:val="0"/>
                <w:sz w:val="24"/>
                <w:szCs w:val="24"/>
              </w:rPr>
              <w:t>服务能力</w:t>
            </w:r>
          </w:p>
        </w:tc>
        <w:tc>
          <w:tcPr>
            <w:tcW w:w="6232" w:type="dxa"/>
            <w:noWrap w:val="0"/>
            <w:vAlign w:val="center"/>
          </w:tcPr>
          <w:p>
            <w:pPr>
              <w:spacing w:before="62" w:line="319" w:lineRule="auto"/>
              <w:rPr>
                <w:rFonts w:hint="eastAsia" w:ascii="仿宋" w:hAnsi="仿宋" w:eastAsia="仿宋" w:cs="仿宋"/>
                <w:sz w:val="24"/>
                <w:szCs w:val="24"/>
              </w:rPr>
            </w:pPr>
            <w:r>
              <w:rPr>
                <w:rFonts w:hint="eastAsia" w:ascii="仿宋" w:hAnsi="仿宋" w:eastAsia="仿宋" w:cs="仿宋"/>
                <w:kern w:val="0"/>
                <w:sz w:val="24"/>
                <w:szCs w:val="24"/>
              </w:rPr>
              <w:t>投标人获得“服务能力”五星级以上的得1分</w:t>
            </w:r>
          </w:p>
        </w:tc>
        <w:tc>
          <w:tcPr>
            <w:tcW w:w="767" w:type="dxa"/>
            <w:noWrap w:val="0"/>
            <w:vAlign w:val="center"/>
          </w:tcPr>
          <w:p>
            <w:pPr>
              <w:spacing w:before="62" w:line="319" w:lineRule="auto"/>
              <w:jc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2" w:hRule="atLeast"/>
          <w:jc w:val="center"/>
        </w:trPr>
        <w:tc>
          <w:tcPr>
            <w:tcW w:w="1205" w:type="dxa"/>
            <w:vMerge w:val="continue"/>
            <w:noWrap w:val="0"/>
            <w:vAlign w:val="center"/>
          </w:tcPr>
          <w:p>
            <w:pPr>
              <w:spacing w:before="62" w:line="319" w:lineRule="auto"/>
              <w:jc w:val="center"/>
              <w:rPr>
                <w:rFonts w:hint="eastAsia" w:ascii="仿宋" w:hAnsi="仿宋" w:eastAsia="仿宋" w:cs="仿宋"/>
                <w:kern w:val="0"/>
                <w:sz w:val="24"/>
                <w:szCs w:val="24"/>
                <w:highlight w:val="none"/>
              </w:rPr>
            </w:pPr>
          </w:p>
        </w:tc>
        <w:tc>
          <w:tcPr>
            <w:tcW w:w="994" w:type="dxa"/>
            <w:noWrap w:val="0"/>
            <w:vAlign w:val="center"/>
          </w:tcPr>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产品投保情况</w:t>
            </w:r>
          </w:p>
        </w:tc>
        <w:tc>
          <w:tcPr>
            <w:tcW w:w="6232" w:type="dxa"/>
            <w:noWrap w:val="0"/>
            <w:vAlign w:val="center"/>
          </w:tcPr>
          <w:p>
            <w:pPr>
              <w:pStyle w:val="14"/>
              <w:spacing w:before="62"/>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根据投标人或所投品牌器材制造商提供的对所投产品购置了产品责任保险、公众责任保险及产品质量保证保险等证明资料进行评审，按档计分： </w:t>
            </w:r>
          </w:p>
          <w:p>
            <w:pPr>
              <w:pStyle w:val="14"/>
              <w:spacing w:before="62"/>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1、单个险种保额在3000万元（含）及以上的计2分； </w:t>
            </w:r>
          </w:p>
          <w:p>
            <w:pPr>
              <w:pStyle w:val="14"/>
              <w:spacing w:before="62"/>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2、单个险种保额在2000万元（含）-3000万元的计1.5分； </w:t>
            </w:r>
          </w:p>
          <w:p>
            <w:pPr>
              <w:spacing w:before="62" w:line="319"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3、单个险种保额在1000万元（含）-2000万元的计1分； </w:t>
            </w:r>
          </w:p>
          <w:p>
            <w:pPr>
              <w:spacing w:before="62" w:line="319" w:lineRule="auto"/>
              <w:rPr>
                <w:rFonts w:hint="eastAsia" w:ascii="仿宋" w:hAnsi="仿宋" w:eastAsia="仿宋" w:cs="仿宋"/>
                <w:sz w:val="24"/>
                <w:szCs w:val="24"/>
              </w:rPr>
            </w:pPr>
            <w:r>
              <w:rPr>
                <w:rFonts w:hint="eastAsia" w:ascii="仿宋" w:hAnsi="仿宋" w:eastAsia="仿宋" w:cs="仿宋"/>
                <w:kern w:val="0"/>
                <w:sz w:val="24"/>
                <w:szCs w:val="24"/>
              </w:rPr>
              <w:t>（投标人或所投品牌器材制造商对所投产品至少全部购置了产品责任保险、公共责任保险及产品质量保证保险，否则缺任意一项不计分；须提供保单扫描件并加盖投标人公章，否则不计分）</w:t>
            </w:r>
          </w:p>
        </w:tc>
        <w:tc>
          <w:tcPr>
            <w:tcW w:w="767" w:type="dxa"/>
            <w:noWrap w:val="0"/>
            <w:vAlign w:val="center"/>
          </w:tcPr>
          <w:p>
            <w:pPr>
              <w:spacing w:before="62" w:line="319"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jc w:val="center"/>
        </w:trPr>
        <w:tc>
          <w:tcPr>
            <w:tcW w:w="1205" w:type="dxa"/>
            <w:vMerge w:val="restart"/>
            <w:noWrap w:val="0"/>
            <w:vAlign w:val="center"/>
          </w:tcPr>
          <w:p>
            <w:pPr>
              <w:spacing w:before="62" w:line="319"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商务部</w:t>
            </w:r>
          </w:p>
          <w:p>
            <w:pPr>
              <w:spacing w:before="62" w:line="319" w:lineRule="auto"/>
              <w:jc w:val="center"/>
              <w:rPr>
                <w:rFonts w:hint="eastAsia" w:ascii="仿宋" w:hAnsi="仿宋" w:eastAsia="仿宋" w:cs="仿宋"/>
                <w:kern w:val="0"/>
                <w:sz w:val="24"/>
                <w:szCs w:val="24"/>
                <w:highlight w:val="none"/>
              </w:rPr>
            </w:pPr>
            <w:r>
              <w:rPr>
                <w:rFonts w:hint="eastAsia" w:ascii="仿宋" w:hAnsi="仿宋" w:eastAsia="仿宋" w:cs="仿宋"/>
                <w:b/>
                <w:kern w:val="0"/>
                <w:sz w:val="24"/>
                <w:szCs w:val="24"/>
              </w:rPr>
              <w:t>分(20)</w:t>
            </w:r>
          </w:p>
        </w:tc>
        <w:tc>
          <w:tcPr>
            <w:tcW w:w="994" w:type="dxa"/>
            <w:noWrap w:val="0"/>
            <w:vAlign w:val="center"/>
          </w:tcPr>
          <w:p>
            <w:pPr>
              <w:spacing w:before="62" w:line="319" w:lineRule="auto"/>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rPr>
              <w:t>类似业绩</w:t>
            </w:r>
          </w:p>
        </w:tc>
        <w:tc>
          <w:tcPr>
            <w:tcW w:w="6232" w:type="dxa"/>
            <w:noWrap w:val="0"/>
            <w:vAlign w:val="center"/>
          </w:tcPr>
          <w:p>
            <w:pPr>
              <w:spacing w:line="360" w:lineRule="auto"/>
              <w:textAlignment w:val="top"/>
              <w:rPr>
                <w:rFonts w:hint="eastAsia" w:ascii="仿宋" w:hAnsi="仿宋" w:eastAsia="仿宋" w:cs="仿宋"/>
                <w:b/>
                <w:bCs/>
                <w:kern w:val="0"/>
                <w:sz w:val="24"/>
                <w:szCs w:val="24"/>
              </w:rPr>
            </w:pPr>
            <w:r>
              <w:rPr>
                <w:rFonts w:hint="eastAsia" w:ascii="仿宋" w:hAnsi="仿宋" w:eastAsia="仿宋" w:cs="仿宋"/>
                <w:b/>
                <w:bCs/>
                <w:kern w:val="0"/>
                <w:sz w:val="24"/>
                <w:szCs w:val="24"/>
              </w:rPr>
              <w:t>（一）评分内容：</w:t>
            </w:r>
          </w:p>
          <w:p>
            <w:pPr>
              <w:spacing w:line="360" w:lineRule="auto"/>
              <w:textAlignment w:val="top"/>
              <w:rPr>
                <w:rFonts w:hint="eastAsia" w:ascii="仿宋" w:hAnsi="仿宋" w:eastAsia="仿宋" w:cs="仿宋"/>
                <w:kern w:val="0"/>
                <w:sz w:val="24"/>
                <w:szCs w:val="24"/>
              </w:rPr>
            </w:pPr>
            <w:r>
              <w:rPr>
                <w:rFonts w:hint="eastAsia" w:ascii="仿宋" w:hAnsi="仿宋" w:eastAsia="仿宋" w:cs="仿宋"/>
                <w:kern w:val="0"/>
                <w:sz w:val="24"/>
                <w:szCs w:val="24"/>
              </w:rPr>
              <w:t>投标人自2022年3月1日至本项目投标截止日（以合同签订日期为准），每具有1个同类业绩得1分，满分为5分。</w:t>
            </w:r>
          </w:p>
          <w:p>
            <w:pPr>
              <w:spacing w:line="360" w:lineRule="auto"/>
              <w:rPr>
                <w:rFonts w:hint="eastAsia" w:ascii="仿宋" w:hAnsi="仿宋" w:eastAsia="仿宋" w:cs="仿宋"/>
                <w:kern w:val="0"/>
                <w:sz w:val="24"/>
                <w:szCs w:val="24"/>
              </w:rPr>
            </w:pPr>
            <w:r>
              <w:rPr>
                <w:rFonts w:hint="eastAsia" w:ascii="仿宋" w:hAnsi="仿宋" w:eastAsia="仿宋" w:cs="仿宋"/>
                <w:b/>
                <w:bCs/>
                <w:kern w:val="0"/>
                <w:sz w:val="24"/>
                <w:szCs w:val="24"/>
              </w:rPr>
              <w:t>（二）评分依据：</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1.投标人须提供每一个项目的合同和验收报告（均加盖合同甲方公章）（原件备查）。</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2.投标人提供的业绩产品名称与招标文件要求不一致时，需同时提供为同种产品的书面说明，由评审委员会判定是否符合要求；若名称不一致且未提供书面说明的，该项业绩不得分。</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kern w:val="0"/>
                <w:sz w:val="24"/>
                <w:szCs w:val="24"/>
              </w:rPr>
              <w:t>3.以上资料均要求提供扫描件，原件备查。评分中出现无证明资料或专家无法凭所提供资料判断是否得分的情况，一律作不得分处理。</w:t>
            </w:r>
          </w:p>
        </w:tc>
        <w:tc>
          <w:tcPr>
            <w:tcW w:w="767" w:type="dxa"/>
            <w:noWrap w:val="0"/>
            <w:vAlign w:val="center"/>
          </w:tcPr>
          <w:p>
            <w:pPr>
              <w:spacing w:before="62" w:line="319"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2" w:hRule="atLeast"/>
          <w:jc w:val="center"/>
        </w:trPr>
        <w:tc>
          <w:tcPr>
            <w:tcW w:w="1205" w:type="dxa"/>
            <w:vMerge w:val="continue"/>
            <w:noWrap w:val="0"/>
            <w:vAlign w:val="center"/>
          </w:tcPr>
          <w:p>
            <w:pPr>
              <w:spacing w:before="62" w:line="319" w:lineRule="auto"/>
              <w:jc w:val="center"/>
              <w:rPr>
                <w:rFonts w:hint="eastAsia" w:ascii="仿宋" w:hAnsi="仿宋" w:eastAsia="仿宋" w:cs="仿宋"/>
                <w:kern w:val="0"/>
                <w:sz w:val="24"/>
                <w:szCs w:val="24"/>
                <w:highlight w:val="none"/>
              </w:rPr>
            </w:pPr>
          </w:p>
        </w:tc>
        <w:tc>
          <w:tcPr>
            <w:tcW w:w="994" w:type="dxa"/>
            <w:noWrap w:val="0"/>
            <w:vAlign w:val="center"/>
          </w:tcPr>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用户评价</w:t>
            </w:r>
          </w:p>
        </w:tc>
        <w:tc>
          <w:tcPr>
            <w:tcW w:w="6232" w:type="dxa"/>
            <w:noWrap w:val="0"/>
            <w:vAlign w:val="center"/>
          </w:tcPr>
          <w:p>
            <w:pPr>
              <w:autoSpaceDE w:val="0"/>
              <w:autoSpaceDN w:val="0"/>
              <w:adjustRightInd w:val="0"/>
              <w:spacing w:before="62" w:line="319" w:lineRule="auto"/>
              <w:rPr>
                <w:rFonts w:hint="eastAsia" w:ascii="仿宋" w:hAnsi="仿宋" w:eastAsia="仿宋" w:cs="仿宋"/>
                <w:kern w:val="0"/>
                <w:sz w:val="24"/>
                <w:szCs w:val="24"/>
              </w:rPr>
            </w:pPr>
            <w:r>
              <w:rPr>
                <w:rFonts w:hint="eastAsia" w:ascii="仿宋" w:hAnsi="仿宋" w:eastAsia="仿宋" w:cs="仿宋"/>
                <w:kern w:val="0"/>
                <w:sz w:val="24"/>
                <w:szCs w:val="24"/>
              </w:rPr>
              <w:t>1.投标人或所投主要产品制造商被国家体育总局评为年度全国群众体育先进单位的得1分。(提供查询网址和截图)；</w:t>
            </w:r>
          </w:p>
          <w:p>
            <w:pPr>
              <w:autoSpaceDE w:val="0"/>
              <w:autoSpaceDN w:val="0"/>
              <w:adjustRightInd w:val="0"/>
              <w:spacing w:before="62" w:line="319" w:lineRule="auto"/>
              <w:rPr>
                <w:rFonts w:hint="eastAsia" w:ascii="仿宋" w:hAnsi="仿宋" w:eastAsia="仿宋" w:cs="仿宋"/>
                <w:sz w:val="24"/>
                <w:szCs w:val="24"/>
              </w:rPr>
            </w:pPr>
            <w:r>
              <w:rPr>
                <w:rFonts w:hint="eastAsia" w:ascii="仿宋" w:hAnsi="仿宋" w:eastAsia="仿宋" w:cs="仿宋"/>
                <w:kern w:val="0"/>
                <w:sz w:val="24"/>
                <w:szCs w:val="24"/>
              </w:rPr>
              <w:t>2.投标人或所投主要产品制造商获得过“国家体育产业示范单位”的得1分。（提供能完全反映上述考核内容的相关证明材料）</w:t>
            </w:r>
          </w:p>
        </w:tc>
        <w:tc>
          <w:tcPr>
            <w:tcW w:w="767" w:type="dxa"/>
            <w:noWrap w:val="0"/>
            <w:vAlign w:val="center"/>
          </w:tcPr>
          <w:p>
            <w:pPr>
              <w:spacing w:before="62" w:line="319"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2" w:hRule="atLeast"/>
          <w:jc w:val="center"/>
        </w:trPr>
        <w:tc>
          <w:tcPr>
            <w:tcW w:w="1205" w:type="dxa"/>
            <w:vMerge w:val="continue"/>
            <w:noWrap w:val="0"/>
            <w:vAlign w:val="center"/>
          </w:tcPr>
          <w:p>
            <w:pPr>
              <w:spacing w:before="62" w:line="319" w:lineRule="auto"/>
              <w:jc w:val="center"/>
              <w:rPr>
                <w:rFonts w:hint="eastAsia" w:ascii="仿宋" w:hAnsi="仿宋" w:eastAsia="仿宋" w:cs="仿宋"/>
                <w:sz w:val="24"/>
                <w:szCs w:val="24"/>
                <w:highlight w:val="none"/>
              </w:rPr>
            </w:pPr>
          </w:p>
        </w:tc>
        <w:tc>
          <w:tcPr>
            <w:tcW w:w="994" w:type="dxa"/>
            <w:noWrap w:val="0"/>
            <w:vAlign w:val="center"/>
          </w:tcPr>
          <w:p>
            <w:pPr>
              <w:autoSpaceDE w:val="0"/>
              <w:autoSpaceDN w:val="0"/>
              <w:adjustRightInd w:val="0"/>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体系认证</w:t>
            </w:r>
          </w:p>
        </w:tc>
        <w:tc>
          <w:tcPr>
            <w:tcW w:w="6232" w:type="dxa"/>
            <w:noWrap w:val="0"/>
            <w:vAlign w:val="center"/>
          </w:tcPr>
          <w:p>
            <w:pPr>
              <w:pStyle w:val="14"/>
              <w:spacing w:before="62"/>
              <w:rPr>
                <w:rFonts w:hint="eastAsia" w:ascii="仿宋" w:hAnsi="仿宋" w:eastAsia="仿宋" w:cs="仿宋"/>
                <w:sz w:val="24"/>
                <w:szCs w:val="24"/>
              </w:rPr>
            </w:pPr>
            <w:r>
              <w:rPr>
                <w:rFonts w:hint="eastAsia" w:ascii="仿宋" w:hAnsi="仿宋" w:eastAsia="仿宋" w:cs="仿宋"/>
                <w:color w:val="auto"/>
                <w:sz w:val="24"/>
                <w:szCs w:val="24"/>
              </w:rPr>
              <w:t>投标人或所投主要产品制造商须提供自投标截止时间止仍处于有效期内的环境管理体系认证ISO14001、质量管理体系认证ISO9001、职业健康安全管理体系认证（OHSAS18001或GB/T28001或ISO45001）证书资料。符合上述标准的每个计1分，最高计3分（须提供证书复印件及官网截图并加盖投标人公章，否则不计分）。</w:t>
            </w:r>
          </w:p>
        </w:tc>
        <w:tc>
          <w:tcPr>
            <w:tcW w:w="767" w:type="dxa"/>
            <w:noWrap w:val="0"/>
            <w:vAlign w:val="center"/>
          </w:tcPr>
          <w:p>
            <w:pPr>
              <w:spacing w:before="62" w:line="319"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9" w:hRule="atLeast"/>
          <w:jc w:val="center"/>
        </w:trPr>
        <w:tc>
          <w:tcPr>
            <w:tcW w:w="1205" w:type="dxa"/>
            <w:vMerge w:val="continue"/>
            <w:noWrap w:val="0"/>
            <w:vAlign w:val="center"/>
          </w:tcPr>
          <w:p>
            <w:pPr>
              <w:spacing w:before="62" w:line="319" w:lineRule="auto"/>
              <w:jc w:val="center"/>
              <w:rPr>
                <w:rFonts w:hint="eastAsia" w:ascii="仿宋" w:hAnsi="仿宋" w:eastAsia="仿宋" w:cs="仿宋"/>
                <w:sz w:val="24"/>
                <w:szCs w:val="24"/>
                <w:highlight w:val="none"/>
              </w:rPr>
            </w:pPr>
          </w:p>
        </w:tc>
        <w:tc>
          <w:tcPr>
            <w:tcW w:w="994" w:type="dxa"/>
            <w:noWrap w:val="0"/>
            <w:vAlign w:val="center"/>
          </w:tcPr>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实施方案</w:t>
            </w:r>
          </w:p>
        </w:tc>
        <w:tc>
          <w:tcPr>
            <w:tcW w:w="6232" w:type="dxa"/>
            <w:noWrap w:val="0"/>
            <w:vAlign w:val="center"/>
          </w:tcPr>
          <w:p>
            <w:pPr>
              <w:pStyle w:val="14"/>
              <w:spacing w:before="62"/>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本项根据投标人器材安装实施方案进行分项评审，累计计分，最多计5分：</w:t>
            </w:r>
          </w:p>
          <w:p>
            <w:pPr>
              <w:pStyle w:val="14"/>
              <w:spacing w:before="62"/>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1、安装实施方案中时间进度推进计划、人员安排、安装方法、质量保证措施、安全技术保证措施符合本项目的采购需求，进度计划合理、人员安排到位、安装方法科学完善、质量保证措施和安全技术保证措施切实可行的，计5分；每有一项欠合理、欠完善或缺项漏项的，每处扣1分，扣完为止。 </w:t>
            </w:r>
          </w:p>
          <w:p>
            <w:pPr>
              <w:pStyle w:val="15"/>
              <w:spacing w:before="62" w:line="319" w:lineRule="auto"/>
              <w:ind w:firstLine="0" w:firstLineChars="0"/>
              <w:rPr>
                <w:rFonts w:hint="eastAsia" w:ascii="仿宋" w:hAnsi="仿宋" w:eastAsia="仿宋" w:cs="仿宋"/>
                <w:sz w:val="24"/>
                <w:szCs w:val="24"/>
                <w:highlight w:val="none"/>
              </w:rPr>
            </w:pPr>
            <w:r>
              <w:rPr>
                <w:rFonts w:hint="eastAsia" w:ascii="仿宋" w:hAnsi="仿宋" w:eastAsia="仿宋" w:cs="仿宋"/>
                <w:kern w:val="0"/>
                <w:sz w:val="24"/>
                <w:szCs w:val="24"/>
                <w:lang w:val="en-US"/>
              </w:rPr>
              <w:t xml:space="preserve">2、未提供方案的不计分。 </w:t>
            </w:r>
          </w:p>
        </w:tc>
        <w:tc>
          <w:tcPr>
            <w:tcW w:w="767" w:type="dxa"/>
            <w:noWrap w:val="0"/>
            <w:vAlign w:val="center"/>
          </w:tcPr>
          <w:p>
            <w:pPr>
              <w:spacing w:before="62" w:line="319" w:lineRule="auto"/>
              <w:jc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9" w:hRule="atLeast"/>
          <w:jc w:val="center"/>
        </w:trPr>
        <w:tc>
          <w:tcPr>
            <w:tcW w:w="1205" w:type="dxa"/>
            <w:vMerge w:val="continue"/>
            <w:noWrap w:val="0"/>
            <w:vAlign w:val="center"/>
          </w:tcPr>
          <w:p>
            <w:pPr>
              <w:spacing w:before="62" w:line="319" w:lineRule="auto"/>
              <w:jc w:val="center"/>
              <w:rPr>
                <w:rFonts w:hint="eastAsia" w:ascii="仿宋" w:hAnsi="仿宋" w:eastAsia="仿宋" w:cs="仿宋"/>
                <w:sz w:val="24"/>
                <w:szCs w:val="24"/>
                <w:highlight w:val="none"/>
              </w:rPr>
            </w:pPr>
          </w:p>
        </w:tc>
        <w:tc>
          <w:tcPr>
            <w:tcW w:w="994" w:type="dxa"/>
            <w:noWrap w:val="0"/>
            <w:vAlign w:val="center"/>
          </w:tcPr>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售后服务方案</w:t>
            </w:r>
          </w:p>
        </w:tc>
        <w:tc>
          <w:tcPr>
            <w:tcW w:w="6232" w:type="dxa"/>
            <w:noWrap w:val="0"/>
            <w:vAlign w:val="center"/>
          </w:tcPr>
          <w:p>
            <w:pPr>
              <w:spacing w:before="62" w:line="319"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根据供应商对售后服务承诺及售后响应时间，解决质量问题、维修、质保的具体措施的描述进行评价：</w:t>
            </w:r>
          </w:p>
          <w:p>
            <w:pPr>
              <w:spacing w:before="62" w:line="319"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供应商对售后服务承诺及售后响应时间，解决质量问题、维修、质保的具体措施等描述非常详细、全面，得5分；</w:t>
            </w:r>
          </w:p>
          <w:p>
            <w:pPr>
              <w:spacing w:before="62" w:line="319"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满足招标文件要求，但内容存在1处瑕疵：得3分；</w:t>
            </w:r>
          </w:p>
          <w:p>
            <w:pPr>
              <w:spacing w:before="62" w:line="319"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满足招标文件要求，但内容存在2处瑕疵：得2分；</w:t>
            </w:r>
          </w:p>
          <w:p>
            <w:pPr>
              <w:spacing w:before="62" w:line="319"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满足招标文件要求，但内容存在3处瑕疵：得1分；</w:t>
            </w:r>
          </w:p>
          <w:p>
            <w:pPr>
              <w:spacing w:before="62" w:line="319"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其他：得0分。</w:t>
            </w:r>
          </w:p>
          <w:p>
            <w:pPr>
              <w:spacing w:before="62" w:line="319" w:lineRule="auto"/>
              <w:rPr>
                <w:rFonts w:hint="eastAsia" w:ascii="仿宋" w:hAnsi="仿宋" w:eastAsia="仿宋" w:cs="仿宋"/>
                <w:sz w:val="24"/>
                <w:szCs w:val="24"/>
                <w:highlight w:val="none"/>
              </w:rPr>
            </w:pPr>
            <w:r>
              <w:rPr>
                <w:rFonts w:hint="eastAsia" w:ascii="仿宋" w:hAnsi="仿宋" w:eastAsia="仿宋" w:cs="仿宋"/>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767" w:type="dxa"/>
            <w:noWrap w:val="0"/>
            <w:vAlign w:val="center"/>
          </w:tcPr>
          <w:p>
            <w:pPr>
              <w:spacing w:before="62" w:line="319" w:lineRule="auto"/>
              <w:jc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9" w:hRule="atLeast"/>
          <w:jc w:val="center"/>
        </w:trPr>
        <w:tc>
          <w:tcPr>
            <w:tcW w:w="1205" w:type="dxa"/>
            <w:noWrap w:val="0"/>
            <w:vAlign w:val="center"/>
          </w:tcPr>
          <w:p>
            <w:pPr>
              <w:spacing w:before="62" w:line="319" w:lineRule="auto"/>
              <w:jc w:val="center"/>
              <w:rPr>
                <w:rFonts w:hint="eastAsia" w:ascii="仿宋" w:hAnsi="仿宋" w:eastAsia="仿宋" w:cs="仿宋"/>
                <w:sz w:val="24"/>
                <w:szCs w:val="24"/>
                <w:highlight w:val="none"/>
              </w:rPr>
            </w:pPr>
            <w:r>
              <w:rPr>
                <w:rFonts w:hint="eastAsia" w:ascii="仿宋" w:hAnsi="仿宋" w:eastAsia="仿宋" w:cs="仿宋"/>
                <w:b/>
                <w:kern w:val="0"/>
                <w:sz w:val="24"/>
                <w:szCs w:val="24"/>
              </w:rPr>
              <w:t>价格部分(30)</w:t>
            </w:r>
          </w:p>
        </w:tc>
        <w:tc>
          <w:tcPr>
            <w:tcW w:w="994" w:type="dxa"/>
            <w:noWrap w:val="0"/>
            <w:vAlign w:val="center"/>
          </w:tcPr>
          <w:p>
            <w:pPr>
              <w:spacing w:before="62" w:line="319" w:lineRule="auto"/>
              <w:rPr>
                <w:rFonts w:hint="eastAsia" w:ascii="仿宋" w:hAnsi="仿宋" w:eastAsia="仿宋" w:cs="仿宋"/>
                <w:kern w:val="0"/>
                <w:sz w:val="24"/>
                <w:szCs w:val="24"/>
                <w:highlight w:val="none"/>
              </w:rPr>
            </w:pPr>
            <w:r>
              <w:rPr>
                <w:rFonts w:hint="eastAsia" w:ascii="仿宋" w:hAnsi="仿宋" w:eastAsia="仿宋" w:cs="仿宋"/>
                <w:kern w:val="0"/>
                <w:sz w:val="24"/>
                <w:szCs w:val="24"/>
              </w:rPr>
              <w:t>投标报价</w:t>
            </w:r>
          </w:p>
        </w:tc>
        <w:tc>
          <w:tcPr>
            <w:tcW w:w="6232" w:type="dxa"/>
            <w:noWrap w:val="0"/>
            <w:vAlign w:val="top"/>
          </w:tcPr>
          <w:p>
            <w:pPr>
              <w:snapToGrid w:val="0"/>
              <w:spacing w:before="62" w:line="319" w:lineRule="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报价超过采购预算的，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无效，未超过采购预算的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报价按以下公式进行计算。</w:t>
            </w:r>
          </w:p>
          <w:p>
            <w:pPr>
              <w:snapToGrid w:val="0"/>
              <w:spacing w:before="62" w:line="319" w:lineRule="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报价得分=（</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基准价/</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报价）×30</w:t>
            </w:r>
          </w:p>
          <w:p>
            <w:pPr>
              <w:snapToGrid w:val="0"/>
              <w:spacing w:before="62" w:line="319" w:lineRule="auto"/>
              <w:rPr>
                <w:rFonts w:hint="eastAsia" w:ascii="仿宋" w:hAnsi="仿宋" w:eastAsia="仿宋" w:cs="仿宋"/>
                <w:kern w:val="0"/>
                <w:sz w:val="24"/>
                <w:szCs w:val="24"/>
                <w:highlight w:val="none"/>
              </w:rPr>
            </w:pPr>
            <w:r>
              <w:rPr>
                <w:rFonts w:hint="eastAsia" w:ascii="仿宋" w:hAnsi="仿宋" w:eastAsia="仿宋" w:cs="仿宋"/>
                <w:kern w:val="0"/>
                <w:sz w:val="24"/>
                <w:szCs w:val="24"/>
              </w:rPr>
              <w:t>注：满足</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文件要求且</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价格最低的</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报价为</w:t>
            </w:r>
            <w:r>
              <w:rPr>
                <w:rFonts w:hint="eastAsia" w:ascii="仿宋" w:hAnsi="仿宋" w:eastAsia="仿宋" w:cs="仿宋"/>
                <w:color w:val="auto"/>
                <w:sz w:val="24"/>
                <w:szCs w:val="24"/>
                <w:highlight w:val="none"/>
                <w:lang w:eastAsia="zh-CN"/>
              </w:rPr>
              <w:t>竞争性磋商</w:t>
            </w:r>
            <w:r>
              <w:rPr>
                <w:rFonts w:hint="eastAsia" w:ascii="仿宋" w:hAnsi="仿宋" w:eastAsia="仿宋" w:cs="仿宋"/>
                <w:kern w:val="0"/>
                <w:sz w:val="24"/>
                <w:szCs w:val="24"/>
              </w:rPr>
              <w:t>基准价。</w:t>
            </w:r>
          </w:p>
        </w:tc>
        <w:tc>
          <w:tcPr>
            <w:tcW w:w="767" w:type="dxa"/>
            <w:noWrap w:val="0"/>
            <w:vAlign w:val="center"/>
          </w:tcPr>
          <w:p>
            <w:pPr>
              <w:spacing w:before="62" w:line="319"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rPr>
              <w:t>30分</w:t>
            </w:r>
          </w:p>
        </w:tc>
      </w:tr>
    </w:tbl>
    <w:p>
      <w:pPr>
        <w:pageBreakBefore w:val="0"/>
        <w:wordWrap/>
        <w:topLinePunct w:val="0"/>
        <w:bidi w:val="0"/>
        <w:spacing w:line="440" w:lineRule="exact"/>
        <w:rPr>
          <w:rFonts w:hint="eastAsia"/>
          <w:sz w:val="24"/>
          <w:szCs w:val="24"/>
          <w:highlight w:val="none"/>
        </w:rPr>
      </w:pPr>
    </w:p>
    <w:p>
      <w:pPr>
        <w:pageBreakBefore w:val="0"/>
        <w:wordWrap/>
        <w:topLinePunct w:val="0"/>
        <w:bidi w:val="0"/>
        <w:spacing w:line="440" w:lineRule="exact"/>
        <w:rPr>
          <w:rFonts w:hint="eastAsia"/>
          <w:sz w:val="24"/>
          <w:szCs w:val="24"/>
          <w:highlight w:val="none"/>
        </w:rPr>
      </w:pPr>
    </w:p>
    <w:p>
      <w:pPr>
        <w:pageBreakBefore w:val="0"/>
        <w:wordWrap/>
        <w:topLinePunct w:val="0"/>
        <w:autoSpaceDE w:val="0"/>
        <w:autoSpaceDN w:val="0"/>
        <w:bidi w:val="0"/>
        <w:adjustRightInd w:val="0"/>
        <w:snapToGrid w:val="0"/>
        <w:spacing w:line="440" w:lineRule="exact"/>
        <w:ind w:right="32"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（三）计算评标得分</w:t>
      </w:r>
    </w:p>
    <w:p>
      <w:pPr>
        <w:pageBreakBefore w:val="0"/>
        <w:wordWrap/>
        <w:topLinePunct w:val="0"/>
        <w:autoSpaceDE w:val="0"/>
        <w:autoSpaceDN w:val="0"/>
        <w:bidi w:val="0"/>
        <w:adjustRightInd w:val="0"/>
        <w:snapToGrid w:val="0"/>
        <w:spacing w:line="440" w:lineRule="exact"/>
        <w:ind w:firstLine="480" w:firstLineChars="200"/>
        <w:rPr>
          <w:rFonts w:hint="eastAsia" w:ascii="仿宋" w:hAnsi="仿宋" w:eastAsia="仿宋" w:cs="仿宋"/>
          <w:color w:val="auto"/>
          <w:kern w:val="0"/>
          <w:sz w:val="24"/>
          <w:szCs w:val="24"/>
          <w:highlight w:val="none"/>
          <w:lang w:val="en-GB"/>
        </w:rPr>
      </w:pPr>
      <w:r>
        <w:rPr>
          <w:rFonts w:hint="eastAsia" w:ascii="仿宋" w:hAnsi="仿宋" w:eastAsia="仿宋" w:cs="仿宋"/>
          <w:color w:val="auto"/>
          <w:kern w:val="0"/>
          <w:sz w:val="24"/>
          <w:szCs w:val="24"/>
          <w:highlight w:val="none"/>
          <w:lang w:val="en-GB"/>
        </w:rPr>
        <w:t>评标委员会各成员应当独立对每个有效投标人的投标文件进行评价、打分，所有评委对某一投标人的商务、技术</w:t>
      </w:r>
      <w:r>
        <w:rPr>
          <w:rFonts w:hint="eastAsia" w:ascii="仿宋" w:hAnsi="仿宋" w:eastAsia="仿宋" w:cs="仿宋"/>
          <w:color w:val="auto"/>
          <w:kern w:val="0"/>
          <w:sz w:val="24"/>
          <w:szCs w:val="24"/>
          <w:highlight w:val="none"/>
          <w:lang w:val="en-GB" w:eastAsia="zh-CN"/>
        </w:rPr>
        <w:t>、价格</w:t>
      </w:r>
      <w:r>
        <w:rPr>
          <w:rFonts w:hint="eastAsia" w:ascii="仿宋" w:hAnsi="仿宋" w:eastAsia="仿宋" w:cs="仿宋"/>
          <w:color w:val="auto"/>
          <w:kern w:val="0"/>
          <w:sz w:val="24"/>
          <w:szCs w:val="24"/>
          <w:highlight w:val="none"/>
          <w:lang w:val="en-GB"/>
        </w:rPr>
        <w:t>评价评分作为该投标人的商务、技术</w:t>
      </w:r>
      <w:r>
        <w:rPr>
          <w:rFonts w:hint="eastAsia" w:ascii="仿宋" w:hAnsi="仿宋" w:eastAsia="仿宋" w:cs="仿宋"/>
          <w:color w:val="auto"/>
          <w:kern w:val="0"/>
          <w:sz w:val="24"/>
          <w:szCs w:val="24"/>
          <w:highlight w:val="none"/>
          <w:lang w:val="en-GB" w:eastAsia="zh-CN"/>
        </w:rPr>
        <w:t>、价格</w:t>
      </w:r>
      <w:r>
        <w:rPr>
          <w:rFonts w:hint="eastAsia" w:ascii="仿宋" w:hAnsi="仿宋" w:eastAsia="仿宋" w:cs="仿宋"/>
          <w:color w:val="auto"/>
          <w:kern w:val="0"/>
          <w:sz w:val="24"/>
          <w:szCs w:val="24"/>
          <w:highlight w:val="none"/>
          <w:lang w:val="en-GB"/>
        </w:rPr>
        <w:t>评价得分，将该投标人的商务、技术</w:t>
      </w:r>
      <w:r>
        <w:rPr>
          <w:rFonts w:hint="eastAsia" w:ascii="仿宋" w:hAnsi="仿宋" w:eastAsia="仿宋" w:cs="仿宋"/>
          <w:color w:val="auto"/>
          <w:kern w:val="0"/>
          <w:sz w:val="24"/>
          <w:szCs w:val="24"/>
          <w:highlight w:val="none"/>
          <w:lang w:val="en-GB" w:eastAsia="zh-CN"/>
        </w:rPr>
        <w:t>、</w:t>
      </w:r>
      <w:r>
        <w:rPr>
          <w:rFonts w:hint="eastAsia" w:ascii="仿宋" w:hAnsi="仿宋" w:eastAsia="仿宋" w:cs="仿宋"/>
          <w:color w:val="auto"/>
          <w:kern w:val="0"/>
          <w:sz w:val="24"/>
          <w:szCs w:val="24"/>
          <w:highlight w:val="none"/>
          <w:lang w:val="en-GB"/>
        </w:rPr>
        <w:t>价格评价得分相加，计算得出该投标人的综合评价得分，按综合评价得分由高至低排出各有效投标的名次。</w:t>
      </w:r>
    </w:p>
    <w:p>
      <w:pPr>
        <w:pStyle w:val="6"/>
        <w:pageBreakBefore w:val="0"/>
        <w:numPr>
          <w:ilvl w:val="0"/>
          <w:numId w:val="5"/>
        </w:numPr>
        <w:wordWrap/>
        <w:topLinePunct w:val="0"/>
        <w:bidi w:val="0"/>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推荐中标候选供应商名单。</w:t>
      </w:r>
    </w:p>
    <w:p>
      <w:pPr>
        <w:pageBreakBefore w:val="0"/>
        <w:wordWrap/>
        <w:topLinePunct w:val="0"/>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评委会将按评标总得分由高到低的排名顺序，按照综合评价得分由高到低的顺序推荐前2名中标候选人，排名第一的投标人为第一中标候选人，排名第二的投标人为第二中标候选人，并由采购人依法按</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文件约定确定中标供应商。评标得分相同的，按下列顺序比较确定：（</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）技术评分（由高到低）（</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）投标报价（由低到高）；（</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）均相同时，由评标委员会集体决定。（投标人所投产品如在最新的节能产品政府采购清单或环境标志产品政府采购清单内，应当提供产品所在页的扫描件并注明所在位置，才能证明所投产品在清单内。）</w:t>
      </w:r>
    </w:p>
    <w:p>
      <w:pPr>
        <w:pStyle w:val="8"/>
        <w:rPr>
          <w:rFonts w:hint="default"/>
          <w:lang w:val="en-US" w:eastAsia="zh-CN"/>
        </w:rPr>
      </w:pPr>
      <w:r>
        <w:rPr>
          <w:rFonts w:hint="eastAsia" w:ascii="仿宋" w:hAnsi="仿宋" w:eastAsia="仿宋" w:cs="仿宋"/>
          <w:color w:val="auto"/>
          <w:sz w:val="24"/>
          <w:szCs w:val="24"/>
          <w:highlight w:val="none"/>
          <w:lang w:val="en-US" w:eastAsia="zh-CN"/>
        </w:rPr>
        <w:t xml:space="preserve"> </w:t>
      </w:r>
    </w:p>
    <w:p>
      <w:pPr>
        <w:pStyle w:val="5"/>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三、投标人提供的报价资料中技术和售后方案须含以下资料：</w:t>
      </w:r>
    </w:p>
    <w:p>
      <w:pPr>
        <w:pStyle w:val="5"/>
        <w:jc w:val="both"/>
        <w:rPr>
          <w:rFonts w:hint="eastAsia" w:ascii="仿宋" w:hAnsi="仿宋" w:eastAsia="仿宋" w:cs="仿宋"/>
          <w:color w:val="auto"/>
          <w:sz w:val="24"/>
          <w:highlight w:val="none"/>
        </w:rPr>
      </w:pPr>
      <w:r>
        <w:rPr>
          <w:rFonts w:hint="eastAsia" w:ascii="仿宋" w:hAnsi="仿宋" w:eastAsia="仿宋" w:cs="仿宋"/>
          <w:color w:val="auto"/>
          <w:highlight w:val="none"/>
          <w:lang w:eastAsia="zh-CN"/>
        </w:rPr>
        <w:t>（一</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技术方案</w:t>
      </w:r>
    </w:p>
    <w:p>
      <w:pPr>
        <w:tabs>
          <w:tab w:val="left" w:pos="1322"/>
        </w:tabs>
        <w:spacing w:line="360" w:lineRule="auto"/>
        <w:rPr>
          <w:rFonts w:hint="eastAsia" w:ascii="仿宋" w:hAnsi="仿宋" w:eastAsia="仿宋" w:cs="仿宋"/>
          <w:color w:val="auto"/>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highlight w:val="none"/>
          <w:lang w:val="en-GB"/>
        </w:rPr>
        <w:t>技术方案设计必须科学合理、真实可行，能充分体现出自身技术和专业优势。其</w:t>
      </w:r>
      <w:r>
        <w:rPr>
          <w:rFonts w:hint="eastAsia" w:ascii="仿宋" w:hAnsi="仿宋" w:eastAsia="仿宋" w:cs="仿宋"/>
          <w:color w:val="auto"/>
          <w:sz w:val="24"/>
          <w:highlight w:val="none"/>
        </w:rPr>
        <w:t>要点和</w:t>
      </w:r>
      <w:r>
        <w:rPr>
          <w:rFonts w:hint="eastAsia" w:ascii="仿宋" w:hAnsi="仿宋" w:eastAsia="仿宋" w:cs="仿宋"/>
          <w:color w:val="auto"/>
          <w:sz w:val="24"/>
          <w:highlight w:val="none"/>
          <w:lang w:val="en-GB"/>
        </w:rPr>
        <w:t>主要内容为：</w:t>
      </w:r>
    </w:p>
    <w:p>
      <w:pPr>
        <w:spacing w:line="360" w:lineRule="auto"/>
        <w:ind w:left="62"/>
        <w:rPr>
          <w:rFonts w:hint="eastAsia" w:ascii="仿宋" w:hAnsi="仿宋" w:eastAsia="仿宋" w:cs="仿宋"/>
          <w:bCs/>
          <w:color w:val="auto"/>
          <w:sz w:val="24"/>
          <w:highlight w:val="none"/>
          <w:lang w:val="en-GB"/>
        </w:rPr>
      </w:pPr>
    </w:p>
    <w:p>
      <w:pPr>
        <w:tabs>
          <w:tab w:val="left" w:pos="1322"/>
        </w:tabs>
        <w:spacing w:line="360" w:lineRule="auto"/>
        <w:ind w:left="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1.设备配置简介</w:t>
      </w:r>
    </w:p>
    <w:p>
      <w:pPr>
        <w:tabs>
          <w:tab w:val="left" w:pos="1322"/>
        </w:tabs>
        <w:spacing w:line="360" w:lineRule="auto"/>
        <w:ind w:left="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2.设备技术特点说明</w:t>
      </w:r>
    </w:p>
    <w:p>
      <w:pPr>
        <w:tabs>
          <w:tab w:val="left" w:pos="1322"/>
        </w:tabs>
        <w:spacing w:line="360" w:lineRule="auto"/>
        <w:ind w:left="420"/>
        <w:rPr>
          <w:rFonts w:hint="eastAsia" w:ascii="仿宋" w:hAnsi="仿宋" w:eastAsia="仿宋" w:cs="仿宋"/>
          <w:color w:val="auto"/>
          <w:sz w:val="24"/>
          <w:highlight w:val="none"/>
          <w:lang w:val="en-GB"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en-GB" w:eastAsia="zh-CN"/>
        </w:rPr>
        <w:t>项目施工方案</w:t>
      </w:r>
    </w:p>
    <w:p>
      <w:pPr>
        <w:tabs>
          <w:tab w:val="left" w:pos="1322"/>
        </w:tabs>
        <w:spacing w:line="360" w:lineRule="auto"/>
        <w:ind w:left="42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en-GB"/>
        </w:rPr>
        <w:t>质量保证措施</w:t>
      </w:r>
    </w:p>
    <w:p>
      <w:pPr>
        <w:pStyle w:val="5"/>
        <w:rPr>
          <w:rFonts w:hint="eastAsia" w:ascii="仿宋" w:hAnsi="仿宋" w:eastAsia="仿宋" w:cs="仿宋"/>
          <w:color w:val="auto"/>
          <w:highlight w:val="none"/>
        </w:rPr>
      </w:pP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售后服务方案</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售后服务须包括但不限于以下内容，主要根据招标需求的要求（格式自定）</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1.免费保修期；</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2.应急维修时间安排；</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3.维修地点、地址、联系电话及技术服务人员（包括厂商认证工程师等人员）；</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4.维修服务收费标准；</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5.制造商的技术支持；</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6.其它服务承诺；</w:t>
      </w:r>
    </w:p>
    <w:p>
      <w:pPr>
        <w:spacing w:line="360" w:lineRule="auto"/>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7.培训计划。</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jc w:val="center"/>
                          </w:pPr>
                          <w:r>
                            <w:fldChar w:fldCharType="begin"/>
                          </w:r>
                          <w:r>
                            <w:instrText xml:space="preserve">PAGE   \* MERGEFORMAT</w:instrText>
                          </w:r>
                          <w:r>
                            <w:fldChar w:fldCharType="separate"/>
                          </w:r>
                          <w:r>
                            <w:rPr>
                              <w:lang w:val="zh-CN"/>
                            </w:rPr>
                            <w:t>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XHS/SAQAApA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S1uwi0llhmc+OnH99PP&#10;36df38h10qf3UGPao8fEOLx3A+bO94CXifYgg0lfJEQwjuoez+qKIRKeHlXLqioxxDE2O4hfPD/3&#10;AeKDcIYko6EBx5dVZYePEMfUOSVVs+5eaZ1HqC3pEfWmur3JL84hRNcWiyQWY7fJisN2mKhtXXtE&#10;Zj3uQEMtrjwl+oNFidO6zEaYje1s7H1Quy7vU2oF/Lt9xHZyl6nCCDsVxuFlntOipe34289Zzz/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9cdL9IBAACkAwAADgAAAAAAAAABACAAAAAi&#10;AQAAZHJzL2Uyb0RvYy54bWxQSwUGAAAAAAYABgBZAQAAZgUAAAAA&#10;">
              <v:fill on="f" focussize="0,0"/>
              <v:stroke on="f" weight="1.2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8</w:t>
                    </w:r>
                    <w:r>
                      <w:fldChar w:fldCharType="end"/>
                    </w:r>
                  </w:p>
                </w:txbxContent>
              </v:textbox>
            </v:shape>
          </w:pict>
        </mc:Fallback>
      </mc:AlternateContent>
    </w:r>
  </w:p>
  <w:p>
    <w:pPr>
      <w:pStyle w:val="9"/>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06583"/>
    <w:multiLevelType w:val="singleLevel"/>
    <w:tmpl w:val="08B06583"/>
    <w:lvl w:ilvl="0" w:tentative="0">
      <w:start w:val="1"/>
      <w:numFmt w:val="decimal"/>
      <w:suff w:val="nothing"/>
      <w:lvlText w:val="%1、"/>
      <w:lvlJc w:val="left"/>
    </w:lvl>
  </w:abstractNum>
  <w:abstractNum w:abstractNumId="1">
    <w:nsid w:val="568FCD8E"/>
    <w:multiLevelType w:val="singleLevel"/>
    <w:tmpl w:val="568FCD8E"/>
    <w:lvl w:ilvl="0" w:tentative="0">
      <w:start w:val="2"/>
      <w:numFmt w:val="decimal"/>
      <w:suff w:val="space"/>
      <w:lvlText w:val="%1."/>
      <w:lvlJc w:val="left"/>
    </w:lvl>
  </w:abstractNum>
  <w:abstractNum w:abstractNumId="2">
    <w:nsid w:val="59B4A5E9"/>
    <w:multiLevelType w:val="singleLevel"/>
    <w:tmpl w:val="59B4A5E9"/>
    <w:lvl w:ilvl="0" w:tentative="0">
      <w:start w:val="4"/>
      <w:numFmt w:val="chineseCounting"/>
      <w:suff w:val="nothing"/>
      <w:lvlText w:val="（%1）"/>
      <w:lvlJc w:val="left"/>
    </w:lvl>
  </w:abstractNum>
  <w:abstractNum w:abstractNumId="3">
    <w:nsid w:val="64FF6768"/>
    <w:multiLevelType w:val="singleLevel"/>
    <w:tmpl w:val="64FF6768"/>
    <w:lvl w:ilvl="0" w:tentative="0">
      <w:start w:val="1"/>
      <w:numFmt w:val="chineseCounting"/>
      <w:suff w:val="nothing"/>
      <w:lvlText w:val="%1、"/>
      <w:lvlJc w:val="left"/>
      <w:rPr>
        <w:rFonts w:hint="eastAsia"/>
      </w:rPr>
    </w:lvl>
  </w:abstractNum>
  <w:abstractNum w:abstractNumId="4">
    <w:nsid w:val="7F74561F"/>
    <w:multiLevelType w:val="multilevel"/>
    <w:tmpl w:val="7F7456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544B0"/>
    <w:rsid w:val="017544B0"/>
    <w:rsid w:val="0D8C4A31"/>
    <w:rsid w:val="0EEC5E99"/>
    <w:rsid w:val="1BBE6445"/>
    <w:rsid w:val="1DFD7E34"/>
    <w:rsid w:val="21031D51"/>
    <w:rsid w:val="230371F1"/>
    <w:rsid w:val="24E86717"/>
    <w:rsid w:val="30D97FE5"/>
    <w:rsid w:val="35D8326A"/>
    <w:rsid w:val="435E2CDB"/>
    <w:rsid w:val="45441AD3"/>
    <w:rsid w:val="46487F79"/>
    <w:rsid w:val="571B49CC"/>
    <w:rsid w:val="59E20F76"/>
    <w:rsid w:val="5AAD4791"/>
    <w:rsid w:val="5AE80636"/>
    <w:rsid w:val="65F80B4E"/>
    <w:rsid w:val="6CA125CA"/>
    <w:rsid w:val="6CC81EA4"/>
    <w:rsid w:val="6D0A3398"/>
    <w:rsid w:val="70F7524B"/>
    <w:rsid w:val="7A49604F"/>
    <w:rsid w:val="7D68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30"/>
      <w:szCs w:val="44"/>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9"/>
    <w:pPr>
      <w:keepNext/>
      <w:keepLines/>
      <w:spacing w:before="280" w:beforeLines="0" w:after="290" w:afterLines="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pPr>
    <w:rPr>
      <w:szCs w:val="20"/>
    </w:rPr>
  </w:style>
  <w:style w:type="paragraph" w:styleId="7">
    <w:name w:val="Body Text"/>
    <w:basedOn w:val="1"/>
    <w:qFormat/>
    <w:uiPriority w:val="0"/>
    <w:pPr>
      <w:spacing w:line="360" w:lineRule="auto"/>
    </w:pPr>
    <w:rPr>
      <w:szCs w:val="20"/>
    </w:rPr>
  </w:style>
  <w:style w:type="paragraph" w:styleId="8">
    <w:name w:val="Body Text Indent 2"/>
    <w:basedOn w:val="1"/>
    <w:qFormat/>
    <w:uiPriority w:val="0"/>
    <w:pPr>
      <w:tabs>
        <w:tab w:val="left" w:pos="8640"/>
      </w:tabs>
      <w:adjustRightInd/>
      <w:ind w:left="1260"/>
      <w:jc w:val="both"/>
    </w:pPr>
    <w:rPr>
      <w:kern w:val="2"/>
      <w:sz w:val="21"/>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9"/>
    <w:basedOn w:val="1"/>
    <w:next w:val="1"/>
    <w:semiHidden/>
    <w:unhideWhenUsed/>
    <w:qFormat/>
    <w:uiPriority w:val="39"/>
    <w:pPr>
      <w:ind w:left="3360" w:leftChars="1600"/>
    </w:pPr>
  </w:style>
  <w:style w:type="paragraph" w:customStyle="1" w:styleId="13">
    <w:name w:val="Table Paragraph"/>
    <w:basedOn w:val="1"/>
    <w:qFormat/>
    <w:uiPriority w:val="1"/>
    <w:rPr>
      <w:rFonts w:ascii="宋体" w:hAnsi="宋体" w:eastAsia="宋体" w:cs="宋体"/>
      <w:lang w:val="zh-CN" w:eastAsia="zh-CN" w:bidi="zh-CN"/>
    </w:rPr>
  </w:style>
  <w:style w:type="paragraph" w:customStyle="1" w:styleId="14">
    <w:name w:val="Default"/>
    <w:next w:val="10"/>
    <w:qFormat/>
    <w:uiPriority w:val="99"/>
    <w:pPr>
      <w:widowControl w:val="0"/>
      <w:autoSpaceDE w:val="0"/>
      <w:autoSpaceDN w:val="0"/>
      <w:adjustRightInd w:val="0"/>
      <w:jc w:val="left"/>
    </w:pPr>
    <w:rPr>
      <w:rFonts w:ascii="......." w:hAnsi="......." w:eastAsia="......." w:cs="......."/>
      <w:color w:val="000000"/>
      <w:kern w:val="0"/>
      <w:sz w:val="24"/>
      <w:szCs w:val="24"/>
      <w:lang w:val="en-US" w:eastAsia="zh-CN" w:bidi="ar-SA"/>
    </w:rPr>
  </w:style>
  <w:style w:type="paragraph" w:customStyle="1" w:styleId="15">
    <w:name w:val="首行缩进"/>
    <w:basedOn w:val="1"/>
    <w:qFormat/>
    <w:uiPriority w:val="0"/>
    <w:pPr>
      <w:ind w:firstLine="480" w:firstLineChars="20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2238</Words>
  <Characters>2511</Characters>
  <Lines>0</Lines>
  <Paragraphs>0</Paragraphs>
  <TotalTime>1</TotalTime>
  <ScaleCrop>false</ScaleCrop>
  <LinksUpToDate>false</LinksUpToDate>
  <CharactersWithSpaces>2597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2025-09-06T14:03:00Z</dcterms:created>
  <dc:creator>Administrator</dc:creator>
  <cp:lastModifiedBy>Administrator</cp:lastModifiedBy>
  <cp:lastPrinted>2025-09-08T03:56:00Z</cp:lastPrinted>
  <dcterms:modified xsi:type="dcterms:W3CDTF">2025-09-15T02:38:57Z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98B28E1FA153400282D6A6770558A7CC_11</vt:lpwstr>
  </property>
  <property fmtid="{D5CDD505-2E9C-101B-9397-08002B2CF9AE}" pid="4" name="KSOTemplateDocerSaveRecord">
    <vt:lpwstr>eyJoZGlkIjoiYzA2MTE3Y2VmOGQxY2M2MDc3M2QyZDIxOGExZmIyZDcifQ==</vt:lpwstr>
  </property>
</Properties>
</file>